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56.900002pt;margin-top:35.999985pt;width:54.0pt;height:10.8pt;mso-position-horizontal-relative:page;mso-position-vertical-relative:page;z-index:0" type="#_x0000_t75" stroked="false">
            <v:imagedata r:id="rId7"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362" w:lineRule="auto" w:before="36"/>
        <w:ind w:left="3878" w:right="3012" w:hanging="864"/>
        <w:jc w:val="left"/>
        <w:rPr>
          <w:rFonts w:ascii="Microsoft JhengHei" w:hAnsi="Microsoft JhengHei" w:cs="Microsoft JhengHei" w:eastAsia="Microsoft JhengHei" w:hint="default"/>
          <w:sz w:val="30"/>
          <w:szCs w:val="30"/>
        </w:rPr>
      </w:pPr>
      <w:r>
        <w:rPr/>
        <w:pict>
          <v:group style="position:absolute;margin-left:55.200001pt;margin-top:-95.927925pt;width:484.9pt;height:.1pt;mso-position-horizontal-relative:page;mso-position-vertical-relative:paragraph;z-index:1048" coordorigin="1104,-1919" coordsize="9698,2">
            <v:shape style="position:absolute;left:1104;top:-1919;width:9698;height:2" coordorigin="1104,-1919" coordsize="9698,0" path="m1104,-1919l10802,-1919e" filled="false" stroked="true" strokeweight=".72pt" strokecolor="#000000">
              <v:path arrowok="t"/>
            </v:shape>
            <w10:wrap type="none"/>
          </v:group>
        </w:pict>
      </w:r>
      <w:r>
        <w:rPr>
          <w:rFonts w:ascii="Microsoft JhengHei" w:hAnsi="Microsoft JhengHei" w:cs="Microsoft JhengHei" w:eastAsia="Microsoft JhengHei" w:hint="default"/>
          <w:b/>
          <w:bCs/>
          <w:sz w:val="30"/>
          <w:szCs w:val="30"/>
        </w:rPr>
        <w:t>北京北信源软件股份有限公司</w:t>
      </w:r>
      <w:r>
        <w:rPr>
          <w:rFonts w:ascii="Microsoft JhengHei" w:hAnsi="Microsoft JhengHei" w:cs="Microsoft JhengHei" w:eastAsia="Microsoft JhengHei" w:hint="default"/>
          <w:b/>
          <w:bCs/>
          <w:spacing w:val="-64"/>
          <w:sz w:val="30"/>
          <w:szCs w:val="30"/>
        </w:rPr>
        <w:t> </w:t>
      </w:r>
      <w:r>
        <w:rPr>
          <w:rFonts w:ascii="Microsoft JhengHei" w:hAnsi="Microsoft JhengHei" w:cs="Microsoft JhengHei" w:eastAsia="Microsoft JhengHei" w:hint="default"/>
          <w:b/>
          <w:bCs/>
          <w:spacing w:val="-64"/>
          <w:sz w:val="30"/>
          <w:szCs w:val="30"/>
        </w:rPr>
      </w:r>
      <w:r>
        <w:rPr>
          <w:rFonts w:ascii="Trebuchet MS" w:hAnsi="Trebuchet MS" w:cs="Trebuchet MS" w:eastAsia="Trebuchet MS" w:hint="default"/>
          <w:b/>
          <w:bCs/>
          <w:w w:val="95"/>
          <w:sz w:val="30"/>
          <w:szCs w:val="30"/>
        </w:rPr>
        <w:t>2015</w:t>
      </w:r>
      <w:r>
        <w:rPr>
          <w:rFonts w:ascii="Trebuchet MS" w:hAnsi="Trebuchet MS" w:cs="Trebuchet MS" w:eastAsia="Trebuchet MS" w:hint="default"/>
          <w:b/>
          <w:bCs/>
          <w:spacing w:val="5"/>
          <w:w w:val="95"/>
          <w:sz w:val="30"/>
          <w:szCs w:val="30"/>
        </w:rPr>
        <w:t> </w:t>
      </w:r>
      <w:r>
        <w:rPr>
          <w:rFonts w:ascii="Microsoft JhengHei" w:hAnsi="Microsoft JhengHei" w:cs="Microsoft JhengHei" w:eastAsia="Microsoft JhengHei" w:hint="default"/>
          <w:b/>
          <w:bCs/>
          <w:w w:val="95"/>
          <w:sz w:val="30"/>
          <w:szCs w:val="30"/>
        </w:rPr>
        <w:t>年年度报告</w:t>
      </w:r>
      <w:r>
        <w:rPr>
          <w:rFonts w:ascii="Microsoft JhengHei" w:hAnsi="Microsoft JhengHei" w:cs="Microsoft JhengHei" w:eastAsia="Microsoft JhengHei" w:hint="default"/>
          <w:w w:val="95"/>
          <w:sz w:val="30"/>
          <w:szCs w:val="3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p>
      <w:pPr>
        <w:spacing w:line="1020" w:lineRule="exact"/>
        <w:ind w:left="3861"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9"/>
          <w:sz w:val="20"/>
          <w:szCs w:val="20"/>
        </w:rPr>
        <w:drawing>
          <wp:inline distT="0" distB="0" distL="0" distR="0">
            <wp:extent cx="1409700" cy="647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1409700" cy="647700"/>
                    </a:xfrm>
                    <a:prstGeom prst="rect">
                      <a:avLst/>
                    </a:prstGeom>
                  </pic:spPr>
                </pic:pic>
              </a:graphicData>
            </a:graphic>
          </wp:inline>
        </w:drawing>
      </w:r>
      <w:r>
        <w:rPr>
          <w:rFonts w:ascii="Microsoft JhengHei" w:hAnsi="Microsoft JhengHei" w:cs="Microsoft JhengHei" w:eastAsia="Microsoft JhengHei" w:hint="default"/>
          <w:position w:val="-19"/>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7"/>
          <w:szCs w:val="17"/>
        </w:rPr>
      </w:pPr>
    </w:p>
    <w:p>
      <w:pPr>
        <w:spacing w:before="76"/>
        <w:ind w:left="3748" w:right="3748" w:firstLine="0"/>
        <w:jc w:val="center"/>
        <w:rPr>
          <w:rFonts w:ascii="Trebuchet MS" w:hAnsi="Trebuchet MS" w:cs="Trebuchet MS" w:eastAsia="Trebuchet MS" w:hint="default"/>
          <w:sz w:val="30"/>
          <w:szCs w:val="30"/>
        </w:rPr>
      </w:pPr>
      <w:r>
        <w:rPr>
          <w:rFonts w:ascii="Trebuchet MS"/>
          <w:b/>
          <w:sz w:val="30"/>
        </w:rPr>
        <w:t>2016-020</w:t>
      </w:r>
      <w:r>
        <w:rPr>
          <w:rFonts w:ascii="Trebuchet MS"/>
          <w:sz w:val="30"/>
        </w:rPr>
      </w: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30"/>
          <w:szCs w:val="30"/>
        </w:rPr>
      </w:pPr>
    </w:p>
    <w:p>
      <w:pPr>
        <w:spacing w:line="240" w:lineRule="auto" w:before="0"/>
        <w:rPr>
          <w:rFonts w:ascii="Trebuchet MS" w:hAnsi="Trebuchet MS" w:cs="Trebuchet MS" w:eastAsia="Trebuchet MS" w:hint="default"/>
          <w:b/>
          <w:bCs/>
          <w:sz w:val="41"/>
          <w:szCs w:val="41"/>
        </w:rPr>
      </w:pPr>
    </w:p>
    <w:p>
      <w:pPr>
        <w:spacing w:before="0"/>
        <w:ind w:left="3748" w:right="3748" w:firstLine="0"/>
        <w:jc w:val="center"/>
        <w:rPr>
          <w:rFonts w:ascii="Microsoft JhengHei" w:hAnsi="Microsoft JhengHei" w:cs="Microsoft JhengHei" w:eastAsia="Microsoft JhengHei" w:hint="default"/>
          <w:sz w:val="32"/>
          <w:szCs w:val="32"/>
        </w:rPr>
      </w:pPr>
      <w:r>
        <w:rPr>
          <w:rFonts w:ascii="Trebuchet MS" w:hAnsi="Trebuchet MS" w:cs="Trebuchet MS" w:eastAsia="Trebuchet MS" w:hint="default"/>
          <w:b/>
          <w:bCs/>
          <w:w w:val="95"/>
          <w:sz w:val="32"/>
          <w:szCs w:val="32"/>
        </w:rPr>
        <w:t>2016</w:t>
      </w:r>
      <w:r>
        <w:rPr>
          <w:rFonts w:ascii="Trebuchet MS" w:hAnsi="Trebuchet MS" w:cs="Trebuchet MS" w:eastAsia="Trebuchet MS" w:hint="default"/>
          <w:b/>
          <w:bCs/>
          <w:spacing w:val="-35"/>
          <w:w w:val="95"/>
          <w:sz w:val="32"/>
          <w:szCs w:val="32"/>
        </w:rPr>
        <w:t> </w:t>
      </w:r>
      <w:r>
        <w:rPr>
          <w:rFonts w:ascii="Microsoft JhengHei" w:hAnsi="Microsoft JhengHei" w:cs="Microsoft JhengHei" w:eastAsia="Microsoft JhengHei" w:hint="default"/>
          <w:b/>
          <w:bCs/>
          <w:w w:val="95"/>
          <w:sz w:val="32"/>
          <w:szCs w:val="32"/>
        </w:rPr>
        <w:t>年</w:t>
      </w:r>
      <w:r>
        <w:rPr>
          <w:rFonts w:ascii="Microsoft JhengHei" w:hAnsi="Microsoft JhengHei" w:cs="Microsoft JhengHei" w:eastAsia="Microsoft JhengHei" w:hint="default"/>
          <w:b/>
          <w:bCs/>
          <w:spacing w:val="-21"/>
          <w:w w:val="95"/>
          <w:sz w:val="32"/>
          <w:szCs w:val="32"/>
        </w:rPr>
        <w:t> </w:t>
      </w:r>
      <w:r>
        <w:rPr>
          <w:rFonts w:ascii="Trebuchet MS" w:hAnsi="Trebuchet MS" w:cs="Trebuchet MS" w:eastAsia="Trebuchet MS" w:hint="default"/>
          <w:b/>
          <w:bCs/>
          <w:w w:val="95"/>
          <w:sz w:val="32"/>
          <w:szCs w:val="32"/>
        </w:rPr>
        <w:t>04</w:t>
      </w:r>
      <w:r>
        <w:rPr>
          <w:rFonts w:ascii="Trebuchet MS" w:hAnsi="Trebuchet MS" w:cs="Trebuchet MS" w:eastAsia="Trebuchet MS" w:hint="default"/>
          <w:b/>
          <w:bCs/>
          <w:spacing w:val="-35"/>
          <w:w w:val="95"/>
          <w:sz w:val="32"/>
          <w:szCs w:val="32"/>
        </w:rPr>
        <w:t> </w:t>
      </w:r>
      <w:r>
        <w:rPr>
          <w:rFonts w:ascii="Microsoft JhengHei" w:hAnsi="Microsoft JhengHei" w:cs="Microsoft JhengHei" w:eastAsia="Microsoft JhengHei" w:hint="default"/>
          <w:b/>
          <w:bCs/>
          <w:w w:val="95"/>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81" w:footer="979" w:top="1080" w:bottom="1160" w:left="980" w:right="980"/>
        </w:sectPr>
      </w:pPr>
    </w:p>
    <w:p>
      <w:pPr>
        <w:spacing w:line="240" w:lineRule="auto" w:before="12"/>
        <w:rPr>
          <w:rFonts w:ascii="Microsoft JhengHei" w:hAnsi="Microsoft JhengHei" w:cs="Microsoft JhengHei" w:eastAsia="Microsoft JhengHei" w:hint="default"/>
          <w:b/>
          <w:bCs/>
          <w:sz w:val="2"/>
          <w:szCs w:val="2"/>
        </w:rPr>
      </w:pPr>
      <w:r>
        <w:rPr/>
        <w:pict>
          <v:shape style="position:absolute;margin-left:56.900002pt;margin-top:42.599983pt;width:54.0pt;height:10.8pt;mso-position-horizontal-relative:page;mso-position-vertical-relative:page;z-index:1096" type="#_x0000_t75" stroked="false">
            <v:imagedata r:id="rId10" o:title=""/>
          </v:shape>
        </w:pict>
      </w: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3"/>
          <w:szCs w:val="23"/>
        </w:rPr>
      </w:pPr>
    </w:p>
    <w:p>
      <w:pPr>
        <w:spacing w:line="413" w:lineRule="exact" w:before="0"/>
        <w:ind w:left="3074" w:right="301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第一节 </w:t>
      </w:r>
      <w:r>
        <w:rPr>
          <w:rFonts w:ascii="Microsoft JhengHei" w:hAnsi="Microsoft JhengHei" w:cs="Microsoft JhengHei" w:eastAsia="Microsoft JhengHei" w:hint="default"/>
          <w:b/>
          <w:bCs/>
          <w:spacing w:val="15"/>
          <w:sz w:val="28"/>
          <w:szCs w:val="28"/>
        </w:rPr>
        <w:t> </w:t>
      </w:r>
      <w:r>
        <w:rPr>
          <w:rFonts w:ascii="Microsoft JhengHei" w:hAnsi="Microsoft JhengHei" w:cs="Microsoft JhengHei" w:eastAsia="Microsoft JhengHei" w:hint="default"/>
          <w:b/>
          <w:bCs/>
          <w:sz w:val="28"/>
          <w:szCs w:val="28"/>
        </w:rPr>
        <w:t>重要提示、目录和释义</w:t>
      </w:r>
      <w:r>
        <w:rPr>
          <w:rFonts w:ascii="Microsoft JhengHei" w:hAnsi="Microsoft JhengHei" w:cs="Microsoft JhengHei" w:eastAsia="Microsoft JhengHei" w:hint="default"/>
          <w:sz w:val="28"/>
          <w:szCs w:val="28"/>
        </w:rPr>
      </w:r>
    </w:p>
    <w:p>
      <w:pPr>
        <w:spacing w:line="240" w:lineRule="auto" w:before="8"/>
        <w:rPr>
          <w:rFonts w:ascii="Microsoft JhengHei" w:hAnsi="Microsoft JhengHei" w:cs="Microsoft JhengHei" w:eastAsia="Microsoft JhengHei" w:hint="default"/>
          <w:b/>
          <w:bCs/>
          <w:sz w:val="30"/>
          <w:szCs w:val="30"/>
        </w:rPr>
      </w:pPr>
    </w:p>
    <w:p>
      <w:pPr>
        <w:spacing w:line="307" w:lineRule="auto" w:before="0"/>
        <w:ind w:left="152" w:right="1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本公司董事会、监事会及董事、监事、高级管理人员保证年度报告内容的</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真实、准确、完整，不存在虚假记载、误导性陈述或重大遗漏，并承担个别和</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连带的法律责任。</w:t>
      </w:r>
      <w:r>
        <w:rPr>
          <w:rFonts w:ascii="Microsoft JhengHei" w:hAnsi="Microsoft JhengHei" w:cs="Microsoft JhengHei" w:eastAsia="Microsoft JhengHei" w:hint="default"/>
          <w:sz w:val="28"/>
          <w:szCs w:val="28"/>
        </w:rPr>
      </w:r>
    </w:p>
    <w:p>
      <w:pPr>
        <w:spacing w:line="307" w:lineRule="auto" w:before="133"/>
        <w:ind w:left="152" w:right="15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公司负责人林皓、主管会计工作负责人王灿及会计机构负责人</w:t>
      </w:r>
      <w:r>
        <w:rPr>
          <w:rFonts w:ascii="Trebuchet MS" w:hAnsi="Trebuchet MS" w:cs="Trebuchet MS" w:eastAsia="Trebuchet MS" w:hint="default"/>
          <w:b/>
          <w:bCs/>
          <w:spacing w:val="-2"/>
          <w:sz w:val="28"/>
          <w:szCs w:val="28"/>
        </w:rPr>
        <w:t>(</w:t>
      </w:r>
      <w:r>
        <w:rPr>
          <w:rFonts w:ascii="Microsoft JhengHei" w:hAnsi="Microsoft JhengHei" w:cs="Microsoft JhengHei" w:eastAsia="Microsoft JhengHei" w:hint="default"/>
          <w:b/>
          <w:bCs/>
          <w:spacing w:val="-2"/>
          <w:sz w:val="28"/>
          <w:szCs w:val="28"/>
        </w:rPr>
        <w:t>会计主管人</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员</w:t>
      </w:r>
      <w:r>
        <w:rPr>
          <w:rFonts w:ascii="Trebuchet MS" w:hAnsi="Trebuchet MS" w:cs="Trebuchet MS" w:eastAsia="Trebuchet MS" w:hint="default"/>
          <w:b/>
          <w:bCs/>
          <w:sz w:val="28"/>
          <w:szCs w:val="28"/>
        </w:rPr>
        <w:t>)</w:t>
      </w:r>
      <w:r>
        <w:rPr>
          <w:rFonts w:ascii="Microsoft JhengHei" w:hAnsi="Microsoft JhengHei" w:cs="Microsoft JhengHei" w:eastAsia="Microsoft JhengHei" w:hint="default"/>
          <w:b/>
          <w:bCs/>
          <w:sz w:val="28"/>
          <w:szCs w:val="28"/>
        </w:rPr>
        <w:t>李丹声明：保证年度报告中财务报告的真实、准确、完整。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07" w:right="0" w:firstLine="7"/>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55"/>
          <w:sz w:val="28"/>
          <w:szCs w:val="28"/>
        </w:rPr>
        <w:t> </w:t>
      </w:r>
      <w:r>
        <w:rPr>
          <w:rFonts w:ascii="Microsoft JhengHei" w:hAnsi="Microsoft JhengHei" w:cs="Microsoft JhengHei" w:eastAsia="Microsoft JhengHei" w:hint="default"/>
          <w:b/>
          <w:bCs/>
          <w:spacing w:val="-55"/>
          <w:sz w:val="28"/>
          <w:szCs w:val="28"/>
        </w:rPr>
      </w:r>
      <w:r>
        <w:rPr>
          <w:rFonts w:ascii="Microsoft JhengHei" w:hAnsi="Microsoft JhengHei" w:cs="Microsoft JhengHei" w:eastAsia="Microsoft JhengHei" w:hint="default"/>
          <w:b/>
          <w:bCs/>
          <w:spacing w:val="2"/>
          <w:sz w:val="28"/>
          <w:szCs w:val="28"/>
        </w:rPr>
        <w:t>本报告中如有涉及未来的计划、发展战略等前瞻性描述、业绩预测等方面</w:t>
      </w:r>
      <w:r>
        <w:rPr>
          <w:rFonts w:ascii="Microsoft JhengHei" w:hAnsi="Microsoft JhengHei" w:cs="Microsoft JhengHei" w:eastAsia="Microsoft JhengHei" w:hint="default"/>
          <w:spacing w:val="2"/>
          <w:sz w:val="28"/>
          <w:szCs w:val="28"/>
        </w:rPr>
      </w:r>
    </w:p>
    <w:p>
      <w:pPr>
        <w:spacing w:line="445" w:lineRule="exact" w:before="0"/>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的内容，均不构成本公司对任何投资者及相关人士的承诺，投资者及相关人士</w:t>
      </w:r>
      <w:r>
        <w:rPr>
          <w:rFonts w:ascii="Microsoft JhengHei" w:hAnsi="Microsoft JhengHei" w:cs="Microsoft JhengHei" w:eastAsia="Microsoft JhengHei" w:hint="default"/>
          <w:spacing w:val="2"/>
          <w:sz w:val="28"/>
          <w:szCs w:val="28"/>
        </w:rPr>
      </w:r>
    </w:p>
    <w:p>
      <w:pPr>
        <w:spacing w:line="357" w:lineRule="auto" w:before="137"/>
        <w:ind w:left="707" w:right="0" w:hanging="555"/>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均应对此保持足够的风险认识，并且应当理解计划、预测与承诺之间的差异。</w:t>
      </w:r>
      <w:r>
        <w:rPr>
          <w:rFonts w:ascii="Microsoft JhengHei" w:hAnsi="Microsoft JhengHei" w:cs="Microsoft JhengHei" w:eastAsia="Microsoft JhengHei" w:hint="default"/>
          <w:b/>
          <w:bCs/>
          <w:spacing w:val="-35"/>
          <w:sz w:val="28"/>
          <w:szCs w:val="28"/>
        </w:rPr>
        <w:t> </w:t>
      </w:r>
      <w:r>
        <w:rPr>
          <w:rFonts w:ascii="Microsoft JhengHei" w:hAnsi="Microsoft JhengHei" w:cs="Microsoft JhengHei" w:eastAsia="Microsoft JhengHei" w:hint="default"/>
          <w:b/>
          <w:bCs/>
          <w:spacing w:val="-35"/>
          <w:sz w:val="28"/>
          <w:szCs w:val="28"/>
        </w:rPr>
      </w:r>
      <w:r>
        <w:rPr>
          <w:rFonts w:ascii="Microsoft JhengHei" w:hAnsi="Microsoft JhengHei" w:cs="Microsoft JhengHei" w:eastAsia="Microsoft JhengHei" w:hint="default"/>
          <w:b/>
          <w:bCs/>
          <w:spacing w:val="7"/>
          <w:sz w:val="28"/>
          <w:szCs w:val="28"/>
        </w:rPr>
        <w:t>公司当前暂不存在重大经营风险</w:t>
      </w:r>
      <w:r>
        <w:rPr>
          <w:rFonts w:ascii="Trebuchet MS" w:hAnsi="Trebuchet MS" w:cs="Trebuchet MS" w:eastAsia="Trebuchet MS" w:hint="default"/>
          <w:b/>
          <w:bCs/>
          <w:spacing w:val="7"/>
          <w:sz w:val="28"/>
          <w:szCs w:val="28"/>
        </w:rPr>
        <w:t>,</w:t>
      </w:r>
      <w:r>
        <w:rPr>
          <w:rFonts w:ascii="Microsoft JhengHei" w:hAnsi="Microsoft JhengHei" w:cs="Microsoft JhengHei" w:eastAsia="Microsoft JhengHei" w:hint="default"/>
          <w:b/>
          <w:bCs/>
          <w:spacing w:val="7"/>
          <w:sz w:val="28"/>
          <w:szCs w:val="28"/>
        </w:rPr>
        <w:t>但不排除因下述风险事项影响公司的日</w:t>
      </w:r>
      <w:r>
        <w:rPr>
          <w:rFonts w:ascii="Microsoft JhengHei" w:hAnsi="Microsoft JhengHei" w:cs="Microsoft JhengHei" w:eastAsia="Microsoft JhengHei" w:hint="default"/>
          <w:spacing w:val="7"/>
          <w:sz w:val="28"/>
          <w:szCs w:val="28"/>
        </w:rPr>
      </w:r>
    </w:p>
    <w:p>
      <w:pPr>
        <w:spacing w:line="442" w:lineRule="exact" w:before="0"/>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常经营成果</w:t>
      </w:r>
      <w:r>
        <w:rPr>
          <w:rFonts w:ascii="Trebuchet MS" w:hAnsi="Trebuchet MS" w:cs="Trebuchet MS" w:eastAsia="Trebuchet MS" w:hint="default"/>
          <w:b/>
          <w:bCs/>
          <w:sz w:val="28"/>
          <w:szCs w:val="28"/>
        </w:rPr>
        <w:t>,</w:t>
      </w:r>
      <w:r>
        <w:rPr>
          <w:rFonts w:ascii="Microsoft JhengHei" w:hAnsi="Microsoft JhengHei" w:cs="Microsoft JhengHei" w:eastAsia="Microsoft JhengHei" w:hint="default"/>
          <w:b/>
          <w:bCs/>
          <w:sz w:val="28"/>
          <w:szCs w:val="28"/>
        </w:rPr>
        <w:t>敬请广大投资者注意投资风险。</w:t>
      </w:r>
      <w:r>
        <w:rPr>
          <w:rFonts w:ascii="Microsoft JhengHei" w:hAnsi="Microsoft JhengHei" w:cs="Microsoft JhengHei" w:eastAsia="Microsoft JhengHei" w:hint="default"/>
          <w:sz w:val="28"/>
          <w:szCs w:val="28"/>
        </w:rPr>
      </w:r>
    </w:p>
    <w:p>
      <w:pPr>
        <w:spacing w:line="400" w:lineRule="auto" w:before="237"/>
        <w:ind w:left="724" w:right="0" w:hanging="17"/>
        <w:jc w:val="left"/>
        <w:rPr>
          <w:rFonts w:ascii="宋体" w:hAnsi="宋体" w:cs="宋体" w:eastAsia="宋体" w:hint="default"/>
          <w:sz w:val="28"/>
          <w:szCs w:val="28"/>
        </w:rPr>
      </w:pPr>
      <w:r>
        <w:rPr>
          <w:rFonts w:ascii="Trebuchet MS" w:hAnsi="Trebuchet MS" w:cs="Trebuchet MS" w:eastAsia="Trebuchet MS" w:hint="default"/>
          <w:b/>
          <w:bCs/>
          <w:sz w:val="28"/>
          <w:szCs w:val="28"/>
        </w:rPr>
        <w:t>1</w:t>
      </w:r>
      <w:r>
        <w:rPr>
          <w:rFonts w:ascii="Microsoft JhengHei" w:hAnsi="Microsoft JhengHei" w:cs="Microsoft JhengHei" w:eastAsia="Microsoft JhengHei" w:hint="default"/>
          <w:b/>
          <w:bCs/>
          <w:sz w:val="28"/>
          <w:szCs w:val="28"/>
        </w:rPr>
        <w:t>、产品销售季节性不均衡的风险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2"/>
          <w:sz w:val="28"/>
          <w:szCs w:val="28"/>
        </w:rPr>
        <w:t>公司作为专业的信息安全软件的提供商，主要客户为政府部门、军队及军</w:t>
      </w:r>
      <w:r>
        <w:rPr>
          <w:rFonts w:ascii="宋体" w:hAnsi="宋体" w:cs="宋体" w:eastAsia="宋体" w:hint="default"/>
          <w:sz w:val="28"/>
          <w:szCs w:val="28"/>
        </w:rPr>
      </w:r>
    </w:p>
    <w:p>
      <w:pPr>
        <w:spacing w:line="408" w:lineRule="auto" w:before="70"/>
        <w:ind w:left="152" w:right="153" w:firstLine="0"/>
        <w:jc w:val="both"/>
        <w:rPr>
          <w:rFonts w:ascii="宋体" w:hAnsi="宋体" w:cs="宋体" w:eastAsia="宋体" w:hint="default"/>
          <w:sz w:val="28"/>
          <w:szCs w:val="28"/>
        </w:rPr>
      </w:pPr>
      <w:r>
        <w:rPr>
          <w:rFonts w:ascii="宋体" w:hAnsi="宋体" w:cs="宋体" w:eastAsia="宋体" w:hint="default"/>
          <w:spacing w:val="2"/>
          <w:sz w:val="28"/>
          <w:szCs w:val="28"/>
        </w:rPr>
        <w:t>工企业、能源、金融等重要领域的大型国有企业和事业单位，这些客户通常采</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取预算管理制度和产品集中采购制度，一般下半年制定次年年度预算和投资计</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划，审批通常集中在次年的上半年，采购招标则安排在次年年中或下半年。因</w:t>
      </w:r>
      <w:r>
        <w:rPr>
          <w:rFonts w:ascii="宋体" w:hAnsi="宋体" w:cs="宋体" w:eastAsia="宋体" w:hint="default"/>
          <w:spacing w:val="-107"/>
          <w:sz w:val="28"/>
          <w:szCs w:val="28"/>
        </w:rPr>
        <w:t> </w:t>
      </w:r>
      <w:r>
        <w:rPr>
          <w:rFonts w:ascii="宋体" w:hAnsi="宋体" w:cs="宋体" w:eastAsia="宋体" w:hint="default"/>
          <w:spacing w:val="-107"/>
          <w:sz w:val="28"/>
          <w:szCs w:val="28"/>
        </w:rPr>
      </w:r>
      <w:r>
        <w:rPr>
          <w:rFonts w:ascii="宋体" w:hAnsi="宋体" w:cs="宋体" w:eastAsia="宋体" w:hint="default"/>
          <w:spacing w:val="2"/>
          <w:sz w:val="28"/>
          <w:szCs w:val="28"/>
        </w:rPr>
        <w:t>此，公司每年上半年存在销售较少的可能性，销售主要集中在下半年尤其是第</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四季度，公司销售呈现较明显的季节性分布，并由此使得公司营业收入在第四</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季度集中实现，由于费用在年度内较为均衡地发生，因而可能会造成公司第一</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9"/>
          <w:pgSz w:w="11910" w:h="16840"/>
          <w:pgMar w:footer="979" w:header="781" w:top="1080" w:bottom="1160" w:left="980" w:right="980"/>
          <w:pgNumType w:start="2"/>
        </w:sectPr>
      </w:pPr>
    </w:p>
    <w:p>
      <w:pPr>
        <w:spacing w:line="240" w:lineRule="auto" w:before="7"/>
        <w:rPr>
          <w:rFonts w:ascii="宋体" w:hAnsi="宋体" w:cs="宋体" w:eastAsia="宋体" w:hint="default"/>
          <w:sz w:val="3"/>
          <w:szCs w:val="3"/>
        </w:rPr>
      </w:pPr>
      <w:r>
        <w:rPr/>
        <w:pict>
          <v:shape style="position:absolute;margin-left:56.900002pt;margin-top:42.599983pt;width:54.0pt;height:10.8pt;mso-position-horizontal-relative:page;mso-position-vertical-relative:page;z-index:1144" type="#_x0000_t75" stroked="false">
            <v:imagedata r:id="rId10"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spacing w:line="408" w:lineRule="auto" w:before="14"/>
        <w:ind w:left="724" w:right="0" w:hanging="572"/>
        <w:jc w:val="left"/>
        <w:rPr>
          <w:rFonts w:ascii="宋体" w:hAnsi="宋体" w:cs="宋体" w:eastAsia="宋体" w:hint="default"/>
          <w:sz w:val="28"/>
          <w:szCs w:val="28"/>
        </w:rPr>
      </w:pPr>
      <w:r>
        <w:rPr>
          <w:rFonts w:ascii="宋体" w:hAnsi="宋体" w:cs="宋体" w:eastAsia="宋体" w:hint="default"/>
          <w:sz w:val="28"/>
          <w:szCs w:val="28"/>
        </w:rPr>
        <w:t>季度、半年度或第三季度出现季节性波动或亏损。</w:t>
      </w:r>
      <w:r>
        <w:rPr>
          <w:rFonts w:ascii="宋体" w:hAnsi="宋体" w:cs="宋体" w:eastAsia="宋体" w:hint="default"/>
          <w:w w:val="100"/>
          <w:sz w:val="28"/>
          <w:szCs w:val="28"/>
        </w:rPr>
        <w:t> </w:t>
      </w:r>
      <w:r>
        <w:rPr>
          <w:rFonts w:ascii="Trebuchet MS" w:hAnsi="Trebuchet MS" w:cs="Trebuchet MS" w:eastAsia="Trebuchet MS" w:hint="default"/>
          <w:b/>
          <w:bCs/>
          <w:sz w:val="28"/>
          <w:szCs w:val="28"/>
        </w:rPr>
        <w:t>2</w:t>
      </w:r>
      <w:r>
        <w:rPr>
          <w:rFonts w:ascii="Microsoft JhengHei" w:hAnsi="Microsoft JhengHei" w:cs="Microsoft JhengHei" w:eastAsia="Microsoft JhengHei" w:hint="default"/>
          <w:b/>
          <w:bCs/>
          <w:sz w:val="28"/>
          <w:szCs w:val="28"/>
        </w:rPr>
        <w:t>、应收账款余额较大及增幅较大的风险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2"/>
          <w:sz w:val="28"/>
          <w:szCs w:val="28"/>
        </w:rPr>
        <w:t>随着近年信息安全市场的快速发展，公司的业务规模迅速扩大，盈利能力</w:t>
      </w:r>
      <w:r>
        <w:rPr>
          <w:rFonts w:ascii="宋体" w:hAnsi="宋体" w:cs="宋体" w:eastAsia="宋体" w:hint="default"/>
          <w:sz w:val="28"/>
          <w:szCs w:val="28"/>
        </w:rPr>
      </w:r>
    </w:p>
    <w:p>
      <w:pPr>
        <w:spacing w:line="408" w:lineRule="auto" w:before="61"/>
        <w:ind w:left="152" w:right="153" w:firstLine="0"/>
        <w:jc w:val="both"/>
        <w:rPr>
          <w:rFonts w:ascii="宋体" w:hAnsi="宋体" w:cs="宋体" w:eastAsia="宋体" w:hint="default"/>
          <w:sz w:val="28"/>
          <w:szCs w:val="28"/>
        </w:rPr>
      </w:pPr>
      <w:r>
        <w:rPr>
          <w:rFonts w:ascii="宋体" w:hAnsi="宋体" w:cs="宋体" w:eastAsia="宋体" w:hint="default"/>
          <w:spacing w:val="2"/>
          <w:sz w:val="28"/>
          <w:szCs w:val="28"/>
        </w:rPr>
        <w:t>不断增强，营业收入持续增长，应收账款也相应增加，另外，公司营业收入具</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有季节性特征，销售集中在下半年尤其是第四季度。由于第四季度销售的产品</w:t>
      </w:r>
      <w:r>
        <w:rPr>
          <w:rFonts w:ascii="宋体" w:hAnsi="宋体" w:cs="宋体" w:eastAsia="宋体" w:hint="default"/>
          <w:spacing w:val="-107"/>
          <w:sz w:val="28"/>
          <w:szCs w:val="28"/>
        </w:rPr>
        <w:t> </w:t>
      </w:r>
      <w:r>
        <w:rPr>
          <w:rFonts w:ascii="宋体" w:hAnsi="宋体" w:cs="宋体" w:eastAsia="宋体" w:hint="default"/>
          <w:spacing w:val="-107"/>
          <w:sz w:val="28"/>
          <w:szCs w:val="28"/>
        </w:rPr>
      </w:r>
      <w:r>
        <w:rPr>
          <w:rFonts w:ascii="宋体" w:hAnsi="宋体" w:cs="宋体" w:eastAsia="宋体" w:hint="default"/>
          <w:spacing w:val="2"/>
          <w:sz w:val="28"/>
          <w:szCs w:val="28"/>
        </w:rPr>
        <w:t>大部分尚在信用期，需要在次年进行收款，导致各年末的应收账款余额较大且</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增幅也较高。报告期内，公司不断完善了应收账款管理，强化客户信用调查和</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信用评估制度，并根据客户性质的不同，规定不同的信用期限。公司加强项目</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管理，确保项目能够及时得到验收。公司还组织专人进行应收账款的管理，并</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加大对相关责任人奖惩力度，促进应收账款的回款。</w:t>
      </w:r>
    </w:p>
    <w:p>
      <w:pPr>
        <w:spacing w:line="408" w:lineRule="auto" w:before="162"/>
        <w:ind w:left="152" w:right="150" w:firstLine="571"/>
        <w:jc w:val="both"/>
        <w:rPr>
          <w:rFonts w:ascii="宋体" w:hAnsi="宋体" w:cs="宋体" w:eastAsia="宋体" w:hint="default"/>
          <w:sz w:val="28"/>
          <w:szCs w:val="28"/>
        </w:rPr>
      </w:pPr>
      <w:r>
        <w:rPr>
          <w:rFonts w:ascii="宋体" w:hAnsi="宋体" w:cs="宋体" w:eastAsia="宋体" w:hint="default"/>
          <w:spacing w:val="2"/>
          <w:sz w:val="28"/>
          <w:szCs w:val="28"/>
        </w:rPr>
        <w:t>公司产品的主要客户为政府部门、军队及军工企业、能源、金融等重要领</w:t>
      </w:r>
      <w:r>
        <w:rPr>
          <w:rFonts w:ascii="宋体" w:hAnsi="宋体" w:cs="宋体" w:eastAsia="宋体" w:hint="default"/>
          <w:spacing w:val="2"/>
          <w:w w:val="100"/>
          <w:sz w:val="28"/>
          <w:szCs w:val="28"/>
        </w:rPr>
        <w:t> </w:t>
      </w:r>
      <w:r>
        <w:rPr>
          <w:rFonts w:ascii="宋体" w:hAnsi="宋体" w:cs="宋体" w:eastAsia="宋体" w:hint="default"/>
          <w:spacing w:val="2"/>
          <w:sz w:val="28"/>
          <w:szCs w:val="28"/>
        </w:rPr>
        <w:t>域的大型国有企事业单位，信用状况良好，发生坏账的风险较小，报告期内公</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司应收账款的回款质量较往年明显好转。随着公司经营规模的不断扩大，应收</w:t>
      </w:r>
      <w:r>
        <w:rPr>
          <w:rFonts w:ascii="宋体" w:hAnsi="宋体" w:cs="宋体" w:eastAsia="宋体" w:hint="default"/>
          <w:spacing w:val="-108"/>
          <w:sz w:val="28"/>
          <w:szCs w:val="28"/>
        </w:rPr>
        <w:t> </w:t>
      </w:r>
      <w:r>
        <w:rPr>
          <w:rFonts w:ascii="宋体" w:hAnsi="宋体" w:cs="宋体" w:eastAsia="宋体" w:hint="default"/>
          <w:spacing w:val="-108"/>
          <w:sz w:val="28"/>
          <w:szCs w:val="28"/>
        </w:rPr>
      </w:r>
      <w:r>
        <w:rPr>
          <w:rFonts w:ascii="宋体" w:hAnsi="宋体" w:cs="宋体" w:eastAsia="宋体" w:hint="default"/>
          <w:spacing w:val="2"/>
          <w:sz w:val="28"/>
          <w:szCs w:val="28"/>
        </w:rPr>
        <w:t>账款余额仍可能保持在较高水平。由于应收账款是公司资产的重要组成部分，</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如果公司主要客户的财务经营状况发生恶化或公司收款措施不力，应收账款不</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能收回，将对公司资产质量以及财务状况产生较大不利影响，公司面临一定的</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呆、坏账风险。</w:t>
      </w:r>
    </w:p>
    <w:p>
      <w:pPr>
        <w:spacing w:line="400" w:lineRule="auto" w:before="73"/>
        <w:ind w:left="724" w:right="0" w:firstLine="0"/>
        <w:jc w:val="left"/>
        <w:rPr>
          <w:rFonts w:ascii="宋体" w:hAnsi="宋体" w:cs="宋体" w:eastAsia="宋体" w:hint="default"/>
          <w:sz w:val="28"/>
          <w:szCs w:val="28"/>
        </w:rPr>
      </w:pPr>
      <w:r>
        <w:rPr>
          <w:rFonts w:ascii="Trebuchet MS" w:hAnsi="Trebuchet MS" w:cs="Trebuchet MS" w:eastAsia="Trebuchet MS" w:hint="default"/>
          <w:b/>
          <w:bCs/>
          <w:sz w:val="28"/>
          <w:szCs w:val="28"/>
        </w:rPr>
        <w:t>3</w:t>
      </w:r>
      <w:r>
        <w:rPr>
          <w:rFonts w:ascii="Microsoft JhengHei" w:hAnsi="Microsoft JhengHei" w:cs="Microsoft JhengHei" w:eastAsia="Microsoft JhengHei" w:hint="default"/>
          <w:b/>
          <w:bCs/>
          <w:sz w:val="28"/>
          <w:szCs w:val="28"/>
        </w:rPr>
        <w:t>、投资并购整合风险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2"/>
          <w:sz w:val="28"/>
          <w:szCs w:val="28"/>
        </w:rPr>
        <w:t>公司将进一步加强外延扩张工作，积极通过投资、并购、参股等方式推进</w:t>
      </w:r>
      <w:r>
        <w:rPr>
          <w:rFonts w:ascii="宋体" w:hAnsi="宋体" w:cs="宋体" w:eastAsia="宋体" w:hint="default"/>
          <w:sz w:val="28"/>
          <w:szCs w:val="28"/>
        </w:rPr>
      </w:r>
    </w:p>
    <w:p>
      <w:pPr>
        <w:spacing w:line="408" w:lineRule="auto" w:before="70"/>
        <w:ind w:left="152" w:right="153" w:firstLine="0"/>
        <w:jc w:val="both"/>
        <w:rPr>
          <w:rFonts w:ascii="宋体" w:hAnsi="宋体" w:cs="宋体" w:eastAsia="宋体" w:hint="default"/>
          <w:sz w:val="28"/>
          <w:szCs w:val="28"/>
        </w:rPr>
      </w:pPr>
      <w:r>
        <w:rPr>
          <w:rFonts w:ascii="宋体" w:hAnsi="宋体" w:cs="宋体" w:eastAsia="宋体" w:hint="default"/>
          <w:spacing w:val="2"/>
          <w:sz w:val="28"/>
          <w:szCs w:val="28"/>
        </w:rPr>
        <w:t>公司的战略部署，延伸业务领域、扩大经营规模，在投资并购的过程中可能会</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出现决策失误风险、管理风险等。公司在并购目标选择和团队融合方面积累了</w:t>
      </w:r>
    </w:p>
    <w:p>
      <w:pPr>
        <w:spacing w:after="0" w:line="408" w:lineRule="auto"/>
        <w:jc w:val="both"/>
        <w:rPr>
          <w:rFonts w:ascii="宋体" w:hAnsi="宋体" w:cs="宋体" w:eastAsia="宋体" w:hint="default"/>
          <w:sz w:val="28"/>
          <w:szCs w:val="28"/>
        </w:rPr>
        <w:sectPr>
          <w:pgSz w:w="11910" w:h="16840"/>
          <w:pgMar w:header="781" w:footer="979" w:top="1080" w:bottom="1160" w:left="980" w:right="980"/>
        </w:sectPr>
      </w:pPr>
    </w:p>
    <w:p>
      <w:pPr>
        <w:spacing w:line="240" w:lineRule="auto" w:before="0"/>
        <w:rPr>
          <w:rFonts w:ascii="宋体" w:hAnsi="宋体" w:cs="宋体" w:eastAsia="宋体" w:hint="default"/>
          <w:sz w:val="20"/>
          <w:szCs w:val="20"/>
        </w:rPr>
      </w:pPr>
    </w:p>
    <w:p>
      <w:pPr>
        <w:spacing w:line="408" w:lineRule="auto" w:before="171"/>
        <w:ind w:left="152" w:right="253" w:firstLine="0"/>
        <w:jc w:val="both"/>
        <w:rPr>
          <w:rFonts w:ascii="宋体" w:hAnsi="宋体" w:cs="宋体" w:eastAsia="宋体" w:hint="default"/>
          <w:sz w:val="28"/>
          <w:szCs w:val="28"/>
        </w:rPr>
      </w:pPr>
      <w:r>
        <w:rPr>
          <w:rFonts w:ascii="宋体" w:hAnsi="宋体" w:cs="宋体" w:eastAsia="宋体" w:hint="default"/>
          <w:spacing w:val="2"/>
          <w:sz w:val="28"/>
          <w:szCs w:val="28"/>
        </w:rPr>
        <w:t>一定的经验，将进一步提升经营管理水平，持续改进或优化运营机制，尽力降</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低投资并购风险。</w:t>
      </w:r>
    </w:p>
    <w:p>
      <w:pPr>
        <w:spacing w:line="408" w:lineRule="auto" w:before="162"/>
        <w:ind w:left="152" w:right="104" w:firstLine="571"/>
        <w:jc w:val="left"/>
        <w:rPr>
          <w:rFonts w:ascii="宋体" w:hAnsi="宋体" w:cs="宋体" w:eastAsia="宋体" w:hint="default"/>
          <w:sz w:val="28"/>
          <w:szCs w:val="28"/>
        </w:rPr>
      </w:pPr>
      <w:r>
        <w:rPr>
          <w:rFonts w:ascii="宋体" w:hAnsi="宋体" w:cs="宋体" w:eastAsia="宋体" w:hint="default"/>
          <w:sz w:val="28"/>
          <w:szCs w:val="28"/>
        </w:rPr>
        <w:t>公司以发行股份及支付现金方式收购了中软华泰</w:t>
      </w:r>
      <w:r>
        <w:rPr>
          <w:rFonts w:ascii="宋体" w:hAnsi="宋体" w:cs="宋体" w:eastAsia="宋体" w:hint="default"/>
          <w:spacing w:val="-35"/>
          <w:sz w:val="28"/>
          <w:szCs w:val="28"/>
        </w:rPr>
        <w:t> </w:t>
      </w:r>
      <w:r>
        <w:rPr>
          <w:rFonts w:ascii="宋体" w:hAnsi="宋体" w:cs="宋体" w:eastAsia="宋体" w:hint="default"/>
          <w:sz w:val="28"/>
          <w:szCs w:val="28"/>
        </w:rPr>
        <w:t>100%</w:t>
      </w:r>
      <w:r>
        <w:rPr>
          <w:rFonts w:ascii="宋体" w:hAnsi="宋体" w:cs="宋体" w:eastAsia="宋体" w:hint="default"/>
          <w:sz w:val="28"/>
          <w:szCs w:val="28"/>
        </w:rPr>
        <w:t>股权，双方在技术、</w:t>
      </w:r>
      <w:r>
        <w:rPr>
          <w:rFonts w:ascii="宋体" w:hAnsi="宋体" w:cs="宋体" w:eastAsia="宋体" w:hint="default"/>
          <w:w w:val="100"/>
          <w:sz w:val="28"/>
          <w:szCs w:val="28"/>
        </w:rPr>
        <w:t> </w:t>
      </w:r>
      <w:r>
        <w:rPr>
          <w:rFonts w:ascii="宋体" w:hAnsi="宋体" w:cs="宋体" w:eastAsia="宋体" w:hint="default"/>
          <w:spacing w:val="2"/>
          <w:sz w:val="28"/>
          <w:szCs w:val="28"/>
        </w:rPr>
        <w:t>客户资源等方面进行了一定的有效融合，双方也就企业文化、管理团队等进行</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10"/>
          <w:sz w:val="28"/>
          <w:szCs w:val="28"/>
        </w:rPr>
        <w:t>积极整合，但仍存在风险，此外，中软华泰</w:t>
      </w:r>
      <w:r>
        <w:rPr>
          <w:rFonts w:ascii="宋体" w:hAnsi="宋体" w:cs="宋体" w:eastAsia="宋体" w:hint="default"/>
          <w:spacing w:val="-60"/>
          <w:sz w:val="28"/>
          <w:szCs w:val="28"/>
        </w:rPr>
        <w:t> </w:t>
      </w:r>
      <w:r>
        <w:rPr>
          <w:rFonts w:ascii="宋体" w:hAnsi="宋体" w:cs="宋体" w:eastAsia="宋体" w:hint="default"/>
          <w:sz w:val="28"/>
          <w:szCs w:val="28"/>
        </w:rPr>
        <w:t>2015</w:t>
      </w:r>
      <w:r>
        <w:rPr>
          <w:rFonts w:ascii="宋体" w:hAnsi="宋体" w:cs="宋体" w:eastAsia="宋体" w:hint="default"/>
          <w:spacing w:val="-60"/>
          <w:sz w:val="28"/>
          <w:szCs w:val="28"/>
        </w:rPr>
        <w:t> </w:t>
      </w:r>
      <w:r>
        <w:rPr>
          <w:rFonts w:ascii="宋体" w:hAnsi="宋体" w:cs="宋体" w:eastAsia="宋体" w:hint="default"/>
          <w:sz w:val="28"/>
          <w:szCs w:val="28"/>
        </w:rPr>
        <w:t>年的业绩承诺虽然得到了实现，</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2"/>
          <w:sz w:val="28"/>
          <w:szCs w:val="28"/>
        </w:rPr>
        <w:t>但未来仍存在盈利预测风险、业绩承诺无法实现的风险、整合风险及商誉减值</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风险。公司将更好地实现与收购公司有效整合，发挥协同效应，加强业务协同、</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z w:val="28"/>
          <w:szCs w:val="28"/>
        </w:rPr>
        <w:t>财务管控的力度，维护上市公司股东权益。</w:t>
      </w:r>
    </w:p>
    <w:p>
      <w:pPr>
        <w:spacing w:line="400" w:lineRule="auto" w:before="71"/>
        <w:ind w:left="702" w:right="104" w:firstLine="158"/>
        <w:jc w:val="left"/>
        <w:rPr>
          <w:rFonts w:ascii="宋体" w:hAnsi="宋体" w:cs="宋体" w:eastAsia="宋体" w:hint="default"/>
          <w:sz w:val="28"/>
          <w:szCs w:val="28"/>
        </w:rPr>
      </w:pPr>
      <w:r>
        <w:rPr>
          <w:rFonts w:ascii="Trebuchet MS" w:hAnsi="Trebuchet MS" w:cs="Trebuchet MS" w:eastAsia="Trebuchet MS" w:hint="default"/>
          <w:b/>
          <w:bCs/>
          <w:sz w:val="28"/>
          <w:szCs w:val="28"/>
        </w:rPr>
        <w:t>4</w:t>
      </w:r>
      <w:r>
        <w:rPr>
          <w:rFonts w:ascii="Microsoft JhengHei" w:hAnsi="Microsoft JhengHei" w:cs="Microsoft JhengHei" w:eastAsia="Microsoft JhengHei" w:hint="default"/>
          <w:b/>
          <w:bCs/>
          <w:sz w:val="28"/>
          <w:szCs w:val="28"/>
        </w:rPr>
        <w:t>、股市风险</w:t>
      </w:r>
      <w:r>
        <w:rPr>
          <w:rFonts w:ascii="Microsoft JhengHei" w:hAnsi="Microsoft JhengHei" w:cs="Microsoft JhengHei" w:eastAsia="Microsoft JhengHei" w:hint="default"/>
          <w:b/>
          <w:bCs/>
          <w:w w:val="100"/>
          <w:sz w:val="28"/>
          <w:szCs w:val="28"/>
        </w:rPr>
        <w:t> </w:t>
      </w:r>
      <w:r>
        <w:rPr>
          <w:rFonts w:ascii="宋体" w:hAnsi="宋体" w:cs="宋体" w:eastAsia="宋体" w:hint="default"/>
          <w:spacing w:val="2"/>
          <w:sz w:val="28"/>
          <w:szCs w:val="28"/>
        </w:rPr>
        <w:t>公司股票在深交所上市，除经营和财务状况外，公司股票价格还将受到国</w:t>
      </w:r>
    </w:p>
    <w:p>
      <w:pPr>
        <w:spacing w:line="408" w:lineRule="auto" w:before="70"/>
        <w:ind w:left="152" w:right="253" w:firstLine="0"/>
        <w:jc w:val="both"/>
        <w:rPr>
          <w:rFonts w:ascii="宋体" w:hAnsi="宋体" w:cs="宋体" w:eastAsia="宋体" w:hint="default"/>
          <w:sz w:val="28"/>
          <w:szCs w:val="28"/>
        </w:rPr>
      </w:pPr>
      <w:r>
        <w:rPr>
          <w:rFonts w:ascii="宋体" w:hAnsi="宋体" w:cs="宋体" w:eastAsia="宋体" w:hint="default"/>
          <w:spacing w:val="2"/>
          <w:sz w:val="28"/>
          <w:szCs w:val="28"/>
        </w:rPr>
        <w:t>际和国内宏观经济形势、资本市场走势、市场心理和各类重大突发事件等多方</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面因素的影响。投资者在考虑投资本公司股票时，应预计到前述各类因素可能</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带来的投资风险，并做出审慎判断。</w:t>
      </w:r>
    </w:p>
    <w:p>
      <w:pPr>
        <w:spacing w:before="73"/>
        <w:ind w:left="714" w:right="104"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3"/>
          <w:sz w:val="28"/>
          <w:szCs w:val="28"/>
        </w:rPr>
        <w:t>公司经本次董事会审议通过的利润分配预案为：以截止</w:t>
      </w:r>
      <w:r>
        <w:rPr>
          <w:rFonts w:ascii="Microsoft JhengHei" w:hAnsi="Microsoft JhengHei" w:cs="Microsoft JhengHei" w:eastAsia="Microsoft JhengHei" w:hint="default"/>
          <w:b/>
          <w:bCs/>
          <w:spacing w:val="-26"/>
          <w:sz w:val="28"/>
          <w:szCs w:val="28"/>
        </w:rPr>
        <w:t> </w:t>
      </w:r>
      <w:r>
        <w:rPr>
          <w:rFonts w:ascii="Trebuchet MS" w:hAnsi="Trebuchet MS" w:cs="Trebuchet MS" w:eastAsia="Trebuchet MS" w:hint="default"/>
          <w:b/>
          <w:bCs/>
          <w:sz w:val="28"/>
          <w:szCs w:val="28"/>
        </w:rPr>
        <w:t>2015</w:t>
      </w:r>
      <w:r>
        <w:rPr>
          <w:rFonts w:ascii="Trebuchet MS" w:hAnsi="Trebuchet MS" w:cs="Trebuchet MS" w:eastAsia="Trebuchet MS" w:hint="default"/>
          <w:b/>
          <w:bCs/>
          <w:spacing w:val="-39"/>
          <w:sz w:val="28"/>
          <w:szCs w:val="28"/>
        </w:rPr>
        <w:t> </w:t>
      </w:r>
      <w:r>
        <w:rPr>
          <w:rFonts w:ascii="Microsoft JhengHei" w:hAnsi="Microsoft JhengHei" w:cs="Microsoft JhengHei" w:eastAsia="Microsoft JhengHei" w:hint="default"/>
          <w:b/>
          <w:bCs/>
          <w:sz w:val="28"/>
          <w:szCs w:val="28"/>
        </w:rPr>
        <w:t>年</w:t>
      </w:r>
      <w:r>
        <w:rPr>
          <w:rFonts w:ascii="Microsoft JhengHei" w:hAnsi="Microsoft JhengHei" w:cs="Microsoft JhengHei" w:eastAsia="Microsoft JhengHei" w:hint="default"/>
          <w:b/>
          <w:bCs/>
          <w:spacing w:val="-26"/>
          <w:sz w:val="28"/>
          <w:szCs w:val="28"/>
        </w:rPr>
        <w:t> </w:t>
      </w:r>
      <w:r>
        <w:rPr>
          <w:rFonts w:ascii="Trebuchet MS" w:hAnsi="Trebuchet MS" w:cs="Trebuchet MS" w:eastAsia="Trebuchet MS" w:hint="default"/>
          <w:b/>
          <w:bCs/>
          <w:sz w:val="28"/>
          <w:szCs w:val="28"/>
        </w:rPr>
        <w:t>12</w:t>
      </w:r>
      <w:r>
        <w:rPr>
          <w:rFonts w:ascii="Trebuchet MS" w:hAnsi="Trebuchet MS" w:cs="Trebuchet MS" w:eastAsia="Trebuchet MS" w:hint="default"/>
          <w:b/>
          <w:bCs/>
          <w:spacing w:val="-40"/>
          <w:sz w:val="28"/>
          <w:szCs w:val="28"/>
        </w:rPr>
        <w:t> </w:t>
      </w:r>
      <w:r>
        <w:rPr>
          <w:rFonts w:ascii="Microsoft JhengHei" w:hAnsi="Microsoft JhengHei" w:cs="Microsoft JhengHei" w:eastAsia="Microsoft JhengHei" w:hint="default"/>
          <w:b/>
          <w:bCs/>
          <w:sz w:val="28"/>
          <w:szCs w:val="28"/>
        </w:rPr>
        <w:t>月</w:t>
      </w:r>
      <w:r>
        <w:rPr>
          <w:rFonts w:ascii="Microsoft JhengHei" w:hAnsi="Microsoft JhengHei" w:cs="Microsoft JhengHei" w:eastAsia="Microsoft JhengHei" w:hint="default"/>
          <w:b/>
          <w:bCs/>
          <w:spacing w:val="-26"/>
          <w:sz w:val="28"/>
          <w:szCs w:val="28"/>
        </w:rPr>
        <w:t> </w:t>
      </w:r>
      <w:r>
        <w:rPr>
          <w:rFonts w:ascii="Trebuchet MS" w:hAnsi="Trebuchet MS" w:cs="Trebuchet MS" w:eastAsia="Trebuchet MS" w:hint="default"/>
          <w:b/>
          <w:bCs/>
          <w:sz w:val="28"/>
          <w:szCs w:val="28"/>
        </w:rPr>
        <w:t>31</w:t>
      </w:r>
      <w:r>
        <w:rPr>
          <w:rFonts w:ascii="Trebuchet MS" w:hAnsi="Trebuchet MS" w:cs="Trebuchet MS" w:eastAsia="Trebuchet MS" w:hint="default"/>
          <w:b/>
          <w:bCs/>
          <w:spacing w:val="-40"/>
          <w:sz w:val="28"/>
          <w:szCs w:val="28"/>
        </w:rPr>
        <w:t> </w:t>
      </w:r>
      <w:r>
        <w:rPr>
          <w:rFonts w:ascii="Microsoft JhengHei" w:hAnsi="Microsoft JhengHei" w:cs="Microsoft JhengHei" w:eastAsia="Microsoft JhengHei" w:hint="default"/>
          <w:b/>
          <w:bCs/>
          <w:sz w:val="28"/>
          <w:szCs w:val="28"/>
        </w:rPr>
        <w:t>日</w:t>
      </w:r>
      <w:r>
        <w:rPr>
          <w:rFonts w:ascii="Microsoft JhengHei" w:hAnsi="Microsoft JhengHei" w:cs="Microsoft JhengHei" w:eastAsia="Microsoft JhengHei" w:hint="default"/>
          <w:sz w:val="28"/>
          <w:szCs w:val="28"/>
        </w:rPr>
      </w:r>
    </w:p>
    <w:p>
      <w:pPr>
        <w:spacing w:before="136"/>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公司总股本</w:t>
      </w:r>
      <w:r>
        <w:rPr>
          <w:rFonts w:ascii="Microsoft JhengHei" w:hAnsi="Microsoft JhengHei" w:cs="Microsoft JhengHei" w:eastAsia="Microsoft JhengHei" w:hint="default"/>
          <w:b/>
          <w:bCs/>
          <w:spacing w:val="-20"/>
          <w:sz w:val="28"/>
          <w:szCs w:val="28"/>
        </w:rPr>
        <w:t> </w:t>
      </w:r>
      <w:r>
        <w:rPr>
          <w:rFonts w:ascii="Trebuchet MS" w:hAnsi="Trebuchet MS" w:cs="Trebuchet MS" w:eastAsia="Trebuchet MS" w:hint="default"/>
          <w:b/>
          <w:bCs/>
          <w:sz w:val="28"/>
          <w:szCs w:val="28"/>
        </w:rPr>
        <w:t>270,226,124</w:t>
      </w:r>
      <w:r>
        <w:rPr>
          <w:rFonts w:ascii="Trebuchet MS" w:hAnsi="Trebuchet MS" w:cs="Trebuchet MS" w:eastAsia="Trebuchet MS" w:hint="default"/>
          <w:b/>
          <w:bCs/>
          <w:spacing w:val="-32"/>
          <w:sz w:val="28"/>
          <w:szCs w:val="28"/>
        </w:rPr>
        <w:t> </w:t>
      </w:r>
      <w:r>
        <w:rPr>
          <w:rFonts w:ascii="Microsoft JhengHei" w:hAnsi="Microsoft JhengHei" w:cs="Microsoft JhengHei" w:eastAsia="Microsoft JhengHei" w:hint="default"/>
          <w:b/>
          <w:bCs/>
          <w:sz w:val="28"/>
          <w:szCs w:val="28"/>
        </w:rPr>
        <w:t>股为基数，向全体股东每</w:t>
      </w:r>
      <w:r>
        <w:rPr>
          <w:rFonts w:ascii="Microsoft JhengHei" w:hAnsi="Microsoft JhengHei" w:cs="Microsoft JhengHei" w:eastAsia="Microsoft JhengHei" w:hint="default"/>
          <w:b/>
          <w:bCs/>
          <w:spacing w:val="-20"/>
          <w:sz w:val="28"/>
          <w:szCs w:val="28"/>
        </w:rPr>
        <w:t> </w:t>
      </w:r>
      <w:r>
        <w:rPr>
          <w:rFonts w:ascii="Trebuchet MS" w:hAnsi="Trebuchet MS" w:cs="Trebuchet MS" w:eastAsia="Trebuchet MS" w:hint="default"/>
          <w:b/>
          <w:bCs/>
          <w:sz w:val="28"/>
          <w:szCs w:val="28"/>
        </w:rPr>
        <w:t>10</w:t>
      </w:r>
      <w:r>
        <w:rPr>
          <w:rFonts w:ascii="Trebuchet MS" w:hAnsi="Trebuchet MS" w:cs="Trebuchet MS" w:eastAsia="Trebuchet MS" w:hint="default"/>
          <w:b/>
          <w:bCs/>
          <w:spacing w:val="-34"/>
          <w:sz w:val="28"/>
          <w:szCs w:val="28"/>
        </w:rPr>
        <w:t> </w:t>
      </w:r>
      <w:r>
        <w:rPr>
          <w:rFonts w:ascii="Microsoft JhengHei" w:hAnsi="Microsoft JhengHei" w:cs="Microsoft JhengHei" w:eastAsia="Microsoft JhengHei" w:hint="default"/>
          <w:b/>
          <w:bCs/>
          <w:sz w:val="28"/>
          <w:szCs w:val="28"/>
        </w:rPr>
        <w:t>股派发现金红利</w:t>
      </w:r>
      <w:r>
        <w:rPr>
          <w:rFonts w:ascii="Microsoft JhengHei" w:hAnsi="Microsoft JhengHei" w:cs="Microsoft JhengHei" w:eastAsia="Microsoft JhengHei" w:hint="default"/>
          <w:b/>
          <w:bCs/>
          <w:spacing w:val="-20"/>
          <w:sz w:val="28"/>
          <w:szCs w:val="28"/>
        </w:rPr>
        <w:t> </w:t>
      </w:r>
      <w:r>
        <w:rPr>
          <w:rFonts w:ascii="Trebuchet MS" w:hAnsi="Trebuchet MS" w:cs="Trebuchet MS" w:eastAsia="Trebuchet MS" w:hint="default"/>
          <w:b/>
          <w:bCs/>
          <w:sz w:val="28"/>
          <w:szCs w:val="28"/>
        </w:rPr>
        <w:t>0.45</w:t>
      </w:r>
      <w:r>
        <w:rPr>
          <w:rFonts w:ascii="Trebuchet MS" w:hAnsi="Trebuchet MS" w:cs="Trebuchet MS" w:eastAsia="Trebuchet MS" w:hint="default"/>
          <w:b/>
          <w:bCs/>
          <w:spacing w:val="-36"/>
          <w:sz w:val="28"/>
          <w:szCs w:val="28"/>
        </w:rPr>
        <w:t> </w:t>
      </w:r>
      <w:r>
        <w:rPr>
          <w:rFonts w:ascii="Microsoft JhengHei" w:hAnsi="Microsoft JhengHei" w:cs="Microsoft JhengHei" w:eastAsia="Microsoft JhengHei" w:hint="default"/>
          <w:b/>
          <w:bCs/>
          <w:sz w:val="28"/>
          <w:szCs w:val="28"/>
        </w:rPr>
        <w:t>元</w:t>
      </w:r>
      <w:r>
        <w:rPr>
          <w:rFonts w:ascii="Microsoft JhengHei" w:hAnsi="Microsoft JhengHei" w:cs="Microsoft JhengHei" w:eastAsia="Microsoft JhengHei" w:hint="default"/>
          <w:sz w:val="28"/>
          <w:szCs w:val="28"/>
        </w:rPr>
      </w:r>
    </w:p>
    <w:p>
      <w:pPr>
        <w:spacing w:before="137"/>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w w:val="100"/>
          <w:sz w:val="28"/>
          <w:szCs w:val="28"/>
        </w:rPr>
        <w:t>，送</w:t>
      </w:r>
      <w:r>
        <w:rPr>
          <w:rFonts w:ascii="Microsoft JhengHei" w:hAnsi="Microsoft JhengHei" w:cs="Microsoft JhengHei" w:eastAsia="Microsoft JhengHei" w:hint="default"/>
          <w:b/>
          <w:bCs/>
          <w:spacing w:val="2"/>
          <w:w w:val="100"/>
          <w:sz w:val="28"/>
          <w:szCs w:val="28"/>
        </w:rPr>
        <w:t>红</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z w:val="28"/>
          <w:szCs w:val="28"/>
        </w:rPr>
        <w:t> </w:t>
      </w:r>
      <w:r>
        <w:rPr>
          <w:rFonts w:ascii="Trebuchet MS" w:hAnsi="Trebuchet MS" w:cs="Trebuchet MS" w:eastAsia="Trebuchet MS" w:hint="default"/>
          <w:b/>
          <w:bCs/>
          <w:w w:val="85"/>
          <w:sz w:val="28"/>
          <w:szCs w:val="28"/>
        </w:rPr>
        <w:t>0</w:t>
      </w:r>
      <w:r>
        <w:rPr>
          <w:rFonts w:ascii="Trebuchet MS" w:hAnsi="Trebuchet MS" w:cs="Trebuchet MS" w:eastAsia="Trebuchet MS" w:hint="default"/>
          <w:b/>
          <w:bCs/>
          <w:spacing w:val="-14"/>
          <w:sz w:val="28"/>
          <w:szCs w:val="28"/>
        </w:rPr>
        <w:t> </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pacing w:val="2"/>
          <w:w w:val="100"/>
          <w:sz w:val="28"/>
          <w:szCs w:val="28"/>
        </w:rPr>
        <w:t>含</w:t>
      </w:r>
      <w:r>
        <w:rPr>
          <w:rFonts w:ascii="Microsoft JhengHei" w:hAnsi="Microsoft JhengHei" w:cs="Microsoft JhengHei" w:eastAsia="Microsoft JhengHei" w:hint="default"/>
          <w:b/>
          <w:bCs/>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w w:val="100"/>
          <w:sz w:val="28"/>
          <w:szCs w:val="28"/>
        </w:rPr>
        <w:t>，以</w:t>
      </w:r>
      <w:r>
        <w:rPr>
          <w:rFonts w:ascii="Microsoft JhengHei" w:hAnsi="Microsoft JhengHei" w:cs="Microsoft JhengHei" w:eastAsia="Microsoft JhengHei" w:hint="default"/>
          <w:b/>
          <w:bCs/>
          <w:spacing w:val="2"/>
          <w:w w:val="100"/>
          <w:sz w:val="28"/>
          <w:szCs w:val="28"/>
        </w:rPr>
        <w:t>资</w:t>
      </w:r>
      <w:r>
        <w:rPr>
          <w:rFonts w:ascii="Microsoft JhengHei" w:hAnsi="Microsoft JhengHei" w:cs="Microsoft JhengHei" w:eastAsia="Microsoft JhengHei" w:hint="default"/>
          <w:b/>
          <w:bCs/>
          <w:w w:val="100"/>
          <w:sz w:val="28"/>
          <w:szCs w:val="28"/>
        </w:rPr>
        <w:t>本公积</w:t>
      </w:r>
      <w:r>
        <w:rPr>
          <w:rFonts w:ascii="Microsoft JhengHei" w:hAnsi="Microsoft JhengHei" w:cs="Microsoft JhengHei" w:eastAsia="Microsoft JhengHei" w:hint="default"/>
          <w:b/>
          <w:bCs/>
          <w:spacing w:val="2"/>
          <w:w w:val="100"/>
          <w:sz w:val="28"/>
          <w:szCs w:val="28"/>
        </w:rPr>
        <w:t>金</w:t>
      </w:r>
      <w:r>
        <w:rPr>
          <w:rFonts w:ascii="Microsoft JhengHei" w:hAnsi="Microsoft JhengHei" w:cs="Microsoft JhengHei" w:eastAsia="Microsoft JhengHei" w:hint="default"/>
          <w:b/>
          <w:bCs/>
          <w:w w:val="100"/>
          <w:sz w:val="28"/>
          <w:szCs w:val="28"/>
        </w:rPr>
        <w:t>向全体股东每</w:t>
      </w:r>
      <w:r>
        <w:rPr>
          <w:rFonts w:ascii="Microsoft JhengHei" w:hAnsi="Microsoft JhengHei" w:cs="Microsoft JhengHei" w:eastAsia="Microsoft JhengHei" w:hint="default"/>
          <w:b/>
          <w:bCs/>
          <w:spacing w:val="1"/>
          <w:sz w:val="28"/>
          <w:szCs w:val="28"/>
        </w:rPr>
        <w:t> </w:t>
      </w:r>
      <w:r>
        <w:rPr>
          <w:rFonts w:ascii="Trebuchet MS" w:hAnsi="Trebuchet MS" w:cs="Trebuchet MS" w:eastAsia="Trebuchet MS" w:hint="default"/>
          <w:b/>
          <w:bCs/>
          <w:spacing w:val="1"/>
          <w:w w:val="85"/>
          <w:sz w:val="28"/>
          <w:szCs w:val="28"/>
        </w:rPr>
        <w:t>1</w:t>
      </w:r>
      <w:r>
        <w:rPr>
          <w:rFonts w:ascii="Trebuchet MS" w:hAnsi="Trebuchet MS" w:cs="Trebuchet MS" w:eastAsia="Trebuchet MS" w:hint="default"/>
          <w:b/>
          <w:bCs/>
          <w:w w:val="85"/>
          <w:sz w:val="28"/>
          <w:szCs w:val="28"/>
        </w:rPr>
        <w:t>0</w:t>
      </w:r>
      <w:r>
        <w:rPr>
          <w:rFonts w:ascii="Trebuchet MS" w:hAnsi="Trebuchet MS" w:cs="Trebuchet MS" w:eastAsia="Trebuchet MS" w:hint="default"/>
          <w:b/>
          <w:bCs/>
          <w:spacing w:val="-14"/>
          <w:sz w:val="28"/>
          <w:szCs w:val="28"/>
        </w:rPr>
        <w:t> </w:t>
      </w:r>
      <w:r>
        <w:rPr>
          <w:rFonts w:ascii="Microsoft JhengHei" w:hAnsi="Microsoft JhengHei" w:cs="Microsoft JhengHei" w:eastAsia="Microsoft JhengHei" w:hint="default"/>
          <w:b/>
          <w:bCs/>
          <w:spacing w:val="2"/>
          <w:w w:val="100"/>
          <w:sz w:val="28"/>
          <w:szCs w:val="28"/>
        </w:rPr>
        <w:t>股</w:t>
      </w:r>
      <w:r>
        <w:rPr>
          <w:rFonts w:ascii="Microsoft JhengHei" w:hAnsi="Microsoft JhengHei" w:cs="Microsoft JhengHei" w:eastAsia="Microsoft JhengHei" w:hint="default"/>
          <w:b/>
          <w:bCs/>
          <w:w w:val="100"/>
          <w:sz w:val="28"/>
          <w:szCs w:val="28"/>
        </w:rPr>
        <w:t>转增</w:t>
      </w:r>
      <w:r>
        <w:rPr>
          <w:rFonts w:ascii="Microsoft JhengHei" w:hAnsi="Microsoft JhengHei" w:cs="Microsoft JhengHei" w:eastAsia="Microsoft JhengHei" w:hint="default"/>
          <w:b/>
          <w:bCs/>
          <w:sz w:val="28"/>
          <w:szCs w:val="28"/>
        </w:rPr>
        <w:t> </w:t>
      </w:r>
      <w:r>
        <w:rPr>
          <w:rFonts w:ascii="Trebuchet MS" w:hAnsi="Trebuchet MS" w:cs="Trebuchet MS" w:eastAsia="Trebuchet MS" w:hint="default"/>
          <w:b/>
          <w:bCs/>
          <w:w w:val="85"/>
          <w:sz w:val="28"/>
          <w:szCs w:val="28"/>
        </w:rPr>
        <w:t>9</w:t>
      </w:r>
      <w:r>
        <w:rPr>
          <w:rFonts w:ascii="Trebuchet MS" w:hAnsi="Trebuchet MS" w:cs="Trebuchet MS" w:eastAsia="Trebuchet MS" w:hint="default"/>
          <w:b/>
          <w:bCs/>
          <w:spacing w:val="-14"/>
          <w:sz w:val="28"/>
          <w:szCs w:val="28"/>
        </w:rPr>
        <w:t> </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w w:val="100"/>
          <w:sz w:val="28"/>
          <w:szCs w:val="28"/>
        </w:rPr>
      </w:r>
    </w:p>
    <w:p>
      <w:pPr>
        <w:spacing w:after="0"/>
        <w:jc w:val="both"/>
        <w:rPr>
          <w:rFonts w:ascii="Microsoft JhengHei" w:hAnsi="Microsoft JhengHei" w:cs="Microsoft JhengHei" w:eastAsia="Microsoft JhengHei" w:hint="default"/>
          <w:sz w:val="28"/>
          <w:szCs w:val="28"/>
        </w:rPr>
        <w:sectPr>
          <w:pgSz w:w="11910" w:h="16840"/>
          <w:pgMar w:header="781" w:footer="979" w:top="1080" w:bottom="1160" w:left="980" w:right="8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8"/>
          <w:szCs w:val="18"/>
        </w:rPr>
      </w:pPr>
    </w:p>
    <w:p>
      <w:pPr>
        <w:spacing w:line="413" w:lineRule="exact" w:before="0"/>
        <w:ind w:left="3748" w:right="3748"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目录</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5"/>
        <w:rPr>
          <w:rFonts w:ascii="Microsoft JhengHei" w:hAnsi="Microsoft JhengHei" w:cs="Microsoft JhengHei" w:eastAsia="Microsoft JhengHei" w:hint="default"/>
          <w:b/>
          <w:bCs/>
          <w:sz w:val="32"/>
          <w:szCs w:val="3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rebuchet MS" w:hAnsi="Trebuchet MS" w:cs="Trebuchet MS" w:eastAsia="Trebuchet MS" w:hint="default"/>
              <w:b w:val="0"/>
              <w:bCs w:val="0"/>
            </w:rPr>
          </w:pPr>
          <w:r>
            <w:rPr/>
            <w:t>第一节 </w:t>
          </w:r>
          <w:r>
            <w:rPr>
              <w:spacing w:val="1"/>
            </w:rPr>
            <w:t> </w:t>
          </w:r>
          <w:r>
            <w:rPr/>
            <w:t>重要提示、目录和释义</w:t>
          </w:r>
          <w:r>
            <w:rPr>
              <w:rFonts w:ascii="Trebuchet MS" w:hAnsi="Trebuchet MS" w:cs="Trebuchet MS" w:eastAsia="Trebuchet MS" w:hint="default"/>
            </w:rPr>
            <w:tab/>
            <w:t>8</w:t>
          </w:r>
          <w:r>
            <w:rPr>
              <w:rFonts w:ascii="Trebuchet MS" w:hAnsi="Trebuchet MS" w:cs="Trebuchet MS" w:eastAsia="Trebuchet MS" w:hint="default"/>
              <w:b w:val="0"/>
              <w:bCs w:val="0"/>
            </w:rPr>
          </w:r>
        </w:p>
        <w:p>
          <w:pPr>
            <w:pStyle w:val="TOC1"/>
            <w:tabs>
              <w:tab w:pos="9782" w:val="right" w:leader="dot"/>
            </w:tabs>
            <w:spacing w:line="240" w:lineRule="auto"/>
            <w:ind w:right="0"/>
            <w:jc w:val="left"/>
            <w:rPr>
              <w:rFonts w:ascii="Trebuchet MS" w:hAnsi="Trebuchet MS" w:cs="Trebuchet MS" w:eastAsia="Trebuchet MS" w:hint="default"/>
              <w:b w:val="0"/>
              <w:bCs w:val="0"/>
            </w:rPr>
          </w:pPr>
          <w:r>
            <w:rPr/>
            <w:t>第二节 </w:t>
          </w:r>
          <w:r>
            <w:rPr>
              <w:spacing w:val="1"/>
            </w:rPr>
            <w:t> </w:t>
          </w:r>
          <w:r>
            <w:rPr/>
            <w:t>公司简介和主要财务指标</w:t>
          </w:r>
          <w:r>
            <w:rPr>
              <w:rFonts w:ascii="Trebuchet MS" w:hAnsi="Trebuchet MS" w:cs="Trebuchet MS" w:eastAsia="Trebuchet MS" w:hint="default"/>
            </w:rPr>
            <w:tab/>
            <w:t>8</w:t>
          </w:r>
          <w:r>
            <w:rPr>
              <w:rFonts w:ascii="Trebuchet MS" w:hAnsi="Trebuchet MS" w:cs="Trebuchet MS" w:eastAsia="Trebuchet MS" w:hint="default"/>
              <w:b w:val="0"/>
              <w:bCs w:val="0"/>
            </w:rPr>
          </w:r>
        </w:p>
        <w:p>
          <w:pPr>
            <w:pStyle w:val="TOC1"/>
            <w:tabs>
              <w:tab w:pos="9783" w:val="right" w:leader="dot"/>
            </w:tabs>
            <w:spacing w:line="240" w:lineRule="auto"/>
            <w:ind w:right="0"/>
            <w:jc w:val="left"/>
            <w:rPr>
              <w:rFonts w:ascii="Trebuchet MS" w:hAnsi="Trebuchet MS" w:cs="Trebuchet MS" w:eastAsia="Trebuchet MS" w:hint="default"/>
              <w:b w:val="0"/>
              <w:bCs w:val="0"/>
            </w:rPr>
          </w:pPr>
          <w:hyperlink w:history="true" w:anchor="_TOC_250008">
            <w:r>
              <w:rPr/>
              <w:t>第三节 </w:t>
            </w:r>
            <w:r>
              <w:rPr>
                <w:spacing w:val="1"/>
              </w:rPr>
              <w:t> </w:t>
            </w:r>
            <w:r>
              <w:rPr/>
              <w:t>公司业务概要</w:t>
            </w:r>
            <w:r>
              <w:rPr>
                <w:rFonts w:ascii="Trebuchet MS" w:hAnsi="Trebuchet MS" w:cs="Trebuchet MS" w:eastAsia="Trebuchet MS" w:hint="default"/>
              </w:rPr>
              <w:tab/>
              <w:t>12</w:t>
            </w:r>
            <w:r>
              <w:rPr>
                <w:rFonts w:ascii="Trebuchet MS" w:hAnsi="Trebuchet MS" w:cs="Trebuchet MS" w:eastAsia="Trebuchet MS" w:hint="default"/>
                <w:b w:val="0"/>
                <w:bCs w:val="0"/>
              </w:rPr>
            </w:r>
          </w:hyperlink>
        </w:p>
        <w:p>
          <w:pPr>
            <w:pStyle w:val="TOC1"/>
            <w:tabs>
              <w:tab w:pos="9783" w:val="right" w:leader="dot"/>
            </w:tabs>
            <w:spacing w:line="240" w:lineRule="auto"/>
            <w:ind w:right="0"/>
            <w:jc w:val="left"/>
            <w:rPr>
              <w:rFonts w:ascii="Trebuchet MS" w:hAnsi="Trebuchet MS" w:cs="Trebuchet MS" w:eastAsia="Trebuchet MS" w:hint="default"/>
              <w:b w:val="0"/>
              <w:bCs w:val="0"/>
            </w:rPr>
          </w:pPr>
          <w:hyperlink w:history="true" w:anchor="_TOC_250007">
            <w:r>
              <w:rPr/>
              <w:t>第四节 </w:t>
            </w:r>
            <w:r>
              <w:rPr>
                <w:spacing w:val="1"/>
              </w:rPr>
              <w:t> </w:t>
            </w:r>
            <w:r>
              <w:rPr/>
              <w:t>管理层讨论与分析</w:t>
            </w:r>
            <w:r>
              <w:rPr>
                <w:rFonts w:ascii="Trebuchet MS" w:hAnsi="Trebuchet MS" w:cs="Trebuchet MS" w:eastAsia="Trebuchet MS" w:hint="default"/>
              </w:rPr>
              <w:tab/>
              <w:t>16</w:t>
            </w:r>
            <w:r>
              <w:rPr>
                <w:rFonts w:ascii="Trebuchet MS" w:hAnsi="Trebuchet MS" w:cs="Trebuchet MS" w:eastAsia="Trebuchet MS" w:hint="default"/>
                <w:b w:val="0"/>
                <w:bCs w:val="0"/>
              </w:rPr>
            </w:r>
          </w:hyperlink>
        </w:p>
        <w:p>
          <w:pPr>
            <w:pStyle w:val="TOC1"/>
            <w:tabs>
              <w:tab w:pos="9782" w:val="right" w:leader="dot"/>
            </w:tabs>
            <w:spacing w:line="240" w:lineRule="auto" w:before="317"/>
            <w:ind w:right="0"/>
            <w:jc w:val="left"/>
            <w:rPr>
              <w:rFonts w:ascii="Trebuchet MS" w:hAnsi="Trebuchet MS" w:cs="Trebuchet MS" w:eastAsia="Trebuchet MS" w:hint="default"/>
              <w:b w:val="0"/>
              <w:bCs w:val="0"/>
            </w:rPr>
          </w:pPr>
          <w:hyperlink w:history="true" w:anchor="_TOC_250006">
            <w:r>
              <w:rPr/>
              <w:t>第五节 </w:t>
            </w:r>
            <w:r>
              <w:rPr>
                <w:spacing w:val="1"/>
              </w:rPr>
              <w:t> </w:t>
            </w:r>
            <w:r>
              <w:rPr/>
              <w:t>重要事项</w:t>
            </w:r>
            <w:r>
              <w:rPr>
                <w:rFonts w:ascii="Trebuchet MS" w:hAnsi="Trebuchet MS" w:cs="Trebuchet MS" w:eastAsia="Trebuchet MS" w:hint="default"/>
              </w:rPr>
              <w:tab/>
              <w:t>39</w:t>
            </w:r>
            <w:r>
              <w:rPr>
                <w:rFonts w:ascii="Trebuchet MS" w:hAnsi="Trebuchet MS" w:cs="Trebuchet MS" w:eastAsia="Trebuchet MS" w:hint="default"/>
                <w:b w:val="0"/>
                <w:bCs w:val="0"/>
              </w:rPr>
            </w:r>
          </w:hyperlink>
        </w:p>
        <w:p>
          <w:pPr>
            <w:pStyle w:val="TOC1"/>
            <w:tabs>
              <w:tab w:pos="9782" w:val="right" w:leader="dot"/>
            </w:tabs>
            <w:spacing w:line="240" w:lineRule="auto"/>
            <w:ind w:right="0"/>
            <w:jc w:val="left"/>
            <w:rPr>
              <w:rFonts w:ascii="Trebuchet MS" w:hAnsi="Trebuchet MS" w:cs="Trebuchet MS" w:eastAsia="Trebuchet MS" w:hint="default"/>
              <w:b w:val="0"/>
              <w:bCs w:val="0"/>
            </w:rPr>
          </w:pPr>
          <w:hyperlink w:history="true" w:anchor="_TOC_250005">
            <w:r>
              <w:rPr/>
              <w:t>第六节 </w:t>
            </w:r>
            <w:r>
              <w:rPr>
                <w:spacing w:val="1"/>
              </w:rPr>
              <w:t> </w:t>
            </w:r>
            <w:r>
              <w:rPr/>
              <w:t>股份变动及股东情况</w:t>
            </w:r>
            <w:r>
              <w:rPr>
                <w:rFonts w:ascii="Trebuchet MS" w:hAnsi="Trebuchet MS" w:cs="Trebuchet MS" w:eastAsia="Trebuchet MS" w:hint="default"/>
              </w:rPr>
              <w:tab/>
              <w:t>53</w:t>
            </w:r>
            <w:r>
              <w:rPr>
                <w:rFonts w:ascii="Trebuchet MS" w:hAnsi="Trebuchet MS" w:cs="Trebuchet MS" w:eastAsia="Trebuchet MS" w:hint="default"/>
                <w:b w:val="0"/>
                <w:bCs w:val="0"/>
              </w:rPr>
            </w:r>
          </w:hyperlink>
        </w:p>
        <w:p>
          <w:pPr>
            <w:pStyle w:val="TOC1"/>
            <w:tabs>
              <w:tab w:pos="9782" w:val="right" w:leader="dot"/>
            </w:tabs>
            <w:spacing w:line="240" w:lineRule="auto"/>
            <w:ind w:right="0"/>
            <w:jc w:val="left"/>
            <w:rPr>
              <w:rFonts w:ascii="Trebuchet MS" w:hAnsi="Trebuchet MS" w:cs="Trebuchet MS" w:eastAsia="Trebuchet MS" w:hint="default"/>
              <w:b w:val="0"/>
              <w:bCs w:val="0"/>
            </w:rPr>
          </w:pPr>
          <w:hyperlink w:history="true" w:anchor="_TOC_250004">
            <w:r>
              <w:rPr/>
              <w:t>第七节 </w:t>
            </w:r>
            <w:r>
              <w:rPr>
                <w:spacing w:val="1"/>
              </w:rPr>
              <w:t> </w:t>
            </w:r>
            <w:r>
              <w:rPr/>
              <w:t>优先股相关情况</w:t>
            </w:r>
            <w:r>
              <w:rPr>
                <w:rFonts w:ascii="Trebuchet MS" w:hAnsi="Trebuchet MS" w:cs="Trebuchet MS" w:eastAsia="Trebuchet MS" w:hint="default"/>
              </w:rPr>
              <w:tab/>
              <w:t>63</w:t>
            </w:r>
            <w:r>
              <w:rPr>
                <w:rFonts w:ascii="Trebuchet MS" w:hAnsi="Trebuchet MS" w:cs="Trebuchet MS" w:eastAsia="Trebuchet MS" w:hint="default"/>
                <w:b w:val="0"/>
                <w:bCs w:val="0"/>
              </w:rPr>
            </w:r>
          </w:hyperlink>
        </w:p>
        <w:p>
          <w:pPr>
            <w:pStyle w:val="TOC1"/>
            <w:tabs>
              <w:tab w:pos="9782" w:val="right" w:leader="dot"/>
            </w:tabs>
            <w:spacing w:line="240" w:lineRule="auto"/>
            <w:ind w:right="0"/>
            <w:jc w:val="left"/>
            <w:rPr>
              <w:rFonts w:ascii="Trebuchet MS" w:hAnsi="Trebuchet MS" w:cs="Trebuchet MS" w:eastAsia="Trebuchet MS" w:hint="default"/>
              <w:b w:val="0"/>
              <w:bCs w:val="0"/>
            </w:rPr>
          </w:pPr>
          <w:hyperlink w:history="true" w:anchor="_TOC_250003">
            <w:r>
              <w:rPr/>
              <w:t>第八节 </w:t>
            </w:r>
            <w:r>
              <w:rPr>
                <w:spacing w:val="1"/>
              </w:rPr>
              <w:t> </w:t>
            </w:r>
            <w:r>
              <w:rPr/>
              <w:t>董事、监事、高级管理人员和员工情况</w:t>
            </w:r>
            <w:r>
              <w:rPr>
                <w:rFonts w:ascii="Trebuchet MS" w:hAnsi="Trebuchet MS" w:cs="Trebuchet MS" w:eastAsia="Trebuchet MS" w:hint="default"/>
              </w:rPr>
              <w:tab/>
              <w:t>64</w:t>
            </w:r>
            <w:r>
              <w:rPr>
                <w:rFonts w:ascii="Trebuchet MS" w:hAnsi="Trebuchet MS" w:cs="Trebuchet MS" w:eastAsia="Trebuchet MS" w:hint="default"/>
                <w:b w:val="0"/>
                <w:bCs w:val="0"/>
              </w:rPr>
            </w:r>
          </w:hyperlink>
        </w:p>
        <w:p>
          <w:pPr>
            <w:pStyle w:val="TOC1"/>
            <w:tabs>
              <w:tab w:pos="9783" w:val="right" w:leader="dot"/>
            </w:tabs>
            <w:spacing w:line="240" w:lineRule="auto" w:before="317"/>
            <w:ind w:right="0"/>
            <w:jc w:val="left"/>
            <w:rPr>
              <w:rFonts w:ascii="Trebuchet MS" w:hAnsi="Trebuchet MS" w:cs="Trebuchet MS" w:eastAsia="Trebuchet MS" w:hint="default"/>
              <w:b w:val="0"/>
              <w:bCs w:val="0"/>
            </w:rPr>
          </w:pPr>
          <w:hyperlink w:history="true" w:anchor="_TOC_250002">
            <w:r>
              <w:rPr/>
              <w:t>第九节 </w:t>
            </w:r>
            <w:r>
              <w:rPr>
                <w:spacing w:val="1"/>
              </w:rPr>
              <w:t> </w:t>
            </w:r>
            <w:r>
              <w:rPr/>
              <w:t>公司治理</w:t>
            </w:r>
            <w:r>
              <w:rPr>
                <w:rFonts w:ascii="Trebuchet MS" w:hAnsi="Trebuchet MS" w:cs="Trebuchet MS" w:eastAsia="Trebuchet MS" w:hint="default"/>
              </w:rPr>
              <w:tab/>
              <w:t>70</w:t>
            </w:r>
            <w:r>
              <w:rPr>
                <w:rFonts w:ascii="Trebuchet MS" w:hAnsi="Trebuchet MS" w:cs="Trebuchet MS" w:eastAsia="Trebuchet MS" w:hint="default"/>
                <w:b w:val="0"/>
                <w:bCs w:val="0"/>
              </w:rPr>
            </w:r>
          </w:hyperlink>
        </w:p>
        <w:p>
          <w:pPr>
            <w:pStyle w:val="TOC1"/>
            <w:tabs>
              <w:tab w:pos="9782" w:val="right" w:leader="dot"/>
            </w:tabs>
            <w:spacing w:line="240" w:lineRule="auto"/>
            <w:ind w:right="0"/>
            <w:jc w:val="left"/>
            <w:rPr>
              <w:rFonts w:ascii="Trebuchet MS" w:hAnsi="Trebuchet MS" w:cs="Trebuchet MS" w:eastAsia="Trebuchet MS" w:hint="default"/>
              <w:b w:val="0"/>
              <w:bCs w:val="0"/>
            </w:rPr>
          </w:pPr>
          <w:hyperlink w:history="true" w:anchor="_TOC_250001">
            <w:r>
              <w:rPr/>
              <w:t>第十节 </w:t>
            </w:r>
            <w:r>
              <w:rPr>
                <w:spacing w:val="1"/>
              </w:rPr>
              <w:t> </w:t>
            </w:r>
            <w:r>
              <w:rPr/>
              <w:t>财务报告</w:t>
            </w:r>
            <w:r>
              <w:rPr>
                <w:rFonts w:ascii="Trebuchet MS" w:hAnsi="Trebuchet MS" w:cs="Trebuchet MS" w:eastAsia="Trebuchet MS" w:hint="default"/>
              </w:rPr>
              <w:tab/>
              <w:t>75</w:t>
            </w:r>
            <w:r>
              <w:rPr>
                <w:rFonts w:ascii="Trebuchet MS" w:hAnsi="Trebuchet MS" w:cs="Trebuchet MS" w:eastAsia="Trebuchet MS" w:hint="default"/>
                <w:b w:val="0"/>
                <w:bCs w:val="0"/>
              </w:rPr>
            </w:r>
          </w:hyperlink>
        </w:p>
        <w:p>
          <w:pPr>
            <w:pStyle w:val="TOC1"/>
            <w:tabs>
              <w:tab w:pos="9785" w:val="right" w:leader="dot"/>
            </w:tabs>
            <w:spacing w:line="240" w:lineRule="auto"/>
            <w:ind w:right="0"/>
            <w:jc w:val="left"/>
            <w:rPr>
              <w:rFonts w:ascii="Trebuchet MS" w:hAnsi="Trebuchet MS" w:cs="Trebuchet MS" w:eastAsia="Trebuchet MS" w:hint="default"/>
              <w:b w:val="0"/>
              <w:bCs w:val="0"/>
            </w:rPr>
          </w:pPr>
          <w:hyperlink w:history="true" w:anchor="_TOC_250000">
            <w:r>
              <w:rPr/>
              <w:t>第十一节  备查文件目录</w:t>
            </w:r>
            <w:r>
              <w:rPr>
                <w:rFonts w:ascii="Trebuchet MS" w:hAnsi="Trebuchet MS" w:cs="Trebuchet MS" w:eastAsia="Trebuchet MS" w:hint="default"/>
              </w:rPr>
              <w:tab/>
              <w:t>160</w:t>
            </w:r>
            <w:r>
              <w:rPr>
                <w:rFonts w:ascii="Trebuchet MS" w:hAnsi="Trebuchet MS" w:cs="Trebuchet MS" w:eastAsia="Trebuchet MS" w:hint="default"/>
                <w:b w:val="0"/>
                <w:bCs w:val="0"/>
              </w:rPr>
            </w:r>
          </w:hyperlink>
        </w:p>
      </w:sdtContent>
    </w:sdt>
    <w:p>
      <w:pPr>
        <w:spacing w:after="0" w:line="240" w:lineRule="auto"/>
        <w:jc w:val="left"/>
        <w:rPr>
          <w:rFonts w:ascii="Trebuchet MS" w:hAnsi="Trebuchet MS" w:cs="Trebuchet MS" w:eastAsia="Trebuchet MS" w:hint="default"/>
        </w:rPr>
        <w:sectPr>
          <w:pgSz w:w="11910" w:h="16840"/>
          <w:pgMar w:header="781" w:footer="979" w:top="1080" w:bottom="1160" w:left="980" w:right="980"/>
        </w:sectPr>
      </w:pPr>
    </w:p>
    <w:p>
      <w:pPr>
        <w:spacing w:before="864"/>
        <w:ind w:left="2828" w:right="3748"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释义</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2"/>
        <w:rPr>
          <w:rFonts w:ascii="Microsoft JhengHei" w:hAnsi="Microsoft JhengHei" w:cs="Microsoft JhengHei" w:eastAsia="Microsoft JhengHei" w:hint="default"/>
          <w:b/>
          <w:bCs/>
          <w:sz w:val="25"/>
          <w:szCs w:val="25"/>
        </w:rPr>
      </w:pPr>
    </w:p>
    <w:p>
      <w:pPr>
        <w:pStyle w:val="BodyText"/>
        <w:spacing w:line="240" w:lineRule="auto"/>
        <w:ind w:left="0" w:right="156"/>
        <w:jc w:val="right"/>
      </w:pPr>
      <w:r>
        <w:rPr/>
        <w:pict>
          <v:shape style="position:absolute;margin-left:56.400002pt;margin-top:-324.578278pt;width:479.3pt;height:603.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公司、本公司、股份公司、北信源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上海北信源、上海子公司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神州信源、南京子公司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马来西亚子公司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北信源（马来西亚）信息技术公司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中软华泰、中软华泰子公司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北京中软华泰信息技术有限责任公司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北京北信源软件股份有限公司西安分公司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北京北信源软件股份有限公司广州分公司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北京北信源软件股份有限公司深圳分公司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北京北信源软件股份有限公司武汉分公司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北京北信源软件股份有限公司成都分公司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上海北信源信息技术有限公司杭州分公司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深圳金城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北京双洲、双洲科技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上海无寻</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上海无寻网络科技有限公司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自然人林皓</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林皓等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5"/>
                            <w:sz w:val="18"/>
                            <w:szCs w:val="18"/>
                          </w:rPr>
                          <w:t>林皓、杨杰、高曦、尹子健、马承栋、哈连琴、杨维、王峰、王晓峰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王夏娟、姜涛、吴振芳、何悦、李涛、张伶敏、程志远、姚翔、刘兴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安、李敬勋、毕永东、陈华治</w:t>
                        </w:r>
                      </w:p>
                    </w:tc>
                  </w:tr>
                  <w:tr>
                    <w:trPr>
                      <w:trHeight w:val="164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41"/>
                          <w:jc w:val="left"/>
                          <w:rPr>
                            <w:rFonts w:ascii="宋体" w:hAnsi="宋体" w:cs="宋体" w:eastAsia="宋体" w:hint="default"/>
                            <w:sz w:val="18"/>
                            <w:szCs w:val="18"/>
                          </w:rPr>
                        </w:pPr>
                        <w:r>
                          <w:rPr>
                            <w:rFonts w:ascii="宋体" w:hAnsi="宋体" w:cs="宋体" w:eastAsia="宋体" w:hint="default"/>
                            <w:sz w:val="18"/>
                            <w:szCs w:val="18"/>
                          </w:rPr>
                          <w:t>新一代互联网安全聚合通道</w:t>
                        </w:r>
                        <w:r>
                          <w:rPr>
                            <w:rFonts w:ascii="Times New Roman" w:hAnsi="Times New Roman" w:cs="Times New Roman" w:eastAsia="Times New Roman" w:hint="default"/>
                            <w:sz w:val="18"/>
                            <w:szCs w:val="18"/>
                          </w:rPr>
                          <w:t>-linkdood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信源豆 豆</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pacing w:val="-1"/>
                            <w:sz w:val="18"/>
                            <w:szCs w:val="18"/>
                          </w:rPr>
                          <w:t>公司自主研发产品，以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安全连接，智慧聚合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为核心理念，打造跨终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端、全方位、安全可信的通信聚合平台，力图将基础网络通信、信息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安全和互联网应用在一个新平台上进行重新整合，为企业和互联网用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户提供即时通讯、协同办公、任务管理、</w:t>
                        </w:r>
                        <w:r>
                          <w:rPr>
                            <w:rFonts w:ascii="Times New Roman" w:hAnsi="Times New Roman" w:cs="Times New Roman" w:eastAsia="Times New Roman" w:hint="default"/>
                            <w:spacing w:val="-2"/>
                            <w:sz w:val="18"/>
                            <w:szCs w:val="18"/>
                          </w:rPr>
                          <w:t>ERP</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改造、应用开发、万物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互联、互联互通、聚合推广等多层次的平台服务。</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终端安全管理产品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用于实现对网络中终端计算机的运行状态、安全进检查分析和评估， </w:t>
                        </w:r>
                        <w:r>
                          <w:rPr>
                            <w:rFonts w:ascii="宋体" w:hAnsi="宋体" w:cs="宋体" w:eastAsia="宋体" w:hint="default"/>
                            <w:spacing w:val="-2"/>
                            <w:sz w:val="18"/>
                            <w:szCs w:val="18"/>
                          </w:rPr>
                          <w:t>并通过制定下发相应的安全管理策略实现对终端分析和评估，并通过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制定下发相应的安全管理策略实现对终端计算的安全管理、运行维护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和安全防护的信息安全产品。</w:t>
                        </w:r>
                      </w:p>
                    </w:tc>
                  </w:tr>
                  <w:tr>
                    <w:trPr>
                      <w:trHeight w:val="161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数据安全管理产品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用于对网络中终端计算机产生的文档数据、敏感信息进行安全保用于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对网络中终端计算机产生的文档数据、敏感信息进行安全保护，保证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该类数据信息存储和外发的安全性防止重要文档资料敏</w:t>
                        </w:r>
                        <w:r>
                          <w:rPr>
                            <w:rFonts w:ascii="宋体" w:hAnsi="宋体" w:cs="宋体" w:eastAsia="宋体" w:hint="default"/>
                            <w:spacing w:val="2"/>
                            <w:sz w:val="18"/>
                            <w:szCs w:val="18"/>
                          </w:rPr>
                          <w:t> </w:t>
                        </w:r>
                        <w:r>
                          <w:rPr>
                            <w:rFonts w:ascii="宋体" w:hAnsi="宋体" w:cs="宋体" w:eastAsia="宋体" w:hint="default"/>
                            <w:sz w:val="18"/>
                            <w:szCs w:val="18"/>
                          </w:rPr>
                          <w:t>护，保证该</w:t>
                        </w:r>
                        <w:r>
                          <w:rPr>
                            <w:rFonts w:ascii="宋体" w:hAnsi="宋体" w:cs="宋体" w:eastAsia="宋体" w:hint="default"/>
                            <w:sz w:val="18"/>
                            <w:szCs w:val="18"/>
                          </w:rPr>
                          <w:t> 类数据信息存储和外发的安全性防止重要文档资料敏</w:t>
                        </w:r>
                        <w:r>
                          <w:rPr>
                            <w:rFonts w:ascii="宋体" w:hAnsi="宋体" w:cs="宋体" w:eastAsia="宋体" w:hint="default"/>
                            <w:spacing w:val="2"/>
                            <w:sz w:val="18"/>
                            <w:szCs w:val="18"/>
                          </w:rPr>
                          <w:t> </w:t>
                        </w:r>
                        <w:r>
                          <w:rPr>
                            <w:rFonts w:ascii="宋体" w:hAnsi="宋体" w:cs="宋体" w:eastAsia="宋体" w:hint="default"/>
                            <w:sz w:val="18"/>
                            <w:szCs w:val="18"/>
                          </w:rPr>
                          <w:t>护，保证该类</w:t>
                        </w:r>
                        <w:r>
                          <w:rPr>
                            <w:rFonts w:ascii="宋体" w:hAnsi="宋体" w:cs="宋体" w:eastAsia="宋体" w:hint="default"/>
                            <w:sz w:val="18"/>
                            <w:szCs w:val="18"/>
                          </w:rPr>
                          <w:t> 数据信息存储和外发的安全性防止重要文档资料敏感信息的泄露的</w:t>
                        </w:r>
                      </w:p>
                    </w:tc>
                  </w:tr>
                </w:tbl>
                <w:p>
                  <w:pPr/>
                </w:p>
              </w:txbxContent>
            </v:textbox>
            <w10:wrap type="none"/>
          </v:shape>
        </w:pict>
      </w:r>
      <w:r>
        <w:rPr/>
        <w:t>、</w:t>
      </w:r>
    </w:p>
    <w:p>
      <w:pPr>
        <w:spacing w:after="0" w:line="240" w:lineRule="auto"/>
        <w:jc w:val="right"/>
        <w:sectPr>
          <w:pgSz w:w="11910" w:h="16840"/>
          <w:pgMar w:header="781" w:footer="979"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44"/>
        <w:ind w:left="0" w:right="156"/>
        <w:jc w:val="right"/>
      </w:pPr>
      <w:r>
        <w:rPr/>
        <w:pict>
          <v:shape style="position:absolute;margin-left:56.400002pt;margin-top:-375.918274pt;width:479.3pt;height:502.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信息安全产品。</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安全管理平台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通过对网络中的安全设备、网络设备、服务器系统、终端系统的日志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事件信息进行统一收集、过滤、归并和关联性分析，实现对重要信息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资产和业务系统的安全状态监控、安全风险管理和安全态势感知，并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及时进行安全预警、安全响应和管理控制的信息安全产品。</w:t>
                        </w:r>
                      </w:p>
                    </w:tc>
                  </w:tr>
                  <w:tr>
                    <w:trPr>
                      <w:trHeight w:val="19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内网大数据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北信源大数据分析平台是企业级大数据处理、分析、挖掘平台。它采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用云到端的一体化、扁平式架构；结合用户场景，满足业务需求；有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目的的产生、收集数据并把数据有效组织，解决天量安全要素信息的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采集、存储，利用平台的数据分析引擎，实时的挖掘；能够更加智能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地洞悉安全态势，更加主动、弹性地应对威胁和风险并可对用户行为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和应用业务等各类需求进行分析评估。</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鑫众</w:t>
                        </w:r>
                        <w:r>
                          <w:rPr>
                            <w:rFonts w:ascii="Times New Roman" w:hAnsi="Times New Roman" w:cs="Times New Roman" w:eastAsia="Times New Roman" w:hint="default"/>
                            <w:sz w:val="18"/>
                            <w:szCs w:val="18"/>
                          </w:rPr>
                          <w:t>-</w:t>
                        </w:r>
                        <w:r>
                          <w:rPr>
                            <w:rFonts w:ascii="宋体" w:hAnsi="宋体" w:cs="宋体" w:eastAsia="宋体" w:hint="default"/>
                            <w:sz w:val="18"/>
                            <w:szCs w:val="18"/>
                          </w:rPr>
                          <w:t>北信源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号集合计划、鑫众</w:t>
                        </w:r>
                        <w:r>
                          <w:rPr>
                            <w:rFonts w:ascii="Times New Roman" w:hAnsi="Times New Roman" w:cs="Times New Roman" w:eastAsia="Times New Roman" w:hint="default"/>
                            <w:sz w:val="18"/>
                            <w:szCs w:val="18"/>
                          </w:rPr>
                          <w:t>-</w:t>
                        </w:r>
                        <w:r>
                          <w:rPr>
                            <w:rFonts w:ascii="宋体" w:hAnsi="宋体" w:cs="宋体" w:eastAsia="宋体" w:hint="default"/>
                            <w:sz w:val="18"/>
                            <w:szCs w:val="18"/>
                          </w:rPr>
                          <w:t>北信源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指兴证资管鑫众</w:t>
                        </w:r>
                        <w:r>
                          <w:rPr>
                            <w:rFonts w:ascii="Times New Roman" w:hAnsi="Times New Roman" w:cs="Times New Roman" w:eastAsia="Times New Roman" w:hint="default"/>
                            <w:sz w:val="18"/>
                            <w:szCs w:val="18"/>
                          </w:rPr>
                          <w:t>-</w:t>
                        </w:r>
                        <w:r>
                          <w:rPr>
                            <w:rFonts w:ascii="宋体" w:hAnsi="宋体" w:cs="宋体" w:eastAsia="宋体" w:hint="default"/>
                            <w:sz w:val="18"/>
                            <w:szCs w:val="18"/>
                          </w:rPr>
                          <w:t>北信源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指导意见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关于上市公司实施员工持股计划试点的指导意见</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中国人民共和国科学技术部</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本次非公开发行股票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北京北信源软件股份有限公司非公开发行不超过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77"/>
                            <w:sz w:val="18"/>
                            <w:szCs w:val="18"/>
                          </w:rPr>
                          <w:t>股</w:t>
                        </w:r>
                        <w:r>
                          <w:rPr>
                            <w:rFonts w:ascii="宋体" w:hAnsi="宋体" w:cs="宋体" w:eastAsia="宋体" w:hint="default"/>
                            <w:spacing w:val="-3"/>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股）的行为</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发行股份及购买资产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23.35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股非公开发行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1,520,857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24</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股人</w:t>
                        </w:r>
                        <w:r>
                          <w:rPr>
                            <w:rFonts w:ascii="宋体" w:hAnsi="宋体" w:cs="宋体" w:eastAsia="宋体" w:hint="default"/>
                            <w:spacing w:val="-3"/>
                            <w:sz w:val="18"/>
                            <w:szCs w:val="18"/>
                          </w:rPr>
                          <w:t>民</w:t>
                        </w:r>
                        <w:r>
                          <w:rPr>
                            <w:rFonts w:ascii="宋体" w:hAnsi="宋体" w:cs="宋体" w:eastAsia="宋体" w:hint="default"/>
                            <w:sz w:val="18"/>
                            <w:szCs w:val="18"/>
                          </w:rPr>
                          <w:t>币普通股</w:t>
                        </w:r>
                        <w:r>
                          <w:rPr>
                            <w:rFonts w:ascii="宋体" w:hAnsi="宋体" w:cs="宋体" w:eastAsia="宋体" w:hint="default"/>
                            <w:spacing w:val="-1"/>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，同时支付</w:t>
                        </w:r>
                        <w:r>
                          <w:rPr>
                            <w:rFonts w:ascii="宋体" w:hAnsi="宋体" w:cs="宋体" w:eastAsia="宋体" w:hint="default"/>
                            <w:spacing w:val="2"/>
                            <w:sz w:val="18"/>
                            <w:szCs w:val="18"/>
                          </w:rPr>
                          <w:t>现</w:t>
                        </w:r>
                        <w:r>
                          <w:rPr>
                            <w:rFonts w:ascii="宋体" w:hAnsi="宋体" w:cs="宋体" w:eastAsia="宋体" w:hint="default"/>
                            <w:sz w:val="18"/>
                            <w:szCs w:val="18"/>
                          </w:rPr>
                          <w:t>金对价</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万元，分别向自然人田秋桂、马永清、王俊锋发行股份购买其三</w:t>
                        </w:r>
                        <w:r>
                          <w:rPr>
                            <w:rFonts w:ascii="宋体" w:hAnsi="宋体" w:cs="宋体" w:eastAsia="宋体" w:hint="default"/>
                            <w:sz w:val="18"/>
                            <w:szCs w:val="18"/>
                          </w:rPr>
                          <w:t> 人共同持有的北京中软华泰信息技术有限责任公司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p>
              </w:txbxContent>
            </v:textbox>
            <w10:wrap type="none"/>
          </v:shape>
        </w:pict>
      </w:r>
      <w:r>
        <w:rPr/>
        <w:t>、</w:t>
      </w:r>
    </w:p>
    <w:p>
      <w:pPr>
        <w:spacing w:after="0" w:line="240" w:lineRule="auto"/>
        <w:jc w:val="right"/>
        <w:sectPr>
          <w:pgSz w:w="11910" w:h="16840"/>
          <w:pgMar w:header="781" w:footer="979"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413" w:lineRule="exact" w:before="0"/>
        <w:ind w:left="293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第二节 </w:t>
      </w:r>
      <w:r>
        <w:rPr>
          <w:rFonts w:ascii="Microsoft JhengHei" w:hAnsi="Microsoft JhengHei" w:cs="Microsoft JhengHei" w:eastAsia="Microsoft JhengHei" w:hint="default"/>
          <w:b/>
          <w:bCs/>
          <w:spacing w:val="16"/>
          <w:sz w:val="28"/>
          <w:szCs w:val="28"/>
        </w:rPr>
        <w:t> </w:t>
      </w:r>
      <w:r>
        <w:rPr>
          <w:rFonts w:ascii="Microsoft JhengHei" w:hAnsi="Microsoft JhengHei" w:cs="Microsoft JhengHei" w:eastAsia="Microsoft JhengHei" w:hint="default"/>
          <w:b/>
          <w:bCs/>
          <w:sz w:val="28"/>
          <w:szCs w:val="28"/>
        </w:rPr>
        <w:t>公司简介和主要财务指标</w:t>
      </w:r>
      <w:r>
        <w:rPr>
          <w:rFonts w:ascii="Microsoft JhengHei" w:hAnsi="Microsoft JhengHei" w:cs="Microsoft JhengHei" w:eastAsia="Microsoft JhengHei" w:hint="default"/>
          <w:sz w:val="28"/>
          <w:szCs w:val="28"/>
        </w:rPr>
      </w:r>
    </w:p>
    <w:p>
      <w:pPr>
        <w:spacing w:line="240" w:lineRule="auto" w:before="2"/>
        <w:rPr>
          <w:rFonts w:ascii="Microsoft JhengHei" w:hAnsi="Microsoft JhengHei" w:cs="Microsoft JhengHei" w:eastAsia="Microsoft JhengHei" w:hint="default"/>
          <w:b/>
          <w:bCs/>
          <w:sz w:val="27"/>
          <w:szCs w:val="27"/>
        </w:rPr>
      </w:pPr>
    </w:p>
    <w:p>
      <w:pPr>
        <w:pStyle w:val="Heading2"/>
        <w:spacing w:line="367" w:lineRule="exact"/>
        <w:ind w:right="3012"/>
        <w:jc w:val="left"/>
        <w:rPr>
          <w:b w:val="0"/>
          <w:bCs w:val="0"/>
        </w:rPr>
      </w:pPr>
      <w:r>
        <w:rPr/>
        <w:pict>
          <v:shape style="position:absolute;margin-left:138pt;margin-top:114.702499pt;width:396.95pt;height:19.7pt;mso-position-horizontal-relative:page;mso-position-vertical-relative:paragraph;z-index:-754864"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300352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Beijing VRV Software Corporation</w:t>
            </w:r>
            <w:r>
              <w:rPr>
                <w:rFonts w:ascii="宋体"/>
                <w:spacing w:val="-17"/>
                <w:sz w:val="18"/>
              </w:rPr>
              <w:t> </w:t>
            </w:r>
            <w:r>
              <w:rPr>
                <w:rFonts w:ascii="宋体"/>
                <w:sz w:val="18"/>
              </w:rPr>
              <w:t>Limited.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49"/>
              <w:ind w:left="11" w:right="0"/>
              <w:jc w:val="left"/>
              <w:rPr>
                <w:rFonts w:ascii="宋体" w:hAnsi="宋体" w:cs="宋体" w:eastAsia="宋体" w:hint="default"/>
                <w:sz w:val="18"/>
                <w:szCs w:val="18"/>
              </w:rPr>
            </w:pPr>
            <w:r>
              <w:rPr>
                <w:rFonts w:ascii="宋体"/>
                <w:sz w:val="18"/>
              </w:rPr>
              <w:t>VRV</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1"/>
                <w:sz w:val="18"/>
                <w:szCs w:val="18"/>
              </w:rPr>
              <w:t> </w:t>
            </w:r>
            <w:r>
              <w:rPr>
                <w:rFonts w:ascii="宋体" w:hAnsi="宋体" w:cs="宋体" w:eastAsia="宋体" w:hint="default"/>
                <w:sz w:val="18"/>
                <w:szCs w:val="18"/>
              </w:rPr>
              <w:t>C</w:t>
            </w:r>
            <w:r>
              <w:rPr>
                <w:rFonts w:ascii="宋体" w:hAnsi="宋体" w:cs="宋体" w:eastAsia="宋体"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2"/>
                <w:sz w:val="18"/>
                <w:szCs w:val="18"/>
              </w:rPr>
              <w:t> </w:t>
            </w:r>
            <w:r>
              <w:rPr>
                <w:rFonts w:ascii="宋体" w:hAnsi="宋体" w:cs="宋体" w:eastAsia="宋体" w:hint="default"/>
                <w:sz w:val="18"/>
                <w:szCs w:val="18"/>
              </w:rPr>
              <w:t>1602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100081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4"/>
                <w:sz w:val="18"/>
                <w:szCs w:val="18"/>
              </w:rPr>
              <w:t> </w:t>
            </w: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1"/>
                <w:sz w:val="18"/>
                <w:szCs w:val="18"/>
              </w:rPr>
              <w:t> </w:t>
            </w:r>
            <w:r>
              <w:rPr>
                <w:rFonts w:ascii="宋体" w:hAnsi="宋体" w:cs="宋体" w:eastAsia="宋体" w:hint="default"/>
                <w:sz w:val="18"/>
                <w:szCs w:val="18"/>
              </w:rPr>
              <w:t>C</w:t>
            </w:r>
            <w:r>
              <w:rPr>
                <w:rFonts w:ascii="宋体" w:hAnsi="宋体" w:cs="宋体" w:eastAsia="宋体"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2"/>
                <w:sz w:val="18"/>
                <w:szCs w:val="18"/>
              </w:rPr>
              <w:t> </w:t>
            </w:r>
            <w:r>
              <w:rPr>
                <w:rFonts w:ascii="宋体" w:hAnsi="宋体" w:cs="宋体" w:eastAsia="宋体" w:hint="default"/>
                <w:sz w:val="18"/>
                <w:szCs w:val="18"/>
              </w:rPr>
              <w:t>1602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100081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11">
              <w:r>
                <w:rPr>
                  <w:rFonts w:ascii="宋体"/>
                  <w:sz w:val="18"/>
                </w:rPr>
                <w:t>http://www.vrv.com.cn/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12">
              <w:r>
                <w:rPr>
                  <w:rFonts w:ascii="宋体"/>
                  <w:sz w:val="18"/>
                </w:rPr>
                <w:t>vrvzq@vrvmail.com.cn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3012"/>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54"/>
                <w:sz w:val="18"/>
                <w:szCs w:val="18"/>
              </w:rPr>
              <w:t> </w:t>
            </w:r>
            <w:r>
              <w:rPr>
                <w:rFonts w:ascii="宋体" w:hAnsi="宋体" w:cs="宋体" w:eastAsia="宋体" w:hint="default"/>
                <w:sz w:val="18"/>
                <w:szCs w:val="18"/>
              </w:rPr>
              <w:t>34</w:t>
            </w:r>
            <w:r>
              <w:rPr>
                <w:rFonts w:ascii="宋体" w:hAnsi="宋体" w:cs="宋体" w:eastAsia="宋体" w:hint="default"/>
                <w:spacing w:val="-53"/>
                <w:sz w:val="18"/>
                <w:szCs w:val="18"/>
              </w:rPr>
              <w:t> </w:t>
            </w:r>
            <w:r>
              <w:rPr>
                <w:rFonts w:ascii="宋体" w:hAnsi="宋体" w:cs="宋体" w:eastAsia="宋体" w:hint="default"/>
                <w:sz w:val="18"/>
                <w:szCs w:val="18"/>
              </w:rPr>
              <w:t>号中关村 科技发展大厦 </w:t>
            </w:r>
            <w:r>
              <w:rPr>
                <w:rFonts w:ascii="宋体" w:hAnsi="宋体" w:cs="宋体" w:eastAsia="宋体" w:hint="default"/>
                <w:sz w:val="18"/>
                <w:szCs w:val="18"/>
              </w:rPr>
              <w:t>C </w:t>
            </w:r>
            <w:r>
              <w:rPr>
                <w:rFonts w:ascii="宋体" w:hAnsi="宋体" w:cs="宋体" w:eastAsia="宋体" w:hint="default"/>
                <w:sz w:val="18"/>
                <w:szCs w:val="18"/>
              </w:rPr>
              <w:t>座 </w:t>
            </w:r>
            <w:r>
              <w:rPr>
                <w:rFonts w:ascii="宋体" w:hAnsi="宋体" w:cs="宋体" w:eastAsia="宋体" w:hint="default"/>
                <w:sz w:val="18"/>
                <w:szCs w:val="18"/>
              </w:rPr>
              <w:t>1602</w:t>
            </w:r>
            <w:r>
              <w:rPr>
                <w:rFonts w:ascii="宋体" w:hAnsi="宋体" w:cs="宋体" w:eastAsia="宋体" w:hint="default"/>
                <w:spacing w:val="1"/>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010-62140485-8073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010-62147259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2">
              <w:r>
                <w:rPr>
                  <w:rFonts w:ascii="宋体"/>
                  <w:sz w:val="18"/>
                </w:rPr>
                <w:t>vrvzq@vrvmail.com.cn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3012"/>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 </w:t>
            </w:r>
            <w:r>
              <w:rPr>
                <w:rFonts w:ascii="宋体" w:hAnsi="宋体" w:cs="宋体" w:eastAsia="宋体" w:hint="default"/>
                <w:spacing w:val="2"/>
                <w:sz w:val="18"/>
                <w:szCs w:val="18"/>
              </w:rPr>
              <w:t> </w:t>
            </w: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3">
              <w:r>
                <w:rPr>
                  <w:rFonts w:ascii="宋体"/>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北京北信源软件股份有限公司证券投资部</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3012"/>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3012"/>
        <w:jc w:val="left"/>
      </w:pPr>
      <w:r>
        <w:rPr/>
        <w:t>公司聘请的会计师事务所</w:t>
      </w:r>
    </w:p>
    <w:p>
      <w:pPr>
        <w:spacing w:after="0" w:line="240" w:lineRule="auto"/>
        <w:jc w:val="left"/>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20" w:type="dxa"/>
        <w:tblLayout w:type="fixed"/>
        <w:tblCellMar>
          <w:top w:w="0" w:type="dxa"/>
          <w:left w:w="0" w:type="dxa"/>
          <w:bottom w:w="0" w:type="dxa"/>
          <w:right w:w="0" w:type="dxa"/>
        </w:tblCellMar>
        <w:tblLook w:val="01E0"/>
      </w:tblPr>
      <w:tblGrid>
        <w:gridCol w:w="2697"/>
        <w:gridCol w:w="7000"/>
      </w:tblGrid>
      <w:tr>
        <w:trPr>
          <w:trHeight w:val="401"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7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7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号院中海地产广场西塔</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层</w:t>
            </w:r>
          </w:p>
        </w:tc>
      </w:tr>
      <w:tr>
        <w:trPr>
          <w:trHeight w:val="403"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7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荣健、单大信</w:t>
            </w:r>
          </w:p>
        </w:tc>
      </w:tr>
    </w:tbl>
    <w:p>
      <w:pPr>
        <w:pStyle w:val="BodyText"/>
        <w:spacing w:line="240" w:lineRule="auto" w:before="49"/>
        <w:ind w:right="3012"/>
        <w:jc w:val="left"/>
      </w:pPr>
      <w:r>
        <w:rPr/>
        <w:t>公司聘请的报告期内履行持续督导职责的保荐机构</w:t>
      </w:r>
    </w:p>
    <w:p>
      <w:pPr>
        <w:pStyle w:val="BodyText"/>
        <w:spacing w:line="240" w:lineRule="auto" w:before="115"/>
        <w:ind w:right="301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34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深圳市福田区金田路</w:t>
            </w:r>
            <w:r>
              <w:rPr>
                <w:rFonts w:ascii="宋体" w:hAnsi="宋体" w:cs="宋体" w:eastAsia="宋体" w:hint="default"/>
                <w:spacing w:val="-44"/>
                <w:sz w:val="18"/>
                <w:szCs w:val="18"/>
              </w:rPr>
              <w:t> </w:t>
            </w:r>
            <w:r>
              <w:rPr>
                <w:rFonts w:ascii="宋体" w:hAnsi="宋体" w:cs="宋体" w:eastAsia="宋体" w:hint="default"/>
                <w:sz w:val="18"/>
                <w:szCs w:val="18"/>
              </w:rPr>
              <w:t>4018</w:t>
            </w:r>
            <w:r>
              <w:rPr>
                <w:rFonts w:ascii="宋体" w:hAnsi="宋体" w:cs="宋体" w:eastAsia="宋体" w:hint="default"/>
                <w:spacing w:val="-43"/>
                <w:sz w:val="18"/>
                <w:szCs w:val="18"/>
              </w:rPr>
              <w:t> </w:t>
            </w:r>
            <w:r>
              <w:rPr>
                <w:rFonts w:ascii="宋体" w:hAnsi="宋体" w:cs="宋体" w:eastAsia="宋体" w:hint="default"/>
                <w:sz w:val="18"/>
                <w:szCs w:val="18"/>
              </w:rPr>
              <w:t>号</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安联大厦</w:t>
            </w:r>
            <w:r>
              <w:rPr>
                <w:rFonts w:ascii="宋体" w:hAnsi="宋体" w:cs="宋体" w:eastAsia="宋体" w:hint="default"/>
                <w:spacing w:val="-44"/>
                <w:sz w:val="18"/>
                <w:szCs w:val="18"/>
              </w:rPr>
              <w:t> </w:t>
            </w:r>
            <w:r>
              <w:rPr>
                <w:rFonts w:ascii="宋体" w:hAnsi="宋体" w:cs="宋体" w:eastAsia="宋体" w:hint="default"/>
                <w:sz w:val="18"/>
                <w:szCs w:val="18"/>
              </w:rPr>
              <w:t>35</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徐荣健</w:t>
            </w:r>
            <w:r>
              <w:rPr>
                <w:rFonts w:ascii="宋体" w:hAnsi="宋体" w:cs="宋体" w:eastAsia="宋体" w:hint="default"/>
                <w:spacing w:val="1"/>
                <w:sz w:val="18"/>
                <w:szCs w:val="18"/>
              </w:rPr>
              <w:t> </w:t>
            </w:r>
            <w:r>
              <w:rPr>
                <w:rFonts w:ascii="宋体" w:hAnsi="宋体" w:cs="宋体" w:eastAsia="宋体" w:hint="default"/>
                <w:sz w:val="18"/>
                <w:szCs w:val="18"/>
              </w:rPr>
              <w:t>赵冬冬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17</w:t>
            </w:r>
            <w:r>
              <w:rPr>
                <w:rFonts w:ascii="宋体" w:hAnsi="宋体" w:cs="宋体" w:eastAsia="宋体" w:hint="default"/>
                <w:spacing w:val="-53"/>
                <w:sz w:val="18"/>
                <w:szCs w:val="18"/>
              </w:rPr>
              <w:t> </w:t>
            </w:r>
            <w:r>
              <w:rPr>
                <w:rFonts w:ascii="宋体" w:hAnsi="宋体" w:cs="宋体" w:eastAsia="宋体" w:hint="default"/>
                <w:sz w:val="18"/>
                <w:szCs w:val="18"/>
              </w:rPr>
              <w:t>日</w:t>
            </w: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本次非公开发行上市</w:t>
            </w:r>
          </w:p>
          <w:p>
            <w:pPr>
              <w:pStyle w:val="TableParagraph"/>
              <w:spacing w:line="319"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当年剩余时间及其后</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个完整 会计年度</w:t>
            </w:r>
          </w:p>
        </w:tc>
      </w:tr>
    </w:tbl>
    <w:p>
      <w:pPr>
        <w:pStyle w:val="BodyText"/>
        <w:spacing w:line="240" w:lineRule="auto" w:before="49"/>
        <w:ind w:right="3012"/>
        <w:jc w:val="left"/>
      </w:pPr>
      <w:r>
        <w:rPr/>
        <w:t>公司聘请的报告期内履行持续督导职责的财务顾问</w:t>
      </w:r>
    </w:p>
    <w:p>
      <w:pPr>
        <w:pStyle w:val="BodyText"/>
        <w:spacing w:line="240" w:lineRule="auto" w:before="115"/>
        <w:ind w:right="301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24"/>
        <w:gridCol w:w="2425"/>
        <w:gridCol w:w="2424"/>
        <w:gridCol w:w="2425"/>
      </w:tblGrid>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瑞信方正证券有限责任公司</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北京市西城区金融大街甲九号 金融街中心南楼</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陈万里 </w:t>
            </w:r>
            <w:r>
              <w:rPr>
                <w:rFonts w:ascii="宋体" w:hAnsi="宋体" w:cs="宋体" w:eastAsia="宋体" w:hint="default"/>
                <w:spacing w:val="2"/>
                <w:sz w:val="18"/>
                <w:szCs w:val="18"/>
              </w:rPr>
              <w:t> </w:t>
            </w:r>
            <w:r>
              <w:rPr>
                <w:rFonts w:ascii="宋体" w:hAnsi="宋体" w:cs="宋体" w:eastAsia="宋体" w:hint="default"/>
                <w:sz w:val="18"/>
                <w:szCs w:val="18"/>
              </w:rPr>
              <w:t>尤晋华</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367" w:lineRule="exact"/>
        <w:ind w:right="3012"/>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3012"/>
        <w:jc w:val="left"/>
      </w:pPr>
      <w:r>
        <w:rPr/>
        <w:t>公司是否因会计政策变更及会计差错更正等追溯调整或重述以前年度会计数据</w:t>
      </w:r>
    </w:p>
    <w:p>
      <w:pPr>
        <w:pStyle w:val="BodyText"/>
        <w:spacing w:line="240" w:lineRule="auto" w:before="115"/>
        <w:ind w:right="3012"/>
        <w:jc w:val="left"/>
      </w:pPr>
      <w:r>
        <w:rPr/>
        <w:t>□ 是 √</w:t>
      </w:r>
      <w:r>
        <w:rPr>
          <w:spacing w:val="3"/>
        </w:rPr>
        <w:t> </w:t>
      </w:r>
      <w:r>
        <w:rPr/>
        <w:t>否</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645"/>
        <w:gridCol w:w="1762"/>
        <w:gridCol w:w="1760"/>
        <w:gridCol w:w="1760"/>
        <w:gridCol w:w="1759"/>
      </w:tblGrid>
      <w:tr>
        <w:trPr>
          <w:trHeight w:val="401"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3"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470,015,347.51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262,733,639.30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78.89%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228,204,554.56</w:t>
            </w:r>
          </w:p>
        </w:tc>
      </w:tr>
      <w:tr>
        <w:trPr>
          <w:trHeight w:val="713"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70,719,566.59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67,993,885.54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4.01%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67,791,239.78</w:t>
            </w:r>
          </w:p>
        </w:tc>
      </w:tr>
      <w:tr>
        <w:trPr>
          <w:trHeight w:val="715"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67,740,683.09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65,201,005.83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3.90%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60,564,048.77</w:t>
            </w:r>
          </w:p>
        </w:tc>
      </w:tr>
      <w:tr>
        <w:trPr>
          <w:trHeight w:val="713"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-2,619,422.27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-19,327,029.19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86.45%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-10,300,757.84</w:t>
            </w:r>
          </w:p>
        </w:tc>
      </w:tr>
      <w:tr>
        <w:trPr>
          <w:trHeight w:val="403"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0.260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0.250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4.00%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0.51</w:t>
            </w:r>
          </w:p>
        </w:tc>
      </w:tr>
      <w:tr>
        <w:trPr>
          <w:trHeight w:val="401"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0.260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0.250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0.51</w:t>
            </w:r>
          </w:p>
        </w:tc>
      </w:tr>
      <w:tr>
        <w:trPr>
          <w:trHeight w:val="403"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9.54%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10.07%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-0.53%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10.96%</w:t>
            </w:r>
          </w:p>
        </w:tc>
      </w:tr>
      <w:tr>
        <w:trPr>
          <w:trHeight w:val="401"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3"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971,347,262.17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791,687,241.86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22.69%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705,565,104.31</w:t>
            </w:r>
          </w:p>
        </w:tc>
      </w:tr>
      <w:tr>
        <w:trPr>
          <w:trHeight w:val="715" w:hRule="exact"/>
        </w:trPr>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837,645,081.33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701,394,739.74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19.43%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647,646,788.98</w:t>
            </w:r>
          </w:p>
        </w:tc>
      </w:tr>
    </w:tbl>
    <w:p>
      <w:pPr>
        <w:spacing w:after="0" w:line="240" w:lineRule="auto"/>
        <w:jc w:val="right"/>
        <w:rPr>
          <w:rFonts w:ascii="宋体" w:hAnsi="宋体" w:cs="宋体" w:eastAsia="宋体" w:hint="default"/>
          <w:sz w:val="18"/>
          <w:szCs w:val="18"/>
        </w:rPr>
        <w:sectPr>
          <w:pgSz w:w="11910" w:h="16840"/>
          <w:pgMar w:header="781" w:footer="979" w:top="1080" w:bottom="1160" w:left="980" w:right="980"/>
        </w:sectPr>
      </w:pPr>
    </w:p>
    <w:p>
      <w:pPr>
        <w:spacing w:line="240" w:lineRule="auto" w:before="8"/>
        <w:rPr>
          <w:rFonts w:ascii="宋体" w:hAnsi="宋体" w:cs="宋体" w:eastAsia="宋体" w:hint="default"/>
          <w:sz w:val="21"/>
          <w:szCs w:val="21"/>
        </w:rPr>
      </w:pPr>
    </w:p>
    <w:p>
      <w:pPr>
        <w:pStyle w:val="Heading2"/>
        <w:spacing w:line="367" w:lineRule="exact"/>
        <w:ind w:right="3012"/>
        <w:jc w:val="left"/>
        <w:rPr>
          <w:b w:val="0"/>
          <w:bCs w:val="0"/>
        </w:rPr>
      </w:pPr>
      <w:r>
        <w:rPr/>
        <w:t>六、分季度主要财务指标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57"/>
        <w:gridCol w:w="1765"/>
        <w:gridCol w:w="1762"/>
        <w:gridCol w:w="1762"/>
        <w:gridCol w:w="1752"/>
      </w:tblGrid>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43,349,805.86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62,369,378.22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61,215,721.15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303,080,442.28</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288,421.76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13,384,248.43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6,513,101.11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50,533,795.29</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288,355.46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12,155,998.43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5,876,413.83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49,419,915.37</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-16,553,043.11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-20,672,629.11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-9,296,516.13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43,902,766.08</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3012"/>
        <w:jc w:val="left"/>
      </w:pPr>
      <w:r>
        <w:rPr/>
        <w:t>□ 是 √</w:t>
      </w:r>
      <w:r>
        <w:rPr>
          <w:spacing w:val="3"/>
        </w:rPr>
        <w:t> </w:t>
      </w:r>
      <w:r>
        <w:rPr/>
        <w:t>否</w:t>
      </w:r>
    </w:p>
    <w:p>
      <w:pPr>
        <w:spacing w:line="240" w:lineRule="auto" w:before="5"/>
        <w:rPr>
          <w:rFonts w:ascii="宋体" w:hAnsi="宋体" w:cs="宋体" w:eastAsia="宋体" w:hint="default"/>
          <w:sz w:val="19"/>
          <w:szCs w:val="19"/>
        </w:rPr>
      </w:pPr>
    </w:p>
    <w:p>
      <w:pPr>
        <w:pStyle w:val="Heading2"/>
        <w:spacing w:line="240" w:lineRule="auto"/>
        <w:ind w:right="3012"/>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1494"/>
        <w:jc w:val="left"/>
      </w:pPr>
      <w:r>
        <w:rPr/>
        <w:t>□ 适用 √</w:t>
      </w:r>
      <w:r>
        <w:rPr>
          <w:spacing w:val="3"/>
        </w:rPr>
        <w:t> </w:t>
      </w:r>
      <w:r>
        <w:rPr/>
        <w:t>不适用</w:t>
      </w:r>
      <w:r>
        <w:rPr/>
        <w:t> 公司报告期不存在按照国际会计准则与按照中国会计准则披露的财务报告中净利润和净资产差异情况。</w:t>
      </w: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1674"/>
        <w:jc w:val="left"/>
      </w:pPr>
      <w:r>
        <w:rPr/>
        <w:t>□ 适用 √</w:t>
      </w:r>
      <w:r>
        <w:rPr>
          <w:spacing w:val="3"/>
        </w:rPr>
        <w:t> </w:t>
      </w:r>
      <w:r>
        <w:rPr/>
        <w:t>不适用</w:t>
      </w:r>
      <w:r>
        <w:rPr/>
        <w:t> 公司报告期不存在按照境外会计准则与按照中国会计准则披露的财务报告中净利润和净资产差异情况。</w:t>
      </w:r>
    </w:p>
    <w:p>
      <w:pPr>
        <w:spacing w:line="240" w:lineRule="auto" w:before="7"/>
        <w:rPr>
          <w:rFonts w:ascii="宋体" w:hAnsi="宋体" w:cs="宋体" w:eastAsia="宋体" w:hint="default"/>
          <w:sz w:val="12"/>
          <w:szCs w:val="12"/>
        </w:rPr>
      </w:pPr>
    </w:p>
    <w:p>
      <w:pPr>
        <w:pStyle w:val="Heading2"/>
        <w:spacing w:line="240" w:lineRule="auto"/>
        <w:ind w:right="3012"/>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3012"/>
        <w:jc w:val="left"/>
      </w:pPr>
      <w:r>
        <w:rPr/>
        <w:t>√ 适用 □</w:t>
      </w:r>
      <w:r>
        <w:rPr>
          <w:spacing w:val="3"/>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342"/>
        <w:gridCol w:w="1541"/>
        <w:gridCol w:w="1539"/>
        <w:gridCol w:w="1541"/>
        <w:gridCol w:w="1735"/>
      </w:tblGrid>
      <w:tr>
        <w:trPr>
          <w:trHeight w:val="403"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-79,793.10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-7,940.31</w:t>
            </w:r>
          </w:p>
        </w:tc>
        <w:tc>
          <w:tcPr>
            <w:tcW w:w="1541"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7"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4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3,568,050.00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3,030,200.00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8,031,000.00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政府补贴款</w:t>
            </w:r>
          </w:p>
        </w:tc>
      </w:tr>
      <w:tr>
        <w:trPr>
          <w:trHeight w:val="401"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16,311.92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62,348.00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218.04</w:t>
            </w: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525,685.32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291,727.98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804,027.03</w:t>
            </w: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2,978,883.50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2,792,879.71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7,227,191.01</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69"/>
        </w:rPr>
        <w:t> </w:t>
      </w:r>
      <w:r>
        <w:rPr>
          <w:spacing w:val="-7"/>
        </w:rPr>
        <w:t>号——非经常性损益》定义界定的非经常性损益项目，以及把《公</w:t>
      </w:r>
    </w:p>
    <w:p>
      <w:pPr>
        <w:pStyle w:val="BodyText"/>
        <w:spacing w:line="316" w:lineRule="auto" w:before="77"/>
        <w:ind w:right="139"/>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p>
    <w:p>
      <w:pPr>
        <w:spacing w:after="0" w:line="316" w:lineRule="auto"/>
        <w:jc w:val="left"/>
        <w:sectPr>
          <w:pgSz w:w="11910" w:h="16840"/>
          <w:pgMar w:header="781" w:footer="979" w:top="1080" w:bottom="1160" w:left="980" w:right="980"/>
        </w:sectPr>
      </w:pPr>
    </w:p>
    <w:p>
      <w:pPr>
        <w:spacing w:line="240" w:lineRule="auto" w:before="10"/>
        <w:rPr>
          <w:rFonts w:ascii="宋体" w:hAnsi="宋体" w:cs="宋体" w:eastAsia="宋体" w:hint="default"/>
          <w:sz w:val="23"/>
          <w:szCs w:val="23"/>
        </w:rPr>
      </w:pPr>
    </w:p>
    <w:p>
      <w:pPr>
        <w:pStyle w:val="BodyText"/>
        <w:spacing w:line="240" w:lineRule="auto" w:before="44"/>
        <w:ind w:right="3012"/>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295"/>
        <w:gridCol w:w="2156"/>
        <w:gridCol w:w="5247"/>
      </w:tblGrid>
      <w:tr>
        <w:trPr>
          <w:trHeight w:val="401" w:hRule="exact"/>
        </w:trPr>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0" w:right="0"/>
              <w:jc w:val="left"/>
              <w:rPr>
                <w:rFonts w:ascii="宋体" w:hAnsi="宋体" w:cs="宋体" w:eastAsia="宋体" w:hint="default"/>
                <w:sz w:val="18"/>
                <w:szCs w:val="18"/>
              </w:rPr>
            </w:pPr>
            <w:r>
              <w:rPr>
                <w:rFonts w:ascii="宋体"/>
                <w:sz w:val="18"/>
              </w:rPr>
              <w:t>17,444,329.95</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依据国家对软件行业的总体政策导向，预期软件增值税退税的税收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优惠政策在较长时间内保持稳定，故定义为经常性损益。</w:t>
            </w:r>
          </w:p>
        </w:tc>
      </w:tr>
    </w:tbl>
    <w:p>
      <w:pPr>
        <w:spacing w:after="0" w:line="316"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456" w:lineRule="exact"/>
        <w:ind w:right="3470"/>
        <w:jc w:val="center"/>
        <w:rPr>
          <w:b w:val="0"/>
          <w:bCs w:val="0"/>
        </w:rPr>
      </w:pPr>
      <w:bookmarkStart w:name="_TOC_250008" w:id="1"/>
      <w:r>
        <w:rPr/>
        <w:t>第三节 </w:t>
      </w:r>
      <w:r>
        <w:rPr>
          <w:spacing w:val="7"/>
        </w:rPr>
        <w:t> </w:t>
      </w:r>
      <w:r>
        <w:rPr/>
        <w:t>公司业务概要</w:t>
      </w:r>
      <w:bookmarkEnd w:id="1"/>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102"/>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9" w:lineRule="auto"/>
        <w:ind w:right="102" w:firstLine="422"/>
        <w:jc w:val="left"/>
      </w:pPr>
      <w:r>
        <w:rPr/>
        <w:t>公司是专业从事信息安全的国家级高新技术企业，作为国内信息安全领域领先的解决方案提供商，主营业务为信息安 </w:t>
      </w:r>
      <w:r>
        <w:rPr>
          <w:spacing w:val="-4"/>
        </w:rPr>
        <w:t>全软件产品的研发、生产、销售及提供技术服务，产品覆盖主政府、军队军工、公安、金融、能源、通信、交通等重要行业，</w:t>
      </w:r>
      <w:r>
        <w:rPr>
          <w:spacing w:val="-50"/>
        </w:rPr>
        <w:t> </w:t>
      </w:r>
      <w:r>
        <w:rPr>
          <w:spacing w:val="-50"/>
        </w:rPr>
      </w:r>
      <w:r>
        <w:rPr>
          <w:spacing w:val="-4"/>
        </w:rPr>
        <w:t>为其提供信息安全产品和整体解决方案，用户涉及各行业数千家单位，成功部署数千万终端，并连续多年入围中央政府采购，</w:t>
      </w:r>
      <w:r>
        <w:rPr>
          <w:spacing w:val="-44"/>
        </w:rPr>
        <w:t> </w:t>
      </w:r>
      <w:r>
        <w:rPr>
          <w:spacing w:val="-44"/>
        </w:rPr>
      </w:r>
      <w:r>
        <w:rPr>
          <w:spacing w:val="-2"/>
        </w:rPr>
        <w:t>为其提供了优质的安全保障。</w:t>
      </w:r>
      <w:r>
        <w:rPr>
          <w:rFonts w:ascii="宋体" w:hAnsi="宋体" w:cs="宋体" w:eastAsia="宋体" w:hint="default"/>
          <w:spacing w:val="-2"/>
        </w:rPr>
        <w:t>2015</w:t>
      </w:r>
      <w:r>
        <w:rPr>
          <w:spacing w:val="-2"/>
        </w:rPr>
        <w:t>年北信源顺应市场趋势，启动并实施全新战略规划，布局信息安全、互联网、大数据为公</w:t>
      </w:r>
      <w:r>
        <w:rPr>
          <w:spacing w:val="-62"/>
        </w:rPr>
        <w:t> </w:t>
      </w:r>
      <w:r>
        <w:rPr>
          <w:spacing w:val="-62"/>
        </w:rPr>
      </w:r>
      <w:r>
        <w:rPr/>
        <w:t>司三大战略方向，致力将北信源打造成为业界领先的平台及服务提供商。</w:t>
      </w:r>
    </w:p>
    <w:p>
      <w:pPr>
        <w:pStyle w:val="BodyText"/>
        <w:spacing w:line="316" w:lineRule="auto" w:before="17"/>
        <w:ind w:right="190" w:firstLine="362"/>
        <w:jc w:val="both"/>
      </w:pPr>
      <w:r>
        <w:rPr>
          <w:spacing w:val="-2"/>
        </w:rPr>
        <w:t>在信息安全领域，作为中国信息安全领域的领军企业之一，中国终端安全管理市场的龙头企业，公司现已构筑了三纵四</w:t>
      </w:r>
      <w:r>
        <w:rPr/>
        <w:t> 横的新一代智慧终端安全管理体系，从内网安全、数据安全、边界安全三个方向对</w:t>
      </w:r>
      <w:r>
        <w:rPr>
          <w:rFonts w:ascii="宋体" w:hAnsi="宋体" w:cs="宋体" w:eastAsia="宋体" w:hint="default"/>
        </w:rPr>
        <w:t>Windows</w:t>
      </w:r>
      <w:r>
        <w:rPr/>
        <w:t>终端、国产终端、移动终端、虚 </w:t>
      </w:r>
      <w:r>
        <w:rPr>
          <w:spacing w:val="-2"/>
        </w:rPr>
        <w:t>拟化终端提供全方位、立体化的安全保护。产品覆盖政府、军队军工、公安、金融、能源等重要行业数千家单位，成功部署</w:t>
      </w:r>
      <w:r>
        <w:rPr>
          <w:spacing w:val="-73"/>
        </w:rPr>
        <w:t> </w:t>
      </w:r>
      <w:r>
        <w:rPr>
          <w:spacing w:val="-73"/>
        </w:rPr>
      </w:r>
      <w:r>
        <w:rPr>
          <w:spacing w:val="-2"/>
        </w:rPr>
        <w:t>数千万终端，连续十年稳居中国终端安全管理领域的市场领导者地位（数据来源：</w:t>
      </w:r>
      <w:r>
        <w:rPr>
          <w:rFonts w:ascii="宋体" w:hAnsi="宋体" w:cs="宋体" w:eastAsia="宋体" w:hint="default"/>
          <w:spacing w:val="-2"/>
        </w:rPr>
        <w:t>CCID</w:t>
      </w:r>
      <w:r>
        <w:rPr>
          <w:spacing w:val="-2"/>
        </w:rPr>
        <w:t>）。同时报告期内公司通过外延式并</w:t>
      </w:r>
      <w:r>
        <w:rPr>
          <w:spacing w:val="-61"/>
        </w:rPr>
        <w:t> </w:t>
      </w:r>
      <w:r>
        <w:rPr>
          <w:spacing w:val="-61"/>
        </w:rPr>
      </w:r>
      <w:r>
        <w:rPr>
          <w:spacing w:val="-2"/>
        </w:rPr>
        <w:t>购，深入布局信息安全产业，参股深圳金城，并购中软华泰等，整合优势资源，提升了公司在信息安全领域的整体解决方案</w:t>
      </w:r>
      <w:r>
        <w:rPr>
          <w:spacing w:val="-66"/>
        </w:rPr>
        <w:t> </w:t>
      </w:r>
      <w:r>
        <w:rPr>
          <w:spacing w:val="-66"/>
        </w:rPr>
      </w:r>
      <w:r>
        <w:rPr/>
        <w:t>能力。</w:t>
      </w:r>
    </w:p>
    <w:p>
      <w:pPr>
        <w:pStyle w:val="BodyText"/>
        <w:spacing w:line="316" w:lineRule="auto" w:before="19"/>
        <w:ind w:right="102" w:firstLine="362"/>
        <w:jc w:val="left"/>
      </w:pPr>
      <w:r>
        <w:rPr>
          <w:spacing w:val="-2"/>
        </w:rPr>
        <w:t>在大数据领域，公司以“大数据加固内网安全，大数据提升管理效率”的全新理念，加快大数据技术与现有产品的深度</w:t>
      </w:r>
      <w:r>
        <w:rPr/>
        <w:t> </w:t>
      </w:r>
      <w:r>
        <w:rPr>
          <w:spacing w:val="-2"/>
        </w:rPr>
        <w:t>融合，利用大数据技术不断强化终端安全管理的广度和深度，努力打造“大数据”内网安全产品生态体系。一方面，公司在</w:t>
      </w:r>
      <w:r>
        <w:rPr>
          <w:spacing w:val="-65"/>
        </w:rPr>
        <w:t> </w:t>
      </w:r>
      <w:r>
        <w:rPr>
          <w:spacing w:val="-65"/>
        </w:rPr>
      </w:r>
      <w:r>
        <w:rPr>
          <w:spacing w:val="-4"/>
        </w:rPr>
        <w:t>传统业务的基础上进一步拓展了终端的外延，将管理范围延伸到移动终端、国产化终端、虚拟化终端以及非智能终端等领域，</w:t>
      </w:r>
      <w:r>
        <w:rPr>
          <w:spacing w:val="-44"/>
        </w:rPr>
        <w:t> </w:t>
      </w:r>
      <w:r>
        <w:rPr>
          <w:spacing w:val="-44"/>
        </w:rPr>
      </w:r>
      <w:r>
        <w:rPr>
          <w:spacing w:val="-2"/>
        </w:rPr>
        <w:t>为大数据处理提供了更为丰富的数据来源。另一方面，采用了云计算及大数据技术，重构并优化了传统产品体系，将安全管</w:t>
      </w:r>
      <w:r>
        <w:rPr>
          <w:spacing w:val="-64"/>
        </w:rPr>
        <w:t> </w:t>
      </w:r>
      <w:r>
        <w:rPr>
          <w:spacing w:val="-64"/>
        </w:rPr>
      </w:r>
      <w:r>
        <w:rPr>
          <w:spacing w:val="-2"/>
        </w:rPr>
        <w:t>理与企业业务流程进行深度融合，对网络流量、用户行为、业务模式、安全事件进行更为智能的采集、存储和分析，实现了</w:t>
      </w:r>
      <w:r>
        <w:rPr>
          <w:spacing w:val="-67"/>
        </w:rPr>
        <w:t> </w:t>
      </w:r>
      <w:r>
        <w:rPr>
          <w:spacing w:val="-67"/>
        </w:rPr>
      </w:r>
      <w:r>
        <w:rPr>
          <w:spacing w:val="-2"/>
        </w:rPr>
        <w:t>固定和移动办公、安全管理和业务模式的无缝衔接，为企业及个人用户提供更为安全、智能、便捷、全面的内网及终端安全</w:t>
      </w:r>
      <w:r>
        <w:rPr>
          <w:spacing w:val="-67"/>
        </w:rPr>
        <w:t> </w:t>
      </w:r>
      <w:r>
        <w:rPr>
          <w:spacing w:val="-67"/>
        </w:rPr>
      </w:r>
      <w:r>
        <w:rPr>
          <w:spacing w:val="-2"/>
        </w:rPr>
        <w:t>管理产品体系及解决方案。同时，公司与华睿投资共同出资设立“华睿北信源大数据产业投资基金”，利用自己在行业领域</w:t>
      </w:r>
      <w:r>
        <w:rPr>
          <w:spacing w:val="-64"/>
        </w:rPr>
        <w:t> </w:t>
      </w:r>
      <w:r>
        <w:rPr>
          <w:spacing w:val="-64"/>
        </w:rPr>
      </w:r>
      <w:r>
        <w:rPr/>
        <w:t>的领先地位</w:t>
      </w:r>
      <w:r>
        <w:rPr>
          <w:rFonts w:ascii="宋体" w:hAnsi="宋体" w:cs="宋体" w:eastAsia="宋体" w:hint="default"/>
        </w:rPr>
        <w:t>,</w:t>
      </w:r>
      <w:r>
        <w:rPr/>
        <w:t>和企业终端覆盖率等优势</w:t>
      </w:r>
      <w:r>
        <w:rPr>
          <w:rFonts w:ascii="宋体" w:hAnsi="宋体" w:cs="宋体" w:eastAsia="宋体" w:hint="default"/>
        </w:rPr>
        <w:t>,</w:t>
      </w:r>
      <w:r>
        <w:rPr/>
        <w:t>借助华睿投资专业的投资团队和融资渠道</w:t>
      </w:r>
      <w:r>
        <w:rPr>
          <w:rFonts w:ascii="宋体" w:hAnsi="宋体" w:cs="宋体" w:eastAsia="宋体" w:hint="default"/>
        </w:rPr>
        <w:t>,</w:t>
      </w:r>
      <w:r>
        <w:rPr/>
        <w:t>以及大数据领域的投资经验和丰富资源</w:t>
      </w:r>
      <w:r>
        <w:rPr>
          <w:rFonts w:ascii="宋体" w:hAnsi="宋体" w:cs="宋体" w:eastAsia="宋体" w:hint="default"/>
        </w:rPr>
        <w:t>, </w:t>
      </w:r>
      <w:r>
        <w:rPr/>
        <w:t>抓住大数据产业蓬勃发展的大好趋势</w:t>
      </w:r>
      <w:r>
        <w:rPr>
          <w:rFonts w:ascii="宋体" w:hAnsi="宋体" w:cs="宋体" w:eastAsia="宋体" w:hint="default"/>
        </w:rPr>
        <w:t>,</w:t>
      </w:r>
      <w:r>
        <w:rPr/>
        <w:t>为公司未来储备了更多符合战略发展要求的标的企业及项目</w:t>
      </w:r>
      <w:r>
        <w:rPr>
          <w:rFonts w:ascii="宋体" w:hAnsi="宋体" w:cs="宋体" w:eastAsia="宋体" w:hint="default"/>
        </w:rPr>
        <w:t>,</w:t>
      </w:r>
      <w:r>
        <w:rPr/>
        <w:t>促进公司的持续健康发</w:t>
      </w:r>
      <w:r>
        <w:rPr>
          <w:spacing w:val="2"/>
        </w:rPr>
        <w:t> </w:t>
      </w:r>
      <w:r>
        <w:rPr>
          <w:spacing w:val="2"/>
        </w:rPr>
      </w:r>
      <w:r>
        <w:rPr/>
        <w:t>展。</w:t>
      </w:r>
    </w:p>
    <w:p>
      <w:pPr>
        <w:pStyle w:val="BodyText"/>
        <w:spacing w:line="319" w:lineRule="auto" w:before="19"/>
        <w:ind w:right="102" w:firstLine="362"/>
        <w:jc w:val="left"/>
      </w:pPr>
      <w:r>
        <w:rPr/>
        <w:t>公司在积极发展巩固主营业务的同时，紧随“互联网</w:t>
      </w:r>
      <w:r>
        <w:rPr>
          <w:rFonts w:ascii="宋体" w:hAnsi="宋体" w:cs="宋体" w:eastAsia="宋体" w:hint="default"/>
        </w:rPr>
        <w:t>+</w:t>
      </w:r>
      <w:r>
        <w:rPr/>
        <w:t>”浪潮，积极加大研发投入，推进产业升级，凭借现有网络与信 </w:t>
      </w:r>
      <w:r>
        <w:rPr>
          <w:spacing w:val="-2"/>
        </w:rPr>
        <w:t>息安全领域的技术和人才积淀，大力投入互联网安全基础设施和即时通信领域的技术研发，先后在即时通讯、人工智能、网</w:t>
      </w:r>
      <w:r>
        <w:rPr>
          <w:spacing w:val="-66"/>
        </w:rPr>
        <w:t> </w:t>
      </w:r>
      <w:r>
        <w:rPr>
          <w:spacing w:val="-66"/>
        </w:rPr>
      </w:r>
      <w:r>
        <w:rPr>
          <w:spacing w:val="-2"/>
        </w:rPr>
        <w:t>络体系架构、多媒体通信等领域投入了大量的科研和工程力量，取得了一系列优质的成果。公司在报告期内通过了非公开发</w:t>
      </w:r>
      <w:r>
        <w:rPr>
          <w:spacing w:val="-61"/>
        </w:rPr>
        <w:t> </w:t>
      </w:r>
      <w:r>
        <w:rPr>
          <w:spacing w:val="-61"/>
        </w:rPr>
      </w:r>
      <w:r>
        <w:rPr>
          <w:spacing w:val="-2"/>
        </w:rPr>
        <w:t>行股票预案，拟全力打造的“新一代互联网安全聚合通道”</w:t>
      </w:r>
      <w:r>
        <w:rPr>
          <w:rFonts w:ascii="宋体" w:hAnsi="宋体" w:cs="宋体" w:eastAsia="宋体" w:hint="default"/>
          <w:spacing w:val="-2"/>
        </w:rPr>
        <w:t>--</w:t>
      </w:r>
      <w:r>
        <w:rPr>
          <w:spacing w:val="-2"/>
        </w:rPr>
        <w:t>信源豆豆（</w:t>
      </w:r>
      <w:r>
        <w:rPr>
          <w:rFonts w:ascii="宋体" w:hAnsi="宋体" w:cs="宋体" w:eastAsia="宋体" w:hint="default"/>
          <w:spacing w:val="-2"/>
        </w:rPr>
        <w:t>Linkdood</w:t>
      </w:r>
      <w:r>
        <w:rPr>
          <w:spacing w:val="-2"/>
        </w:rPr>
        <w:t>），以“安全连接，智慧聚合”为核心理</w:t>
      </w:r>
      <w:r>
        <w:rPr>
          <w:spacing w:val="-64"/>
        </w:rPr>
        <w:t> </w:t>
      </w:r>
      <w:r>
        <w:rPr>
          <w:spacing w:val="-64"/>
        </w:rPr>
      </w:r>
      <w:r>
        <w:rPr>
          <w:spacing w:val="-2"/>
        </w:rPr>
        <w:t>念，打造跨终端、全方位、安全可信的通信聚合平台；为企业和互联网用户提供即时通讯、协同办公、任务管理、</w:t>
      </w:r>
      <w:r>
        <w:rPr>
          <w:rFonts w:ascii="宋体" w:hAnsi="宋体" w:cs="宋体" w:eastAsia="宋体" w:hint="default"/>
          <w:spacing w:val="-2"/>
        </w:rPr>
        <w:t>ERP</w:t>
      </w:r>
      <w:r>
        <w:rPr>
          <w:spacing w:val="-2"/>
        </w:rPr>
        <w:t>改造、</w:t>
      </w:r>
      <w:r>
        <w:rPr>
          <w:spacing w:val="-67"/>
        </w:rPr>
        <w:t> </w:t>
      </w:r>
      <w:r>
        <w:rPr>
          <w:spacing w:val="-67"/>
        </w:rPr>
      </w:r>
      <w:r>
        <w:rPr/>
        <w:t>应用开发、万物互联、互联互通、聚合推广等多层次的平台服务。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2"/>
        <w:spacing w:line="240" w:lineRule="auto"/>
        <w:ind w:right="102"/>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3092"/>
        <w:gridCol w:w="6606"/>
      </w:tblGrid>
      <w:tr>
        <w:trPr>
          <w:trHeight w:val="187" w:hRule="exact"/>
        </w:trPr>
        <w:tc>
          <w:tcPr>
            <w:tcW w:w="3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9" w:hRule="exact"/>
        </w:trPr>
        <w:tc>
          <w:tcPr>
            <w:tcW w:w="3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日，经证监会《关于核准北京北信源软件股份有限公司向田秋桂 </w:t>
            </w:r>
            <w:r>
              <w:rPr>
                <w:rFonts w:ascii="宋体" w:hAnsi="宋体" w:cs="宋体" w:eastAsia="宋体" w:hint="default"/>
                <w:spacing w:val="-4"/>
                <w:sz w:val="18"/>
                <w:szCs w:val="18"/>
              </w:rPr>
              <w:t>等发行股份购买资产的批复》（证监许可</w:t>
            </w:r>
            <w:r>
              <w:rPr>
                <w:rFonts w:ascii="宋体" w:hAnsi="宋体" w:cs="宋体" w:eastAsia="宋体" w:hint="default"/>
                <w:spacing w:val="-4"/>
                <w:sz w:val="18"/>
                <w:szCs w:val="18"/>
              </w:rPr>
              <w:t>[2015]1719</w:t>
            </w:r>
            <w:r>
              <w:rPr>
                <w:rFonts w:ascii="宋体" w:hAnsi="宋体" w:cs="宋体" w:eastAsia="宋体" w:hint="default"/>
                <w:spacing w:val="-14"/>
                <w:sz w:val="18"/>
                <w:szCs w:val="18"/>
              </w:rPr>
              <w:t> </w:t>
            </w:r>
            <w:r>
              <w:rPr>
                <w:rFonts w:ascii="宋体" w:hAnsi="宋体" w:cs="宋体" w:eastAsia="宋体" w:hint="default"/>
                <w:spacing w:val="-1"/>
                <w:sz w:val="18"/>
                <w:szCs w:val="18"/>
              </w:rPr>
              <w:t>号）核准，公司以非公开发行</w:t>
            </w:r>
          </w:p>
        </w:tc>
      </w:tr>
      <w:tr>
        <w:trPr>
          <w:trHeight w:val="533" w:hRule="exact"/>
        </w:trPr>
        <w:tc>
          <w:tcPr>
            <w:tcW w:w="30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606" w:type="dxa"/>
            <w:vMerge/>
            <w:tcBorders>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6"/>
          <w:szCs w:val="16"/>
        </w:rPr>
      </w:pPr>
    </w:p>
    <w:p>
      <w:pPr>
        <w:pStyle w:val="BodyText"/>
        <w:spacing w:line="240" w:lineRule="auto" w:before="44"/>
        <w:ind w:left="0" w:right="98"/>
        <w:jc w:val="right"/>
      </w:pPr>
      <w:r>
        <w:rPr/>
        <w:pict>
          <v:shape style="position:absolute;margin-left:55.02pt;margin-top:-14.308257pt;width:485.6pt;height:330.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1"/>
                    <w:gridCol w:w="6606"/>
                  </w:tblGrid>
                  <w:tr>
                    <w:trPr>
                      <w:trHeight w:val="5163" w:hRule="exact"/>
                    </w:trPr>
                    <w:tc>
                      <w:tcPr>
                        <w:tcW w:w="30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1"/>
                          <w:jc w:val="both"/>
                          <w:rPr>
                            <w:rFonts w:ascii="宋体" w:hAnsi="宋体" w:cs="宋体" w:eastAsia="宋体" w:hint="default"/>
                            <w:sz w:val="18"/>
                            <w:szCs w:val="18"/>
                          </w:rPr>
                        </w:pPr>
                        <w:r>
                          <w:rPr>
                            <w:rFonts w:ascii="宋体" w:hAnsi="宋体" w:cs="宋体" w:eastAsia="宋体" w:hint="default"/>
                            <w:sz w:val="18"/>
                            <w:szCs w:val="18"/>
                          </w:rPr>
                          <w:t>1,520,857</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1,490,021</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415,246</w:t>
                        </w:r>
                        <w:r>
                          <w:rPr>
                            <w:rFonts w:ascii="宋体" w:hAnsi="宋体" w:cs="宋体" w:eastAsia="宋体" w:hint="default"/>
                            <w:spacing w:val="-46"/>
                            <w:sz w:val="18"/>
                            <w:szCs w:val="18"/>
                          </w:rPr>
                          <w:t> </w:t>
                        </w:r>
                        <w:r>
                          <w:rPr>
                            <w:rFonts w:ascii="宋体" w:hAnsi="宋体" w:cs="宋体" w:eastAsia="宋体" w:hint="default"/>
                            <w:sz w:val="18"/>
                            <w:szCs w:val="18"/>
                          </w:rPr>
                          <w:t>股人民币普通股（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股）为对价，发行股份 价格为</w:t>
                        </w:r>
                        <w:r>
                          <w:rPr>
                            <w:rFonts w:ascii="宋体" w:hAnsi="宋体" w:cs="宋体" w:eastAsia="宋体" w:hint="default"/>
                            <w:spacing w:val="-51"/>
                            <w:sz w:val="18"/>
                            <w:szCs w:val="18"/>
                          </w:rPr>
                          <w:t> </w:t>
                        </w:r>
                        <w:r>
                          <w:rPr>
                            <w:rFonts w:ascii="宋体" w:hAnsi="宋体" w:cs="宋体" w:eastAsia="宋体" w:hint="default"/>
                            <w:sz w:val="18"/>
                            <w:szCs w:val="18"/>
                          </w:rPr>
                          <w:t>23.35</w:t>
                        </w:r>
                        <w:r>
                          <w:rPr>
                            <w:rFonts w:ascii="宋体" w:hAnsi="宋体" w:cs="宋体" w:eastAsia="宋体" w:hint="default"/>
                            <w:spacing w:val="-49"/>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股，同时支付现金对价</w:t>
                        </w:r>
                        <w:r>
                          <w:rPr>
                            <w:rFonts w:ascii="宋体" w:hAnsi="宋体" w:cs="宋体" w:eastAsia="宋体" w:hint="default"/>
                            <w:spacing w:val="-51"/>
                            <w:sz w:val="18"/>
                            <w:szCs w:val="18"/>
                          </w:rPr>
                          <w:t> </w:t>
                        </w:r>
                        <w:r>
                          <w:rPr>
                            <w:rFonts w:ascii="宋体" w:hAnsi="宋体" w:cs="宋体" w:eastAsia="宋体" w:hint="default"/>
                            <w:sz w:val="18"/>
                            <w:szCs w:val="18"/>
                          </w:rPr>
                          <w:t>2000</w:t>
                        </w:r>
                        <w:r>
                          <w:rPr>
                            <w:rFonts w:ascii="宋体" w:hAnsi="宋体" w:cs="宋体" w:eastAsia="宋体" w:hint="default"/>
                            <w:spacing w:val="-49"/>
                            <w:sz w:val="18"/>
                            <w:szCs w:val="18"/>
                          </w:rPr>
                          <w:t> </w:t>
                        </w:r>
                        <w:r>
                          <w:rPr>
                            <w:rFonts w:ascii="宋体" w:hAnsi="宋体" w:cs="宋体" w:eastAsia="宋体" w:hint="default"/>
                            <w:sz w:val="18"/>
                            <w:szCs w:val="18"/>
                          </w:rPr>
                          <w:t>万元，分别向自然人田秋桂、马永清 王俊锋发行股份购买其三人共同持有的北京中软华泰信息技术有限责任公司</w:t>
                        </w:r>
                        <w:r>
                          <w:rPr>
                            <w:rFonts w:ascii="宋体" w:hAnsi="宋体" w:cs="宋体" w:eastAsia="宋体" w:hint="default"/>
                            <w:spacing w:val="-44"/>
                            <w:sz w:val="18"/>
                            <w:szCs w:val="18"/>
                          </w:rPr>
                          <w:t> </w:t>
                        </w:r>
                        <w:r>
                          <w:rPr>
                            <w:rFonts w:ascii="宋体" w:hAnsi="宋体" w:cs="宋体" w:eastAsia="宋体" w:hint="default"/>
                            <w:sz w:val="18"/>
                            <w:szCs w:val="18"/>
                          </w:rPr>
                          <w:t>100%</w:t>
                        </w:r>
                        <w:r>
                          <w:rPr>
                            <w:rFonts w:ascii="宋体" w:hAnsi="宋体" w:cs="宋体" w:eastAsia="宋体" w:hint="default"/>
                            <w:sz w:val="18"/>
                            <w:szCs w:val="18"/>
                          </w:rPr>
                          <w:t>股 权，截止报告期末已完成工商变更手续，公司持有中软华泰</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p>
                        <w:pPr>
                          <w:pStyle w:val="TableParagraph"/>
                          <w:spacing w:line="240" w:lineRule="auto" w:before="59"/>
                          <w:ind w:left="2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日公司召开第二届董事会第六次临时会议审议同意拟以挂牌价</w:t>
                        </w:r>
                      </w:p>
                      <w:p>
                        <w:pPr>
                          <w:pStyle w:val="TableParagraph"/>
                          <w:spacing w:line="316" w:lineRule="auto" w:before="76"/>
                          <w:ind w:left="23" w:right="19"/>
                          <w:jc w:val="both"/>
                          <w:rPr>
                            <w:rFonts w:ascii="宋体" w:hAnsi="宋体" w:cs="宋体" w:eastAsia="宋体" w:hint="default"/>
                            <w:sz w:val="18"/>
                            <w:szCs w:val="18"/>
                          </w:rPr>
                        </w:pPr>
                        <w:r>
                          <w:rPr>
                            <w:rFonts w:ascii="宋体" w:hAnsi="宋体" w:cs="宋体" w:eastAsia="宋体" w:hint="default"/>
                            <w:sz w:val="18"/>
                            <w:szCs w:val="18"/>
                          </w:rPr>
                          <w:t>438.3735</w:t>
                        </w:r>
                        <w:r>
                          <w:rPr>
                            <w:rFonts w:ascii="宋体" w:hAnsi="宋体" w:cs="宋体" w:eastAsia="宋体" w:hint="default"/>
                            <w:spacing w:val="-44"/>
                            <w:sz w:val="18"/>
                            <w:szCs w:val="18"/>
                          </w:rPr>
                          <w:t> </w:t>
                        </w:r>
                        <w:r>
                          <w:rPr>
                            <w:rFonts w:ascii="宋体" w:hAnsi="宋体" w:cs="宋体" w:eastAsia="宋体" w:hint="default"/>
                            <w:sz w:val="18"/>
                            <w:szCs w:val="18"/>
                          </w:rPr>
                          <w:t>万元参与竞买深圳市金城保密技术有限公司</w:t>
                        </w:r>
                        <w:r>
                          <w:rPr>
                            <w:rFonts w:ascii="宋体" w:hAnsi="宋体" w:cs="宋体" w:eastAsia="宋体" w:hint="default"/>
                            <w:spacing w:val="-46"/>
                            <w:sz w:val="18"/>
                            <w:szCs w:val="18"/>
                          </w:rPr>
                          <w:t> </w:t>
                        </w:r>
                        <w:r>
                          <w:rPr>
                            <w:rFonts w:ascii="宋体" w:hAnsi="宋体" w:cs="宋体" w:eastAsia="宋体" w:hint="default"/>
                            <w:spacing w:val="-4"/>
                            <w:sz w:val="18"/>
                            <w:szCs w:val="18"/>
                          </w:rPr>
                          <w:t>15%</w:t>
                        </w:r>
                        <w:r>
                          <w:rPr>
                            <w:rFonts w:ascii="宋体" w:hAnsi="宋体" w:cs="宋体" w:eastAsia="宋体" w:hint="default"/>
                            <w:spacing w:val="-4"/>
                            <w:sz w:val="18"/>
                            <w:szCs w:val="18"/>
                          </w:rPr>
                          <w:t>股权。并于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月与 </w:t>
                        </w:r>
                        <w:r>
                          <w:rPr>
                            <w:rFonts w:ascii="宋体" w:hAnsi="宋体" w:cs="宋体" w:eastAsia="宋体" w:hint="default"/>
                            <w:spacing w:val="-4"/>
                            <w:sz w:val="18"/>
                            <w:szCs w:val="18"/>
                          </w:rPr>
                          <w:t>中国科学院信息工程研究所正式签订了《产权交易合同》，就该事项达成协议，截止</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报告期末已完成工商变更登记手续。</w:t>
                        </w:r>
                      </w:p>
                      <w:p>
                        <w:pPr>
                          <w:pStyle w:val="TableParagraph"/>
                          <w:spacing w:line="319" w:lineRule="auto" w:before="57"/>
                          <w:ind w:left="23" w:right="23"/>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日公司召开第二届董事会第十一次会议审议通过了《关于与浙江 </w:t>
                        </w:r>
                        <w:r>
                          <w:rPr>
                            <w:rFonts w:ascii="宋体" w:hAnsi="宋体" w:cs="宋体" w:eastAsia="宋体" w:hint="default"/>
                            <w:spacing w:val="-4"/>
                            <w:sz w:val="18"/>
                            <w:szCs w:val="18"/>
                          </w:rPr>
                          <w:t>华睿投资管理有限公司共同设立产业基金的议案》，公司投资浙江华睿北信源数据信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息产业投资合伙企业（有限合伙）</w:t>
                        </w: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万元，截止报告期末已完成工商注册登记手 续。</w:t>
                        </w:r>
                      </w:p>
                      <w:p>
                        <w:pPr>
                          <w:pStyle w:val="TableParagraph"/>
                          <w:spacing w:line="316" w:lineRule="auto" w:before="58"/>
                          <w:ind w:left="23" w:right="23"/>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日公司召开的第二届董事会第十次临时会议，审议通过了《关于 </w:t>
                        </w:r>
                        <w:r>
                          <w:rPr>
                            <w:rFonts w:ascii="宋体" w:hAnsi="宋体" w:cs="宋体" w:eastAsia="宋体" w:hint="default"/>
                            <w:spacing w:val="-4"/>
                            <w:sz w:val="18"/>
                            <w:szCs w:val="18"/>
                          </w:rPr>
                          <w:t>转让恒易传奇科技有限责任公司股权的议案》，公司将所持有参股公司北京恒易传奇</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科技有限责任公司</w:t>
                        </w:r>
                        <w:r>
                          <w:rPr>
                            <w:rFonts w:ascii="宋体" w:hAnsi="宋体" w:cs="宋体" w:eastAsia="宋体" w:hint="default"/>
                            <w:spacing w:val="-48"/>
                            <w:sz w:val="18"/>
                            <w:szCs w:val="18"/>
                          </w:rPr>
                          <w:t> </w:t>
                        </w:r>
                        <w:r>
                          <w:rPr>
                            <w:rFonts w:ascii="宋体" w:hAnsi="宋体" w:cs="宋体" w:eastAsia="宋体" w:hint="default"/>
                            <w:sz w:val="18"/>
                            <w:szCs w:val="18"/>
                          </w:rPr>
                          <w:t>8.3333%</w:t>
                        </w:r>
                        <w:r>
                          <w:rPr>
                            <w:rFonts w:ascii="宋体" w:hAnsi="宋体" w:cs="宋体" w:eastAsia="宋体" w:hint="default"/>
                            <w:sz w:val="18"/>
                            <w:szCs w:val="18"/>
                          </w:rPr>
                          <w:t>股权以人民币</w:t>
                        </w:r>
                        <w:r>
                          <w:rPr>
                            <w:rFonts w:ascii="宋体" w:hAnsi="宋体" w:cs="宋体" w:eastAsia="宋体" w:hint="default"/>
                            <w:spacing w:val="-48"/>
                            <w:sz w:val="18"/>
                            <w:szCs w:val="18"/>
                          </w:rPr>
                          <w:t> </w:t>
                        </w:r>
                        <w:r>
                          <w:rPr>
                            <w:rFonts w:ascii="宋体" w:hAnsi="宋体" w:cs="宋体" w:eastAsia="宋体" w:hint="default"/>
                            <w:sz w:val="18"/>
                            <w:szCs w:val="18"/>
                          </w:rPr>
                          <w:t>222.6667</w:t>
                        </w:r>
                        <w:r>
                          <w:rPr>
                            <w:rFonts w:ascii="宋体" w:hAnsi="宋体" w:cs="宋体" w:eastAsia="宋体" w:hint="default"/>
                            <w:spacing w:val="-46"/>
                            <w:sz w:val="18"/>
                            <w:szCs w:val="18"/>
                          </w:rPr>
                          <w:t> </w:t>
                        </w:r>
                        <w:r>
                          <w:rPr>
                            <w:rFonts w:ascii="宋体" w:hAnsi="宋体" w:cs="宋体" w:eastAsia="宋体" w:hint="default"/>
                            <w:sz w:val="18"/>
                            <w:szCs w:val="18"/>
                          </w:rPr>
                          <w:t>万元转让给趣游时代（北京）科 技有限公司，截止报告期末公司不再持有北京恒易传奇科技有限责任公司股权。</w:t>
                        </w:r>
                      </w:p>
                    </w:tc>
                  </w:tr>
                  <w:tr>
                    <w:trPr>
                      <w:trHeight w:val="1025" w:hRule="exact"/>
                    </w:trPr>
                    <w:tc>
                      <w:tcPr>
                        <w:tcW w:w="3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年末无形资产</w:t>
                        </w:r>
                        <w:r>
                          <w:rPr>
                            <w:rFonts w:ascii="宋体" w:hAnsi="宋体" w:cs="宋体" w:eastAsia="宋体" w:hint="default"/>
                            <w:spacing w:val="-49"/>
                            <w:sz w:val="18"/>
                            <w:szCs w:val="18"/>
                          </w:rPr>
                          <w:t> </w:t>
                        </w:r>
                        <w:r>
                          <w:rPr>
                            <w:rFonts w:ascii="宋体" w:hAnsi="宋体" w:cs="宋体" w:eastAsia="宋体" w:hint="default"/>
                            <w:sz w:val="18"/>
                            <w:szCs w:val="18"/>
                          </w:rPr>
                          <w:t>5,969.09</w:t>
                        </w:r>
                        <w:r>
                          <w:rPr>
                            <w:rFonts w:ascii="宋体" w:hAnsi="宋体" w:cs="宋体" w:eastAsia="宋体" w:hint="default"/>
                            <w:spacing w:val="-47"/>
                            <w:sz w:val="18"/>
                            <w:szCs w:val="18"/>
                          </w:rPr>
                          <w:t> </w:t>
                        </w:r>
                        <w:r>
                          <w:rPr>
                            <w:rFonts w:ascii="宋体" w:hAnsi="宋体" w:cs="宋体" w:eastAsia="宋体" w:hint="default"/>
                            <w:sz w:val="18"/>
                            <w:szCs w:val="18"/>
                          </w:rPr>
                          <w:t>万元，较上年同期增长</w:t>
                        </w:r>
                        <w:r>
                          <w:rPr>
                            <w:rFonts w:ascii="宋体" w:hAnsi="宋体" w:cs="宋体" w:eastAsia="宋体" w:hint="default"/>
                            <w:spacing w:val="-47"/>
                            <w:sz w:val="18"/>
                            <w:szCs w:val="18"/>
                          </w:rPr>
                          <w:t> </w:t>
                        </w:r>
                        <w:r>
                          <w:rPr>
                            <w:rFonts w:ascii="宋体" w:hAnsi="宋体" w:cs="宋体" w:eastAsia="宋体" w:hint="default"/>
                            <w:sz w:val="18"/>
                            <w:szCs w:val="18"/>
                          </w:rPr>
                          <w:t>5,761.55</w:t>
                        </w:r>
                        <w:r>
                          <w:rPr>
                            <w:rFonts w:ascii="宋体" w:hAnsi="宋体" w:cs="宋体" w:eastAsia="宋体" w:hint="default"/>
                            <w:spacing w:val="-44"/>
                            <w:sz w:val="18"/>
                            <w:szCs w:val="18"/>
                          </w:rPr>
                          <w:t> </w:t>
                        </w:r>
                        <w:r>
                          <w:rPr>
                            <w:rFonts w:ascii="宋体" w:hAnsi="宋体" w:cs="宋体" w:eastAsia="宋体" w:hint="default"/>
                            <w:sz w:val="18"/>
                            <w:szCs w:val="18"/>
                          </w:rPr>
                          <w:t>万元，主要系本年购 买南京浦口土地使用权、收购北京中软华泰信息技术有限责任公司无形资产增加以 及研发费用资本化转无形资产所致。</w:t>
                        </w:r>
                      </w:p>
                    </w:tc>
                  </w:tr>
                  <w:tr>
                    <w:trPr>
                      <w:trHeight w:val="403" w:hRule="exact"/>
                    </w:trPr>
                    <w:tc>
                      <w:tcPr>
                        <w:tcW w:w="3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建设武汉研发中心投入</w:t>
                        </w:r>
                        <w:r>
                          <w:rPr>
                            <w:rFonts w:ascii="宋体" w:hAnsi="宋体" w:cs="宋体" w:eastAsia="宋体" w:hint="default"/>
                            <w:spacing w:val="-47"/>
                            <w:sz w:val="18"/>
                            <w:szCs w:val="18"/>
                          </w:rPr>
                          <w:t> </w:t>
                        </w:r>
                        <w:r>
                          <w:rPr>
                            <w:rFonts w:ascii="宋体" w:hAnsi="宋体" w:cs="宋体" w:eastAsia="宋体" w:hint="default"/>
                            <w:sz w:val="18"/>
                            <w:szCs w:val="18"/>
                          </w:rPr>
                          <w:t>1605.92</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335" w:lineRule="exact"/>
        <w:ind w:right="102"/>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2"/>
        <w:jc w:val="left"/>
      </w:pPr>
      <w:r>
        <w:rPr/>
        <w:t>√ 适用 □</w:t>
      </w:r>
      <w:r>
        <w:rPr>
          <w:spacing w:val="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left="0" w:right="101"/>
        <w:jc w:val="right"/>
      </w:pPr>
      <w:r>
        <w:rPr/>
        <w:pict>
          <v:shape style="position:absolute;margin-left:54.959999pt;margin-top:-103.358253pt;width:485.65pt;height:138.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8"/>
                    <w:gridCol w:w="1068"/>
                    <w:gridCol w:w="1138"/>
                    <w:gridCol w:w="1070"/>
                    <w:gridCol w:w="1071"/>
                    <w:gridCol w:w="1070"/>
                    <w:gridCol w:w="1073"/>
                    <w:gridCol w:w="1069"/>
                    <w:gridCol w:w="1070"/>
                  </w:tblGrid>
                  <w:tr>
                    <w:trPr>
                      <w:trHeight w:val="1027"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0" w:right="77"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3"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2"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2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center"/>
                          <w:rPr>
                            <w:rFonts w:ascii="宋体" w:hAnsi="宋体" w:cs="宋体" w:eastAsia="宋体" w:hint="default"/>
                            <w:sz w:val="18"/>
                            <w:szCs w:val="18"/>
                          </w:rPr>
                        </w:pPr>
                        <w:r>
                          <w:rPr>
                            <w:rFonts w:ascii="宋体" w:hAnsi="宋体" w:cs="宋体" w:eastAsia="宋体" w:hint="default"/>
                            <w:spacing w:val="-12"/>
                            <w:sz w:val="18"/>
                            <w:szCs w:val="18"/>
                          </w:rPr>
                          <w:t>北信源（马来</w:t>
                        </w:r>
                        <w:r>
                          <w:rPr>
                            <w:rFonts w:ascii="宋体" w:hAnsi="宋体" w:cs="宋体" w:eastAsia="宋体" w:hint="default"/>
                            <w:sz w:val="18"/>
                            <w:szCs w:val="18"/>
                          </w:rPr>
                          <w:t> </w:t>
                        </w:r>
                        <w:r>
                          <w:rPr>
                            <w:rFonts w:ascii="宋体" w:hAnsi="宋体" w:cs="宋体" w:eastAsia="宋体" w:hint="default"/>
                            <w:spacing w:val="-12"/>
                            <w:sz w:val="18"/>
                            <w:szCs w:val="18"/>
                          </w:rPr>
                          <w:t>西亚）信息技</w:t>
                        </w:r>
                        <w:r>
                          <w:rPr>
                            <w:rFonts w:ascii="宋体" w:hAnsi="宋体" w:cs="宋体" w:eastAsia="宋体" w:hint="default"/>
                            <w:sz w:val="18"/>
                            <w:szCs w:val="18"/>
                          </w:rPr>
                          <w:t> 术公司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5,846,187.19</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元人民币</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自主经营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-1,380,698</w:t>
                        </w:r>
                      </w:p>
                      <w:p>
                        <w:pPr>
                          <w:pStyle w:val="TableParagraph"/>
                          <w:spacing w:line="240" w:lineRule="auto" w:before="76"/>
                          <w:ind w:left="172"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5" w:right="0"/>
                          <w:jc w:val="left"/>
                          <w:rPr>
                            <w:rFonts w:ascii="宋体" w:hAnsi="宋体" w:cs="宋体" w:eastAsia="宋体" w:hint="default"/>
                            <w:sz w:val="18"/>
                            <w:szCs w:val="18"/>
                          </w:rPr>
                        </w:pPr>
                        <w:r>
                          <w:rPr>
                            <w:rFonts w:ascii="宋体"/>
                            <w:sz w:val="18"/>
                          </w:rPr>
                          <w:t>0.70%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63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月公司第二届董事</w:t>
                        </w:r>
                        <w:r>
                          <w:rPr>
                            <w:rFonts w:ascii="宋体" w:hAnsi="宋体" w:cs="宋体" w:eastAsia="宋体" w:hint="default"/>
                            <w:spacing w:val="-3"/>
                            <w:sz w:val="18"/>
                            <w:szCs w:val="18"/>
                          </w:rPr>
                          <w:t>会</w:t>
                        </w:r>
                        <w:r>
                          <w:rPr>
                            <w:rFonts w:ascii="宋体" w:hAnsi="宋体" w:cs="宋体" w:eastAsia="宋体" w:hint="default"/>
                            <w:sz w:val="18"/>
                            <w:szCs w:val="18"/>
                          </w:rPr>
                          <w:t>第三次临时会议审议通过</w:t>
                        </w:r>
                        <w:r>
                          <w:rPr>
                            <w:rFonts w:ascii="宋体" w:hAnsi="宋体" w:cs="宋体" w:eastAsia="宋体" w:hint="default"/>
                            <w:spacing w:val="-92"/>
                            <w:sz w:val="18"/>
                            <w:szCs w:val="18"/>
                          </w:rPr>
                          <w:t>了</w:t>
                        </w:r>
                        <w:r>
                          <w:rPr>
                            <w:rFonts w:ascii="宋体" w:hAnsi="宋体" w:cs="宋体" w:eastAsia="宋体" w:hint="default"/>
                            <w:sz w:val="18"/>
                            <w:szCs w:val="18"/>
                          </w:rPr>
                          <w:t>《</w:t>
                        </w:r>
                        <w:r>
                          <w:rPr>
                            <w:rFonts w:ascii="宋体" w:hAnsi="宋体" w:cs="宋体" w:eastAsia="宋体" w:hint="default"/>
                            <w:spacing w:val="2"/>
                            <w:sz w:val="18"/>
                            <w:szCs w:val="18"/>
                          </w:rPr>
                          <w:t>关</w:t>
                        </w:r>
                        <w:r>
                          <w:rPr>
                            <w:rFonts w:ascii="宋体" w:hAnsi="宋体" w:cs="宋体" w:eastAsia="宋体" w:hint="default"/>
                            <w:sz w:val="18"/>
                            <w:szCs w:val="18"/>
                          </w:rPr>
                          <w:t>于以部分超募资金设立境外全资子公司的议案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同意使用超募资金</w:t>
                        </w:r>
                        <w:r>
                          <w:rPr>
                            <w:rFonts w:ascii="宋体" w:hAnsi="宋体" w:cs="宋体" w:eastAsia="宋体" w:hint="default"/>
                            <w:spacing w:val="-48"/>
                            <w:sz w:val="18"/>
                            <w:szCs w:val="18"/>
                          </w:rPr>
                          <w:t> </w:t>
                        </w:r>
                        <w:r>
                          <w:rPr>
                            <w:rFonts w:ascii="宋体" w:hAnsi="宋体" w:cs="宋体" w:eastAsia="宋体" w:hint="default"/>
                            <w:sz w:val="18"/>
                            <w:szCs w:val="18"/>
                          </w:rPr>
                          <w:t>1,000.00</w:t>
                        </w:r>
                        <w:r>
                          <w:rPr>
                            <w:rFonts w:ascii="宋体" w:hAnsi="宋体" w:cs="宋体" w:eastAsia="宋体" w:hint="default"/>
                            <w:spacing w:val="-45"/>
                            <w:sz w:val="18"/>
                            <w:szCs w:val="18"/>
                          </w:rPr>
                          <w:t> </w:t>
                        </w:r>
                        <w:r>
                          <w:rPr>
                            <w:rFonts w:ascii="宋体" w:hAnsi="宋体" w:cs="宋体" w:eastAsia="宋体" w:hint="default"/>
                            <w:sz w:val="18"/>
                            <w:szCs w:val="18"/>
                          </w:rPr>
                          <w:t>万元用于建设马来西亚研发中心，并已完成注册登记手续。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93"/>
        <w:ind w:right="102"/>
        <w:jc w:val="left"/>
        <w:rPr>
          <w:b w:val="0"/>
          <w:bCs w:val="0"/>
        </w:rPr>
      </w:pPr>
      <w:r>
        <w:rPr/>
        <w:t>三、核心竞争力分析</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02" w:firstLine="360"/>
        <w:jc w:val="left"/>
      </w:pPr>
      <w:r>
        <w:rPr/>
        <w:t>公司经过二十年的积淀，秉承着“信息之源、信誉之源、信心之源</w:t>
      </w:r>
      <w:r>
        <w:rPr>
          <w:spacing w:val="1"/>
        </w:rPr>
        <w:t> </w:t>
      </w:r>
      <w:r>
        <w:rPr/>
        <w:t>”的核心理念，依靠领先的产品、技术、服务致力</w:t>
      </w:r>
      <w:r>
        <w:rPr/>
        <w:t> </w:t>
      </w:r>
      <w:r>
        <w:rPr>
          <w:spacing w:val="-4"/>
        </w:rPr>
        <w:t>于成为业界领先的平台及服务商，公司积累了一定的市场资源、业务经验及客户口碑，不断深挖市场潜力，并积极与云计算、</w:t>
      </w:r>
      <w:r>
        <w:rPr>
          <w:spacing w:val="-46"/>
        </w:rPr>
        <w:t> </w:t>
      </w:r>
      <w:r>
        <w:rPr>
          <w:spacing w:val="-46"/>
        </w:rPr>
      </w:r>
      <w:r>
        <w:rPr/>
        <w:t>大数据、移动互联等新兴技术领域创新，拓展业务板块，巩固公司核心竞争力，核心竞争力主要表现在以下方面：</w:t>
      </w:r>
    </w:p>
    <w:p>
      <w:pPr>
        <w:pStyle w:val="BodyText"/>
        <w:spacing w:line="316" w:lineRule="auto" w:before="19"/>
        <w:ind w:left="513" w:right="102" w:firstLine="2"/>
        <w:jc w:val="left"/>
      </w:pPr>
      <w:r>
        <w:rPr>
          <w:rFonts w:ascii="宋体" w:hAnsi="宋体" w:cs="宋体" w:eastAsia="宋体" w:hint="default"/>
        </w:rPr>
        <w:t>1</w:t>
      </w:r>
      <w:r>
        <w:rPr/>
        <w:t>、资质优势 </w:t>
      </w:r>
      <w:r>
        <w:rPr>
          <w:spacing w:val="-2"/>
        </w:rPr>
        <w:t>由于行业的特殊性，对行业准入门槛要求较高，公司拥有较为完备的企业资质，公司具有计算机信息系统安全专用产品</w:t>
      </w:r>
    </w:p>
    <w:p>
      <w:pPr>
        <w:pStyle w:val="BodyText"/>
        <w:spacing w:line="316" w:lineRule="auto" w:before="19"/>
        <w:ind w:right="102"/>
        <w:jc w:val="left"/>
      </w:pPr>
      <w:r>
        <w:rPr>
          <w:spacing w:val="-2"/>
        </w:rPr>
        <w:t>销售许可证、涉密信息系统产品检测证书、军用信息安全产品认证证书、装备承制单位注册证书、商用密码产品销售许可证</w:t>
      </w:r>
      <w:r>
        <w:rPr>
          <w:spacing w:val="-65"/>
        </w:rPr>
        <w:t> </w:t>
      </w:r>
      <w:r>
        <w:rPr>
          <w:spacing w:val="-65"/>
        </w:rPr>
      </w:r>
      <w:r>
        <w:rPr/>
        <w:t>及生产定点单位证书、信息安全服务资质证书等各项专业资质。</w:t>
      </w:r>
    </w:p>
    <w:p>
      <w:pPr>
        <w:spacing w:after="0" w:line="316"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right="191" w:firstLine="360"/>
        <w:jc w:val="both"/>
      </w:pPr>
      <w:r>
        <w:rPr/>
        <w:t>报告期内，公司取得了北京市通信管理局核发的“京</w:t>
      </w:r>
      <w:r>
        <w:rPr>
          <w:rFonts w:ascii="宋体" w:hAnsi="宋体" w:cs="宋体" w:eastAsia="宋体" w:hint="default"/>
        </w:rPr>
        <w:t>ICP</w:t>
      </w:r>
      <w:r>
        <w:rPr/>
        <w:t>证</w:t>
      </w:r>
      <w:r>
        <w:rPr>
          <w:rFonts w:ascii="宋体" w:hAnsi="宋体" w:cs="宋体" w:eastAsia="宋体" w:hint="default"/>
        </w:rPr>
        <w:t>150568</w:t>
      </w:r>
      <w:r>
        <w:rPr/>
        <w:t>号”《中华人民共和国电信与信息服务业务经营许可 </w:t>
      </w:r>
      <w:r>
        <w:rPr>
          <w:spacing w:val="-2"/>
        </w:rPr>
        <w:t>证》（有效期为</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日）和北京市通信管理局核发的</w:t>
      </w:r>
      <w:r>
        <w:rPr>
          <w:spacing w:val="28"/>
        </w:rPr>
        <w:t> </w:t>
      </w:r>
      <w:r>
        <w:rPr>
          <w:spacing w:val="-2"/>
        </w:rPr>
        <w:t>“京</w:t>
      </w:r>
      <w:r>
        <w:rPr>
          <w:rFonts w:ascii="宋体" w:hAnsi="宋体" w:cs="宋体" w:eastAsia="宋体" w:hint="default"/>
          <w:spacing w:val="-2"/>
        </w:rPr>
        <w:t>B2-20150056</w:t>
      </w:r>
      <w:r>
        <w:rPr>
          <w:spacing w:val="-2"/>
        </w:rPr>
        <w:t>号”《中华人民共和国增值电</w:t>
      </w:r>
      <w:r>
        <w:rPr>
          <w:spacing w:val="-80"/>
        </w:rPr>
        <w:t> </w:t>
      </w:r>
      <w:r>
        <w:rPr>
          <w:spacing w:val="-80"/>
        </w:rPr>
      </w:r>
      <w:r>
        <w:rPr/>
        <w:t>信业务经营许可证》（有效期自</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6</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5</w:t>
      </w:r>
      <w:r>
        <w:rPr/>
        <w:t>日）。</w:t>
      </w:r>
    </w:p>
    <w:p>
      <w:pPr>
        <w:pStyle w:val="BodyText"/>
        <w:spacing w:line="316" w:lineRule="auto" w:before="19"/>
        <w:ind w:right="190" w:firstLine="360"/>
        <w:jc w:val="both"/>
      </w:pPr>
      <w:r>
        <w:rPr/>
        <w:t>上述证书的取得将对公司目前经营产生积极影响</w:t>
      </w:r>
      <w:r>
        <w:rPr>
          <w:rFonts w:ascii="宋体" w:hAnsi="宋体" w:cs="宋体" w:eastAsia="宋体" w:hint="default"/>
        </w:rPr>
        <w:t>,</w:t>
      </w:r>
      <w:r>
        <w:rPr/>
        <w:t>标志着公司已为拓展互联网市场做好充分准备，将进军互联网信息服 </w:t>
      </w:r>
      <w:r>
        <w:rPr>
          <w:spacing w:val="-2"/>
        </w:rPr>
        <w:t>务和移动信息服务业务领域。公司将基于网络安全领域的长期积淀和创新技术，为用户提供具有核心竞争力的、安全的互联</w:t>
      </w:r>
      <w:r>
        <w:rPr>
          <w:spacing w:val="-63"/>
        </w:rPr>
        <w:t> </w:t>
      </w:r>
      <w:r>
        <w:rPr>
          <w:spacing w:val="-63"/>
        </w:rPr>
      </w:r>
      <w:r>
        <w:rPr/>
        <w:t>网技术、产品和服务。</w:t>
      </w:r>
    </w:p>
    <w:p>
      <w:pPr>
        <w:pStyle w:val="BodyText"/>
        <w:spacing w:line="316" w:lineRule="auto" w:before="19"/>
        <w:ind w:left="515" w:right="102" w:firstLine="88"/>
        <w:jc w:val="left"/>
      </w:pPr>
      <w:r>
        <w:rPr>
          <w:rFonts w:ascii="宋体" w:hAnsi="宋体" w:cs="宋体" w:eastAsia="宋体" w:hint="default"/>
        </w:rPr>
        <w:t>2</w:t>
      </w:r>
      <w:r>
        <w:rPr/>
        <w:t>、技术研发优势 </w:t>
      </w:r>
      <w:r>
        <w:rPr>
          <w:spacing w:val="-2"/>
        </w:rPr>
        <w:t>公司已构建完备的技术创新发展体系，拥有一支高素质、专业化的研发队伍，在不断加大研发投入的基础上，通过自主</w:t>
      </w:r>
    </w:p>
    <w:p>
      <w:pPr>
        <w:pStyle w:val="BodyText"/>
        <w:spacing w:line="316" w:lineRule="auto" w:before="19"/>
        <w:ind w:right="191"/>
        <w:jc w:val="both"/>
      </w:pPr>
      <w:r>
        <w:rPr>
          <w:spacing w:val="-2"/>
        </w:rPr>
        <w:t>创新与技术引进相组合，在终端安全管理、数据防泄漏、网络准入控制、终端大数据分析、平台化的安全即时通信、云安全</w:t>
      </w:r>
      <w:r>
        <w:rPr>
          <w:spacing w:val="-68"/>
        </w:rPr>
        <w:t> </w:t>
      </w:r>
      <w:r>
        <w:rPr>
          <w:spacing w:val="-68"/>
        </w:rPr>
      </w:r>
      <w:r>
        <w:rPr>
          <w:spacing w:val="-2"/>
        </w:rPr>
        <w:t>管理平台等方向取得了显著的科技优势，发布了系列创新性的产品。同时，以满足用户需求为引领，通过向用户提供定制化</w:t>
      </w:r>
      <w:r>
        <w:rPr>
          <w:spacing w:val="-64"/>
        </w:rPr>
        <w:t> </w:t>
      </w:r>
      <w:r>
        <w:rPr>
          <w:spacing w:val="-64"/>
        </w:rPr>
      </w:r>
      <w:r>
        <w:rPr/>
        <w:t>的安全解决方案，为用户提供一流的产品和服务。</w:t>
      </w:r>
    </w:p>
    <w:p>
      <w:pPr>
        <w:pStyle w:val="BodyText"/>
        <w:spacing w:line="316" w:lineRule="auto" w:before="19"/>
        <w:ind w:right="94" w:firstLine="360"/>
        <w:jc w:val="left"/>
      </w:pPr>
      <w:r>
        <w:rPr/>
        <w:t>公司是国家级高新技术企业，以不断推动企业自主创新为己任，每年均承担国家部委和省市级重大科研和产业化项目， </w:t>
      </w:r>
      <w:r>
        <w:rPr>
          <w:spacing w:val="-2"/>
        </w:rPr>
        <w:t>特别是新一代互联网安全聚合通道和终端大数据安全分析北京市工程实验室项目的建设，确保了公司在行业内长期的竞争优</w:t>
      </w:r>
      <w:r>
        <w:rPr>
          <w:spacing w:val="-64"/>
        </w:rPr>
        <w:t> </w:t>
      </w:r>
      <w:r>
        <w:rPr>
          <w:spacing w:val="-64"/>
        </w:rPr>
      </w:r>
      <w:r>
        <w:rPr/>
        <w:t>势。截至报告期末，公司及全资子公司，已取得</w:t>
      </w:r>
      <w:r>
        <w:rPr>
          <w:rFonts w:ascii="宋体" w:hAnsi="宋体" w:cs="宋体" w:eastAsia="宋体" w:hint="default"/>
        </w:rPr>
        <w:t>12</w:t>
      </w:r>
      <w:r>
        <w:rPr/>
        <w:t>项专利，其中</w:t>
      </w:r>
      <w:r>
        <w:rPr>
          <w:rFonts w:ascii="宋体" w:hAnsi="宋体" w:cs="宋体" w:eastAsia="宋体" w:hint="default"/>
        </w:rPr>
        <w:t>8</w:t>
      </w:r>
      <w:r>
        <w:rPr/>
        <w:t>项发明专利，</w:t>
      </w:r>
      <w:r>
        <w:rPr>
          <w:rFonts w:ascii="宋体" w:hAnsi="宋体" w:cs="宋体" w:eastAsia="宋体" w:hint="default"/>
        </w:rPr>
        <w:t>3</w:t>
      </w:r>
      <w:r>
        <w:rPr/>
        <w:t>项实用新型专利、</w:t>
      </w:r>
      <w:r>
        <w:rPr>
          <w:rFonts w:ascii="宋体" w:hAnsi="宋体" w:cs="宋体" w:eastAsia="宋体" w:hint="default"/>
        </w:rPr>
        <w:t>1</w:t>
      </w:r>
      <w:r>
        <w:rPr/>
        <w:t>项外观设计专利。</w:t>
      </w:r>
    </w:p>
    <w:p>
      <w:pPr>
        <w:pStyle w:val="BodyText"/>
        <w:spacing w:line="316" w:lineRule="auto" w:before="19"/>
        <w:ind w:left="513" w:right="102" w:firstLine="31"/>
        <w:jc w:val="left"/>
      </w:pPr>
      <w:r>
        <w:rPr>
          <w:rFonts w:ascii="宋体" w:hAnsi="宋体" w:cs="宋体" w:eastAsia="宋体" w:hint="default"/>
        </w:rPr>
        <w:t>3</w:t>
      </w:r>
      <w:r>
        <w:rPr/>
        <w:t>、优质的客户资源 </w:t>
      </w:r>
      <w:r>
        <w:rPr>
          <w:spacing w:val="-2"/>
        </w:rPr>
        <w:t>随着技术的持续创新、业务体系的不断完善，公司与大批优质客户形成了稳定的合作关系，庞大的客户需求促进了公司</w:t>
      </w:r>
    </w:p>
    <w:p>
      <w:pPr>
        <w:pStyle w:val="BodyText"/>
        <w:spacing w:line="316" w:lineRule="auto" w:before="19"/>
        <w:ind w:right="190"/>
        <w:jc w:val="both"/>
      </w:pPr>
      <w:r>
        <w:rPr>
          <w:spacing w:val="-2"/>
        </w:rPr>
        <w:t>业务规模效应的持续提升，公司的盈利能力得到了稳步增长，进一步巩固公司的行业地位。同时公司凭借领先的技术与卓越</w:t>
      </w:r>
      <w:r>
        <w:rPr>
          <w:spacing w:val="-63"/>
        </w:rPr>
        <w:t> </w:t>
      </w:r>
      <w:r>
        <w:rPr>
          <w:spacing w:val="-63"/>
        </w:rPr>
      </w:r>
      <w:r>
        <w:rPr>
          <w:spacing w:val="-2"/>
        </w:rPr>
        <w:t>的服务，产品被广泛应用政府部门、军队及军工、能源、金融等不同类型的重要领域大型国有企事业单位。目前客户端的用</w:t>
      </w:r>
      <w:r>
        <w:rPr>
          <w:spacing w:val="-65"/>
        </w:rPr>
        <w:t> </w:t>
      </w:r>
      <w:r>
        <w:rPr>
          <w:spacing w:val="-65"/>
        </w:rPr>
      </w:r>
      <w:r>
        <w:rPr/>
        <w:t>户数量已超过千万，管理的网络达数千个，涉及各行业上千家用户。</w:t>
      </w:r>
    </w:p>
    <w:p>
      <w:pPr>
        <w:pStyle w:val="BodyText"/>
        <w:spacing w:line="319" w:lineRule="auto" w:before="19"/>
        <w:ind w:right="191" w:firstLine="360"/>
        <w:jc w:val="both"/>
      </w:pPr>
      <w:r>
        <w:rPr>
          <w:spacing w:val="-2"/>
        </w:rPr>
        <w:t>公司将会以现有客户群体为基础，推广新一代安全、开放、互联的新一代互联网安全聚合通道</w:t>
      </w:r>
      <w:r>
        <w:rPr>
          <w:rFonts w:ascii="宋体" w:hAnsi="宋体" w:cs="宋体" w:eastAsia="宋体" w:hint="default"/>
          <w:spacing w:val="-2"/>
        </w:rPr>
        <w:t>Linkdood</w:t>
      </w:r>
      <w:r>
        <w:rPr>
          <w:spacing w:val="-2"/>
        </w:rPr>
        <w:t>，在原有安全产</w:t>
      </w:r>
      <w:r>
        <w:rPr/>
        <w:t> </w:t>
      </w:r>
      <w:r>
        <w:rPr>
          <w:spacing w:val="-2"/>
        </w:rPr>
        <w:t>品、服务的基础上进一步为客户提供跨终端、全方位、安全可信的通信聚合平台，为企业和互联网用户提供即时通讯、协同</w:t>
      </w:r>
      <w:r>
        <w:rPr>
          <w:spacing w:val="-67"/>
        </w:rPr>
        <w:t> </w:t>
      </w:r>
      <w:r>
        <w:rPr>
          <w:spacing w:val="-67"/>
        </w:rPr>
      </w:r>
      <w:r>
        <w:rPr/>
        <w:t>办公、任务管理、</w:t>
      </w:r>
      <w:r>
        <w:rPr>
          <w:rFonts w:ascii="宋体" w:hAnsi="宋体" w:cs="宋体" w:eastAsia="宋体" w:hint="default"/>
        </w:rPr>
        <w:t>ERP</w:t>
      </w:r>
      <w:r>
        <w:rPr/>
        <w:t>改造、应用开发、万物互联、互联互通、聚合推广等多层的平台服务。</w:t>
      </w:r>
    </w:p>
    <w:p>
      <w:pPr>
        <w:pStyle w:val="BodyText"/>
        <w:spacing w:line="316" w:lineRule="auto" w:before="17"/>
        <w:ind w:left="544" w:right="242" w:hanging="32"/>
        <w:jc w:val="left"/>
      </w:pPr>
      <w:r>
        <w:rPr>
          <w:rFonts w:ascii="宋体" w:hAnsi="宋体" w:cs="宋体" w:eastAsia="宋体" w:hint="default"/>
        </w:rPr>
        <w:t>4</w:t>
      </w:r>
      <w:r>
        <w:rPr/>
        <w:t>、行业经验优势 由于政府部门、军工企业以及金融、能源等行业的信息网络和系统有其特殊性，因而信息安全建设需要在遵守国家等</w:t>
      </w:r>
    </w:p>
    <w:p>
      <w:pPr>
        <w:pStyle w:val="BodyText"/>
        <w:spacing w:line="316" w:lineRule="auto" w:before="19"/>
        <w:ind w:right="191"/>
        <w:jc w:val="both"/>
      </w:pPr>
      <w:r>
        <w:rPr>
          <w:spacing w:val="-2"/>
        </w:rPr>
        <w:t>级保护和分级保护等政策规定的基础上结合行业特点进行。只有对上述行业信息系统及其管理模式、业务特点进行全面和系</w:t>
      </w:r>
      <w:r>
        <w:rPr>
          <w:spacing w:val="-63"/>
        </w:rPr>
        <w:t> </w:t>
      </w:r>
      <w:r>
        <w:rPr>
          <w:spacing w:val="-63"/>
        </w:rPr>
      </w:r>
      <w:r>
        <w:rPr>
          <w:spacing w:val="-2"/>
        </w:rPr>
        <w:t>统的分析，才能开发出满足需求的终端安全管理产品和数据安全管理产品。作为少数在终端安全管理市场和数据安全管理市</w:t>
      </w:r>
      <w:r>
        <w:rPr>
          <w:spacing w:val="-64"/>
        </w:rPr>
        <w:t> </w:t>
      </w:r>
      <w:r>
        <w:rPr>
          <w:spacing w:val="-64"/>
        </w:rPr>
      </w:r>
      <w:r>
        <w:rPr>
          <w:spacing w:val="-2"/>
        </w:rPr>
        <w:t>场具有较强自主研发能力并拥有大量优质客户资源的企业，公司凭借与客户长期合作积累的丰富经验，能针对客户的个性化</w:t>
      </w:r>
      <w:r>
        <w:rPr>
          <w:spacing w:val="-64"/>
        </w:rPr>
        <w:t> </w:t>
      </w:r>
      <w:r>
        <w:rPr>
          <w:spacing w:val="-64"/>
        </w:rPr>
      </w:r>
      <w:r>
        <w:rPr/>
        <w:t>需求，迅速提出完整的、优化的、个性化的解决方案，具有较强的竞争优势。</w:t>
      </w:r>
    </w:p>
    <w:p>
      <w:pPr>
        <w:pStyle w:val="BodyText"/>
        <w:spacing w:line="316" w:lineRule="auto" w:before="19"/>
        <w:ind w:left="515" w:right="102"/>
        <w:jc w:val="left"/>
      </w:pPr>
      <w:r>
        <w:rPr>
          <w:rFonts w:ascii="宋体" w:hAnsi="宋体" w:cs="宋体" w:eastAsia="宋体" w:hint="default"/>
        </w:rPr>
        <w:t>5</w:t>
      </w:r>
      <w:r>
        <w:rPr/>
        <w:t>、核心团队稳定，人才优势明显 </w:t>
      </w:r>
      <w:r>
        <w:rPr>
          <w:spacing w:val="-2"/>
        </w:rPr>
        <w:t>公司自成立以来，十分注重对人才的挖掘培养和组织的建设，目前已经建立了较为完善的研发、产品管理、市场销售和</w:t>
      </w:r>
    </w:p>
    <w:p>
      <w:pPr>
        <w:pStyle w:val="BodyText"/>
        <w:spacing w:line="316" w:lineRule="auto" w:before="19"/>
        <w:ind w:right="190"/>
        <w:jc w:val="both"/>
      </w:pPr>
      <w:r>
        <w:rPr>
          <w:spacing w:val="-2"/>
        </w:rPr>
        <w:t>服务等系统专业人才体系。公司核心体系稳定，具有强大的技术实力和管理能力，能够准确把握行业发展趋势和方向，发现</w:t>
      </w:r>
      <w:r>
        <w:rPr>
          <w:spacing w:val="-64"/>
        </w:rPr>
        <w:t> </w:t>
      </w:r>
      <w:r>
        <w:rPr>
          <w:spacing w:val="-64"/>
        </w:rPr>
      </w:r>
      <w:r>
        <w:rPr/>
        <w:t>行业新的利润增长点，提升公司长期持续经营能力。</w:t>
      </w:r>
    </w:p>
    <w:p>
      <w:pPr>
        <w:pStyle w:val="BodyText"/>
        <w:spacing w:line="316" w:lineRule="auto" w:before="19"/>
        <w:ind w:right="102" w:firstLine="362"/>
        <w:jc w:val="both"/>
      </w:pPr>
      <w:r>
        <w:rPr>
          <w:spacing w:val="-2"/>
        </w:rPr>
        <w:t>报告期内，公司通过“第一期核心人员持股计划”增强员工与公司的凝聚力，实现公司利益、管理层利益与个人利益的</w:t>
      </w:r>
      <w:r>
        <w:rPr/>
        <w:t> </w:t>
      </w:r>
      <w:r>
        <w:rPr>
          <w:spacing w:val="-4"/>
        </w:rPr>
        <w:t>价值统一，为满足公司未来发展需要，公司将继续积极引进人才，尤其是技术、管理领域的专业人才，提升公司核心竞争力。</w:t>
      </w:r>
    </w:p>
    <w:p>
      <w:pPr>
        <w:pStyle w:val="BodyText"/>
        <w:spacing w:line="316" w:lineRule="auto" w:before="19"/>
        <w:ind w:left="515" w:right="102"/>
        <w:jc w:val="left"/>
      </w:pPr>
      <w:r>
        <w:rPr>
          <w:rFonts w:ascii="宋体" w:hAnsi="宋体" w:cs="宋体" w:eastAsia="宋体" w:hint="default"/>
        </w:rPr>
        <w:t>6</w:t>
      </w:r>
      <w:r>
        <w:rPr/>
        <w:t>、品牌优势 </w:t>
      </w:r>
      <w:r>
        <w:rPr>
          <w:spacing w:val="-2"/>
        </w:rPr>
        <w:t>公司自成立之初便一直注重品牌的培育和发展，致力于成为国内信息安全行业具有主导地位的产品和服务提供商。公司</w:t>
      </w:r>
    </w:p>
    <w:p>
      <w:pPr>
        <w:pStyle w:val="BodyText"/>
        <w:spacing w:line="316" w:lineRule="auto" w:before="19"/>
        <w:ind w:right="192"/>
        <w:jc w:val="both"/>
      </w:pPr>
      <w:r>
        <w:rPr>
          <w:spacing w:val="-2"/>
        </w:rPr>
        <w:t>以自有知识产权和核心技术为支撑，多项主要产品入围中央政府网络安全产品的采购协议供应商目录，并在政府部门、军工</w:t>
      </w:r>
      <w:r>
        <w:rPr>
          <w:spacing w:val="-64"/>
        </w:rPr>
        <w:t> </w:t>
      </w:r>
      <w:r>
        <w:rPr>
          <w:spacing w:val="-64"/>
        </w:rPr>
      </w:r>
      <w:r>
        <w:rPr/>
        <w:t>以及金融、能源等行业得到广泛运用，树立了良好的企业形象。</w:t>
      </w:r>
    </w:p>
    <w:p>
      <w:pPr>
        <w:pStyle w:val="BodyText"/>
        <w:spacing w:line="316" w:lineRule="auto" w:before="19"/>
        <w:ind w:right="100" w:firstLine="389"/>
        <w:jc w:val="both"/>
      </w:pPr>
      <w:r>
        <w:rPr>
          <w:spacing w:val="-7"/>
        </w:rPr>
        <w:t>报告期内，公司先后获得“</w:t>
      </w:r>
      <w:r>
        <w:rPr>
          <w:rFonts w:ascii="宋体" w:hAnsi="宋体" w:cs="宋体" w:eastAsia="宋体" w:hint="default"/>
          <w:spacing w:val="-7"/>
        </w:rPr>
        <w:t>2015</w:t>
      </w:r>
      <w:r>
        <w:rPr>
          <w:spacing w:val="-7"/>
        </w:rPr>
        <w:t>中国信息安全大数据安全优秀解决方案奖”、“</w:t>
      </w:r>
      <w:r>
        <w:rPr>
          <w:rFonts w:ascii="宋体" w:hAnsi="宋体" w:cs="宋体" w:eastAsia="宋体" w:hint="default"/>
          <w:spacing w:val="-7"/>
        </w:rPr>
        <w:t>2015</w:t>
      </w:r>
      <w:r>
        <w:rPr>
          <w:spacing w:val="-7"/>
        </w:rPr>
        <w:t>中国信息安全领军业”、“</w:t>
      </w:r>
      <w:r>
        <w:rPr>
          <w:rFonts w:ascii="宋体" w:hAnsi="宋体" w:cs="宋体" w:eastAsia="宋体" w:hint="default"/>
          <w:spacing w:val="-7"/>
        </w:rPr>
        <w:t>2014-2015</w:t>
      </w:r>
      <w:r>
        <w:rPr>
          <w:rFonts w:ascii="宋体" w:hAnsi="宋体" w:cs="宋体" w:eastAsia="宋体" w:hint="default"/>
        </w:rPr>
        <w:t> </w:t>
      </w:r>
      <w:r>
        <w:rPr>
          <w:spacing w:val="-2"/>
        </w:rPr>
        <w:t>中国终端安全管理市场年度成功企业”、“</w:t>
      </w:r>
      <w:r>
        <w:rPr>
          <w:rFonts w:ascii="宋体" w:hAnsi="宋体" w:cs="宋体" w:eastAsia="宋体" w:hint="default"/>
          <w:spacing w:val="-2"/>
        </w:rPr>
        <w:t>2015</w:t>
      </w:r>
      <w:r>
        <w:rPr>
          <w:spacing w:val="-2"/>
        </w:rPr>
        <w:t>北京市诚信创建企业”、“</w:t>
      </w:r>
      <w:r>
        <w:rPr>
          <w:rFonts w:ascii="宋体" w:hAnsi="宋体" w:cs="宋体" w:eastAsia="宋体" w:hint="default"/>
          <w:spacing w:val="-2"/>
        </w:rPr>
        <w:t>2015</w:t>
      </w:r>
      <w:r>
        <w:rPr>
          <w:spacing w:val="-2"/>
        </w:rPr>
        <w:t>年度辽宁省科学技术一等奖”、“</w:t>
      </w:r>
      <w:r>
        <w:rPr>
          <w:rFonts w:ascii="宋体" w:hAnsi="宋体" w:cs="宋体" w:eastAsia="宋体" w:hint="default"/>
          <w:spacing w:val="-2"/>
        </w:rPr>
        <w:t>2015</w:t>
      </w:r>
      <w:r>
        <w:rPr>
          <w:spacing w:val="-2"/>
        </w:rPr>
        <w:t>年最</w:t>
      </w:r>
      <w:r>
        <w:rPr>
          <w:spacing w:val="-56"/>
        </w:rPr>
        <w:t> </w:t>
      </w:r>
      <w:r>
        <w:rPr>
          <w:spacing w:val="-2"/>
        </w:rPr>
        <w:t>受投资者尊重的上市公司”等荣誉。公司“北信源”、“</w:t>
      </w:r>
      <w:r>
        <w:rPr>
          <w:rFonts w:ascii="宋体" w:hAnsi="宋体" w:cs="宋体" w:eastAsia="宋体" w:hint="default"/>
          <w:spacing w:val="-2"/>
        </w:rPr>
        <w:t>VRV</w:t>
      </w:r>
      <w:r>
        <w:rPr>
          <w:spacing w:val="-2"/>
        </w:rPr>
        <w:t>”品牌作为信息安全领域的知名品牌，已成为产品质量的保证。</w:t>
      </w:r>
    </w:p>
    <w:p>
      <w:pPr>
        <w:pStyle w:val="BodyText"/>
        <w:spacing w:line="319" w:lineRule="auto" w:before="19"/>
        <w:ind w:left="544" w:right="242"/>
        <w:jc w:val="left"/>
      </w:pPr>
      <w:r>
        <w:rPr>
          <w:rFonts w:ascii="宋体" w:hAnsi="宋体" w:cs="宋体" w:eastAsia="宋体" w:hint="default"/>
        </w:rPr>
        <w:t>7</w:t>
      </w:r>
      <w:r>
        <w:rPr/>
        <w:t>、拥有覆盖广泛的营销服务体系 公司拥有覆盖广泛的营销服务体系营销与服务网络覆盖全国七大区、近三十个省市。营销服务体系由总部一站式支持</w:t>
      </w:r>
    </w:p>
    <w:p>
      <w:pPr>
        <w:pStyle w:val="BodyText"/>
        <w:spacing w:line="240" w:lineRule="auto" w:before="17"/>
        <w:ind w:right="0"/>
        <w:jc w:val="both"/>
      </w:pPr>
      <w:r>
        <w:rPr/>
        <w:t>服务中心、大区营销服务中心和各城市营销服务网点三级联动管理机构组成，由专业人员向用户提供支持、安全评估、紧急</w:t>
      </w:r>
    </w:p>
    <w:p>
      <w:pPr>
        <w:spacing w:after="0" w:line="240" w:lineRule="auto"/>
        <w:jc w:val="both"/>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right="0"/>
        <w:jc w:val="left"/>
      </w:pPr>
      <w:r>
        <w:rPr>
          <w:spacing w:val="-2"/>
        </w:rPr>
        <w:t>救援及客户跟踪等售后服务与咨询工作。公司凭借这一广覆盖、快响应的营销服务体系，能够帮助客户快速了解产品的功能</w:t>
      </w:r>
      <w:r>
        <w:rPr>
          <w:spacing w:val="-65"/>
        </w:rPr>
        <w:t> </w:t>
      </w:r>
      <w:r>
        <w:rPr>
          <w:spacing w:val="-65"/>
        </w:rPr>
      </w:r>
      <w:r>
        <w:rPr/>
        <w:t>和使用方法，降低新产品推广的难度。</w:t>
      </w:r>
    </w:p>
    <w:p>
      <w:pPr>
        <w:spacing w:after="0" w:line="316" w:lineRule="auto"/>
        <w:jc w:val="left"/>
        <w:sectPr>
          <w:pgSz w:w="11910" w:h="16840"/>
          <w:pgMar w:header="781" w:footer="979"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1"/>
        <w:spacing w:line="456" w:lineRule="exact"/>
        <w:ind w:left="3125" w:right="110"/>
        <w:jc w:val="left"/>
        <w:rPr>
          <w:b w:val="0"/>
          <w:bCs w:val="0"/>
        </w:rPr>
      </w:pPr>
      <w:bookmarkStart w:name="_TOC_250007" w:id="2"/>
      <w:r>
        <w:rPr/>
        <w:t>第四节 </w:t>
      </w:r>
      <w:r>
        <w:rPr>
          <w:spacing w:val="10"/>
        </w:rPr>
        <w:t> </w:t>
      </w:r>
      <w:r>
        <w:rPr/>
        <w:t>管理层讨论与分析</w:t>
      </w:r>
      <w:bookmarkEnd w:id="2"/>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11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10" w:firstLine="346"/>
        <w:jc w:val="left"/>
      </w:pPr>
      <w:r>
        <w:rPr>
          <w:spacing w:val="-2"/>
        </w:rPr>
        <w:t>公司紧紧围绕年度发展规划及经营目标，践行“信息安全、大数据、互联网”三大战略布局，以创新为基础，以市场需</w:t>
      </w:r>
      <w:r>
        <w:rPr/>
        <w:t> </w:t>
      </w:r>
      <w:r>
        <w:rPr>
          <w:spacing w:val="-4"/>
        </w:rPr>
        <w:t>求为导向，不断加大各项产业布局和新技术、新产品的研发投入，公司在研发创新方面、产品完善方面、营销体系建设方面、</w:t>
      </w:r>
      <w:r>
        <w:rPr>
          <w:spacing w:val="-43"/>
        </w:rPr>
        <w:t> </w:t>
      </w:r>
      <w:r>
        <w:rPr>
          <w:spacing w:val="-43"/>
        </w:rPr>
      </w:r>
      <w:r>
        <w:rPr>
          <w:spacing w:val="-2"/>
        </w:rPr>
        <w:t>人才储备方面、运营管理等方面都取得了良好成绩，为公司稳定发展奠定了较好的基础，深化和巩固公司在国内信息安全领</w:t>
      </w:r>
      <w:r>
        <w:rPr>
          <w:spacing w:val="-63"/>
        </w:rPr>
        <w:t> </w:t>
      </w:r>
      <w:r>
        <w:rPr>
          <w:spacing w:val="-63"/>
        </w:rPr>
      </w:r>
      <w:r>
        <w:rPr/>
        <w:t>域的领军地位。</w:t>
      </w:r>
    </w:p>
    <w:p>
      <w:pPr>
        <w:pStyle w:val="BodyText"/>
        <w:spacing w:line="316" w:lineRule="auto" w:before="19"/>
        <w:ind w:right="110" w:firstLine="360"/>
        <w:jc w:val="left"/>
      </w:pPr>
      <w:r>
        <w:rPr>
          <w:rFonts w:ascii="宋体" w:hAnsi="宋体" w:cs="宋体" w:eastAsia="宋体" w:hint="default"/>
          <w:spacing w:val="-2"/>
        </w:rPr>
        <w:t>2015</w:t>
      </w:r>
      <w:r>
        <w:rPr>
          <w:spacing w:val="-2"/>
        </w:rPr>
        <w:t>年，公司凭借领先的技术、创新的产品促进和完善了销售体系，实现了销售收入的稳步增长，报告期内，公司紧紧</w:t>
      </w:r>
      <w:r>
        <w:rPr/>
        <w:t> </w:t>
      </w:r>
      <w:r>
        <w:rPr>
          <w:spacing w:val="-3"/>
        </w:rPr>
        <w:t>抓住国家政策向好带来的机遇，积极推进内生式增长和外延式扩张发展，实现营业收入</w:t>
      </w:r>
      <w:r>
        <w:rPr>
          <w:rFonts w:ascii="宋体" w:hAnsi="宋体" w:cs="宋体" w:eastAsia="宋体" w:hint="default"/>
          <w:spacing w:val="-3"/>
        </w:rPr>
        <w:t>470,015,347.51</w:t>
      </w:r>
      <w:r>
        <w:rPr>
          <w:spacing w:val="-3"/>
        </w:rPr>
        <w:t>元，同比增长</w:t>
      </w:r>
      <w:r>
        <w:rPr>
          <w:rFonts w:ascii="宋体" w:hAnsi="宋体" w:cs="宋体" w:eastAsia="宋体" w:hint="default"/>
          <w:spacing w:val="-3"/>
        </w:rPr>
        <w:t>78.89%</w:t>
      </w:r>
      <w:r>
        <w:rPr>
          <w:spacing w:val="-3"/>
        </w:rPr>
        <w:t>，</w:t>
      </w:r>
      <w:r>
        <w:rPr>
          <w:spacing w:val="-70"/>
        </w:rPr>
        <w:t> </w:t>
      </w:r>
      <w:r>
        <w:rPr/>
        <w:t>实现归属于上市公司股东净利润</w:t>
      </w:r>
      <w:r>
        <w:rPr>
          <w:rFonts w:ascii="宋体" w:hAnsi="宋体" w:cs="宋体" w:eastAsia="宋体" w:hint="default"/>
        </w:rPr>
        <w:t>70,719,566.59</w:t>
      </w:r>
      <w:r>
        <w:rPr/>
        <w:t>元，同比增长</w:t>
      </w:r>
      <w:r>
        <w:rPr>
          <w:rFonts w:ascii="宋体" w:hAnsi="宋体" w:cs="宋体" w:eastAsia="宋体" w:hint="default"/>
        </w:rPr>
        <w:t>4.01%</w:t>
      </w:r>
      <w:r>
        <w:rPr/>
        <w:t>。报告期内公司运营情况如下：</w:t>
      </w:r>
    </w:p>
    <w:p>
      <w:pPr>
        <w:pStyle w:val="BodyText"/>
        <w:spacing w:line="240" w:lineRule="auto" w:before="19"/>
        <w:ind w:left="513" w:right="110"/>
        <w:jc w:val="left"/>
      </w:pPr>
      <w:r>
        <w:rPr>
          <w:rFonts w:ascii="宋体" w:hAnsi="宋体" w:cs="宋体" w:eastAsia="宋体" w:hint="default"/>
        </w:rPr>
        <w:t>1</w:t>
      </w:r>
      <w:r>
        <w:rPr/>
        <w:t>、持续加大研发投入，全面强化公司核心竞争力</w:t>
      </w:r>
    </w:p>
    <w:p>
      <w:pPr>
        <w:pStyle w:val="BodyText"/>
        <w:spacing w:line="316" w:lineRule="auto" w:before="76"/>
        <w:ind w:right="209" w:firstLine="360"/>
        <w:jc w:val="both"/>
      </w:pPr>
      <w:r>
        <w:rPr>
          <w:rFonts w:ascii="宋体" w:hAnsi="宋体" w:cs="宋体" w:eastAsia="宋体" w:hint="default"/>
        </w:rPr>
        <w:t>2015</w:t>
      </w:r>
      <w:r>
        <w:rPr/>
        <w:t>年全年公司研发投入金额</w:t>
      </w:r>
      <w:r>
        <w:rPr>
          <w:rFonts w:ascii="宋体" w:hAnsi="宋体" w:cs="宋体" w:eastAsia="宋体" w:hint="default"/>
        </w:rPr>
        <w:t>58,597,959.08</w:t>
      </w:r>
      <w:r>
        <w:rPr/>
        <w:t>元，较上年同期增长</w:t>
      </w:r>
      <w:r>
        <w:rPr>
          <w:rFonts w:ascii="宋体" w:hAnsi="宋体" w:cs="宋体" w:eastAsia="宋体" w:hint="default"/>
        </w:rPr>
        <w:t>19.09%</w:t>
      </w:r>
      <w:r>
        <w:rPr/>
        <w:t>。公司首次公开发行股票募投项目终端安全管 </w:t>
      </w:r>
      <w:r>
        <w:rPr>
          <w:spacing w:val="-2"/>
        </w:rPr>
        <w:t>理整体解决方案升级项目、数据安全管理整体解决方案研发项目、企业级云安全管理平台项目均已投资建设完成并达到了预</w:t>
      </w:r>
      <w:r>
        <w:rPr>
          <w:spacing w:val="-64"/>
        </w:rPr>
        <w:t> </w:t>
      </w:r>
      <w:r>
        <w:rPr>
          <w:spacing w:val="-64"/>
        </w:rPr>
      </w:r>
      <w:r>
        <w:rPr>
          <w:spacing w:val="-2"/>
        </w:rPr>
        <w:t>期效益。公司在增强传统产业核心竞争力的同时更适时推出北信源企业移动管理平台、基于内网大数据分析、移动互联等各</w:t>
      </w:r>
      <w:r>
        <w:rPr>
          <w:spacing w:val="-62"/>
        </w:rPr>
        <w:t> </w:t>
      </w:r>
      <w:r>
        <w:rPr>
          <w:spacing w:val="-62"/>
        </w:rPr>
      </w:r>
      <w:r>
        <w:rPr/>
        <w:t>类新产品、新服务，紧随“互联网</w:t>
      </w:r>
      <w:r>
        <w:rPr>
          <w:rFonts w:ascii="宋体" w:hAnsi="宋体" w:cs="宋体" w:eastAsia="宋体" w:hint="default"/>
        </w:rPr>
        <w:t>+</w:t>
      </w:r>
      <w:r>
        <w:rPr/>
        <w:t>”发展浪潮，进一步构建信息安全管理产品的综合平台，努力保持产品和技术的创新性 </w:t>
      </w:r>
      <w:r>
        <w:rPr>
          <w:spacing w:val="-2"/>
        </w:rPr>
        <w:t>和前瞻性。公司积极探索传统信息安全业务与互联网行业的融合，有利于公司实现传统终端安全和互联网信息安全双轮驱动</w:t>
      </w:r>
      <w:r>
        <w:rPr>
          <w:spacing w:val="-64"/>
        </w:rPr>
        <w:t> </w:t>
      </w:r>
      <w:r>
        <w:rPr>
          <w:spacing w:val="-64"/>
        </w:rPr>
      </w:r>
      <w:r>
        <w:rPr/>
        <w:t>的业务新格局，开拓新的业务模式，形成新的利润持续增长极。</w:t>
      </w:r>
    </w:p>
    <w:p>
      <w:pPr>
        <w:pStyle w:val="BodyText"/>
        <w:spacing w:line="316" w:lineRule="auto" w:before="19"/>
        <w:ind w:right="209" w:firstLine="362"/>
        <w:jc w:val="both"/>
      </w:pPr>
      <w:r>
        <w:rPr>
          <w:spacing w:val="-2"/>
        </w:rPr>
        <w:t>报告期内，公司提出了“大数据加固内网安全，大数据提升管理效率”的理念。一方面，在传统业务的基础上进一步拓</w:t>
      </w:r>
      <w:r>
        <w:rPr/>
        <w:t> </w:t>
      </w:r>
      <w:r>
        <w:rPr>
          <w:spacing w:val="-2"/>
        </w:rPr>
        <w:t>展了终端的外延，将管理范围延伸到移动终端、国产化终端、虚拟化终端以及非智能终端等领域，为大数据处理提供了更为</w:t>
      </w:r>
      <w:r>
        <w:rPr>
          <w:spacing w:val="-64"/>
        </w:rPr>
        <w:t> </w:t>
      </w:r>
      <w:r>
        <w:rPr>
          <w:spacing w:val="-64"/>
        </w:rPr>
      </w:r>
      <w:r>
        <w:rPr>
          <w:spacing w:val="-2"/>
        </w:rPr>
        <w:t>丰富的数据来源；另一方面，公司采用了云计算及大数据技术，重构并优化了传统产品体系，将安全管理与企业业务流程进</w:t>
      </w:r>
      <w:r>
        <w:rPr>
          <w:spacing w:val="-64"/>
        </w:rPr>
        <w:t> </w:t>
      </w:r>
      <w:r>
        <w:rPr>
          <w:spacing w:val="-64"/>
        </w:rPr>
      </w:r>
      <w:r>
        <w:rPr>
          <w:spacing w:val="-2"/>
        </w:rPr>
        <w:t>行深度融合，对网络流量、用户行为、业务模式、安全事件进行更为智能的采集、存储和分析，实现了固定和移动办公、安</w:t>
      </w:r>
      <w:r>
        <w:rPr>
          <w:spacing w:val="-73"/>
        </w:rPr>
        <w:t> </w:t>
      </w:r>
      <w:r>
        <w:rPr>
          <w:spacing w:val="-73"/>
        </w:rPr>
      </w:r>
      <w:r>
        <w:rPr>
          <w:spacing w:val="-2"/>
        </w:rPr>
        <w:t>全管理和业务模式的无缝衔接，为企业及个人用户提供更为安全、智能、便捷、全面的内网及终端安全管理产品体系及解决</w:t>
      </w:r>
      <w:r>
        <w:rPr>
          <w:spacing w:val="-66"/>
        </w:rPr>
        <w:t> </w:t>
      </w:r>
      <w:r>
        <w:rPr>
          <w:spacing w:val="-66"/>
        </w:rPr>
      </w:r>
      <w:r>
        <w:rPr/>
        <w:t>方案。</w:t>
      </w:r>
    </w:p>
    <w:p>
      <w:pPr>
        <w:pStyle w:val="BodyText"/>
        <w:spacing w:line="316" w:lineRule="auto" w:before="19"/>
        <w:ind w:right="210" w:firstLine="362"/>
        <w:jc w:val="both"/>
      </w:pPr>
      <w:r>
        <w:rPr>
          <w:spacing w:val="-2"/>
        </w:rPr>
        <w:t>公司借助</w:t>
      </w:r>
      <w:r>
        <w:rPr>
          <w:rFonts w:ascii="宋体" w:hAnsi="宋体" w:cs="宋体" w:eastAsia="宋体" w:hint="default"/>
          <w:spacing w:val="-2"/>
        </w:rPr>
        <w:t>IT</w:t>
      </w:r>
      <w:r>
        <w:rPr>
          <w:spacing w:val="-2"/>
        </w:rPr>
        <w:t>终端与用户高度粘合的优势，正稳步推进企业业务流程优化的相关功能和产品，从而为形成完善的企业商业</w:t>
      </w:r>
      <w:r>
        <w:rPr/>
        <w:t> </w:t>
      </w:r>
      <w:r>
        <w:rPr>
          <w:spacing w:val="-2"/>
        </w:rPr>
        <w:t>智能打下坚实的基础。此外，公司将积极布局新一代互联网安全聚合通道业务，将基础网络通信、信息安全和互联网应用在</w:t>
      </w:r>
      <w:r>
        <w:rPr>
          <w:spacing w:val="-63"/>
        </w:rPr>
        <w:t> </w:t>
      </w:r>
      <w:r>
        <w:rPr>
          <w:spacing w:val="-63"/>
        </w:rPr>
      </w:r>
      <w:r>
        <w:rPr>
          <w:spacing w:val="-2"/>
        </w:rPr>
        <w:t>一个新平台上进行重新整合，为用户提供商用级的社交网络安全通信系统、合作共赢的互联网应用生态圈、互联互通的社交</w:t>
      </w:r>
      <w:r>
        <w:rPr>
          <w:spacing w:val="-63"/>
        </w:rPr>
        <w:t> </w:t>
      </w:r>
      <w:r>
        <w:rPr>
          <w:spacing w:val="-63"/>
        </w:rPr>
      </w:r>
      <w:r>
        <w:rPr>
          <w:spacing w:val="-2"/>
        </w:rPr>
        <w:t>网络安全通信体系、智能化的社交网络通信系统以及自主可控的新一代互联网通道。公司将基于信息安全、互联网、大数据</w:t>
      </w:r>
      <w:r>
        <w:rPr>
          <w:spacing w:val="-64"/>
        </w:rPr>
        <w:t> </w:t>
      </w:r>
      <w:r>
        <w:rPr>
          <w:spacing w:val="-64"/>
        </w:rPr>
      </w:r>
      <w:r>
        <w:rPr/>
        <w:t>三大发展战略，致力于成为业界领先的平台及服务提供商，促进公司营业收入和净利润持续增长。</w:t>
      </w:r>
    </w:p>
    <w:p>
      <w:pPr>
        <w:pStyle w:val="BodyText"/>
        <w:spacing w:line="240" w:lineRule="auto" w:before="19"/>
        <w:ind w:left="573" w:right="110"/>
        <w:jc w:val="left"/>
      </w:pPr>
      <w:r>
        <w:rPr/>
        <w:t>报告期内，公司取得的各项资质证书和无形资产情况如下：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934"/>
        <w:gridCol w:w="5867"/>
        <w:gridCol w:w="2859"/>
      </w:tblGrid>
      <w:tr>
        <w:trPr>
          <w:trHeight w:val="346" w:hRule="exact"/>
        </w:trPr>
        <w:tc>
          <w:tcPr>
            <w:tcW w:w="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5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企业资质</w:t>
            </w:r>
            <w:r>
              <w:rPr>
                <w:rFonts w:ascii="Microsoft JhengHei" w:hAnsi="Microsoft JhengHei" w:cs="Microsoft JhengHei" w:eastAsia="Microsoft JhengHei" w:hint="default"/>
                <w:sz w:val="18"/>
                <w:szCs w:val="18"/>
              </w:rPr>
            </w:r>
          </w:p>
        </w:tc>
        <w:tc>
          <w:tcPr>
            <w:tcW w:w="2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编号</w:t>
            </w:r>
            <w:r>
              <w:rPr>
                <w:rFonts w:ascii="Microsoft JhengHei" w:hAnsi="Microsoft JhengHei" w:cs="Microsoft JhengHei" w:eastAsia="Microsoft JhengHei" w:hint="default"/>
                <w:sz w:val="18"/>
                <w:szCs w:val="18"/>
              </w:rPr>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电信与信息服务业务经营许可证</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3"/>
              <w:jc w:val="righ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ICP</w:t>
            </w:r>
            <w:r>
              <w:rPr>
                <w:rFonts w:ascii="宋体" w:hAnsi="宋体" w:cs="宋体" w:eastAsia="宋体" w:hint="default"/>
                <w:sz w:val="18"/>
                <w:szCs w:val="18"/>
              </w:rPr>
              <w:t>证</w:t>
            </w:r>
            <w:r>
              <w:rPr>
                <w:rFonts w:ascii="宋体" w:hAnsi="宋体" w:cs="宋体" w:eastAsia="宋体" w:hint="default"/>
                <w:sz w:val="18"/>
                <w:szCs w:val="18"/>
              </w:rPr>
              <w:t>150568</w:t>
            </w:r>
            <w:r>
              <w:rPr>
                <w:rFonts w:ascii="宋体" w:hAnsi="宋体" w:cs="宋体" w:eastAsia="宋体" w:hint="default"/>
                <w:sz w:val="18"/>
                <w:szCs w:val="18"/>
              </w:rPr>
              <w:t>号</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增值电信业务经营许可证</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35"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B2-20150056</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ISO9001</w:t>
            </w:r>
            <w:r>
              <w:rPr>
                <w:rFonts w:ascii="宋体" w:hAnsi="宋体" w:cs="宋体" w:eastAsia="宋体" w:hint="default"/>
                <w:sz w:val="18"/>
                <w:szCs w:val="18"/>
              </w:rPr>
              <w:t>质量管理体系认证证书</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90"/>
              <w:jc w:val="right"/>
              <w:rPr>
                <w:rFonts w:ascii="宋体" w:hAnsi="宋体" w:cs="宋体" w:eastAsia="宋体" w:hint="default"/>
                <w:sz w:val="18"/>
                <w:szCs w:val="18"/>
              </w:rPr>
            </w:pPr>
            <w:r>
              <w:rPr>
                <w:rFonts w:ascii="宋体"/>
                <w:spacing w:val="-1"/>
                <w:sz w:val="18"/>
              </w:rPr>
              <w:t>04515Q20283R3M</w:t>
            </w:r>
          </w:p>
        </w:tc>
      </w:tr>
      <w:tr>
        <w:trPr>
          <w:trHeight w:val="348" w:hRule="exact"/>
        </w:trPr>
        <w:tc>
          <w:tcPr>
            <w:tcW w:w="93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信息安全等级保护安全建设服务机构能力评估</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90"/>
              <w:jc w:val="right"/>
              <w:rPr>
                <w:rFonts w:ascii="宋体" w:hAnsi="宋体" w:cs="宋体" w:eastAsia="宋体" w:hint="default"/>
                <w:sz w:val="18"/>
                <w:szCs w:val="18"/>
              </w:rPr>
            </w:pPr>
            <w:r>
              <w:rPr>
                <w:rFonts w:ascii="宋体"/>
                <w:spacing w:val="-1"/>
                <w:sz w:val="18"/>
              </w:rPr>
              <w:t>DJJS2015001012</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5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销售许可证</w:t>
            </w:r>
            <w:r>
              <w:rPr>
                <w:rFonts w:ascii="Microsoft JhengHei" w:hAnsi="Microsoft JhengHei" w:cs="Microsoft JhengHei" w:eastAsia="Microsoft JhengHei" w:hint="default"/>
                <w:sz w:val="18"/>
                <w:szCs w:val="18"/>
              </w:rPr>
            </w:r>
          </w:p>
        </w:tc>
        <w:tc>
          <w:tcPr>
            <w:tcW w:w="2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编号</w:t>
            </w:r>
            <w:r>
              <w:rPr>
                <w:rFonts w:ascii="Microsoft JhengHei" w:hAnsi="Microsoft JhengHei" w:cs="Microsoft JhengHei" w:eastAsia="Microsoft JhengHei" w:hint="default"/>
                <w:sz w:val="18"/>
                <w:szCs w:val="18"/>
              </w:rPr>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北信源网络接入控制系统</w:t>
            </w:r>
            <w:r>
              <w:rPr>
                <w:rFonts w:ascii="宋体" w:hAnsi="宋体" w:cs="宋体" w:eastAsia="宋体" w:hint="default"/>
                <w:spacing w:val="-3"/>
                <w:sz w:val="18"/>
                <w:szCs w:val="18"/>
              </w:rPr>
              <w:t> </w:t>
            </w:r>
            <w:r>
              <w:rPr>
                <w:rFonts w:ascii="宋体" w:hAnsi="宋体" w:cs="宋体" w:eastAsia="宋体" w:hint="default"/>
                <w:sz w:val="18"/>
                <w:szCs w:val="18"/>
              </w:rPr>
              <w:t>VRV-BMG/V6.0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XKC38401</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北信源终端安全登录与监控审计系统</w:t>
            </w:r>
            <w:r>
              <w:rPr>
                <w:rFonts w:ascii="宋体" w:hAnsi="宋体" w:cs="宋体" w:eastAsia="宋体" w:hint="default"/>
                <w:sz w:val="18"/>
                <w:szCs w:val="18"/>
              </w:rPr>
              <w:t>V6.6</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XKC38404</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北信源数据库审计系统</w:t>
            </w:r>
            <w:r>
              <w:rPr>
                <w:rFonts w:ascii="宋体" w:hAnsi="宋体" w:cs="宋体" w:eastAsia="宋体" w:hint="default"/>
                <w:sz w:val="18"/>
                <w:szCs w:val="18"/>
              </w:rPr>
              <w:t>VRV-DBAS</w:t>
            </w:r>
            <w:r>
              <w:rPr>
                <w:rFonts w:ascii="宋体" w:hAnsi="宋体" w:cs="宋体" w:eastAsia="宋体" w:hint="default"/>
                <w:spacing w:val="-3"/>
                <w:sz w:val="18"/>
                <w:szCs w:val="18"/>
              </w:rPr>
              <w:t> </w:t>
            </w:r>
            <w:r>
              <w:rPr>
                <w:rFonts w:ascii="宋体" w:hAnsi="宋体" w:cs="宋体" w:eastAsia="宋体" w:hint="default"/>
                <w:sz w:val="18"/>
                <w:szCs w:val="18"/>
              </w:rPr>
              <w:t>V3.0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XKC38151</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北信源移动存储管理系统及安全</w:t>
            </w:r>
            <w:r>
              <w:rPr>
                <w:rFonts w:ascii="宋体" w:hAnsi="宋体" w:cs="宋体" w:eastAsia="宋体" w:hint="default"/>
                <w:sz w:val="18"/>
                <w:szCs w:val="18"/>
              </w:rPr>
              <w:t>U</w:t>
            </w:r>
            <w:r>
              <w:rPr>
                <w:rFonts w:ascii="宋体" w:hAnsi="宋体" w:cs="宋体" w:eastAsia="宋体" w:hint="default"/>
                <w:sz w:val="18"/>
                <w:szCs w:val="18"/>
              </w:rPr>
              <w:t>盘</w:t>
            </w:r>
            <w:r>
              <w:rPr>
                <w:rFonts w:ascii="宋体" w:hAnsi="宋体" w:cs="宋体" w:eastAsia="宋体" w:hint="default"/>
                <w:sz w:val="18"/>
                <w:szCs w:val="18"/>
              </w:rPr>
              <w:t>2.16.0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XKC38053</w:t>
            </w:r>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934"/>
        <w:gridCol w:w="5867"/>
        <w:gridCol w:w="2859"/>
      </w:tblGrid>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5</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北信源内网安全管理及补丁分发准入控制系统</w:t>
            </w:r>
            <w:r>
              <w:rPr>
                <w:rFonts w:ascii="宋体" w:hAnsi="宋体" w:cs="宋体" w:eastAsia="宋体" w:hint="default"/>
                <w:sz w:val="18"/>
                <w:szCs w:val="18"/>
              </w:rPr>
              <w:t>V6.6.02.03</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XKC38150</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6</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北信源电子文档安全管理系统</w:t>
            </w:r>
            <w:r>
              <w:rPr>
                <w:rFonts w:ascii="宋体" w:hAnsi="宋体" w:cs="宋体" w:eastAsia="宋体" w:hint="default"/>
                <w:sz w:val="18"/>
                <w:szCs w:val="18"/>
              </w:rPr>
              <w:t>V2.0.0.3</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XKC38568</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北信源安全管理平台</w:t>
            </w:r>
            <w:r>
              <w:rPr>
                <w:rFonts w:ascii="宋体" w:hAnsi="宋体" w:cs="宋体" w:eastAsia="宋体" w:hint="default"/>
                <w:sz w:val="18"/>
                <w:szCs w:val="18"/>
              </w:rPr>
              <w:t>V2.0.0.3</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XKC38502</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8</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北信源杀毒软件</w:t>
            </w:r>
            <w:r>
              <w:rPr>
                <w:rFonts w:ascii="宋体" w:hAnsi="宋体" w:cs="宋体" w:eastAsia="宋体" w:hint="default"/>
                <w:sz w:val="18"/>
                <w:szCs w:val="18"/>
              </w:rPr>
              <w:t>V2.0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XKA11023</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计算机安全配置核查系统 </w:t>
            </w:r>
            <w:r>
              <w:rPr>
                <w:rFonts w:ascii="宋体" w:hAnsi="宋体" w:cs="宋体" w:eastAsia="宋体" w:hint="default"/>
                <w:sz w:val="18"/>
                <w:szCs w:val="18"/>
              </w:rPr>
              <w:t>CGDCC</w:t>
            </w:r>
            <w:r>
              <w:rPr>
                <w:rFonts w:ascii="宋体" w:hAnsi="宋体" w:cs="宋体" w:eastAsia="宋体" w:hint="default"/>
                <w:spacing w:val="-2"/>
                <w:sz w:val="18"/>
                <w:szCs w:val="18"/>
              </w:rPr>
              <w:t> </w:t>
            </w:r>
            <w:r>
              <w:rPr>
                <w:rFonts w:ascii="宋体" w:hAnsi="宋体" w:cs="宋体" w:eastAsia="宋体" w:hint="default"/>
                <w:sz w:val="18"/>
                <w:szCs w:val="18"/>
              </w:rPr>
              <w:t>V3.5</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XKC38453</w:t>
            </w:r>
          </w:p>
        </w:tc>
      </w:tr>
      <w:tr>
        <w:trPr>
          <w:trHeight w:val="341" w:hRule="exact"/>
        </w:trPr>
        <w:tc>
          <w:tcPr>
            <w:tcW w:w="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5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军用信息安全产品认证证书</w:t>
            </w:r>
            <w:r>
              <w:rPr>
                <w:rFonts w:ascii="Microsoft JhengHei" w:hAnsi="Microsoft JhengHei" w:cs="Microsoft JhengHei" w:eastAsia="Microsoft JhengHei" w:hint="default"/>
                <w:sz w:val="18"/>
                <w:szCs w:val="18"/>
              </w:rPr>
            </w:r>
          </w:p>
        </w:tc>
        <w:tc>
          <w:tcPr>
            <w:tcW w:w="2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编号</w:t>
            </w:r>
            <w:r>
              <w:rPr>
                <w:rFonts w:ascii="Microsoft JhengHei" w:hAnsi="Microsoft JhengHei" w:cs="Microsoft JhengHei" w:eastAsia="Microsoft JhengHei" w:hint="default"/>
                <w:sz w:val="18"/>
                <w:szCs w:val="18"/>
              </w:rPr>
            </w:r>
          </w:p>
        </w:tc>
      </w:tr>
      <w:tr>
        <w:trPr>
          <w:trHeight w:val="353" w:hRule="exact"/>
        </w:trPr>
        <w:tc>
          <w:tcPr>
            <w:tcW w:w="9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586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北信源移动存储管理系统及安全</w:t>
            </w:r>
            <w:r>
              <w:rPr>
                <w:rFonts w:ascii="宋体" w:hAnsi="宋体" w:cs="宋体" w:eastAsia="宋体" w:hint="default"/>
                <w:sz w:val="18"/>
                <w:szCs w:val="18"/>
              </w:rPr>
              <w:t>U</w:t>
            </w:r>
            <w:r>
              <w:rPr>
                <w:rFonts w:ascii="宋体" w:hAnsi="宋体" w:cs="宋体" w:eastAsia="宋体" w:hint="default"/>
                <w:sz w:val="18"/>
                <w:szCs w:val="18"/>
              </w:rPr>
              <w:t>盘</w:t>
            </w:r>
            <w:r>
              <w:rPr>
                <w:rFonts w:ascii="宋体" w:hAnsi="宋体" w:cs="宋体" w:eastAsia="宋体" w:hint="default"/>
                <w:sz w:val="18"/>
                <w:szCs w:val="18"/>
              </w:rPr>
              <w:t>2.16.0</w:t>
            </w:r>
          </w:p>
        </w:tc>
        <w:tc>
          <w:tcPr>
            <w:tcW w:w="28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1428</w:t>
            </w:r>
            <w:r>
              <w:rPr>
                <w:rFonts w:ascii="宋体" w:hAnsi="宋体" w:cs="宋体" w:eastAsia="宋体" w:hint="default"/>
                <w:sz w:val="18"/>
                <w:szCs w:val="18"/>
              </w:rPr>
              <w:t>号</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北信源网络接入控制系统</w:t>
            </w:r>
            <w:r>
              <w:rPr>
                <w:rFonts w:ascii="宋体" w:hAnsi="宋体" w:cs="宋体" w:eastAsia="宋体" w:hint="default"/>
                <w:sz w:val="18"/>
                <w:szCs w:val="18"/>
              </w:rPr>
              <w:t>VRV BMG</w:t>
            </w:r>
            <w:r>
              <w:rPr>
                <w:rFonts w:ascii="宋体" w:hAnsi="宋体" w:cs="宋体" w:eastAsia="宋体" w:hint="default"/>
                <w:spacing w:val="-1"/>
                <w:sz w:val="18"/>
                <w:szCs w:val="18"/>
              </w:rPr>
              <w:t> </w:t>
            </w:r>
            <w:r>
              <w:rPr>
                <w:rFonts w:ascii="宋体" w:hAnsi="宋体" w:cs="宋体" w:eastAsia="宋体" w:hint="default"/>
                <w:sz w:val="18"/>
                <w:szCs w:val="18"/>
              </w:rPr>
              <w:t>V6.0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1426</w:t>
            </w:r>
            <w:r>
              <w:rPr>
                <w:rFonts w:ascii="宋体" w:hAnsi="宋体" w:cs="宋体" w:eastAsia="宋体" w:hint="default"/>
                <w:sz w:val="18"/>
                <w:szCs w:val="18"/>
              </w:rPr>
              <w:t>号</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北信源主机监控审计与补丁分发系统</w:t>
            </w:r>
            <w:r>
              <w:rPr>
                <w:rFonts w:ascii="宋体" w:hAnsi="宋体" w:cs="宋体" w:eastAsia="宋体" w:hint="default"/>
                <w:sz w:val="18"/>
                <w:szCs w:val="18"/>
              </w:rPr>
              <w:t>(</w:t>
            </w:r>
            <w:r>
              <w:rPr>
                <w:rFonts w:ascii="宋体" w:hAnsi="宋体" w:cs="宋体" w:eastAsia="宋体" w:hint="default"/>
                <w:sz w:val="18"/>
                <w:szCs w:val="18"/>
              </w:rPr>
              <w:t>中标麒麟版</w:t>
            </w:r>
            <w:r>
              <w:rPr>
                <w:rFonts w:ascii="宋体" w:hAnsi="宋体" w:cs="宋体" w:eastAsia="宋体" w:hint="default"/>
                <w:sz w:val="18"/>
                <w:szCs w:val="18"/>
              </w:rPr>
              <w:t>)V6.6</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军密认字第</w:t>
            </w:r>
            <w:r>
              <w:rPr>
                <w:rFonts w:ascii="宋体" w:hAnsi="宋体" w:cs="宋体" w:eastAsia="宋体" w:hint="default"/>
                <w:sz w:val="18"/>
                <w:szCs w:val="18"/>
              </w:rPr>
              <w:t>1770</w:t>
            </w:r>
            <w:r>
              <w:rPr>
                <w:rFonts w:ascii="宋体" w:hAnsi="宋体" w:cs="宋体" w:eastAsia="宋体" w:hint="default"/>
                <w:sz w:val="18"/>
                <w:szCs w:val="18"/>
              </w:rPr>
              <w:t>号</w:t>
            </w:r>
          </w:p>
        </w:tc>
      </w:tr>
      <w:tr>
        <w:trPr>
          <w:trHeight w:val="349" w:hRule="exact"/>
        </w:trPr>
        <w:tc>
          <w:tcPr>
            <w:tcW w:w="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5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国家信息安全产品认证证书</w:t>
            </w:r>
            <w:r>
              <w:rPr>
                <w:rFonts w:ascii="Microsoft JhengHei" w:hAnsi="Microsoft JhengHei" w:cs="Microsoft JhengHei" w:eastAsia="Microsoft JhengHei" w:hint="default"/>
                <w:sz w:val="18"/>
                <w:szCs w:val="18"/>
              </w:rPr>
            </w:r>
          </w:p>
        </w:tc>
        <w:tc>
          <w:tcPr>
            <w:tcW w:w="2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编号</w:t>
            </w:r>
            <w:r>
              <w:rPr>
                <w:rFonts w:ascii="Microsoft JhengHei" w:hAnsi="Microsoft JhengHei" w:cs="Microsoft JhengHei" w:eastAsia="Microsoft JhengHei" w:hint="default"/>
                <w:sz w:val="18"/>
                <w:szCs w:val="18"/>
              </w:rPr>
            </w:r>
          </w:p>
        </w:tc>
      </w:tr>
      <w:tr>
        <w:trPr>
          <w:trHeight w:val="352"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北信源主机监控审计与补丁分发系统</w:t>
            </w:r>
            <w:r>
              <w:rPr>
                <w:rFonts w:ascii="宋体" w:hAnsi="宋体" w:cs="宋体" w:eastAsia="宋体" w:hint="default"/>
                <w:sz w:val="18"/>
                <w:szCs w:val="18"/>
              </w:rPr>
              <w:t>V6.6.02</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2015162312000419</w:t>
            </w:r>
          </w:p>
        </w:tc>
      </w:tr>
      <w:tr>
        <w:trPr>
          <w:trHeight w:val="342" w:hRule="exact"/>
        </w:trPr>
        <w:tc>
          <w:tcPr>
            <w:tcW w:w="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5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涉密信息系统产品检测证书</w:t>
            </w:r>
            <w:r>
              <w:rPr>
                <w:rFonts w:ascii="Microsoft JhengHei" w:hAnsi="Microsoft JhengHei" w:cs="Microsoft JhengHei" w:eastAsia="Microsoft JhengHei" w:hint="default"/>
                <w:sz w:val="18"/>
                <w:szCs w:val="18"/>
              </w:rPr>
            </w:r>
          </w:p>
        </w:tc>
        <w:tc>
          <w:tcPr>
            <w:tcW w:w="2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编号</w:t>
            </w:r>
            <w:r>
              <w:rPr>
                <w:rFonts w:ascii="Microsoft JhengHei" w:hAnsi="Microsoft JhengHei" w:cs="Microsoft JhengHei" w:eastAsia="Microsoft JhengHei" w:hint="default"/>
                <w:sz w:val="18"/>
                <w:szCs w:val="18"/>
              </w:rPr>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北信源安全网关</w:t>
            </w:r>
            <w:r>
              <w:rPr>
                <w:rFonts w:ascii="宋体" w:hAnsi="宋体" w:cs="宋体" w:eastAsia="宋体" w:hint="default"/>
                <w:sz w:val="18"/>
                <w:szCs w:val="18"/>
              </w:rPr>
              <w:t>VRV BMG</w:t>
            </w:r>
            <w:r>
              <w:rPr>
                <w:rFonts w:ascii="宋体" w:hAnsi="宋体" w:cs="宋体" w:eastAsia="宋体" w:hint="default"/>
                <w:spacing w:val="-4"/>
                <w:sz w:val="18"/>
                <w:szCs w:val="18"/>
              </w:rPr>
              <w:t> </w:t>
            </w:r>
            <w:r>
              <w:rPr>
                <w:rFonts w:ascii="宋体" w:hAnsi="宋体" w:cs="宋体" w:eastAsia="宋体" w:hint="default"/>
                <w:sz w:val="18"/>
                <w:szCs w:val="18"/>
              </w:rPr>
              <w:t>V6.0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国保侧</w:t>
            </w:r>
            <w:r>
              <w:rPr>
                <w:rFonts w:ascii="宋体" w:hAnsi="宋体" w:cs="宋体" w:eastAsia="宋体" w:hint="default"/>
                <w:sz w:val="18"/>
                <w:szCs w:val="18"/>
              </w:rPr>
              <w:t>2015C04133</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北信源存储介质信息消除系统</w:t>
            </w:r>
            <w:r>
              <w:rPr>
                <w:rFonts w:ascii="宋体" w:hAnsi="宋体" w:cs="宋体" w:eastAsia="宋体" w:hint="default"/>
                <w:sz w:val="18"/>
                <w:szCs w:val="18"/>
              </w:rPr>
              <w:t>IES</w:t>
            </w:r>
            <w:r>
              <w:rPr>
                <w:rFonts w:ascii="宋体" w:hAnsi="宋体" w:cs="宋体" w:eastAsia="宋体" w:hint="default"/>
                <w:spacing w:val="1"/>
                <w:sz w:val="18"/>
                <w:szCs w:val="18"/>
              </w:rPr>
              <w:t> </w:t>
            </w:r>
            <w:r>
              <w:rPr>
                <w:rFonts w:ascii="宋体" w:hAnsi="宋体" w:cs="宋体" w:eastAsia="宋体" w:hint="default"/>
                <w:sz w:val="18"/>
                <w:szCs w:val="18"/>
              </w:rPr>
              <w:t>V2.0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2015C04063</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北信源电子文档安全管理系统（中标麒麟操作系统版）</w:t>
            </w:r>
            <w:r>
              <w:rPr>
                <w:rFonts w:ascii="宋体" w:hAnsi="宋体" w:cs="宋体" w:eastAsia="宋体" w:hint="default"/>
                <w:sz w:val="18"/>
                <w:szCs w:val="18"/>
              </w:rPr>
              <w:t>V2.0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2015C04064</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北信源主机监控与审计系统（中标麒麟操作系统版）</w:t>
            </w:r>
            <w:r>
              <w:rPr>
                <w:rFonts w:ascii="宋体" w:hAnsi="宋体" w:cs="宋体" w:eastAsia="宋体" w:hint="default"/>
                <w:sz w:val="18"/>
                <w:szCs w:val="18"/>
              </w:rPr>
              <w:t>V6.6</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2015C03829</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北信源主机监控审计与补丁分发系统</w:t>
            </w:r>
            <w:r>
              <w:rPr>
                <w:rFonts w:ascii="宋体" w:hAnsi="宋体" w:cs="宋体" w:eastAsia="宋体" w:hint="default"/>
                <w:sz w:val="18"/>
                <w:szCs w:val="18"/>
              </w:rPr>
              <w:t>V6.6.02</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2015C04259</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6</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北信源终端安全登录与文件保护系统</w:t>
            </w:r>
            <w:r>
              <w:rPr>
                <w:rFonts w:ascii="宋体" w:hAnsi="宋体" w:cs="宋体" w:eastAsia="宋体" w:hint="default"/>
                <w:sz w:val="18"/>
                <w:szCs w:val="18"/>
              </w:rPr>
              <w:t>V6.6</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2015C03937</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7</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北信源电子文档安全管理系统</w:t>
            </w:r>
            <w:r>
              <w:rPr>
                <w:rFonts w:ascii="宋体" w:hAnsi="宋体" w:cs="宋体" w:eastAsia="宋体" w:hint="default"/>
                <w:sz w:val="18"/>
                <w:szCs w:val="18"/>
              </w:rPr>
              <w:t>V2.0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2015C04311</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8</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 w:right="0"/>
              <w:jc w:val="center"/>
              <w:rPr>
                <w:rFonts w:ascii="宋体" w:hAnsi="宋体" w:cs="宋体" w:eastAsia="宋体" w:hint="default"/>
                <w:sz w:val="18"/>
                <w:szCs w:val="18"/>
              </w:rPr>
            </w:pPr>
            <w:r>
              <w:rPr>
                <w:rFonts w:ascii="宋体" w:hAnsi="宋体" w:cs="宋体" w:eastAsia="宋体" w:hint="default"/>
                <w:sz w:val="18"/>
                <w:szCs w:val="18"/>
              </w:rPr>
              <w:t>北信源安全管理平台</w:t>
            </w:r>
            <w:r>
              <w:rPr>
                <w:rFonts w:ascii="宋体" w:hAnsi="宋体" w:cs="宋体" w:eastAsia="宋体" w:hint="default"/>
                <w:sz w:val="18"/>
                <w:szCs w:val="18"/>
              </w:rPr>
              <w:t>V2.0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2015C03863</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9</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北信源打印安全监控与审计系统</w:t>
            </w:r>
            <w:r>
              <w:rPr>
                <w:rFonts w:ascii="宋体" w:hAnsi="宋体" w:cs="宋体" w:eastAsia="宋体" w:hint="default"/>
                <w:sz w:val="18"/>
                <w:szCs w:val="18"/>
              </w:rPr>
              <w:t>V2.6</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国保测</w:t>
            </w:r>
            <w:r>
              <w:rPr>
                <w:rFonts w:ascii="宋体" w:hAnsi="宋体" w:cs="宋体" w:eastAsia="宋体" w:hint="default"/>
                <w:sz w:val="18"/>
                <w:szCs w:val="18"/>
              </w:rPr>
              <w:t>2015C03839</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10</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北信源计算机终端保密检查系统</w:t>
            </w:r>
            <w:r>
              <w:rPr>
                <w:rFonts w:ascii="宋体" w:hAnsi="宋体" w:cs="宋体" w:eastAsia="宋体" w:hint="default"/>
                <w:sz w:val="18"/>
                <w:szCs w:val="18"/>
              </w:rPr>
              <w:t>V1.0</w:t>
            </w:r>
          </w:p>
        </w:tc>
        <w:tc>
          <w:tcPr>
            <w:tcW w:w="285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5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软件著作权</w:t>
            </w:r>
            <w:r>
              <w:rPr>
                <w:rFonts w:ascii="Microsoft JhengHei" w:hAnsi="Microsoft JhengHei" w:cs="Microsoft JhengHei" w:eastAsia="Microsoft JhengHei" w:hint="default"/>
                <w:sz w:val="18"/>
                <w:szCs w:val="18"/>
              </w:rPr>
            </w:r>
          </w:p>
        </w:tc>
        <w:tc>
          <w:tcPr>
            <w:tcW w:w="2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登记号</w:t>
            </w:r>
            <w:r>
              <w:rPr>
                <w:rFonts w:ascii="Microsoft JhengHei" w:hAnsi="Microsoft JhengHei" w:cs="Microsoft JhengHei" w:eastAsia="Microsoft JhengHei" w:hint="default"/>
                <w:sz w:val="18"/>
                <w:szCs w:val="18"/>
              </w:rPr>
            </w:r>
          </w:p>
        </w:tc>
      </w:tr>
      <w:tr>
        <w:trPr>
          <w:trHeight w:val="348" w:hRule="exact"/>
        </w:trPr>
        <w:tc>
          <w:tcPr>
            <w:tcW w:w="9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1</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北信源数据恢复专家系统应用软件</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2015SR079676</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2</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北信源杀毒软件</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2015SR079688</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3</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北信源连豆豆即时通讯软件</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2015SR095091</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4</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北信源虚拟化终端安全管理系统软件</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2015SR125379</w:t>
            </w:r>
          </w:p>
        </w:tc>
      </w:tr>
      <w:tr>
        <w:trPr>
          <w:trHeight w:val="42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5</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北信源企业移动化管理平台软件</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2015SR146440</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6</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北信源通讯互联平台软件</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2015SR148524</w:t>
            </w:r>
          </w:p>
        </w:tc>
      </w:tr>
      <w:tr>
        <w:trPr>
          <w:trHeight w:val="425"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8</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电子文档安全管理系统（中标麒麟版）</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2015SR146037</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9</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北信源计算机终端保密检查系统</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2015SR167698</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10</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北信源计算机终端保密检查系统</w:t>
            </w:r>
            <w:r>
              <w:rPr>
                <w:rFonts w:ascii="宋体" w:hAnsi="宋体" w:cs="宋体" w:eastAsia="宋体" w:hint="default"/>
                <w:sz w:val="18"/>
                <w:szCs w:val="18"/>
              </w:rPr>
              <w:t>(</w:t>
            </w:r>
            <w:r>
              <w:rPr>
                <w:rFonts w:ascii="宋体" w:hAnsi="宋体" w:cs="宋体" w:eastAsia="宋体" w:hint="default"/>
                <w:sz w:val="18"/>
                <w:szCs w:val="18"/>
              </w:rPr>
              <w:t>单机版</w:t>
            </w:r>
            <w:r>
              <w:rPr>
                <w:rFonts w:ascii="宋体" w:hAnsi="宋体" w:cs="宋体" w:eastAsia="宋体" w:hint="default"/>
                <w:sz w:val="18"/>
                <w:szCs w:val="18"/>
              </w:rPr>
              <w:t>)</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2015SR177045</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11</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北信源数据泄露防护系统</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2015SR194514</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12</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北信源应用隔离管控系统</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2015SR223861</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13</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北信源邮件智能防护管理系统</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2015SR223873</w:t>
            </w:r>
          </w:p>
        </w:tc>
      </w:tr>
      <w:tr>
        <w:trPr>
          <w:trHeight w:val="42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sz w:val="18"/>
              </w:rPr>
              <w:t>14</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HuaTech</w:t>
            </w:r>
            <w:r>
              <w:rPr>
                <w:rFonts w:ascii="宋体" w:hAnsi="宋体" w:cs="宋体" w:eastAsia="宋体" w:hint="default"/>
                <w:sz w:val="18"/>
                <w:szCs w:val="18"/>
              </w:rPr>
              <w:t>网站防护系统</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2015SR242469</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15</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节点</w:t>
            </w:r>
            <w:r>
              <w:rPr>
                <w:rFonts w:ascii="宋体" w:hAnsi="宋体" w:cs="宋体" w:eastAsia="宋体" w:hint="default"/>
                <w:sz w:val="18"/>
                <w:szCs w:val="18"/>
              </w:rPr>
              <w:t>-</w:t>
            </w:r>
            <w:r>
              <w:rPr>
                <w:rFonts w:ascii="宋体" w:hAnsi="宋体" w:cs="宋体" w:eastAsia="宋体" w:hint="default"/>
                <w:sz w:val="18"/>
                <w:szCs w:val="18"/>
              </w:rPr>
              <w:t>操作系统安全加固系统软件</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2015SR242468</w:t>
            </w:r>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934"/>
        <w:gridCol w:w="5867"/>
        <w:gridCol w:w="2859"/>
      </w:tblGrid>
      <w:tr>
        <w:trPr>
          <w:trHeight w:val="42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sz w:val="18"/>
              </w:rPr>
              <w:t>16</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内网安全与补丁分发系统</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sz w:val="18"/>
              </w:rPr>
              <w:t>2015SR220765</w:t>
            </w:r>
          </w:p>
        </w:tc>
      </w:tr>
      <w:tr>
        <w:trPr>
          <w:trHeight w:val="346" w:hRule="exact"/>
        </w:trPr>
        <w:tc>
          <w:tcPr>
            <w:tcW w:w="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5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发明专利</w:t>
            </w:r>
            <w:r>
              <w:rPr>
                <w:rFonts w:ascii="Microsoft JhengHei" w:hAnsi="Microsoft JhengHei" w:cs="Microsoft JhengHei" w:eastAsia="Microsoft JhengHei" w:hint="default"/>
                <w:sz w:val="18"/>
                <w:szCs w:val="18"/>
              </w:rPr>
            </w:r>
          </w:p>
        </w:tc>
        <w:tc>
          <w:tcPr>
            <w:tcW w:w="2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专利号</w:t>
            </w:r>
            <w:r>
              <w:rPr>
                <w:rFonts w:ascii="Microsoft JhengHei" w:hAnsi="Microsoft JhengHei" w:cs="Microsoft JhengHei" w:eastAsia="Microsoft JhengHei" w:hint="default"/>
                <w:sz w:val="18"/>
                <w:szCs w:val="18"/>
              </w:rPr>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1</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一种客户端跨服务器漫游的方法</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ZL201010529860.6</w:t>
            </w:r>
          </w:p>
        </w:tc>
      </w:tr>
      <w:tr>
        <w:trPr>
          <w:trHeight w:val="348" w:hRule="exact"/>
        </w:trPr>
        <w:tc>
          <w:tcPr>
            <w:tcW w:w="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58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商标</w:t>
            </w:r>
            <w:r>
              <w:rPr>
                <w:rFonts w:ascii="Microsoft JhengHei" w:hAnsi="Microsoft JhengHei" w:cs="Microsoft JhengHei" w:eastAsia="Microsoft JhengHei" w:hint="default"/>
                <w:sz w:val="18"/>
                <w:szCs w:val="18"/>
              </w:rPr>
            </w:r>
          </w:p>
        </w:tc>
        <w:tc>
          <w:tcPr>
            <w:tcW w:w="2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注册号</w:t>
            </w:r>
            <w:r>
              <w:rPr>
                <w:rFonts w:ascii="Microsoft JhengHei" w:hAnsi="Microsoft JhengHei" w:cs="Microsoft JhengHei" w:eastAsia="Microsoft JhengHei" w:hint="default"/>
                <w:sz w:val="18"/>
                <w:szCs w:val="18"/>
              </w:rPr>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1</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金甲防线</w:t>
            </w:r>
            <w:r>
              <w:rPr>
                <w:rFonts w:ascii="宋体" w:hAnsi="宋体" w:cs="宋体" w:eastAsia="宋体" w:hint="default"/>
                <w:spacing w:val="2"/>
                <w:sz w:val="18"/>
                <w:szCs w:val="18"/>
              </w:rPr>
              <w:t> </w:t>
            </w: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13688649</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2</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金甲防线</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13688648</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3</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金甲防线</w:t>
            </w:r>
            <w:r>
              <w:rPr>
                <w:rFonts w:ascii="宋体" w:hAnsi="宋体" w:cs="宋体" w:eastAsia="宋体" w:hint="default"/>
                <w:spacing w:val="2"/>
                <w:sz w:val="18"/>
                <w:szCs w:val="18"/>
              </w:rPr>
              <w:t> </w:t>
            </w: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13688649</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4</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金甲防线</w:t>
            </w:r>
            <w:r>
              <w:rPr>
                <w:rFonts w:ascii="宋体" w:hAnsi="宋体" w:cs="宋体" w:eastAsia="宋体" w:hint="default"/>
                <w:spacing w:val="3"/>
                <w:sz w:val="18"/>
                <w:szCs w:val="18"/>
              </w:rPr>
              <w:t> </w:t>
            </w: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13688651</w:t>
            </w:r>
          </w:p>
        </w:tc>
      </w:tr>
      <w:tr>
        <w:trPr>
          <w:trHeight w:val="42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sz w:val="18"/>
              </w:rPr>
              <w:t>5</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Lindood</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13981904</w:t>
            </w:r>
          </w:p>
        </w:tc>
      </w:tr>
      <w:tr>
        <w:trPr>
          <w:trHeight w:val="425"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6</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Lindood</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13981905</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7</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Lindood</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13981906</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8</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Lindood</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13981907</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9</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LINDOOD</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13981908</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10</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LINDOOD</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13981909</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11</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Linkdood</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z w:val="18"/>
                <w:szCs w:val="18"/>
              </w:rPr>
              <w:t>9</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14028477</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12</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linkdood </w:t>
            </w: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14028478</w:t>
            </w:r>
          </w:p>
        </w:tc>
      </w:tr>
      <w:tr>
        <w:trPr>
          <w:trHeight w:val="42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sz w:val="18"/>
              </w:rPr>
              <w:t>13</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Linkdood </w:t>
            </w: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14028479</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14</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Linkdood </w:t>
            </w: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14028480</w:t>
            </w:r>
          </w:p>
        </w:tc>
      </w:tr>
      <w:tr>
        <w:trPr>
          <w:trHeight w:val="42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sz w:val="18"/>
              </w:rPr>
              <w:t>15</w:t>
            </w:r>
          </w:p>
        </w:tc>
        <w:tc>
          <w:tcPr>
            <w:tcW w:w="5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LINKDOOD </w:t>
            </w:r>
            <w:r>
              <w:rPr>
                <w:rFonts w:ascii="宋体" w:hAnsi="宋体" w:cs="宋体" w:eastAsia="宋体" w:hint="default"/>
                <w:sz w:val="18"/>
                <w:szCs w:val="18"/>
              </w:rPr>
              <w:t>第</w:t>
            </w:r>
            <w:r>
              <w:rPr>
                <w:rFonts w:ascii="宋体" w:hAnsi="宋体" w:cs="宋体" w:eastAsia="宋体" w:hint="default"/>
                <w:sz w:val="18"/>
                <w:szCs w:val="18"/>
              </w:rPr>
              <w:t>42</w:t>
            </w:r>
            <w:r>
              <w:rPr>
                <w:rFonts w:ascii="宋体" w:hAnsi="宋体" w:cs="宋体" w:eastAsia="宋体" w:hint="default"/>
                <w:sz w:val="18"/>
                <w:szCs w:val="18"/>
              </w:rPr>
              <w:t>类</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14028482</w:t>
            </w:r>
          </w:p>
        </w:tc>
      </w:tr>
    </w:tbl>
    <w:p>
      <w:pPr>
        <w:spacing w:line="240" w:lineRule="auto" w:before="11"/>
        <w:rPr>
          <w:rFonts w:ascii="Times New Roman" w:hAnsi="Times New Roman" w:cs="Times New Roman" w:eastAsia="Times New Roman" w:hint="default"/>
          <w:sz w:val="23"/>
          <w:szCs w:val="23"/>
        </w:rPr>
      </w:pPr>
    </w:p>
    <w:p>
      <w:pPr>
        <w:pStyle w:val="BodyText"/>
        <w:spacing w:line="316" w:lineRule="auto" w:before="44"/>
        <w:ind w:left="513" w:right="102" w:firstLine="2"/>
        <w:jc w:val="left"/>
      </w:pPr>
      <w:r>
        <w:rPr>
          <w:rFonts w:ascii="宋体" w:hAnsi="宋体" w:cs="宋体" w:eastAsia="宋体" w:hint="default"/>
        </w:rPr>
        <w:t>2</w:t>
      </w:r>
      <w:r>
        <w:rPr/>
        <w:t>、深入实施总部市场策略，全面拓展行业市场 </w:t>
      </w:r>
      <w:r>
        <w:rPr>
          <w:spacing w:val="-4"/>
        </w:rPr>
        <w:t>近几年，随着总部市场策略的成功推行</w:t>
      </w:r>
      <w:r>
        <w:rPr>
          <w:rFonts w:ascii="宋体" w:hAnsi="宋体" w:cs="宋体" w:eastAsia="宋体" w:hint="default"/>
          <w:spacing w:val="-4"/>
        </w:rPr>
        <w:t>,</w:t>
      </w:r>
      <w:r>
        <w:rPr>
          <w:spacing w:val="-4"/>
        </w:rPr>
        <w:t>公司客户群迅速扩大，目前</w:t>
      </w:r>
      <w:r>
        <w:rPr>
          <w:rFonts w:ascii="宋体" w:hAnsi="宋体" w:cs="宋体" w:eastAsia="宋体" w:hint="default"/>
          <w:spacing w:val="-4"/>
        </w:rPr>
        <w:t>,</w:t>
      </w:r>
      <w:r>
        <w:rPr>
          <w:spacing w:val="-4"/>
        </w:rPr>
        <w:t>公司的主要客户包括政府部门、军队军工以及金融、</w:t>
      </w:r>
    </w:p>
    <w:p>
      <w:pPr>
        <w:pStyle w:val="BodyText"/>
        <w:spacing w:line="316" w:lineRule="auto" w:before="19"/>
        <w:ind w:right="191"/>
        <w:jc w:val="both"/>
      </w:pPr>
      <w:r>
        <w:rPr>
          <w:spacing w:val="-2"/>
        </w:rPr>
        <w:t>能源等重要领域的大型国有企业和事业单位。这些总部客户的良好积累为公司深入实施市场销售策略奠定了深厚的基础。报</w:t>
      </w:r>
      <w:r>
        <w:rPr>
          <w:spacing w:val="-62"/>
        </w:rPr>
        <w:t> </w:t>
      </w:r>
      <w:r>
        <w:rPr>
          <w:spacing w:val="-62"/>
        </w:rPr>
      </w:r>
      <w:r>
        <w:rPr>
          <w:spacing w:val="-2"/>
        </w:rPr>
        <w:t>告期内公司继续深挖市场需求，加强资源整合，不断推动公司在各行业中的深度融合，由信息安全入手，结合大数据分析平</w:t>
      </w:r>
      <w:r>
        <w:rPr>
          <w:spacing w:val="-64"/>
        </w:rPr>
        <w:t> </w:t>
      </w:r>
      <w:r>
        <w:rPr>
          <w:spacing w:val="-64"/>
        </w:rPr>
      </w:r>
      <w:r>
        <w:rPr/>
        <w:t>台，深入客户业务。</w:t>
      </w:r>
    </w:p>
    <w:p>
      <w:pPr>
        <w:pStyle w:val="BodyText"/>
        <w:spacing w:line="316" w:lineRule="auto" w:before="19"/>
        <w:ind w:right="190" w:firstLine="360"/>
        <w:jc w:val="both"/>
      </w:pPr>
      <w:r>
        <w:rPr/>
        <w:t>报告期内，公司积极参与各行业会议和活动，如“首届网络安全宣传周”、“</w:t>
      </w:r>
      <w:r>
        <w:rPr>
          <w:rFonts w:ascii="宋体" w:hAnsi="宋体" w:cs="宋体" w:eastAsia="宋体" w:hint="default"/>
        </w:rPr>
        <w:t>4.29</w:t>
      </w:r>
      <w:r>
        <w:rPr/>
        <w:t>首都网络安全宣传日”、 “</w:t>
      </w:r>
      <w:r>
        <w:rPr>
          <w:rFonts w:ascii="宋体" w:hAnsi="宋体" w:cs="宋体" w:eastAsia="宋体" w:hint="default"/>
        </w:rPr>
        <w:t>2015</w:t>
      </w:r>
      <w:r>
        <w:rPr/>
        <w:t>中 国军民融合技术装备展览会”、“</w:t>
      </w:r>
      <w:r>
        <w:rPr>
          <w:rFonts w:ascii="宋体" w:hAnsi="宋体" w:cs="宋体" w:eastAsia="宋体" w:hint="default"/>
        </w:rPr>
        <w:t>2015</w:t>
      </w:r>
      <w:r>
        <w:rPr/>
        <w:t>中国可信计算技术创新与产业化论坛”、“第十届政府</w:t>
      </w:r>
      <w:r>
        <w:rPr>
          <w:rFonts w:ascii="宋体" w:hAnsi="宋体" w:cs="宋体" w:eastAsia="宋体" w:hint="default"/>
        </w:rPr>
        <w:t>/</w:t>
      </w:r>
      <w:r>
        <w:rPr/>
        <w:t>行业信息化安全年会”等各 </w:t>
      </w:r>
      <w:r>
        <w:rPr>
          <w:spacing w:val="-2"/>
        </w:rPr>
        <w:t>会议活动，进一步巩固了公司在行业用户中的地位，挖掘出了新的需求和市场。</w:t>
      </w:r>
      <w:r>
        <w:rPr>
          <w:rFonts w:ascii="宋体" w:hAnsi="宋体" w:cs="宋体" w:eastAsia="宋体" w:hint="default"/>
          <w:spacing w:val="-2"/>
        </w:rPr>
        <w:t>2015</w:t>
      </w:r>
      <w:r>
        <w:rPr>
          <w:spacing w:val="-2"/>
        </w:rPr>
        <w:t>年，公司新设成都分公司，进一步完善</w:t>
      </w:r>
      <w:r>
        <w:rPr>
          <w:spacing w:val="-64"/>
        </w:rPr>
        <w:t> </w:t>
      </w:r>
      <w:r>
        <w:rPr>
          <w:spacing w:val="-64"/>
        </w:rPr>
      </w:r>
      <w:r>
        <w:rPr>
          <w:spacing w:val="-2"/>
        </w:rPr>
        <w:t>了公司营销体系建设。同时，公司开始发力渠道市场，致力于建设全面覆盖公众市场的渠道销售体系，为海量客户提供信息</w:t>
      </w:r>
      <w:r>
        <w:rPr>
          <w:spacing w:val="-64"/>
        </w:rPr>
        <w:t> </w:t>
      </w:r>
      <w:r>
        <w:rPr>
          <w:spacing w:val="-64"/>
        </w:rPr>
      </w:r>
      <w:r>
        <w:rPr>
          <w:spacing w:val="-2"/>
        </w:rPr>
        <w:t>安全产品与解决方案。随着公司营销体系和政策的不断完善，公司将进一步提高综合竞争能力，同时为全面推广新一代互联</w:t>
      </w:r>
      <w:r>
        <w:rPr>
          <w:spacing w:val="-62"/>
        </w:rPr>
        <w:t> </w:t>
      </w:r>
      <w:r>
        <w:rPr>
          <w:spacing w:val="-62"/>
        </w:rPr>
      </w:r>
      <w:r>
        <w:rPr/>
        <w:t>网安全聚合通道打下良好的基础。</w:t>
      </w:r>
    </w:p>
    <w:p>
      <w:pPr>
        <w:pStyle w:val="BodyText"/>
        <w:spacing w:line="240" w:lineRule="auto" w:before="19"/>
        <w:ind w:left="604" w:right="102"/>
        <w:jc w:val="left"/>
      </w:pPr>
      <w:r>
        <w:rPr>
          <w:rFonts w:ascii="宋体" w:hAnsi="宋体" w:cs="宋体" w:eastAsia="宋体" w:hint="default"/>
        </w:rPr>
        <w:t>3</w:t>
      </w:r>
      <w:r>
        <w:rPr/>
        <w:t>、借力资本平台，积极通过外延方式实现多元化发展</w:t>
      </w:r>
    </w:p>
    <w:p>
      <w:pPr>
        <w:pStyle w:val="BodyText"/>
        <w:spacing w:line="316" w:lineRule="auto" w:before="76"/>
        <w:ind w:left="604" w:right="272" w:hanging="89"/>
        <w:jc w:val="left"/>
      </w:pPr>
      <w:r>
        <w:rPr/>
        <w:t>（</w:t>
      </w:r>
      <w:r>
        <w:rPr>
          <w:rFonts w:ascii="宋体" w:hAnsi="宋体" w:cs="宋体" w:eastAsia="宋体" w:hint="default"/>
        </w:rPr>
        <w:t>1</w:t>
      </w:r>
      <w:r>
        <w:rPr/>
        <w:t>）对外投资深圳市金城保密技术有限公司 </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23</w:t>
      </w:r>
      <w:r>
        <w:rPr/>
        <w:t>日公司召开第二届董事会第六次临时会议审议通过同意公司拟以挂牌价</w:t>
      </w:r>
      <w:r>
        <w:rPr>
          <w:rFonts w:ascii="宋体" w:hAnsi="宋体" w:cs="宋体" w:eastAsia="宋体" w:hint="default"/>
        </w:rPr>
        <w:t>438.3735</w:t>
      </w:r>
      <w:r>
        <w:rPr/>
        <w:t>万元参与竞买深圳市金</w:t>
      </w:r>
    </w:p>
    <w:p>
      <w:pPr>
        <w:pStyle w:val="BodyText"/>
        <w:spacing w:line="319" w:lineRule="auto" w:before="19"/>
        <w:ind w:right="190"/>
        <w:jc w:val="both"/>
      </w:pPr>
      <w:r>
        <w:rPr>
          <w:spacing w:val="-2"/>
        </w:rPr>
        <w:t>城保密技术有限公司</w:t>
      </w:r>
      <w:r>
        <w:rPr>
          <w:rFonts w:ascii="宋体" w:hAnsi="宋体" w:cs="宋体" w:eastAsia="宋体" w:hint="default"/>
          <w:spacing w:val="-2"/>
        </w:rPr>
        <w:t>15%</w:t>
      </w:r>
      <w:r>
        <w:rPr>
          <w:spacing w:val="-2"/>
        </w:rPr>
        <w:t>股权，并于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月与中国科学院信息工程研究所正式签订了《产权交易合同》，就该事项达成协</w:t>
      </w:r>
      <w:r>
        <w:rPr>
          <w:spacing w:val="-58"/>
        </w:rPr>
        <w:t> </w:t>
      </w:r>
      <w:r>
        <w:rPr>
          <w:spacing w:val="-58"/>
        </w:rPr>
      </w:r>
      <w:r>
        <w:rPr>
          <w:spacing w:val="-2"/>
        </w:rPr>
        <w:t>议，截止报告期末，深圳金城已完成工商变更登记手续并领域了营业执照。通过投资深圳金城，有利于公司在稳固现有市场</w:t>
      </w:r>
      <w:r>
        <w:rPr>
          <w:spacing w:val="-64"/>
        </w:rPr>
        <w:t> </w:t>
      </w:r>
      <w:r>
        <w:rPr>
          <w:spacing w:val="-64"/>
        </w:rPr>
      </w:r>
      <w:r>
        <w:rPr>
          <w:spacing w:val="-2"/>
        </w:rPr>
        <w:t>份额的同时，充分利用深圳金城的项目实施经验及客户资源，进一步开拓北信源在党政机关、中央各部委、军队军工等大型</w:t>
      </w:r>
      <w:r>
        <w:rPr>
          <w:spacing w:val="-64"/>
        </w:rPr>
        <w:t> </w:t>
      </w:r>
      <w:r>
        <w:rPr>
          <w:spacing w:val="-64"/>
        </w:rPr>
      </w:r>
      <w:r>
        <w:rPr/>
        <w:t>客户中的市场，提升公司在涉密信息安全及相关领域的技术实力和产品覆盖面。</w:t>
      </w:r>
    </w:p>
    <w:p>
      <w:pPr>
        <w:spacing w:after="0" w:line="319" w:lineRule="auto"/>
        <w:jc w:val="both"/>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left="604" w:right="102" w:hanging="89"/>
        <w:jc w:val="left"/>
      </w:pPr>
      <w:r>
        <w:rPr/>
        <w:t>（</w:t>
      </w:r>
      <w:r>
        <w:rPr>
          <w:rFonts w:ascii="宋体" w:hAnsi="宋体" w:cs="宋体" w:eastAsia="宋体" w:hint="default"/>
        </w:rPr>
        <w:t>2</w:t>
      </w:r>
      <w:r>
        <w:rPr/>
        <w:t>）发行股份及支付现金购买资产 </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20</w:t>
      </w:r>
      <w:r>
        <w:rPr>
          <w:spacing w:val="-2"/>
        </w:rPr>
        <w:t>日，经证监会《关于核准北京北信源软件股份有限公司向田秋桂等发行股份购买资产的批复》（证监许可</w:t>
      </w:r>
    </w:p>
    <w:p>
      <w:pPr>
        <w:pStyle w:val="BodyText"/>
        <w:spacing w:line="316" w:lineRule="auto" w:before="19"/>
        <w:ind w:right="100"/>
        <w:jc w:val="both"/>
      </w:pPr>
      <w:r>
        <w:rPr>
          <w:rFonts w:ascii="宋体" w:hAnsi="宋体" w:cs="宋体" w:eastAsia="宋体" w:hint="default"/>
          <w:spacing w:val="-2"/>
        </w:rPr>
        <w:t>[2015]1719</w:t>
      </w:r>
      <w:r>
        <w:rPr>
          <w:spacing w:val="-2"/>
        </w:rPr>
        <w:t>号）核准，公司以非公开发行</w:t>
      </w:r>
      <w:r>
        <w:rPr>
          <w:rFonts w:ascii="宋体" w:hAnsi="宋体" w:cs="宋体" w:eastAsia="宋体" w:hint="default"/>
          <w:spacing w:val="-2"/>
        </w:rPr>
        <w:t>1,520,857</w:t>
      </w:r>
      <w:r>
        <w:rPr>
          <w:spacing w:val="-2"/>
        </w:rPr>
        <w:t>股、</w:t>
      </w:r>
      <w:r>
        <w:rPr>
          <w:rFonts w:ascii="宋体" w:hAnsi="宋体" w:cs="宋体" w:eastAsia="宋体" w:hint="default"/>
          <w:spacing w:val="-2"/>
        </w:rPr>
        <w:t>1,490,021</w:t>
      </w:r>
      <w:r>
        <w:rPr>
          <w:spacing w:val="-2"/>
        </w:rPr>
        <w:t>股、</w:t>
      </w:r>
      <w:r>
        <w:rPr>
          <w:rFonts w:ascii="宋体" w:hAnsi="宋体" w:cs="宋体" w:eastAsia="宋体" w:hint="default"/>
          <w:spacing w:val="-2"/>
        </w:rPr>
        <w:t>415,246</w:t>
      </w:r>
      <w:r>
        <w:rPr>
          <w:spacing w:val="-2"/>
        </w:rPr>
        <w:t>股人民币普通股（</w:t>
      </w:r>
      <w:r>
        <w:rPr>
          <w:rFonts w:ascii="宋体" w:hAnsi="宋体" w:cs="宋体" w:eastAsia="宋体" w:hint="default"/>
          <w:spacing w:val="-2"/>
        </w:rPr>
        <w:t>A</w:t>
      </w:r>
      <w:r>
        <w:rPr>
          <w:spacing w:val="-2"/>
        </w:rPr>
        <w:t>股）为对价，发行股份价</w:t>
      </w:r>
      <w:r>
        <w:rPr>
          <w:spacing w:val="-48"/>
        </w:rPr>
        <w:t> </w:t>
      </w:r>
      <w:r>
        <w:rPr>
          <w:spacing w:val="-48"/>
        </w:rPr>
      </w:r>
      <w:r>
        <w:rPr>
          <w:spacing w:val="-2"/>
        </w:rPr>
        <w:t>格为</w:t>
      </w:r>
      <w:r>
        <w:rPr>
          <w:rFonts w:ascii="宋体" w:hAnsi="宋体" w:cs="宋体" w:eastAsia="宋体" w:hint="default"/>
          <w:spacing w:val="-2"/>
        </w:rPr>
        <w:t>23.35</w:t>
      </w:r>
      <w:r>
        <w:rPr>
          <w:spacing w:val="-2"/>
        </w:rPr>
        <w:t>元</w:t>
      </w:r>
      <w:r>
        <w:rPr>
          <w:rFonts w:ascii="宋体" w:hAnsi="宋体" w:cs="宋体" w:eastAsia="宋体" w:hint="default"/>
          <w:spacing w:val="-2"/>
        </w:rPr>
        <w:t>/</w:t>
      </w:r>
      <w:r>
        <w:rPr>
          <w:spacing w:val="-2"/>
        </w:rPr>
        <w:t>股，同时支付现金对价</w:t>
      </w:r>
      <w:r>
        <w:rPr>
          <w:rFonts w:ascii="宋体" w:hAnsi="宋体" w:cs="宋体" w:eastAsia="宋体" w:hint="default"/>
          <w:spacing w:val="-2"/>
        </w:rPr>
        <w:t>2000</w:t>
      </w:r>
      <w:r>
        <w:rPr>
          <w:spacing w:val="-2"/>
        </w:rPr>
        <w:t>万元，分别向自然人田秋桂、马永清、王俊锋发行股份购买其三人共同持有的北京</w:t>
      </w:r>
      <w:r>
        <w:rPr>
          <w:spacing w:val="-57"/>
        </w:rPr>
        <w:t> </w:t>
      </w:r>
      <w:r>
        <w:rPr>
          <w:spacing w:val="-57"/>
        </w:rPr>
      </w:r>
      <w:r>
        <w:rPr>
          <w:spacing w:val="-2"/>
        </w:rPr>
        <w:t>中软华泰信息技术有限责任公司</w:t>
      </w:r>
      <w:r>
        <w:rPr>
          <w:rFonts w:ascii="宋体" w:hAnsi="宋体" w:cs="宋体" w:eastAsia="宋体" w:hint="default"/>
          <w:spacing w:val="-2"/>
        </w:rPr>
        <w:t>100%</w:t>
      </w:r>
      <w:r>
        <w:rPr>
          <w:spacing w:val="-2"/>
        </w:rPr>
        <w:t>股权，截止报告期末，中软华泰已完成工商变更登记手续并领取了营业执照，公司持有</w:t>
      </w:r>
      <w:r>
        <w:rPr>
          <w:spacing w:val="-62"/>
        </w:rPr>
        <w:t> </w:t>
      </w:r>
      <w:r>
        <w:rPr>
          <w:spacing w:val="-62"/>
        </w:rPr>
      </w:r>
      <w:r>
        <w:rPr>
          <w:spacing w:val="-2"/>
        </w:rPr>
        <w:t>中软华泰</w:t>
      </w:r>
      <w:r>
        <w:rPr>
          <w:rFonts w:ascii="宋体" w:hAnsi="宋体" w:cs="宋体" w:eastAsia="宋体" w:hint="default"/>
          <w:spacing w:val="-2"/>
        </w:rPr>
        <w:t>100%</w:t>
      </w:r>
      <w:r>
        <w:rPr>
          <w:spacing w:val="-2"/>
        </w:rPr>
        <w:t>股权。通过收购中软华泰全部股权，公司全面进入服务器安全领域</w:t>
      </w:r>
      <w:r>
        <w:rPr>
          <w:rFonts w:ascii="宋体" w:hAnsi="宋体" w:cs="宋体" w:eastAsia="宋体" w:hint="default"/>
          <w:spacing w:val="-2"/>
        </w:rPr>
        <w:t>,</w:t>
      </w:r>
      <w:r>
        <w:rPr>
          <w:spacing w:val="-2"/>
        </w:rPr>
        <w:t>进一步强化了公司在终端安全领域的地位。</w:t>
      </w:r>
    </w:p>
    <w:p>
      <w:pPr>
        <w:pStyle w:val="BodyText"/>
        <w:spacing w:line="316" w:lineRule="auto" w:before="19"/>
        <w:ind w:left="513" w:right="183" w:hanging="89"/>
        <w:jc w:val="left"/>
      </w:pPr>
      <w:r>
        <w:rPr/>
        <w:t>（</w:t>
      </w:r>
      <w:r>
        <w:rPr>
          <w:rFonts w:ascii="宋体" w:hAnsi="宋体" w:cs="宋体" w:eastAsia="宋体" w:hint="default"/>
        </w:rPr>
        <w:t>3</w:t>
      </w:r>
      <w:r>
        <w:rPr/>
        <w:t>）对外投资设立浙江华睿北信源数据信息产业投资合伙企业（有限合伙） </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19</w:t>
      </w:r>
      <w:r>
        <w:rPr/>
        <w:t>日公司召开第二届董事会第十一次会议审议通过了《关于与浙江华睿投资管理有限公司共同设立产业基金</w:t>
      </w:r>
    </w:p>
    <w:p>
      <w:pPr>
        <w:pStyle w:val="BodyText"/>
        <w:spacing w:line="319" w:lineRule="auto" w:before="19"/>
        <w:ind w:right="193"/>
        <w:jc w:val="both"/>
      </w:pPr>
      <w:r>
        <w:rPr>
          <w:spacing w:val="-2"/>
        </w:rPr>
        <w:t>的议案》，公司投资浙江华睿北信源数据信息产业投资合伙企业（有限合伙）</w:t>
      </w:r>
      <w:r>
        <w:rPr>
          <w:rFonts w:ascii="宋体" w:hAnsi="宋体" w:cs="宋体" w:eastAsia="宋体" w:hint="default"/>
          <w:spacing w:val="-2"/>
        </w:rPr>
        <w:t>3000</w:t>
      </w:r>
      <w:r>
        <w:rPr>
          <w:spacing w:val="-2"/>
        </w:rPr>
        <w:t>万元，持股</w:t>
      </w:r>
      <w:r>
        <w:rPr>
          <w:rFonts w:ascii="宋体" w:hAnsi="宋体" w:cs="宋体" w:eastAsia="宋体" w:hint="default"/>
          <w:spacing w:val="-2"/>
        </w:rPr>
        <w:t>14.63%</w:t>
      </w:r>
      <w:r>
        <w:rPr>
          <w:spacing w:val="-2"/>
        </w:rPr>
        <w:t>，截止报告期末，浙江</w:t>
      </w:r>
      <w:r>
        <w:rPr>
          <w:spacing w:val="-63"/>
        </w:rPr>
        <w:t> </w:t>
      </w:r>
      <w:r>
        <w:rPr>
          <w:spacing w:val="-63"/>
        </w:rPr>
      </w:r>
      <w:r>
        <w:rPr>
          <w:spacing w:val="-2"/>
        </w:rPr>
        <w:t>华睿北信源数据信息产业投资合伙企业（有限合伙）已完成工商注册登记手续并领取了营业执照。产业基金围绕北信源聚焦</w:t>
      </w:r>
      <w:r>
        <w:rPr>
          <w:spacing w:val="-66"/>
        </w:rPr>
        <w:t> </w:t>
      </w:r>
      <w:r>
        <w:rPr>
          <w:spacing w:val="-66"/>
        </w:rPr>
      </w:r>
      <w:r>
        <w:rPr>
          <w:spacing w:val="-2"/>
        </w:rPr>
        <w:t>大数据领域的发展战略，以“数据搜索、数据传输、数据安全、数据存储、数据分析、数据投放、数据挖掘等”为主要投资</w:t>
      </w:r>
      <w:r>
        <w:rPr>
          <w:spacing w:val="-69"/>
        </w:rPr>
        <w:t> </w:t>
      </w:r>
      <w:r>
        <w:rPr>
          <w:spacing w:val="-69"/>
        </w:rPr>
      </w:r>
      <w:r>
        <w:rPr/>
        <w:t>方向，帮助公司整合产业资源</w:t>
      </w:r>
      <w:r>
        <w:rPr>
          <w:rFonts w:ascii="宋体" w:hAnsi="宋体" w:cs="宋体" w:eastAsia="宋体" w:hint="default"/>
        </w:rPr>
        <w:t>,</w:t>
      </w:r>
      <w:r>
        <w:rPr/>
        <w:t>促进公司在大数据领域的开拓发展。</w:t>
      </w:r>
    </w:p>
    <w:p>
      <w:pPr>
        <w:pStyle w:val="BodyText"/>
        <w:spacing w:line="357" w:lineRule="auto" w:before="58"/>
        <w:ind w:left="515" w:right="181" w:hanging="92"/>
        <w:jc w:val="left"/>
      </w:pPr>
      <w:r>
        <w:rPr/>
        <w:t>（</w:t>
      </w:r>
      <w:r>
        <w:rPr>
          <w:rFonts w:ascii="宋体" w:hAnsi="宋体" w:cs="宋体" w:eastAsia="宋体" w:hint="default"/>
        </w:rPr>
        <w:t>4</w:t>
      </w:r>
      <w:r>
        <w:rPr/>
        <w:t>）非公开发行股票 </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12</w:t>
      </w:r>
      <w:r>
        <w:rPr/>
        <w:t>日，公司第二届董事会第十三次临时会议和</w:t>
      </w:r>
      <w:r>
        <w:rPr>
          <w:rFonts w:ascii="宋体" w:hAnsi="宋体" w:cs="宋体" w:eastAsia="宋体" w:hint="default"/>
        </w:rPr>
        <w:t>2015</w:t>
      </w:r>
      <w:r>
        <w:rPr/>
        <w:t>年第二次临时股东大会审议通过了《关于公司本次非公开</w:t>
      </w:r>
    </w:p>
    <w:p>
      <w:pPr>
        <w:pStyle w:val="BodyText"/>
        <w:spacing w:line="224" w:lineRule="exact"/>
        <w:ind w:right="0"/>
        <w:jc w:val="both"/>
      </w:pPr>
      <w:r>
        <w:rPr/>
        <w:t>发行股票方案的议案》等相关议案，中国证监会创业板审核委员会对公司本次非公开发行股票进行审核，根据审核结果，公</w:t>
      </w:r>
    </w:p>
    <w:p>
      <w:pPr>
        <w:pStyle w:val="BodyText"/>
        <w:spacing w:line="316" w:lineRule="auto" w:before="76"/>
        <w:ind w:left="515" w:right="102" w:hanging="363"/>
        <w:jc w:val="left"/>
      </w:pPr>
      <w:r>
        <w:rPr/>
        <w:t>司本次非公开发行股票的申请获得审核通过。截止本报告披露日，公司尚未收到中国证监会的书面核准文件。 </w:t>
      </w:r>
      <w:r>
        <w:rPr>
          <w:spacing w:val="-2"/>
        </w:rPr>
        <w:t>公司本次非公开发行股票募集资金主要投入新一代互联网安全聚合通道项目和北信源（南京）研发运营基地项目，通过</w:t>
      </w:r>
    </w:p>
    <w:p>
      <w:pPr>
        <w:pStyle w:val="BodyText"/>
        <w:spacing w:line="316" w:lineRule="auto" w:before="19"/>
        <w:ind w:right="193"/>
        <w:jc w:val="both"/>
      </w:pPr>
      <w:r>
        <w:rPr>
          <w:spacing w:val="-2"/>
        </w:rPr>
        <w:t>本项目的实施，公司将新兴的云计算、大数据、即时通信等技术与现有信息安全、数据安全业务相结合，在现有终端安全服</w:t>
      </w:r>
      <w:r>
        <w:rPr>
          <w:spacing w:val="-67"/>
        </w:rPr>
        <w:t> </w:t>
      </w:r>
      <w:r>
        <w:rPr>
          <w:spacing w:val="-67"/>
        </w:rPr>
      </w:r>
      <w:r>
        <w:rPr>
          <w:spacing w:val="-2"/>
        </w:rPr>
        <w:t>务基础上进一步为客户提供跨终端、全方位的安全通信和互联互通服务，有利于公司实现传统终端安全和互联网信息安全双</w:t>
      </w:r>
      <w:r>
        <w:rPr>
          <w:spacing w:val="-64"/>
        </w:rPr>
        <w:t> </w:t>
      </w:r>
      <w:r>
        <w:rPr>
          <w:spacing w:val="-64"/>
        </w:rPr>
      </w:r>
      <w:r>
        <w:rPr/>
        <w:t>轮驱动的业务新格局，形成新的利润持续增长极，有效提升公司的核心竞争力和行业影响力。</w:t>
      </w:r>
    </w:p>
    <w:p>
      <w:pPr>
        <w:pStyle w:val="BodyText"/>
        <w:spacing w:line="319" w:lineRule="auto" w:before="19"/>
        <w:ind w:right="190" w:firstLine="360"/>
        <w:jc w:val="both"/>
      </w:pPr>
      <w:r>
        <w:rPr>
          <w:spacing w:val="-2"/>
        </w:rPr>
        <w:t>通过外延式发展为扩大公司的上下游产业链创造条件、增加总体抗风险能力、实现多元化发展的战略，为公司的发展带</w:t>
      </w:r>
      <w:r>
        <w:rPr/>
        <w:t> </w:t>
      </w:r>
      <w:r>
        <w:rPr>
          <w:spacing w:val="-2"/>
        </w:rPr>
        <w:t>来新的机遇。公司通过外延式发展战略的不断推进，整合各分子公司、参股公司的资源，使公司在技术、产品、市场开拓等</w:t>
      </w:r>
      <w:r>
        <w:rPr>
          <w:spacing w:val="-66"/>
        </w:rPr>
        <w:t> </w:t>
      </w:r>
      <w:r>
        <w:rPr>
          <w:spacing w:val="-66"/>
        </w:rPr>
      </w:r>
      <w:r>
        <w:rPr/>
        <w:t>方面的综合实力得到了快速提升，有利于扩大公司的竞争优势，增强公司的核心竞争力，实现公司的整体战略目标。</w:t>
      </w:r>
    </w:p>
    <w:p>
      <w:pPr>
        <w:pStyle w:val="BodyText"/>
        <w:spacing w:line="316" w:lineRule="auto" w:before="17"/>
        <w:ind w:left="513" w:right="102"/>
        <w:jc w:val="left"/>
      </w:pPr>
      <w:r>
        <w:rPr>
          <w:rFonts w:ascii="宋体" w:hAnsi="宋体" w:cs="宋体" w:eastAsia="宋体" w:hint="default"/>
        </w:rPr>
        <w:t>4</w:t>
      </w:r>
      <w:r>
        <w:rPr/>
        <w:t>、推行员工持股计划，充分提高团队凝聚力 </w:t>
      </w:r>
      <w:r>
        <w:rPr>
          <w:spacing w:val="-2"/>
        </w:rPr>
        <w:t>公司秉持重视人才、以人为本的理念，加大人才储备力量、人才培养、队伍建设，形成具有从业经验丰富、专业构成互</w:t>
      </w:r>
    </w:p>
    <w:p>
      <w:pPr>
        <w:pStyle w:val="BodyText"/>
        <w:spacing w:line="316" w:lineRule="auto" w:before="19"/>
        <w:ind w:right="102"/>
        <w:jc w:val="left"/>
      </w:pPr>
      <w:r>
        <w:rPr>
          <w:spacing w:val="-2"/>
        </w:rPr>
        <w:t>补、凝聚力强的人才团队。随着公司产业链条的延伸，公司将不断加大了研发人才的储备和培养，在原有研发团队的基础上</w:t>
      </w:r>
      <w:r>
        <w:rPr>
          <w:spacing w:val="-64"/>
        </w:rPr>
        <w:t> </w:t>
      </w:r>
      <w:r>
        <w:rPr>
          <w:spacing w:val="-64"/>
        </w:rPr>
      </w:r>
      <w:r>
        <w:rPr>
          <w:spacing w:val="-4"/>
        </w:rPr>
        <w:t>引进资深的互联网、软件开发等高端技术人才；公司通过不断调整和完善薪酬激励制度和考核评价体系，提升员工的积极性，</w:t>
      </w:r>
      <w:r>
        <w:rPr>
          <w:spacing w:val="-44"/>
        </w:rPr>
        <w:t> </w:t>
      </w:r>
      <w:r>
        <w:rPr>
          <w:spacing w:val="-44"/>
        </w:rPr>
      </w:r>
      <w:r>
        <w:rPr>
          <w:spacing w:val="-2"/>
        </w:rPr>
        <w:t>形成良好的人才梯队和人才培养体系，同时，公司多次组织专业培训和团队建设，提升员工的专业素养和综合能力，提高团</w:t>
      </w:r>
      <w:r>
        <w:rPr>
          <w:spacing w:val="-64"/>
        </w:rPr>
        <w:t> </w:t>
      </w:r>
      <w:r>
        <w:rPr>
          <w:spacing w:val="-64"/>
        </w:rPr>
      </w:r>
      <w:r>
        <w:rPr/>
        <w:t>队凝聚力和合作精神。</w:t>
      </w:r>
    </w:p>
    <w:p>
      <w:pPr>
        <w:pStyle w:val="BodyText"/>
        <w:spacing w:line="319" w:lineRule="auto" w:before="19"/>
        <w:ind w:right="190" w:firstLine="360"/>
        <w:jc w:val="both"/>
      </w:pPr>
      <w:r>
        <w:rPr>
          <w:spacing w:val="-2"/>
        </w:rPr>
        <w:t>报告期内，为提升公司管理团队和核心骨干的凝聚力和创造力，吸引和保留优秀的管理人才和业务骨干，为公司的持续</w:t>
      </w:r>
      <w:r>
        <w:rPr/>
        <w:t> </w:t>
      </w:r>
      <w:r>
        <w:rPr>
          <w:spacing w:val="-2"/>
        </w:rPr>
        <w:t>快速发展注入新的动力，报告期内，公司推出了第一期核心人员持股计划，该计划有效地将公司股东利益、公司利益和员工</w:t>
      </w:r>
      <w:r>
        <w:rPr>
          <w:spacing w:val="-65"/>
        </w:rPr>
        <w:t> </w:t>
      </w:r>
      <w:r>
        <w:rPr>
          <w:spacing w:val="-65"/>
        </w:rPr>
      </w:r>
      <w:r>
        <w:rPr>
          <w:spacing w:val="-2"/>
        </w:rPr>
        <w:t>个人利益相结合，充分调动了公司董监高和核心员工的积极性，健全了公司的激励约束机制，有力保障了公司的健康长远发</w:t>
      </w:r>
      <w:r>
        <w:rPr>
          <w:spacing w:val="-63"/>
        </w:rPr>
        <w:t> </w:t>
      </w:r>
      <w:r>
        <w:rPr>
          <w:spacing w:val="-63"/>
        </w:rPr>
      </w:r>
      <w:r>
        <w:rPr/>
        <w:t>展。</w:t>
      </w:r>
    </w:p>
    <w:p>
      <w:pPr>
        <w:pStyle w:val="BodyText"/>
        <w:spacing w:line="316" w:lineRule="auto" w:before="17"/>
        <w:ind w:left="515" w:right="91"/>
        <w:jc w:val="left"/>
      </w:pPr>
      <w:r>
        <w:rPr>
          <w:rFonts w:ascii="宋体" w:hAnsi="宋体" w:cs="宋体" w:eastAsia="宋体" w:hint="default"/>
        </w:rPr>
        <w:t>5</w:t>
      </w:r>
      <w:r>
        <w:rPr/>
        <w:t>、继续以务实、创新的理念，加强现代化企业管理 报告期内，公司以业务为核心，对职能部门的职责进行细致划分，优化管理流程减轻岗位冗余，提升管理、工作效率，</w:t>
      </w:r>
    </w:p>
    <w:p>
      <w:pPr>
        <w:pStyle w:val="BodyText"/>
        <w:spacing w:line="316" w:lineRule="auto" w:before="19"/>
        <w:ind w:left="513" w:right="102" w:hanging="361"/>
        <w:jc w:val="left"/>
      </w:pPr>
      <w:r>
        <w:rPr/>
        <w:t>使各岗位职权清晰、权责到位，另外继续加强信息化系统管理，提高企业管理规范水平和效率。 </w:t>
      </w:r>
      <w:r>
        <w:rPr>
          <w:rFonts w:ascii="宋体" w:hAnsi="宋体" w:cs="宋体" w:eastAsia="宋体" w:hint="default"/>
        </w:rPr>
        <w:t>6</w:t>
      </w:r>
      <w:r>
        <w:rPr/>
        <w:t>、加强投资者关系管理，树立公司良好品牌形象 </w:t>
      </w:r>
      <w:r>
        <w:rPr>
          <w:spacing w:val="-2"/>
        </w:rPr>
        <w:t>公司持续加强投资者关系管理工作，与投资者保持顺畅沟通，及时举行投资者说明会，促使投资者及时了解公司生产经</w:t>
      </w:r>
    </w:p>
    <w:p>
      <w:pPr>
        <w:pStyle w:val="BodyText"/>
        <w:spacing w:line="240" w:lineRule="auto" w:before="19"/>
        <w:ind w:right="102"/>
        <w:jc w:val="left"/>
      </w:pPr>
      <w:r>
        <w:rPr/>
        <w:t>营情况和未来发展战略规划，报告期内公司荣获“</w:t>
      </w:r>
      <w:r>
        <w:rPr>
          <w:rFonts w:ascii="宋体" w:hAnsi="宋体" w:cs="宋体" w:eastAsia="宋体" w:hint="default"/>
        </w:rPr>
        <w:t>2015</w:t>
      </w:r>
      <w:r>
        <w:rPr/>
        <w:t>年最受投资者尊重的上市公司”荣誉。</w:t>
      </w:r>
    </w:p>
    <w:p>
      <w:pPr>
        <w:spacing w:after="0" w:line="240" w:lineRule="auto"/>
        <w:jc w:val="left"/>
        <w:sectPr>
          <w:pgSz w:w="11910" w:h="16840"/>
          <w:pgMar w:header="781" w:footer="979" w:top="1080" w:bottom="1160" w:left="980" w:right="940"/>
        </w:sectPr>
      </w:pPr>
    </w:p>
    <w:p>
      <w:pPr>
        <w:spacing w:line="240" w:lineRule="auto" w:before="8"/>
        <w:rPr>
          <w:rFonts w:ascii="宋体" w:hAnsi="宋体" w:cs="宋体" w:eastAsia="宋体" w:hint="default"/>
          <w:sz w:val="21"/>
          <w:szCs w:val="21"/>
        </w:rPr>
      </w:pPr>
    </w:p>
    <w:p>
      <w:pPr>
        <w:pStyle w:val="Heading2"/>
        <w:spacing w:line="367" w:lineRule="exact"/>
        <w:ind w:right="3012"/>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2" w:right="56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2" w:lineRule="exact"/>
        <w:ind w:right="3012"/>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18"/>
        <w:gridCol w:w="1616"/>
        <w:gridCol w:w="1615"/>
        <w:gridCol w:w="1616"/>
        <w:gridCol w:w="1616"/>
        <w:gridCol w:w="1618"/>
      </w:tblGrid>
      <w:tr>
        <w:trPr>
          <w:trHeight w:val="401" w:hRule="exact"/>
        </w:trPr>
        <w:tc>
          <w:tcPr>
            <w:tcW w:w="1618" w:type="dxa"/>
            <w:vMerge w:val="restart"/>
            <w:tcBorders>
              <w:top w:val="single" w:sz="4" w:space="0" w:color="000000"/>
              <w:left w:val="single" w:sz="4" w:space="0" w:color="000000"/>
              <w:right w:val="single" w:sz="4" w:space="0" w:color="000000"/>
            </w:tcBorders>
            <w:shd w:val="clear" w:color="auto" w:fill="D2D2D2"/>
          </w:tcPr>
          <w:p>
            <w:pP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18"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18"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470,015,347.51</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right"/>
              <w:rPr>
                <w:rFonts w:ascii="宋体" w:hAnsi="宋体" w:cs="宋体" w:eastAsia="宋体" w:hint="default"/>
                <w:sz w:val="18"/>
                <w:szCs w:val="18"/>
              </w:rPr>
            </w:pPr>
            <w:r>
              <w:rPr>
                <w:rFonts w:ascii="宋体"/>
                <w:sz w:val="18"/>
              </w:rPr>
              <w:t>100%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262,733,639.30</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sz w:val="18"/>
              </w:rPr>
              <w:t>100%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78.89%</w:t>
            </w:r>
          </w:p>
        </w:tc>
      </w:tr>
      <w:tr>
        <w:trPr>
          <w:trHeight w:val="398" w:hRule="exact"/>
        </w:trPr>
        <w:tc>
          <w:tcPr>
            <w:tcW w:w="969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18,591,120.64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3.96%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19,731,234.30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7.51%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-5.78%</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35,205,959.49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7.49%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40,462,499.70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-12.99%</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51,640,444.70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10.99%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76,653,129.52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-32.63%</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124,419,694.78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26.47%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62,578,119.54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98.82%</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240,158,127.90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51.10%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63,308,656.24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24.10%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279.34%</w:t>
            </w:r>
          </w:p>
        </w:tc>
      </w:tr>
      <w:tr>
        <w:trPr>
          <w:trHeight w:val="403" w:hRule="exact"/>
        </w:trPr>
        <w:tc>
          <w:tcPr>
            <w:tcW w:w="969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223,536,151.05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47.56%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193,352,085.60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73.59%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15.61%</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34,651,968.36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7.37%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39,113,250.40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-11.41%</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硬件及其他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211,827,228.10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45.07%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30,268,303.30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599.83%</w:t>
            </w:r>
          </w:p>
        </w:tc>
      </w:tr>
      <w:tr>
        <w:trPr>
          <w:trHeight w:val="403" w:hRule="exact"/>
        </w:trPr>
        <w:tc>
          <w:tcPr>
            <w:tcW w:w="969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14,205,239.32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10,841,502.77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4.13%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31.03%</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172,867,671.44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36.78%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103,587,793.13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39.43%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66.88%</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212,157,580.49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45.14%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71,143,187.00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198.21%</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16,568,247.49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24,340,420.61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9.26%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-31.93%</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22,851,626.93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4.86%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20,749,823.55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7.90%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10.13%</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19,434,166.93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4.13%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16,746,628.23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6.37%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16.05%</w:t>
            </w:r>
          </w:p>
        </w:tc>
      </w:tr>
      <w:tr>
        <w:trPr>
          <w:trHeight w:val="401"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11,598,371.85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2.47%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15,324,284.01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-24.31%</w:t>
            </w: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港澳及海外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332,443.06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3012"/>
        <w:jc w:val="left"/>
      </w:pPr>
      <w:r>
        <w:rPr/>
        <w:t>√ 适用 □</w:t>
      </w:r>
      <w:r>
        <w:rPr>
          <w:spacing w:val="3"/>
        </w:rPr>
        <w:t> </w:t>
      </w:r>
      <w:r>
        <w:rPr/>
        <w:t>不适用</w:t>
      </w:r>
    </w:p>
    <w:p>
      <w:pPr>
        <w:pStyle w:val="BodyText"/>
        <w:spacing w:line="240" w:lineRule="auto" w:before="115"/>
        <w:ind w:left="0" w:right="151"/>
        <w:jc w:val="right"/>
      </w:pPr>
      <w:r>
        <w:rPr/>
        <w:t>单位：元</w:t>
      </w:r>
    </w:p>
    <w:p>
      <w:pPr>
        <w:spacing w:after="0" w:line="240" w:lineRule="auto"/>
        <w:jc w:val="right"/>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1385"/>
        <w:gridCol w:w="1388"/>
        <w:gridCol w:w="1382"/>
        <w:gridCol w:w="1385"/>
        <w:gridCol w:w="1385"/>
        <w:gridCol w:w="1383"/>
        <w:gridCol w:w="1390"/>
      </w:tblGrid>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5"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9" w:right="5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51,640,444.70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3,229,911.00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93.75%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-32.63%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-22.71%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-0.80%</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124,419,694.78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37,181,689.75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98.82%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184.97%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-9.03%</w:t>
            </w: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240,158,127.90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167,780,251.53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279.34%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2,904.34%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-61.04%</w:t>
            </w:r>
          </w:p>
        </w:tc>
      </w:tr>
      <w:tr>
        <w:trPr>
          <w:trHeight w:val="402"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223,536,151.05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12,392,075.92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94.46%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18.16%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-0.12%</w:t>
            </w:r>
          </w:p>
        </w:tc>
      </w:tr>
      <w:tr>
        <w:trPr>
          <w:trHeight w:val="40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硬件及其他</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211,827,228.10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198,745,458.64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599.83%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1,032.81%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-35.86%</w:t>
            </w:r>
          </w:p>
        </w:tc>
      </w:tr>
      <w:tr>
        <w:trPr>
          <w:trHeight w:val="401"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172,867,671.44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50,779,279.77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70.63%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66.88%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555.32%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-21.89%</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212,157,580.49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154,752,410.92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198.21%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12,123.73%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-71.16%</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宋体" w:hAnsi="宋体" w:cs="宋体" w:eastAsia="宋体" w:hint="default"/>
        </w:rPr>
        <w:t>1</w:t>
      </w:r>
      <w:r>
        <w:rPr>
          <w:rFonts w:ascii="宋体" w:hAnsi="宋体" w:cs="宋体" w:eastAsia="宋体" w:hint="default"/>
          <w:spacing w:val="-46"/>
        </w:rPr>
        <w:t> </w:t>
      </w:r>
      <w:r>
        <w:rPr/>
        <w:t>年按报告期末口径调整后的主营业务数据</w:t>
      </w:r>
    </w:p>
    <w:p>
      <w:pPr>
        <w:pStyle w:val="BodyText"/>
        <w:spacing w:line="240" w:lineRule="auto" w:before="115"/>
        <w:ind w:right="3012"/>
        <w:jc w:val="left"/>
      </w:pPr>
      <w:r>
        <w:rPr/>
        <w:t>□ 适用 √</w:t>
      </w:r>
      <w:r>
        <w:rPr>
          <w:spacing w:val="3"/>
        </w:rPr>
        <w:t> </w:t>
      </w:r>
      <w:r>
        <w:rPr/>
        <w:t>不适用</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是 □</w:t>
      </w:r>
      <w:r>
        <w:rPr>
          <w:spacing w:val="3"/>
        </w:rPr>
        <w:t> </w:t>
      </w:r>
      <w:r>
        <w:rPr/>
        <w:t>否</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20"/>
        <w:gridCol w:w="1616"/>
        <w:gridCol w:w="1615"/>
        <w:gridCol w:w="1616"/>
        <w:gridCol w:w="1616"/>
        <w:gridCol w:w="1615"/>
      </w:tblGrid>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18,591,120.64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19,731,234.3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-5.78%</w:t>
            </w:r>
          </w:p>
        </w:tc>
      </w:tr>
      <w:tr>
        <w:trPr>
          <w:trHeight w:val="403" w:hRule="exact"/>
        </w:trPr>
        <w:tc>
          <w:tcPr>
            <w:tcW w:w="1620" w:type="dxa"/>
            <w:vMerge/>
            <w:tcBorders>
              <w:left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18,591,120.64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19,731,234.3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-5.78%</w:t>
            </w:r>
          </w:p>
        </w:tc>
      </w:tr>
      <w:tr>
        <w:trPr>
          <w:trHeight w:val="401" w:hRule="exact"/>
        </w:trPr>
        <w:tc>
          <w:tcPr>
            <w:tcW w:w="1620"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35,205,959.49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40,462,499.7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-12.99%</w:t>
            </w:r>
          </w:p>
        </w:tc>
      </w:tr>
      <w:tr>
        <w:trPr>
          <w:trHeight w:val="401" w:hRule="exact"/>
        </w:trPr>
        <w:tc>
          <w:tcPr>
            <w:tcW w:w="1620" w:type="dxa"/>
            <w:vMerge/>
            <w:tcBorders>
              <w:left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35,205,959.49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40,462,499.7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-12.99%</w:t>
            </w:r>
          </w:p>
        </w:tc>
      </w:tr>
      <w:tr>
        <w:trPr>
          <w:trHeight w:val="403" w:hRule="exact"/>
        </w:trPr>
        <w:tc>
          <w:tcPr>
            <w:tcW w:w="1620"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51,640,444.7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76,653,129.52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-32.63%</w:t>
            </w:r>
          </w:p>
        </w:tc>
      </w:tr>
      <w:tr>
        <w:trPr>
          <w:trHeight w:val="404" w:hRule="exact"/>
        </w:trPr>
        <w:tc>
          <w:tcPr>
            <w:tcW w:w="1620" w:type="dxa"/>
            <w:vMerge/>
            <w:tcBorders>
              <w:left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51,640,444.7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76,653,129.52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-32.63%</w:t>
            </w:r>
          </w:p>
        </w:tc>
      </w:tr>
      <w:tr>
        <w:trPr>
          <w:trHeight w:val="401" w:hRule="exact"/>
        </w:trPr>
        <w:tc>
          <w:tcPr>
            <w:tcW w:w="1620"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124,419,694.78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62,578,119.54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98.82%</w:t>
            </w:r>
          </w:p>
        </w:tc>
      </w:tr>
      <w:tr>
        <w:trPr>
          <w:trHeight w:val="401" w:hRule="exact"/>
        </w:trPr>
        <w:tc>
          <w:tcPr>
            <w:tcW w:w="1620" w:type="dxa"/>
            <w:vMerge/>
            <w:tcBorders>
              <w:left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124,419,694.78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62,578,119.54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98.82%</w:t>
            </w:r>
          </w:p>
        </w:tc>
      </w:tr>
      <w:tr>
        <w:trPr>
          <w:trHeight w:val="403" w:hRule="exact"/>
        </w:trPr>
        <w:tc>
          <w:tcPr>
            <w:tcW w:w="1620"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240,158,127.9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63,308,656.24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279.34%</w:t>
            </w:r>
          </w:p>
        </w:tc>
      </w:tr>
      <w:tr>
        <w:trPr>
          <w:trHeight w:val="403" w:hRule="exact"/>
        </w:trPr>
        <w:tc>
          <w:tcPr>
            <w:tcW w:w="1620" w:type="dxa"/>
            <w:vMerge/>
            <w:tcBorders>
              <w:left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240,158,127.9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63,308,656.24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279.34%</w:t>
            </w:r>
          </w:p>
        </w:tc>
      </w:tr>
      <w:tr>
        <w:trPr>
          <w:trHeight w:val="401" w:hRule="exact"/>
        </w:trPr>
        <w:tc>
          <w:tcPr>
            <w:tcW w:w="1620"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3012"/>
        <w:jc w:val="left"/>
      </w:pPr>
      <w:r>
        <w:rPr/>
        <w:t>相关数据同比发生变动</w:t>
      </w:r>
      <w:r>
        <w:rPr>
          <w:spacing w:val="-47"/>
        </w:rPr>
        <w:t> </w:t>
      </w:r>
      <w:r>
        <w:rPr>
          <w:rFonts w:ascii="宋体" w:hAnsi="宋体" w:cs="宋体" w:eastAsia="宋体" w:hint="default"/>
        </w:rPr>
        <w:t>30%</w:t>
      </w:r>
      <w:r>
        <w:rPr/>
        <w:t>以上的原因说明</w:t>
      </w:r>
    </w:p>
    <w:p>
      <w:pPr>
        <w:pStyle w:val="BodyText"/>
        <w:spacing w:line="240" w:lineRule="auto" w:before="117"/>
        <w:ind w:right="3012"/>
        <w:jc w:val="left"/>
      </w:pPr>
      <w:r>
        <w:rPr/>
        <w:t>√ 适用 □</w:t>
      </w:r>
      <w:r>
        <w:rPr>
          <w:spacing w:val="3"/>
        </w:rPr>
        <w:t> </w:t>
      </w:r>
      <w:r>
        <w:rPr/>
        <w:t>不适用</w:t>
      </w:r>
    </w:p>
    <w:p>
      <w:pPr>
        <w:spacing w:after="0" w:line="240" w:lineRule="auto"/>
        <w:jc w:val="left"/>
        <w:sectPr>
          <w:pgSz w:w="11910" w:h="16840"/>
          <w:pgMar w:header="781" w:footer="979" w:top="1080" w:bottom="1160" w:left="980" w:right="980"/>
        </w:sectPr>
      </w:pPr>
    </w:p>
    <w:p>
      <w:pPr>
        <w:spacing w:line="240" w:lineRule="auto" w:before="10"/>
        <w:rPr>
          <w:rFonts w:ascii="宋体" w:hAnsi="宋体" w:cs="宋体" w:eastAsia="宋体" w:hint="default"/>
          <w:sz w:val="23"/>
          <w:szCs w:val="23"/>
        </w:rPr>
      </w:pPr>
    </w:p>
    <w:p>
      <w:pPr>
        <w:pStyle w:val="BodyText"/>
        <w:spacing w:line="316" w:lineRule="auto" w:before="44"/>
        <w:ind w:right="184"/>
        <w:jc w:val="left"/>
      </w:pPr>
      <w:r>
        <w:rPr>
          <w:rFonts w:ascii="宋体" w:hAnsi="宋体" w:cs="宋体" w:eastAsia="宋体" w:hint="default"/>
        </w:rPr>
        <w:t>1</w:t>
      </w:r>
      <w:r>
        <w:rPr/>
        <w:t>、报告期内，政府行业销售量和生产量同比增长</w:t>
      </w:r>
      <w:r>
        <w:rPr>
          <w:rFonts w:ascii="宋体" w:hAnsi="宋体" w:cs="宋体" w:eastAsia="宋体" w:hint="default"/>
        </w:rPr>
        <w:t>98.82%</w:t>
      </w:r>
      <w:r>
        <w:rPr/>
        <w:t>，主要系公司不断加大政府行业市场开发力度，提升服务品质，引 导客户需求，适时推广新产品，从而进一步提升对客户的持续服务，实现销售收入的快速增长。 </w:t>
      </w:r>
      <w:r>
        <w:rPr>
          <w:rFonts w:ascii="宋体" w:hAnsi="宋体" w:cs="宋体" w:eastAsia="宋体" w:hint="default"/>
        </w:rPr>
        <w:t>2</w:t>
      </w:r>
      <w:r>
        <w:rPr/>
        <w:t>、其他行业销售量和生产量同比增长</w:t>
      </w:r>
      <w:r>
        <w:rPr>
          <w:rFonts w:ascii="宋体" w:hAnsi="宋体" w:cs="宋体" w:eastAsia="宋体" w:hint="default"/>
        </w:rPr>
        <w:t>279.34%</w:t>
      </w:r>
      <w:r>
        <w:rPr/>
        <w:t>，主要系南京子公司硬件及其他公司业务大幅增加导致。</w:t>
      </w:r>
    </w:p>
    <w:p>
      <w:pPr>
        <w:pStyle w:val="BodyText"/>
        <w:spacing w:line="240" w:lineRule="auto" w:before="19"/>
        <w:ind w:right="102"/>
        <w:jc w:val="left"/>
      </w:pPr>
      <w:r>
        <w:rPr>
          <w:rFonts w:ascii="宋体" w:hAnsi="宋体" w:cs="宋体" w:eastAsia="宋体" w:hint="default"/>
        </w:rPr>
        <w:t>3</w:t>
      </w:r>
      <w:r>
        <w:rPr/>
        <w:t>、能源行业销售量和生产量同比</w:t>
      </w:r>
      <w:r>
        <w:rPr>
          <w:rFonts w:ascii="宋体" w:hAnsi="宋体" w:cs="宋体" w:eastAsia="宋体" w:hint="default"/>
        </w:rPr>
        <w:t>-32.63%</w:t>
      </w:r>
      <w:r>
        <w:rPr/>
        <w:t>，主要系受行业环境影响所致。</w:t>
      </w:r>
    </w:p>
    <w:p>
      <w:pPr>
        <w:spacing w:line="240" w:lineRule="auto" w:before="1"/>
        <w:rPr>
          <w:rFonts w:ascii="宋体" w:hAnsi="宋体" w:cs="宋体" w:eastAsia="宋体" w:hint="default"/>
          <w:sz w:val="22"/>
          <w:szCs w:val="22"/>
        </w:rPr>
      </w:pPr>
    </w:p>
    <w:p>
      <w:pPr>
        <w:pStyle w:val="Heading3"/>
        <w:spacing w:line="240" w:lineRule="auto"/>
        <w:ind w:right="10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left="515" w:right="181" w:hanging="363"/>
        <w:jc w:val="left"/>
      </w:pPr>
      <w:r>
        <w:rPr/>
        <w:t>√ 适用 □</w:t>
      </w:r>
      <w:r>
        <w:rPr>
          <w:spacing w:val="3"/>
        </w:rPr>
        <w:t> </w:t>
      </w:r>
      <w:r>
        <w:rPr/>
        <w:t>不适用</w:t>
      </w:r>
      <w:r>
        <w:rPr/>
        <w:t> 公司与某计算技术研究所签订了《内网安全管理系统合作协议》，协议规定：“卖方出售</w:t>
      </w:r>
      <w:r>
        <w:rPr>
          <w:rFonts w:ascii="宋体" w:hAnsi="宋体" w:cs="宋体" w:eastAsia="宋体" w:hint="default"/>
        </w:rPr>
        <w:t>1000</w:t>
      </w:r>
      <w:r>
        <w:rPr/>
        <w:t>台的北信源</w:t>
      </w:r>
      <w:r>
        <w:rPr>
          <w:rFonts w:ascii="宋体" w:hAnsi="宋体" w:cs="宋体" w:eastAsia="宋体" w:hint="default"/>
        </w:rPr>
        <w:t>VRV</w:t>
      </w:r>
      <w:r>
        <w:rPr/>
        <w:t>内网安全</w:t>
      </w:r>
    </w:p>
    <w:p>
      <w:pPr>
        <w:pStyle w:val="BodyText"/>
        <w:spacing w:line="224" w:lineRule="exact"/>
        <w:ind w:right="0"/>
        <w:jc w:val="left"/>
      </w:pPr>
      <w:r>
        <w:rPr/>
        <w:t>管理及补丁分发系统</w:t>
      </w:r>
      <w:r>
        <w:rPr>
          <w:rFonts w:ascii="宋体" w:hAnsi="宋体" w:cs="宋体" w:eastAsia="宋体" w:hint="default"/>
        </w:rPr>
        <w:t>V6.6</w:t>
      </w:r>
      <w:r>
        <w:rPr/>
        <w:t>给买方，单价是</w:t>
      </w:r>
      <w:r>
        <w:rPr>
          <w:rFonts w:ascii="宋体" w:hAnsi="宋体" w:cs="宋体" w:eastAsia="宋体" w:hint="default"/>
        </w:rPr>
        <w:t>5.8</w:t>
      </w:r>
      <w:r>
        <w:rPr/>
        <w:t>万</w:t>
      </w:r>
      <w:r>
        <w:rPr>
          <w:rFonts w:ascii="宋体" w:hAnsi="宋体" w:cs="宋体" w:eastAsia="宋体" w:hint="default"/>
        </w:rPr>
        <w:t>/</w:t>
      </w:r>
      <w:r>
        <w:rPr/>
        <w:t>台，实际数量通过具体的合同“一单一定”。合同自生效之日起在合同或订</w:t>
      </w:r>
    </w:p>
    <w:p>
      <w:pPr>
        <w:pStyle w:val="BodyText"/>
        <w:spacing w:line="319" w:lineRule="auto" w:before="76"/>
        <w:ind w:left="515" w:right="107" w:hanging="363"/>
        <w:jc w:val="left"/>
      </w:pPr>
      <w:r>
        <w:rPr/>
        <w:t>单购买总数量达到本协议约定的数量之后，本协议自动终止。” 本报告期内确认收入</w:t>
      </w:r>
      <w:r>
        <w:rPr>
          <w:rFonts w:ascii="宋体" w:hAnsi="宋体" w:cs="宋体" w:eastAsia="宋体" w:hint="default"/>
        </w:rPr>
        <w:t>912</w:t>
      </w:r>
      <w:r>
        <w:rPr/>
        <w:t>万元，总计收入</w:t>
      </w:r>
      <w:r>
        <w:rPr>
          <w:rFonts w:ascii="宋体" w:hAnsi="宋体" w:cs="宋体" w:eastAsia="宋体" w:hint="default"/>
        </w:rPr>
        <w:t>2814.4</w:t>
      </w:r>
      <w:r>
        <w:rPr/>
        <w:t>万元。本协议的履行对本公司未来</w:t>
      </w:r>
      <w:r>
        <w:rPr>
          <w:rFonts w:ascii="宋体" w:hAnsi="宋体" w:cs="宋体" w:eastAsia="宋体" w:hint="default"/>
        </w:rPr>
        <w:t>1-2</w:t>
      </w:r>
      <w:r>
        <w:rPr/>
        <w:t>年的经营业绩将产生积极的影响；</w:t>
      </w:r>
    </w:p>
    <w:p>
      <w:pPr>
        <w:pStyle w:val="BodyText"/>
        <w:spacing w:line="240" w:lineRule="auto" w:before="17"/>
        <w:ind w:right="102"/>
        <w:jc w:val="left"/>
      </w:pPr>
      <w:r>
        <w:rPr/>
        <w:t>本协议的履行对公司业务的独立性无重大影响。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02"/>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102"/>
        <w:jc w:val="left"/>
      </w:pPr>
      <w:r>
        <w:rPr/>
        <w:t>行业和产品分类</w:t>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403" w:hRule="exact"/>
        </w:trPr>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1,731,547.13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0.81%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916,494.96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88.93%</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4,543,988.62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2.12%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7,977,795.63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25.16%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-43.04%</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3,229,911.00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4,178,753.97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-22.71%</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37,181,689.75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13,047,551.72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184.97%</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167,780,251.53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78.23%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5,584,586.77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17.61%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2,904.34%</w:t>
            </w:r>
          </w:p>
        </w:tc>
      </w:tr>
    </w:tbl>
    <w:p>
      <w:pPr>
        <w:pStyle w:val="BodyText"/>
        <w:spacing w:line="240" w:lineRule="auto" w:before="49"/>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403" w:hRule="exact"/>
        </w:trPr>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12,392,075.92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5.78%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10,487,771.55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18.16%</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3,329,853.47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3,672,909.92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-9.34%</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硬件及其他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198,745,458.64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92.67%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17,544,501.58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1032.81%</w:t>
            </w:r>
          </w:p>
        </w:tc>
      </w:tr>
    </w:tbl>
    <w:p>
      <w:pPr>
        <w:spacing w:line="240" w:lineRule="auto" w:before="3"/>
        <w:rPr>
          <w:rFonts w:ascii="宋体" w:hAnsi="宋体" w:cs="宋体" w:eastAsia="宋体" w:hint="default"/>
          <w:sz w:val="19"/>
          <w:szCs w:val="19"/>
        </w:rPr>
      </w:pPr>
    </w:p>
    <w:p>
      <w:pPr>
        <w:pStyle w:val="Heading3"/>
        <w:spacing w:line="335" w:lineRule="exact"/>
        <w:ind w:right="102"/>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left="244" w:right="2702" w:hanging="92"/>
        <w:jc w:val="left"/>
      </w:pPr>
      <w:r>
        <w:rPr/>
        <w:t>√ 是 □</w:t>
      </w:r>
      <w:r>
        <w:rPr>
          <w:spacing w:val="3"/>
        </w:rPr>
        <w:t> </w:t>
      </w:r>
      <w:r>
        <w:rPr/>
        <w:t>否</w:t>
      </w:r>
      <w:r>
        <w:rPr/>
        <w:t> 报告期内，公司新增全资子公司北京中软华泰信息技术有限责任公司纳入合并报表范围。</w:t>
      </w:r>
    </w:p>
    <w:p>
      <w:pPr>
        <w:spacing w:after="0" w:line="360"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204,718,605.21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43.56%</w:t>
            </w:r>
          </w:p>
        </w:tc>
      </w:tr>
    </w:tbl>
    <w:p>
      <w:pPr>
        <w:pStyle w:val="BodyText"/>
        <w:spacing w:line="240" w:lineRule="auto" w:before="49"/>
        <w:ind w:right="3012"/>
        <w:jc w:val="left"/>
      </w:pPr>
      <w:r>
        <w:rPr/>
        <w:t>公司前</w:t>
      </w:r>
      <w:r>
        <w:rPr>
          <w:spacing w:val="-44"/>
        </w:rPr>
        <w:t> </w:t>
      </w:r>
      <w:r>
        <w:rPr>
          <w:rFonts w:ascii="宋体" w:hAnsi="宋体" w:cs="宋体" w:eastAsia="宋体" w:hint="default"/>
        </w:rPr>
        <w:t>5</w:t>
      </w:r>
      <w:r>
        <w:rPr>
          <w:rFonts w:ascii="宋体" w:hAnsi="宋体" w:cs="宋体" w:eastAsia="宋体" w:hint="default"/>
          <w:spacing w:val="-44"/>
        </w:rPr>
        <w:t> </w:t>
      </w:r>
      <w:r>
        <w:rPr/>
        <w:t>大客户资料</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3303"/>
        <w:gridCol w:w="2321"/>
        <w:gridCol w:w="3145"/>
      </w:tblGrid>
      <w:tr>
        <w:trPr>
          <w:trHeight w:val="404"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江苏依迪系统集成有限公司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89,589,743.60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19.06%</w:t>
            </w:r>
          </w:p>
        </w:tc>
      </w:tr>
      <w:tr>
        <w:trPr>
          <w:trHeight w:val="40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航天信息系统工程（北京）有限公司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42,256,923.10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8.99%</w:t>
            </w:r>
          </w:p>
        </w:tc>
      </w:tr>
      <w:tr>
        <w:trPr>
          <w:trHeight w:val="401"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山西航天信息有限公司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27,957,538.47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5.95%</w:t>
            </w:r>
          </w:p>
        </w:tc>
      </w:tr>
      <w:tr>
        <w:trPr>
          <w:trHeight w:val="40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长春吉大正元信息技术股份有限公司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24,027,543.04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5.11%</w:t>
            </w:r>
          </w:p>
        </w:tc>
      </w:tr>
      <w:tr>
        <w:trPr>
          <w:trHeight w:val="401"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北京锐安科技有限公司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20,886,857.00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4.44%</w:t>
            </w:r>
          </w:p>
        </w:tc>
      </w:tr>
      <w:tr>
        <w:trPr>
          <w:trHeight w:val="40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204,718,605.21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43.56%</w:t>
            </w:r>
          </w:p>
        </w:tc>
      </w:tr>
    </w:tbl>
    <w:p>
      <w:pPr>
        <w:pStyle w:val="BodyText"/>
        <w:spacing w:line="240" w:lineRule="auto" w:before="49"/>
        <w:ind w:right="3012"/>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167,873,312.01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80.81%</w:t>
            </w:r>
          </w:p>
        </w:tc>
      </w:tr>
    </w:tbl>
    <w:p>
      <w:pPr>
        <w:pStyle w:val="BodyText"/>
        <w:spacing w:line="240" w:lineRule="auto" w:before="49"/>
        <w:ind w:right="3012"/>
        <w:jc w:val="left"/>
      </w:pPr>
      <w:r>
        <w:rPr/>
        <w:t>公司前</w:t>
      </w:r>
      <w:r>
        <w:rPr>
          <w:spacing w:val="-44"/>
        </w:rPr>
        <w:t> </w:t>
      </w:r>
      <w:r>
        <w:rPr>
          <w:rFonts w:ascii="宋体" w:hAnsi="宋体" w:cs="宋体" w:eastAsia="宋体" w:hint="default"/>
        </w:rPr>
        <w:t>5</w:t>
      </w:r>
      <w:r>
        <w:rPr>
          <w:rFonts w:ascii="宋体" w:hAnsi="宋体" w:cs="宋体" w:eastAsia="宋体" w:hint="default"/>
          <w:spacing w:val="-44"/>
        </w:rPr>
        <w:t> </w:t>
      </w:r>
      <w:r>
        <w:rPr/>
        <w:t>名供应商资料</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947"/>
        <w:gridCol w:w="3212"/>
        <w:gridCol w:w="2352"/>
        <w:gridCol w:w="3185"/>
      </w:tblGrid>
      <w:tr>
        <w:trPr>
          <w:trHeight w:val="401"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1</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南京苏宁易购电子商务有限公司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131,395,384.29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63.25%</w:t>
            </w:r>
          </w:p>
        </w:tc>
      </w:tr>
      <w:tr>
        <w:trPr>
          <w:trHeight w:val="401"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2</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上海斐讯数据通信技术有限公司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27,846,153.86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13.40%</w:t>
            </w:r>
          </w:p>
        </w:tc>
      </w:tr>
      <w:tr>
        <w:trPr>
          <w:trHeight w:val="403"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3</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深圳市朗科科技股份有限公司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3,642,714.01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1.75%</w:t>
            </w:r>
          </w:p>
        </w:tc>
      </w:tr>
      <w:tr>
        <w:trPr>
          <w:trHeight w:val="401"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4</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浪潮（北京）电子信息产业有限公司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2,877,948.71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1.39%</w:t>
            </w:r>
          </w:p>
        </w:tc>
      </w:tr>
      <w:tr>
        <w:trPr>
          <w:trHeight w:val="404"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sz w:val="18"/>
              </w:rPr>
              <w:t>5</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中电科华云信息技术有限公司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2,111,111.14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1.02%</w:t>
            </w:r>
          </w:p>
        </w:tc>
      </w:tr>
      <w:tr>
        <w:trPr>
          <w:trHeight w:val="401" w:hRule="exact"/>
        </w:trPr>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167,873,312.01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80.81%</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76,014,148.82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66,353,355.81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95,389,430.22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82,034,542.38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-6,004,825.78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-9,111,460.07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34.10%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募集资金银行存款减少导致利息收 入减少</w:t>
            </w:r>
          </w:p>
        </w:tc>
      </w:tr>
    </w:tbl>
    <w:p>
      <w:pPr>
        <w:spacing w:after="0" w:line="316"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102"/>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left="513" w:right="102" w:hanging="361"/>
        <w:jc w:val="left"/>
      </w:pPr>
      <w:r>
        <w:rPr/>
        <w:t>√ 适用 □</w:t>
      </w:r>
      <w:r>
        <w:rPr>
          <w:spacing w:val="3"/>
        </w:rPr>
        <w:t> </w:t>
      </w:r>
      <w:r>
        <w:rPr/>
        <w:t>不适用</w:t>
      </w:r>
      <w:r>
        <w:rPr/>
        <w:t> </w:t>
      </w:r>
      <w:r>
        <w:rPr>
          <w:spacing w:val="-2"/>
        </w:rPr>
        <w:t>公司作为国家高新技术企业，一直高度重视技术研发和产品研发的投入以及自身研发综合实力的提高，公司坚持以市场</w:t>
      </w:r>
    </w:p>
    <w:p>
      <w:pPr>
        <w:pStyle w:val="BodyText"/>
        <w:spacing w:line="224" w:lineRule="exact"/>
        <w:ind w:right="102"/>
        <w:jc w:val="left"/>
      </w:pPr>
      <w:r>
        <w:rPr>
          <w:spacing w:val="-4"/>
        </w:rPr>
        <w:t>为导向，积极推进技术创新工作，开发新产品，推广新技术，保持科技创新，为公司进一步提高核心竞争力提供有力的保障。</w:t>
      </w:r>
    </w:p>
    <w:p>
      <w:pPr>
        <w:pStyle w:val="BodyText"/>
        <w:spacing w:line="240" w:lineRule="auto" w:before="76"/>
        <w:ind w:right="102"/>
        <w:jc w:val="left"/>
      </w:pPr>
      <w:r>
        <w:rPr/>
        <w:t>目前公司在研项目主要包括：</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766"/>
        <w:gridCol w:w="3214"/>
        <w:gridCol w:w="3264"/>
        <w:gridCol w:w="2415"/>
      </w:tblGrid>
      <w:tr>
        <w:trPr>
          <w:trHeight w:val="427"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项目目标</w:t>
            </w:r>
            <w:r>
              <w:rPr>
                <w:rFonts w:ascii="Microsoft JhengHei" w:hAnsi="Microsoft JhengHei" w:cs="Microsoft JhengHei" w:eastAsia="Microsoft JhengHei" w:hint="default"/>
                <w:sz w:val="18"/>
                <w:szCs w:val="18"/>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项目进度</w:t>
            </w:r>
            <w:r>
              <w:rPr>
                <w:rFonts w:ascii="Microsoft JhengHei" w:hAnsi="Microsoft JhengHei" w:cs="Microsoft JhengHei" w:eastAsia="Microsoft JhengHei" w:hint="default"/>
                <w:sz w:val="18"/>
                <w:szCs w:val="18"/>
              </w:rPr>
            </w:r>
          </w:p>
        </w:tc>
      </w:tr>
      <w:tr>
        <w:trPr>
          <w:trHeight w:val="1364"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7"/>
              <w:ind w:left="1329" w:right="19" w:hanging="1306"/>
              <w:jc w:val="left"/>
              <w:rPr>
                <w:rFonts w:ascii="宋体" w:hAnsi="宋体" w:cs="宋体" w:eastAsia="宋体" w:hint="default"/>
                <w:sz w:val="18"/>
                <w:szCs w:val="18"/>
              </w:rPr>
            </w:pPr>
            <w:r>
              <w:rPr>
                <w:rFonts w:ascii="宋体" w:hAnsi="宋体" w:cs="宋体" w:eastAsia="宋体" w:hint="default"/>
                <w:sz w:val="18"/>
                <w:szCs w:val="18"/>
              </w:rPr>
              <w:t>新一代互联网安全聚合通道</w:t>
            </w:r>
            <w:r>
              <w:rPr>
                <w:rFonts w:ascii="宋体" w:hAnsi="宋体" w:cs="宋体" w:eastAsia="宋体" w:hint="default"/>
                <w:sz w:val="18"/>
                <w:szCs w:val="18"/>
              </w:rPr>
              <w:t>-Linkdood</w:t>
            </w:r>
            <w:r>
              <w:rPr>
                <w:rFonts w:ascii="宋体" w:hAnsi="宋体" w:cs="宋体" w:eastAsia="宋体" w:hint="default"/>
                <w:sz w:val="18"/>
                <w:szCs w:val="18"/>
              </w:rPr>
              <w:t>信 源豆豆</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hanging="1"/>
              <w:jc w:val="center"/>
              <w:rPr>
                <w:rFonts w:ascii="宋体" w:hAnsi="宋体" w:cs="宋体" w:eastAsia="宋体" w:hint="default"/>
                <w:sz w:val="18"/>
                <w:szCs w:val="18"/>
              </w:rPr>
            </w:pPr>
            <w:r>
              <w:rPr>
                <w:rFonts w:ascii="宋体" w:hAnsi="宋体" w:cs="宋体" w:eastAsia="宋体" w:hint="default"/>
                <w:sz w:val="18"/>
                <w:szCs w:val="18"/>
              </w:rPr>
              <w:t>打造新一代互联网安全聚合通道，围绕即 </w:t>
            </w:r>
            <w:r>
              <w:rPr>
                <w:rFonts w:ascii="宋体" w:hAnsi="宋体" w:cs="宋体" w:eastAsia="宋体" w:hint="default"/>
                <w:spacing w:val="-5"/>
                <w:sz w:val="18"/>
                <w:szCs w:val="18"/>
              </w:rPr>
              <w:t>时通信、机器人、</w:t>
            </w:r>
            <w:r>
              <w:rPr>
                <w:rFonts w:ascii="宋体" w:hAnsi="宋体" w:cs="宋体" w:eastAsia="宋体" w:hint="default"/>
                <w:spacing w:val="-5"/>
                <w:sz w:val="18"/>
                <w:szCs w:val="18"/>
              </w:rPr>
              <w:t>SDK</w:t>
            </w:r>
            <w:r>
              <w:rPr>
                <w:rFonts w:ascii="宋体" w:hAnsi="宋体" w:cs="宋体" w:eastAsia="宋体" w:hint="default"/>
                <w:spacing w:val="-5"/>
                <w:sz w:val="18"/>
                <w:szCs w:val="18"/>
              </w:rPr>
              <w:t>、互通互联四个产品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研发方向，构建一个合作共赢的、开放式 的互联网安全应用</w:t>
            </w:r>
            <w:r>
              <w:rPr>
                <w:rFonts w:ascii="宋体" w:hAnsi="宋体" w:cs="宋体" w:eastAsia="宋体" w:hint="default"/>
                <w:sz w:val="18"/>
                <w:szCs w:val="18"/>
              </w:rPr>
              <w:t>APP</w:t>
            </w:r>
            <w:r>
              <w:rPr>
                <w:rFonts w:ascii="宋体" w:hAnsi="宋体" w:cs="宋体" w:eastAsia="宋体" w:hint="default"/>
                <w:sz w:val="18"/>
                <w:szCs w:val="18"/>
              </w:rPr>
              <w:t>开发生态圈。</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产品发布阶段</w:t>
            </w:r>
          </w:p>
        </w:tc>
      </w:tr>
      <w:tr>
        <w:trPr>
          <w:trHeight w:val="1363"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智慧终端一体化管理平台</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3" w:hanging="3"/>
              <w:jc w:val="center"/>
              <w:rPr>
                <w:rFonts w:ascii="宋体" w:hAnsi="宋体" w:cs="宋体" w:eastAsia="宋体" w:hint="default"/>
                <w:sz w:val="18"/>
                <w:szCs w:val="18"/>
              </w:rPr>
            </w:pPr>
            <w:r>
              <w:rPr>
                <w:rFonts w:ascii="宋体" w:hAnsi="宋体" w:cs="宋体" w:eastAsia="宋体" w:hint="default"/>
                <w:sz w:val="18"/>
                <w:szCs w:val="18"/>
              </w:rPr>
              <w:t>采用终端行为基线技术进行终端态势分 析，建立全网终端健康智能评价体系，将 传统终端、国产终端、虚拟化终端、移动 终端纳入泛终端管理范畴。</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产品升级研发阶段</w:t>
            </w:r>
          </w:p>
        </w:tc>
      </w:tr>
      <w:tr>
        <w:trPr>
          <w:trHeight w:val="1363"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智慧数据安全防护系统</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3"/>
              <w:jc w:val="center"/>
              <w:rPr>
                <w:rFonts w:ascii="宋体" w:hAnsi="宋体" w:cs="宋体" w:eastAsia="宋体" w:hint="default"/>
                <w:sz w:val="18"/>
                <w:szCs w:val="18"/>
              </w:rPr>
            </w:pPr>
            <w:r>
              <w:rPr>
                <w:rFonts w:ascii="宋体" w:hAnsi="宋体" w:cs="宋体" w:eastAsia="宋体" w:hint="default"/>
                <w:sz w:val="18"/>
                <w:szCs w:val="18"/>
              </w:rPr>
              <w:t>建立数据内容智慧分析引擎，融合数据防 护各类管控策略，构建数据资产全生命周 期管理平台，全程掌控关键数据的组成和 分布，更有效保护重要数据资产。</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产品升级研发阶段</w:t>
            </w:r>
          </w:p>
        </w:tc>
      </w:tr>
      <w:tr>
        <w:trPr>
          <w:trHeight w:val="1364"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智慧边界接入控制系统</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 w:right="3" w:hanging="3"/>
              <w:jc w:val="center"/>
              <w:rPr>
                <w:rFonts w:ascii="宋体" w:hAnsi="宋体" w:cs="宋体" w:eastAsia="宋体" w:hint="default"/>
                <w:sz w:val="18"/>
                <w:szCs w:val="18"/>
              </w:rPr>
            </w:pPr>
            <w:r>
              <w:rPr>
                <w:rFonts w:ascii="宋体" w:hAnsi="宋体" w:cs="宋体" w:eastAsia="宋体" w:hint="default"/>
                <w:sz w:val="18"/>
                <w:szCs w:val="18"/>
              </w:rPr>
              <w:t>智能探测识别网络边界自动进行边界防 御，能够将传统终端、国产终端、虚拟化 终端、移动终端、工业终端进行统一的泛 终端准入控制。</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产品升级研发阶段</w:t>
            </w:r>
          </w:p>
        </w:tc>
      </w:tr>
      <w:tr>
        <w:trPr>
          <w:trHeight w:val="1987"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5</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终端安全大数据平台</w:t>
            </w:r>
          </w:p>
        </w:tc>
        <w:tc>
          <w:tcPr>
            <w:tcW w:w="32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3" w:hanging="1"/>
              <w:jc w:val="center"/>
              <w:rPr>
                <w:rFonts w:ascii="宋体" w:hAnsi="宋体" w:cs="宋体" w:eastAsia="宋体" w:hint="default"/>
                <w:sz w:val="18"/>
                <w:szCs w:val="18"/>
              </w:rPr>
            </w:pPr>
            <w:r>
              <w:rPr>
                <w:rFonts w:ascii="宋体" w:hAnsi="宋体" w:cs="宋体" w:eastAsia="宋体" w:hint="default"/>
                <w:sz w:val="18"/>
                <w:szCs w:val="18"/>
              </w:rPr>
              <w:t>构建一体化大数据数据平台，整合现有安 全产品体系，便于统一管理、集中部署， 提高</w:t>
            </w:r>
            <w:r>
              <w:rPr>
                <w:rFonts w:ascii="宋体" w:hAnsi="宋体" w:cs="宋体" w:eastAsia="宋体" w:hint="default"/>
                <w:sz w:val="18"/>
                <w:szCs w:val="18"/>
              </w:rPr>
              <w:t>IT</w:t>
            </w:r>
            <w:r>
              <w:rPr>
                <w:rFonts w:ascii="宋体" w:hAnsi="宋体" w:cs="宋体" w:eastAsia="宋体" w:hint="default"/>
                <w:sz w:val="18"/>
                <w:szCs w:val="18"/>
              </w:rPr>
              <w:t>资源利用率，降低实施成本；增强 用户对合规性安全要求的动态弹性执行 力，具备终端、网络及业务的综合安全预 警能力。</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产品研发阶段</w:t>
            </w:r>
          </w:p>
        </w:tc>
      </w:tr>
    </w:tbl>
    <w:p>
      <w:pPr>
        <w:pStyle w:val="BodyText"/>
        <w:spacing w:line="316" w:lineRule="auto" w:before="8"/>
        <w:ind w:right="190" w:firstLine="360"/>
        <w:jc w:val="both"/>
      </w:pPr>
      <w:r>
        <w:rPr/>
        <w:t>新一代互联网安全聚合通道</w:t>
      </w:r>
      <w:r>
        <w:rPr>
          <w:rFonts w:ascii="宋体" w:hAnsi="宋体" w:cs="宋体" w:eastAsia="宋体" w:hint="default"/>
        </w:rPr>
        <w:t>-Linkdood</w:t>
      </w:r>
      <w:r>
        <w:rPr/>
        <w:t>信源豆豆研发的完成，将开辟互联网行业市场新纪元；企业智慧安全防护体系研 </w:t>
      </w:r>
      <w:r>
        <w:rPr>
          <w:spacing w:val="-2"/>
        </w:rPr>
        <w:t>发的完成，将为用户搭建新一代内网安全管控架构，让客户对终端的管理和数据的防护更轻松、更智能，为大数据分析提供</w:t>
      </w:r>
      <w:r>
        <w:rPr>
          <w:spacing w:val="-64"/>
        </w:rPr>
        <w:t> </w:t>
      </w:r>
      <w:r>
        <w:rPr>
          <w:spacing w:val="-64"/>
        </w:rPr>
      </w:r>
      <w:r>
        <w:rPr>
          <w:spacing w:val="-2"/>
        </w:rPr>
        <w:t>有利的数据支撑，为公司未来发展注入新鲜血液，创造新的利润增长点；终端安全大数据管理平台的完成有利于构建一体化</w:t>
      </w:r>
      <w:r>
        <w:rPr>
          <w:spacing w:val="-63"/>
        </w:rPr>
        <w:t> </w:t>
      </w:r>
      <w:r>
        <w:rPr>
          <w:spacing w:val="-63"/>
        </w:rPr>
      </w:r>
      <w:r>
        <w:rPr/>
        <w:t>大数据平台，为客户提供更好的服务。</w:t>
      </w:r>
    </w:p>
    <w:p>
      <w:pPr>
        <w:pStyle w:val="BodyText"/>
        <w:spacing w:line="240" w:lineRule="auto" w:before="59"/>
        <w:ind w:right="102"/>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24"/>
        <w:gridCol w:w="2425"/>
        <w:gridCol w:w="2424"/>
        <w:gridCol w:w="2425"/>
      </w:tblGrid>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393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345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276</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37.82%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37.50%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35.11%</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58,597,959.08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49,204,796.56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37,861,659.39</w:t>
            </w:r>
          </w:p>
        </w:tc>
      </w:tr>
      <w:tr>
        <w:trPr>
          <w:trHeight w:val="404"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18.73%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16.59%</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16,415,091.70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9,416,533.82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81" w:footer="979" w:top="1080" w:bottom="1160" w:left="980" w:right="940"/>
        </w:sectPr>
      </w:pPr>
    </w:p>
    <w:p>
      <w:pPr>
        <w:spacing w:line="240" w:lineRule="auto" w:before="6"/>
        <w:rPr>
          <w:rFonts w:ascii="宋体" w:hAnsi="宋体" w:cs="宋体" w:eastAsia="宋体" w:hint="default"/>
          <w:sz w:val="26"/>
          <w:szCs w:val="26"/>
        </w:rPr>
      </w:pPr>
    </w:p>
    <w:tbl>
      <w:tblPr>
        <w:tblW w:w="0" w:type="auto"/>
        <w:jc w:val="left"/>
        <w:tblInd w:w="120" w:type="dxa"/>
        <w:tblLayout w:type="fixed"/>
        <w:tblCellMar>
          <w:top w:w="0" w:type="dxa"/>
          <w:left w:w="0" w:type="dxa"/>
          <w:bottom w:w="0" w:type="dxa"/>
          <w:right w:w="0" w:type="dxa"/>
        </w:tblCellMar>
        <w:tblLook w:val="01E0"/>
      </w:tblPr>
      <w:tblGrid>
        <w:gridCol w:w="2423"/>
        <w:gridCol w:w="2425"/>
        <w:gridCol w:w="2424"/>
        <w:gridCol w:w="2425"/>
      </w:tblGrid>
      <w:tr>
        <w:trPr>
          <w:trHeight w:val="713"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8"/>
              <w:jc w:val="left"/>
              <w:rPr>
                <w:rFonts w:ascii="宋体" w:hAnsi="宋体" w:cs="宋体" w:eastAsia="宋体" w:hint="default"/>
                <w:sz w:val="18"/>
                <w:szCs w:val="18"/>
              </w:rPr>
            </w:pPr>
            <w:r>
              <w:rPr>
                <w:rFonts w:ascii="宋体" w:hAnsi="宋体" w:cs="宋体" w:eastAsia="宋体" w:hint="default"/>
                <w:sz w:val="18"/>
                <w:szCs w:val="18"/>
              </w:rPr>
              <w:t>资本化研发支出占研发投入的 比例</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28.01%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19.14%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r>
        <w:trPr>
          <w:trHeight w:val="715"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资本化研发支出占当期净利润 的比重</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23.21%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13.85%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pStyle w:val="BodyText"/>
        <w:spacing w:line="240" w:lineRule="auto" w:before="49"/>
        <w:ind w:right="3012"/>
        <w:jc w:val="left"/>
      </w:pPr>
      <w:r>
        <w:rPr/>
        <w:t>研发投入总额占营业收入的比重较上年发生显著变化的原因</w:t>
      </w:r>
    </w:p>
    <w:p>
      <w:pPr>
        <w:pStyle w:val="BodyText"/>
        <w:spacing w:line="360" w:lineRule="auto" w:before="115"/>
        <w:ind w:left="513" w:right="143" w:hanging="361"/>
        <w:jc w:val="left"/>
      </w:pPr>
      <w:r>
        <w:rPr/>
        <w:t>√ 适用 □</w:t>
      </w:r>
      <w:r>
        <w:rPr>
          <w:spacing w:val="3"/>
        </w:rPr>
        <w:t> </w:t>
      </w:r>
      <w:r>
        <w:rPr/>
        <w:t>不适用</w:t>
      </w:r>
      <w:r>
        <w:rPr/>
        <w:t> </w:t>
      </w:r>
      <w:r>
        <w:rPr>
          <w:rFonts w:ascii="宋体" w:hAnsi="宋体" w:cs="宋体" w:eastAsia="宋体" w:hint="default"/>
        </w:rPr>
        <w:t>2015</w:t>
      </w:r>
      <w:r>
        <w:rPr/>
        <w:t>年全年公司研发投入金额</w:t>
      </w:r>
      <w:r>
        <w:rPr>
          <w:rFonts w:ascii="宋体" w:hAnsi="宋体" w:cs="宋体" w:eastAsia="宋体" w:hint="default"/>
        </w:rPr>
        <w:t>58,597,959.08</w:t>
      </w:r>
      <w:r>
        <w:rPr/>
        <w:t>元，较上年同期增长</w:t>
      </w:r>
      <w:r>
        <w:rPr>
          <w:rFonts w:ascii="宋体" w:hAnsi="宋体" w:cs="宋体" w:eastAsia="宋体" w:hint="default"/>
        </w:rPr>
        <w:t>19.09%</w:t>
      </w:r>
      <w:r>
        <w:rPr/>
        <w:t>，由于公司</w:t>
      </w:r>
      <w:r>
        <w:rPr>
          <w:rFonts w:ascii="宋体" w:hAnsi="宋体" w:cs="宋体" w:eastAsia="宋体" w:hint="default"/>
        </w:rPr>
        <w:t>2015</w:t>
      </w:r>
      <w:r>
        <w:rPr/>
        <w:t>年营业收入增长较大，导致研</w:t>
      </w:r>
    </w:p>
    <w:p>
      <w:pPr>
        <w:pStyle w:val="BodyText"/>
        <w:spacing w:line="222" w:lineRule="exact"/>
        <w:ind w:right="3012"/>
        <w:jc w:val="left"/>
      </w:pPr>
      <w:r>
        <w:rPr/>
        <w:t>发投入总额占营业收入的比重较上年有所下降。</w:t>
      </w:r>
    </w:p>
    <w:p>
      <w:pPr>
        <w:pStyle w:val="BodyText"/>
        <w:spacing w:line="240" w:lineRule="auto" w:before="117"/>
        <w:ind w:right="3012"/>
        <w:jc w:val="left"/>
      </w:pPr>
      <w:r>
        <w:rPr/>
        <w:t>研发投入资本化率大幅变动的原因及其合理性说明</w:t>
      </w:r>
    </w:p>
    <w:p>
      <w:pPr>
        <w:pStyle w:val="BodyText"/>
        <w:spacing w:line="240" w:lineRule="auto" w:before="115"/>
        <w:ind w:right="3012"/>
        <w:jc w:val="left"/>
      </w:pPr>
      <w:r>
        <w:rPr/>
        <w:t>□ 适用 √</w:t>
      </w:r>
      <w:r>
        <w:rPr>
          <w:spacing w:val="3"/>
        </w:rPr>
        <w:t> </w:t>
      </w:r>
      <w:r>
        <w:rPr/>
        <w:t>不适用</w:t>
      </w:r>
    </w:p>
    <w:p>
      <w:pPr>
        <w:spacing w:line="240" w:lineRule="auto" w:before="2"/>
        <w:rPr>
          <w:rFonts w:ascii="宋体" w:hAnsi="宋体" w:cs="宋体" w:eastAsia="宋体" w:hint="default"/>
          <w:sz w:val="22"/>
          <w:szCs w:val="22"/>
        </w:rPr>
      </w:pPr>
    </w:p>
    <w:p>
      <w:pPr>
        <w:pStyle w:val="Heading3"/>
        <w:spacing w:line="240" w:lineRule="auto"/>
        <w:ind w:right="3012"/>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424"/>
        <w:gridCol w:w="2425"/>
        <w:gridCol w:w="2424"/>
        <w:gridCol w:w="2425"/>
      </w:tblGrid>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465,359,578.66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178,965,360.75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160.03%</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467,979,000.93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198,292,389.94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136.00%</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-2,619,422.27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-19,327,029.19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86.45%</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5,350,321.80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7,050.00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75,791.09%</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73,624,381.33</w:t>
            </w:r>
            <w:r>
              <w:rPr>
                <w:rFonts w:ascii="宋体"/>
                <w:sz w:val="18"/>
              </w:rPr>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48,395,754.35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52.13%</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-68,274,059.53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-48,388,704.35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-41.10%</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13,340,000.00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13,340,000.00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-13,340,000.00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-13,340,000.00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-85,362,702.20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-81,961,668.35</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-4.15%</w:t>
            </w:r>
          </w:p>
        </w:tc>
      </w:tr>
    </w:tbl>
    <w:p>
      <w:pPr>
        <w:pStyle w:val="BodyText"/>
        <w:spacing w:line="240" w:lineRule="auto" w:before="49"/>
        <w:ind w:right="3012"/>
        <w:jc w:val="left"/>
      </w:pPr>
      <w:r>
        <w:rPr/>
        <w:t>相关数据同比发生重大变动的主要影响因素说明</w:t>
      </w:r>
    </w:p>
    <w:p>
      <w:pPr>
        <w:pStyle w:val="BodyText"/>
        <w:spacing w:line="360" w:lineRule="auto" w:before="115"/>
        <w:ind w:right="1494"/>
        <w:jc w:val="left"/>
      </w:pPr>
      <w:r>
        <w:rPr/>
        <w:t>√ 适用 □</w:t>
      </w:r>
      <w:r>
        <w:rPr>
          <w:spacing w:val="3"/>
        </w:rPr>
        <w:t> </w:t>
      </w:r>
      <w:r>
        <w:rPr/>
        <w:t>不适用</w:t>
      </w:r>
      <w:r>
        <w:rPr/>
        <w:t> </w:t>
      </w:r>
      <w:r>
        <w:rPr>
          <w:rFonts w:ascii="宋体" w:hAnsi="宋体" w:cs="宋体" w:eastAsia="宋体" w:hint="default"/>
        </w:rPr>
        <w:t>1</w:t>
      </w:r>
      <w:r>
        <w:rPr/>
        <w:t>、公司经营活动产生的现金流入同比增加</w:t>
      </w:r>
      <w:r>
        <w:rPr>
          <w:rFonts w:ascii="宋体" w:hAnsi="宋体" w:cs="宋体" w:eastAsia="宋体" w:hint="default"/>
        </w:rPr>
        <w:t>160.03%</w:t>
      </w:r>
      <w:r>
        <w:rPr/>
        <w:t>，主要原因是：公司业务快速发展带来回款增加所致。</w:t>
      </w:r>
    </w:p>
    <w:p>
      <w:pPr>
        <w:pStyle w:val="BodyText"/>
        <w:spacing w:line="223" w:lineRule="exact"/>
        <w:ind w:right="0"/>
        <w:jc w:val="left"/>
      </w:pPr>
      <w:r>
        <w:rPr>
          <w:rFonts w:ascii="宋体" w:hAnsi="宋体" w:cs="宋体" w:eastAsia="宋体" w:hint="default"/>
        </w:rPr>
        <w:t>2</w:t>
      </w:r>
      <w:r>
        <w:rPr/>
        <w:t>、公司经营活动产生的现金流出同比增加</w:t>
      </w:r>
      <w:r>
        <w:rPr>
          <w:rFonts w:ascii="宋体" w:hAnsi="宋体" w:cs="宋体" w:eastAsia="宋体" w:hint="default"/>
        </w:rPr>
        <w:t>136.00%</w:t>
      </w:r>
      <w:r>
        <w:rPr/>
        <w:t>，主要原因是：公司业务快速发展引起采购支出增加所致。</w:t>
      </w:r>
    </w:p>
    <w:p>
      <w:pPr>
        <w:pStyle w:val="BodyText"/>
        <w:spacing w:line="316" w:lineRule="auto" w:before="76"/>
        <w:ind w:right="144"/>
        <w:jc w:val="left"/>
      </w:pPr>
      <w:r>
        <w:rPr>
          <w:rFonts w:ascii="宋体" w:hAnsi="宋体" w:cs="宋体" w:eastAsia="宋体" w:hint="default"/>
        </w:rPr>
        <w:t>3</w:t>
      </w:r>
      <w:r>
        <w:rPr/>
        <w:t>、公司投资活动产生的现金流入同比增加</w:t>
      </w:r>
      <w:r>
        <w:rPr>
          <w:rFonts w:ascii="宋体" w:hAnsi="宋体" w:cs="宋体" w:eastAsia="宋体" w:hint="default"/>
        </w:rPr>
        <w:t>75,791.09%</w:t>
      </w:r>
      <w:r>
        <w:rPr/>
        <w:t>，主要原因是：公司出售北京恒易传奇科技有限责任公司收回投资以 及收购中软华泰后进行报表合并所致。</w:t>
      </w:r>
    </w:p>
    <w:p>
      <w:pPr>
        <w:pStyle w:val="BodyText"/>
        <w:spacing w:line="316" w:lineRule="auto" w:before="19"/>
        <w:ind w:right="147"/>
        <w:jc w:val="left"/>
      </w:pPr>
      <w:r>
        <w:rPr>
          <w:rFonts w:ascii="宋体" w:hAnsi="宋体" w:cs="宋体" w:eastAsia="宋体" w:hint="default"/>
        </w:rPr>
        <w:t>4.</w:t>
      </w:r>
      <w:r>
        <w:rPr>
          <w:rFonts w:ascii="宋体" w:hAnsi="宋体" w:cs="宋体" w:eastAsia="宋体" w:hint="default"/>
          <w:spacing w:val="-3"/>
        </w:rPr>
        <w:t> </w:t>
      </w:r>
      <w:r>
        <w:rPr/>
        <w:t>公司投资活动产生的现金流出同比增加</w:t>
      </w:r>
      <w:r>
        <w:rPr>
          <w:rFonts w:ascii="宋体" w:hAnsi="宋体" w:cs="宋体" w:eastAsia="宋体" w:hint="default"/>
        </w:rPr>
        <w:t>52.13%</w:t>
      </w:r>
      <w:r>
        <w:rPr/>
        <w:t>，主要原因是：本年投资深圳金城、成立浙江华睿北信源数据信息产业投 资合伙企业（有限合伙）所致。 </w:t>
      </w:r>
      <w:r>
        <w:rPr>
          <w:rFonts w:ascii="宋体" w:hAnsi="宋体" w:cs="宋体" w:eastAsia="宋体" w:hint="default"/>
        </w:rPr>
        <w:t>5</w:t>
      </w:r>
      <w:r>
        <w:rPr/>
        <w:t>、公司现金及现金等价物净增加额同比下降</w:t>
      </w:r>
      <w:r>
        <w:rPr>
          <w:rFonts w:ascii="宋体" w:hAnsi="宋体" w:cs="宋体" w:eastAsia="宋体" w:hint="default"/>
        </w:rPr>
        <w:t>4.15%</w:t>
      </w:r>
      <w:r>
        <w:rPr/>
        <w:t>，主要原因是：投资活动产生的现金净流量同比下降所致。</w:t>
      </w:r>
    </w:p>
    <w:p>
      <w:pPr>
        <w:spacing w:line="240" w:lineRule="auto" w:before="0"/>
        <w:rPr>
          <w:rFonts w:ascii="宋体" w:hAnsi="宋体" w:cs="宋体" w:eastAsia="宋体" w:hint="default"/>
          <w:sz w:val="18"/>
          <w:szCs w:val="18"/>
        </w:rPr>
      </w:pPr>
    </w:p>
    <w:p>
      <w:pPr>
        <w:pStyle w:val="BodyText"/>
        <w:spacing w:line="240" w:lineRule="auto" w:before="136"/>
        <w:ind w:right="3012"/>
        <w:jc w:val="left"/>
      </w:pPr>
      <w:r>
        <w:rPr/>
        <w:t>报告期内公司经营活动产生的现金净流量与本年度净利润存在重大差异的原因说明</w:t>
      </w:r>
    </w:p>
    <w:p>
      <w:pPr>
        <w:pStyle w:val="BodyText"/>
        <w:spacing w:line="240" w:lineRule="auto" w:before="115"/>
        <w:ind w:right="3012"/>
        <w:jc w:val="left"/>
      </w:pPr>
      <w:r>
        <w:rPr/>
        <w:t>□ 适用 √</w:t>
      </w:r>
      <w:r>
        <w:rPr>
          <w:spacing w:val="3"/>
        </w:rPr>
        <w:t> </w:t>
      </w:r>
      <w:r>
        <w:rPr/>
        <w:t>不适用</w:t>
      </w:r>
    </w:p>
    <w:p>
      <w:pPr>
        <w:spacing w:line="240" w:lineRule="auto" w:before="6"/>
        <w:rPr>
          <w:rFonts w:ascii="宋体" w:hAnsi="宋体" w:cs="宋体" w:eastAsia="宋体" w:hint="default"/>
          <w:sz w:val="19"/>
          <w:szCs w:val="19"/>
        </w:rPr>
      </w:pPr>
    </w:p>
    <w:p>
      <w:pPr>
        <w:pStyle w:val="Heading2"/>
        <w:spacing w:line="240" w:lineRule="auto"/>
        <w:ind w:right="3012"/>
        <w:jc w:val="left"/>
        <w:rPr>
          <w:b w:val="0"/>
          <w:bCs w:val="0"/>
        </w:rPr>
      </w:pPr>
      <w:r>
        <w:rPr/>
        <w:t>三、非主营业务情况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3012"/>
        <w:jc w:val="left"/>
      </w:pPr>
      <w:r>
        <w:rPr/>
        <w:t>□ 适用 √</w:t>
      </w:r>
      <w:r>
        <w:rPr>
          <w:spacing w:val="3"/>
        </w:rPr>
        <w:t> </w:t>
      </w:r>
      <w:r>
        <w:rPr/>
        <w:t>不适用</w:t>
      </w:r>
    </w:p>
    <w:p>
      <w:pPr>
        <w:spacing w:after="0" w:line="240" w:lineRule="auto"/>
        <w:jc w:val="left"/>
        <w:sectPr>
          <w:pgSz w:w="11910" w:h="16840"/>
          <w:pgMar w:header="781" w:footer="979" w:top="1080" w:bottom="1160" w:left="980" w:right="980"/>
        </w:sectPr>
      </w:pPr>
    </w:p>
    <w:p>
      <w:pPr>
        <w:spacing w:line="240" w:lineRule="auto" w:before="8"/>
        <w:rPr>
          <w:rFonts w:ascii="宋体" w:hAnsi="宋体" w:cs="宋体" w:eastAsia="宋体" w:hint="default"/>
          <w:sz w:val="21"/>
          <w:szCs w:val="21"/>
        </w:rPr>
      </w:pPr>
    </w:p>
    <w:p>
      <w:pPr>
        <w:pStyle w:val="Heading2"/>
        <w:spacing w:line="367" w:lineRule="exact"/>
        <w:ind w:right="3012"/>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77"/>
        <w:gridCol w:w="1318"/>
        <w:gridCol w:w="1280"/>
        <w:gridCol w:w="1315"/>
        <w:gridCol w:w="1344"/>
        <w:gridCol w:w="1212"/>
        <w:gridCol w:w="1952"/>
      </w:tblGrid>
      <w:tr>
        <w:trPr>
          <w:trHeight w:val="401"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25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6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9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12" w:type="dxa"/>
            <w:vMerge/>
            <w:tcBorders>
              <w:left w:val="single" w:sz="4" w:space="0" w:color="000000"/>
              <w:bottom w:val="single" w:sz="4" w:space="0" w:color="000000"/>
              <w:right w:val="single" w:sz="4" w:space="0" w:color="000000"/>
            </w:tcBorders>
            <w:shd w:val="clear" w:color="auto" w:fill="D2D2D2"/>
          </w:tcPr>
          <w:p>
            <w:pPr/>
          </w:p>
        </w:tc>
        <w:tc>
          <w:tcPr>
            <w:tcW w:w="195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219,246,614.29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22.57%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304,505,016.49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38.46%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-15.89%</w:t>
            </w:r>
          </w:p>
        </w:tc>
        <w:tc>
          <w:tcPr>
            <w:tcW w:w="19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455,803,628.97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46.92%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359,960,646.14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45.47%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1.45%</w:t>
            </w:r>
          </w:p>
        </w:tc>
        <w:tc>
          <w:tcPr>
            <w:tcW w:w="19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9,997,598.52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10,248,073.02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1.29%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-0.26%</w:t>
            </w:r>
          </w:p>
        </w:tc>
        <w:tc>
          <w:tcPr>
            <w:tcW w:w="19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54,869,769.80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5.65%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45,696,096.80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5.77%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-0.12%</w:t>
            </w:r>
          </w:p>
        </w:tc>
        <w:tc>
          <w:tcPr>
            <w:tcW w:w="19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16,059,200.00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1.65%</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1.65%</w:t>
            </w:r>
          </w:p>
        </w:tc>
        <w:tc>
          <w:tcPr>
            <w:tcW w:w="19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5"/>
        <w:rPr>
          <w:rFonts w:ascii="宋体" w:hAnsi="宋体" w:cs="宋体" w:eastAsia="宋体" w:hint="default"/>
          <w:sz w:val="19"/>
          <w:szCs w:val="19"/>
        </w:rPr>
      </w:pPr>
    </w:p>
    <w:p>
      <w:pPr>
        <w:pStyle w:val="Heading2"/>
        <w:spacing w:line="240" w:lineRule="auto"/>
        <w:ind w:right="3012"/>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6" w:right="0"/>
              <w:jc w:val="left"/>
              <w:rPr>
                <w:rFonts w:ascii="宋体" w:hAnsi="宋体" w:cs="宋体" w:eastAsia="宋体" w:hint="default"/>
                <w:sz w:val="18"/>
                <w:szCs w:val="18"/>
              </w:rPr>
            </w:pPr>
            <w:r>
              <w:rPr>
                <w:rFonts w:ascii="宋体"/>
                <w:sz w:val="18"/>
              </w:rPr>
              <w:t>134,383,700.00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795.89%</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3012"/>
        <w:jc w:val="left"/>
      </w:pPr>
      <w:r>
        <w:rPr/>
        <w:t>√ 适用 □</w:t>
      </w:r>
      <w:r>
        <w:rPr>
          <w:spacing w:val="3"/>
        </w:rPr>
        <w:t> </w:t>
      </w:r>
      <w:r>
        <w:rPr/>
        <w:t>不适用</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37"/>
        <w:gridCol w:w="432"/>
        <w:gridCol w:w="432"/>
        <w:gridCol w:w="1318"/>
        <w:gridCol w:w="687"/>
        <w:gridCol w:w="235"/>
        <w:gridCol w:w="418"/>
        <w:gridCol w:w="398"/>
        <w:gridCol w:w="432"/>
        <w:gridCol w:w="1227"/>
        <w:gridCol w:w="1226"/>
        <w:gridCol w:w="434"/>
        <w:gridCol w:w="435"/>
        <w:gridCol w:w="1586"/>
      </w:tblGrid>
      <w:tr>
        <w:trPr>
          <w:trHeight w:val="1337" w:hRule="exact"/>
        </w:trPr>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1" w:right="29"/>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1" w:right="29"/>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0" w:right="65"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23" w:hanging="89"/>
              <w:jc w:val="left"/>
              <w:rPr>
                <w:rFonts w:ascii="宋体" w:hAnsi="宋体" w:cs="宋体" w:eastAsia="宋体" w:hint="default"/>
                <w:sz w:val="18"/>
                <w:szCs w:val="18"/>
              </w:rPr>
            </w:pPr>
            <w:r>
              <w:rPr>
                <w:rFonts w:ascii="宋体" w:hAnsi="宋体" w:cs="宋体" w:eastAsia="宋体" w:hint="default"/>
                <w:sz w:val="18"/>
                <w:szCs w:val="18"/>
              </w:rPr>
              <w:t>合作 方</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3"/>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1" w:right="29"/>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1" w:right="31"/>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32"/>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6" w:lineRule="auto" w:before="19"/>
              <w:ind w:left="31" w:right="32"/>
              <w:jc w:val="left"/>
              <w:rPr>
                <w:rFonts w:ascii="宋体" w:hAnsi="宋体" w:cs="宋体" w:eastAsia="宋体" w:hint="default"/>
                <w:sz w:val="18"/>
                <w:szCs w:val="18"/>
              </w:rPr>
            </w:pPr>
            <w:r>
              <w:rPr>
                <w:rFonts w:ascii="宋体" w:hAnsi="宋体" w:cs="宋体" w:eastAsia="宋体" w:hint="default"/>
                <w:sz w:val="18"/>
                <w:szCs w:val="18"/>
              </w:rPr>
              <w:t>（如 有）</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258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 中软 华泰 信息 技术 有限 责任 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36"/>
              <w:jc w:val="both"/>
              <w:rPr>
                <w:rFonts w:ascii="宋体" w:hAnsi="宋体" w:cs="宋体" w:eastAsia="宋体" w:hint="default"/>
                <w:sz w:val="18"/>
                <w:szCs w:val="18"/>
              </w:rPr>
            </w:pPr>
            <w:r>
              <w:rPr>
                <w:rFonts w:ascii="宋体" w:hAnsi="宋体" w:cs="宋体" w:eastAsia="宋体" w:hint="default"/>
                <w:sz w:val="18"/>
                <w:szCs w:val="18"/>
              </w:rPr>
              <w:t>服务 器加 固和 咨询 服务</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100,000,000.00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100.00%</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both"/>
              <w:rPr>
                <w:rFonts w:ascii="宋体" w:hAnsi="宋体" w:cs="宋体" w:eastAsia="宋体" w:hint="default"/>
                <w:sz w:val="18"/>
                <w:szCs w:val="18"/>
              </w:rPr>
            </w:pPr>
            <w:r>
              <w:rPr>
                <w:rFonts w:ascii="宋体" w:hAnsi="宋体" w:cs="宋体" w:eastAsia="宋体" w:hint="default"/>
                <w:sz w:val="18"/>
                <w:szCs w:val="18"/>
              </w:rPr>
              <w:t>发 行 股 份 及 自 有 资</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不适 用</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长 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10,416,600.00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11,940,000.00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2014</w:t>
            </w:r>
          </w:p>
          <w:p>
            <w:pPr>
              <w:pStyle w:val="TableParagraph"/>
              <w:spacing w:line="316" w:lineRule="auto" w:before="76"/>
              <w:ind w:left="23" w:right="218"/>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12</w:t>
            </w:r>
          </w:p>
          <w:p>
            <w:pPr>
              <w:pStyle w:val="TableParagraph"/>
              <w:spacing w:line="316" w:lineRule="auto" w:before="19"/>
              <w:ind w:left="23" w:right="218"/>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10</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hyperlink r:id="rId13">
              <w:r>
                <w:rPr>
                  <w:rFonts w:ascii="宋体"/>
                  <w:sz w:val="18"/>
                </w:rPr>
                <w:t>www.cninfo.com.cn</w:t>
              </w:r>
            </w:hyperlink>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37"/>
        <w:gridCol w:w="432"/>
        <w:gridCol w:w="432"/>
        <w:gridCol w:w="1318"/>
        <w:gridCol w:w="687"/>
        <w:gridCol w:w="235"/>
        <w:gridCol w:w="418"/>
        <w:gridCol w:w="398"/>
        <w:gridCol w:w="432"/>
        <w:gridCol w:w="1227"/>
        <w:gridCol w:w="1226"/>
        <w:gridCol w:w="434"/>
        <w:gridCol w:w="435"/>
        <w:gridCol w:w="1586"/>
      </w:tblGrid>
      <w:tr>
        <w:trPr>
          <w:trHeight w:val="363" w:hRule="exact"/>
        </w:trPr>
        <w:tc>
          <w:tcPr>
            <w:tcW w:w="4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41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深圳 市金 城保 密技 术有 限公 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保密 技术 产品 的研 发、 生 产、 销售 和保 密技 术服 务</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2"/>
              <w:jc w:val="center"/>
              <w:rPr>
                <w:rFonts w:ascii="宋体" w:hAnsi="宋体" w:cs="宋体" w:eastAsia="宋体" w:hint="default"/>
                <w:sz w:val="18"/>
                <w:szCs w:val="18"/>
              </w:rPr>
            </w:pPr>
            <w:r>
              <w:rPr>
                <w:rFonts w:ascii="宋体" w:hAnsi="宋体" w:cs="宋体" w:eastAsia="宋体" w:hint="default"/>
                <w:sz w:val="18"/>
                <w:szCs w:val="18"/>
              </w:rPr>
              <w:t>收购</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9"/>
              <w:jc w:val="right"/>
              <w:rPr>
                <w:rFonts w:ascii="宋体" w:hAnsi="宋体" w:cs="宋体" w:eastAsia="宋体" w:hint="default"/>
                <w:sz w:val="18"/>
                <w:szCs w:val="18"/>
              </w:rPr>
            </w:pPr>
            <w:r>
              <w:rPr>
                <w:rFonts w:ascii="宋体"/>
                <w:spacing w:val="-1"/>
                <w:sz w:val="18"/>
              </w:rPr>
              <w:t>4,383,700.00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8"/>
              <w:jc w:val="right"/>
              <w:rPr>
                <w:rFonts w:ascii="宋体" w:hAnsi="宋体" w:cs="宋体" w:eastAsia="宋体" w:hint="default"/>
                <w:sz w:val="18"/>
                <w:szCs w:val="18"/>
              </w:rPr>
            </w:pPr>
            <w:r>
              <w:rPr>
                <w:rFonts w:ascii="宋体"/>
                <w:spacing w:val="-1"/>
                <w:sz w:val="18"/>
              </w:rPr>
              <w:t>15.00%</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z w:val="18"/>
                <w:szCs w:val="18"/>
              </w:rPr>
              <w:t>超 募 资 金</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中国 科学 院信 息工 程研 究 所、 深圳 金天 城投 资管 理中 心</w:t>
            </w:r>
          </w:p>
          <w:p>
            <w:pPr>
              <w:pStyle w:val="TableParagraph"/>
              <w:spacing w:line="316" w:lineRule="auto" w:before="19"/>
              <w:ind w:left="23" w:right="23"/>
              <w:jc w:val="both"/>
              <w:rPr>
                <w:rFonts w:ascii="宋体" w:hAnsi="宋体" w:cs="宋体" w:eastAsia="宋体" w:hint="default"/>
                <w:sz w:val="18"/>
                <w:szCs w:val="18"/>
              </w:rPr>
            </w:pPr>
            <w:r>
              <w:rPr>
                <w:rFonts w:ascii="宋体" w:hAnsi="宋体" w:cs="宋体" w:eastAsia="宋体" w:hint="default"/>
                <w:sz w:val="18"/>
                <w:szCs w:val="18"/>
              </w:rPr>
              <w:t>（普 通合 伙）</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长 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2"/>
              <w:jc w:val="center"/>
              <w:rPr>
                <w:rFonts w:ascii="宋体" w:hAnsi="宋体" w:cs="宋体" w:eastAsia="宋体" w:hint="default"/>
                <w:sz w:val="18"/>
                <w:szCs w:val="18"/>
              </w:rPr>
            </w:pPr>
            <w:r>
              <w:rPr>
                <w:rFonts w:ascii="宋体" w:hAnsi="宋体" w:cs="宋体" w:eastAsia="宋体" w:hint="default"/>
                <w:sz w:val="18"/>
                <w:szCs w:val="18"/>
              </w:rPr>
              <w:t>股权</w:t>
            </w:r>
          </w:p>
        </w:tc>
        <w:tc>
          <w:tcPr>
            <w:tcW w:w="122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sz w:val="18"/>
              </w:rPr>
              <w:t>2015</w:t>
            </w:r>
          </w:p>
          <w:p>
            <w:pPr>
              <w:pStyle w:val="TableParagraph"/>
              <w:spacing w:line="316" w:lineRule="auto" w:before="76"/>
              <w:ind w:left="23" w:right="218"/>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01</w:t>
            </w:r>
          </w:p>
          <w:p>
            <w:pPr>
              <w:pStyle w:val="TableParagraph"/>
              <w:spacing w:line="316" w:lineRule="auto" w:before="19"/>
              <w:ind w:left="23" w:right="218"/>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26</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9"/>
              <w:jc w:val="right"/>
              <w:rPr>
                <w:rFonts w:ascii="宋体" w:hAnsi="宋体" w:cs="宋体" w:eastAsia="宋体" w:hint="default"/>
                <w:sz w:val="18"/>
                <w:szCs w:val="18"/>
              </w:rPr>
            </w:pPr>
            <w:hyperlink r:id="rId13">
              <w:r>
                <w:rPr>
                  <w:rFonts w:ascii="宋体"/>
                  <w:spacing w:val="-1"/>
                  <w:sz w:val="18"/>
                </w:rPr>
                <w:t>www.cninfo.com.cn</w:t>
              </w:r>
            </w:hyperlink>
          </w:p>
        </w:tc>
      </w:tr>
      <w:tr>
        <w:trPr>
          <w:trHeight w:val="8476"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41"/>
              <w:jc w:val="both"/>
              <w:rPr>
                <w:rFonts w:ascii="宋体" w:hAnsi="宋体" w:cs="宋体" w:eastAsia="宋体" w:hint="default"/>
                <w:sz w:val="18"/>
                <w:szCs w:val="18"/>
              </w:rPr>
            </w:pPr>
            <w:r>
              <w:rPr>
                <w:rFonts w:ascii="宋体" w:hAnsi="宋体" w:cs="宋体" w:eastAsia="宋体" w:hint="default"/>
                <w:sz w:val="18"/>
                <w:szCs w:val="18"/>
              </w:rPr>
              <w:t>浙江 华睿 北信 源数 据信 息产 业投 资合 伙企 业</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9" w:lineRule="auto"/>
              <w:ind w:left="24" w:right="36"/>
              <w:jc w:val="both"/>
              <w:rPr>
                <w:rFonts w:ascii="宋体" w:hAnsi="宋体" w:cs="宋体" w:eastAsia="宋体" w:hint="default"/>
                <w:sz w:val="18"/>
                <w:szCs w:val="18"/>
              </w:rPr>
            </w:pPr>
            <w:r>
              <w:rPr>
                <w:rFonts w:ascii="宋体" w:hAnsi="宋体" w:cs="宋体" w:eastAsia="宋体" w:hint="default"/>
                <w:sz w:val="18"/>
                <w:szCs w:val="18"/>
              </w:rPr>
              <w:t>股权 投资 及相 关咨 询服 务</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center"/>
              <w:rPr>
                <w:rFonts w:ascii="宋体" w:hAnsi="宋体" w:cs="宋体" w:eastAsia="宋体" w:hint="default"/>
                <w:sz w:val="18"/>
                <w:szCs w:val="18"/>
              </w:rPr>
            </w:pPr>
            <w:r>
              <w:rPr>
                <w:rFonts w:ascii="宋体" w:hAnsi="宋体" w:cs="宋体" w:eastAsia="宋体" w:hint="default"/>
                <w:sz w:val="18"/>
                <w:szCs w:val="18"/>
              </w:rPr>
              <w:t>新设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宋体" w:hAnsi="宋体" w:cs="宋体" w:eastAsia="宋体" w:hint="default"/>
                <w:sz w:val="18"/>
                <w:szCs w:val="18"/>
              </w:rPr>
            </w:pPr>
            <w:r>
              <w:rPr>
                <w:rFonts w:ascii="宋体"/>
                <w:spacing w:val="-1"/>
                <w:sz w:val="18"/>
              </w:rPr>
              <w:t>30,000,000.00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8"/>
              <w:jc w:val="right"/>
              <w:rPr>
                <w:rFonts w:ascii="宋体" w:hAnsi="宋体" w:cs="宋体" w:eastAsia="宋体" w:hint="default"/>
                <w:sz w:val="18"/>
                <w:szCs w:val="18"/>
              </w:rPr>
            </w:pPr>
            <w:r>
              <w:rPr>
                <w:rFonts w:ascii="宋体"/>
                <w:spacing w:val="-1"/>
                <w:sz w:val="18"/>
              </w:rPr>
              <w:t>14.63%</w:t>
            </w:r>
          </w:p>
        </w:tc>
        <w:tc>
          <w:tcPr>
            <w:tcW w:w="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23" w:right="19"/>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浙江 海越 股份 有限 公 司、 浙江 华睿 盛银 创业 投资 有限 公 司、 应炳 杨、 孔小 仙等 </w:t>
            </w:r>
            <w:r>
              <w:rPr>
                <w:rFonts w:ascii="宋体" w:hAnsi="宋体" w:cs="宋体" w:eastAsia="宋体" w:hint="default"/>
                <w:sz w:val="18"/>
                <w:szCs w:val="18"/>
              </w:rPr>
              <w:t>22</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家</w:t>
            </w:r>
          </w:p>
          <w:p>
            <w:pPr>
              <w:pStyle w:val="TableParagraph"/>
              <w:spacing w:line="316" w:lineRule="auto" w:before="76"/>
              <w:ind w:left="23" w:right="23"/>
              <w:jc w:val="both"/>
              <w:rPr>
                <w:rFonts w:ascii="宋体" w:hAnsi="宋体" w:cs="宋体" w:eastAsia="宋体" w:hint="default"/>
                <w:sz w:val="18"/>
                <w:szCs w:val="18"/>
              </w:rPr>
            </w:pPr>
            <w:r>
              <w:rPr>
                <w:rFonts w:ascii="宋体" w:hAnsi="宋体" w:cs="宋体" w:eastAsia="宋体" w:hint="default"/>
                <w:sz w:val="18"/>
                <w:szCs w:val="18"/>
              </w:rPr>
              <w:t>（其 中自 然人 </w:t>
            </w:r>
            <w:r>
              <w:rPr>
                <w:rFonts w:ascii="宋体" w:hAnsi="宋体" w:cs="宋体" w:eastAsia="宋体" w:hint="default"/>
                <w:sz w:val="18"/>
                <w:szCs w:val="18"/>
              </w:rPr>
              <w:t>17</w:t>
            </w:r>
          </w:p>
          <w:p>
            <w:pPr>
              <w:pStyle w:val="TableParagraph"/>
              <w:spacing w:line="319" w:lineRule="auto" w:before="19"/>
              <w:ind w:left="23" w:right="23"/>
              <w:jc w:val="both"/>
              <w:rPr>
                <w:rFonts w:ascii="宋体" w:hAnsi="宋体" w:cs="宋体" w:eastAsia="宋体" w:hint="default"/>
                <w:sz w:val="18"/>
                <w:szCs w:val="18"/>
              </w:rPr>
            </w:pPr>
            <w:r>
              <w:rPr>
                <w:rFonts w:ascii="宋体" w:hAnsi="宋体" w:cs="宋体" w:eastAsia="宋体" w:hint="default"/>
                <w:sz w:val="18"/>
                <w:szCs w:val="18"/>
              </w:rPr>
              <w:t>位） 共同 出</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长 期</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center"/>
              <w:rPr>
                <w:rFonts w:ascii="宋体" w:hAnsi="宋体" w:cs="宋体" w:eastAsia="宋体" w:hint="default"/>
                <w:sz w:val="18"/>
                <w:szCs w:val="18"/>
              </w:rPr>
            </w:pPr>
            <w:r>
              <w:rPr>
                <w:rFonts w:ascii="宋体" w:hAnsi="宋体" w:cs="宋体" w:eastAsia="宋体" w:hint="default"/>
                <w:sz w:val="18"/>
                <w:szCs w:val="18"/>
              </w:rPr>
              <w:t>股权</w:t>
            </w:r>
          </w:p>
        </w:tc>
        <w:tc>
          <w:tcPr>
            <w:tcW w:w="122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2015</w:t>
            </w:r>
          </w:p>
          <w:p>
            <w:pPr>
              <w:pStyle w:val="TableParagraph"/>
              <w:spacing w:line="316" w:lineRule="auto" w:before="76"/>
              <w:ind w:left="23" w:right="218"/>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08</w:t>
            </w:r>
          </w:p>
          <w:p>
            <w:pPr>
              <w:pStyle w:val="TableParagraph"/>
              <w:spacing w:line="319" w:lineRule="auto" w:before="19"/>
              <w:ind w:left="23" w:right="218"/>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26</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宋体" w:hAnsi="宋体" w:cs="宋体" w:eastAsia="宋体" w:hint="default"/>
                <w:sz w:val="18"/>
                <w:szCs w:val="18"/>
              </w:rPr>
            </w:pPr>
            <w:hyperlink r:id="rId13">
              <w:r>
                <w:rPr>
                  <w:rFonts w:ascii="宋体"/>
                  <w:spacing w:val="-1"/>
                  <w:sz w:val="18"/>
                </w:rPr>
                <w:t>www.cninfo.com.cn</w:t>
              </w:r>
            </w:hyperlink>
          </w:p>
        </w:tc>
      </w:tr>
    </w:tbl>
    <w:p>
      <w:pPr>
        <w:spacing w:after="0" w:line="240" w:lineRule="auto"/>
        <w:jc w:val="righ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37"/>
        <w:gridCol w:w="432"/>
        <w:gridCol w:w="432"/>
        <w:gridCol w:w="1318"/>
        <w:gridCol w:w="687"/>
        <w:gridCol w:w="235"/>
        <w:gridCol w:w="418"/>
        <w:gridCol w:w="398"/>
        <w:gridCol w:w="432"/>
        <w:gridCol w:w="1227"/>
        <w:gridCol w:w="1226"/>
        <w:gridCol w:w="434"/>
        <w:gridCol w:w="435"/>
        <w:gridCol w:w="1586"/>
      </w:tblGrid>
      <w:tr>
        <w:trPr>
          <w:trHeight w:val="363" w:hRule="exact"/>
        </w:trPr>
        <w:tc>
          <w:tcPr>
            <w:tcW w:w="43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23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398"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sz w:val="18"/>
              </w:rPr>
              <w:t>--</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134,383,700.00</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w:t>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sz w:val="18"/>
              </w:rPr>
              <w:t>--</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10,416,600.00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11,940,000.00</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sz w:val="18"/>
              </w:rPr>
              <w:t>--</w:t>
            </w:r>
          </w:p>
        </w:tc>
        <w:tc>
          <w:tcPr>
            <w:tcW w:w="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sz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3012"/>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3012"/>
        <w:jc w:val="left"/>
      </w:pPr>
      <w:r>
        <w:rPr/>
        <w:t>√ 适用 □</w:t>
      </w:r>
      <w:r>
        <w:rPr>
          <w:spacing w:val="3"/>
        </w:rPr>
        <w:t> </w:t>
      </w:r>
      <w:r>
        <w:rPr/>
        <w:t>不适用</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881"/>
        <w:gridCol w:w="874"/>
        <w:gridCol w:w="888"/>
        <w:gridCol w:w="884"/>
        <w:gridCol w:w="881"/>
        <w:gridCol w:w="881"/>
        <w:gridCol w:w="881"/>
        <w:gridCol w:w="883"/>
        <w:gridCol w:w="881"/>
        <w:gridCol w:w="883"/>
        <w:gridCol w:w="881"/>
      </w:tblGrid>
      <w:tr>
        <w:trPr>
          <w:trHeight w:val="1337"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9" w:right="7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7" w:right="74"/>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4"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4" w:right="74"/>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37,700.86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993.43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32,920.13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4,818.29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存放在募 集资金专 项账户</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4,818.29</w:t>
            </w:r>
          </w:p>
        </w:tc>
      </w:tr>
      <w:tr>
        <w:trPr>
          <w:trHeight w:val="1337"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发行股份 及支付现 金购买资 产</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8,000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8,000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8,000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4"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sz w:val="18"/>
              </w:rPr>
              <w: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45,700.86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8,993.43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40,920.13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4,818.29</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4,818.29</w:t>
            </w:r>
          </w:p>
        </w:tc>
      </w:tr>
      <w:tr>
        <w:trPr>
          <w:trHeight w:val="401" w:hRule="exact"/>
        </w:trPr>
        <w:tc>
          <w:tcPr>
            <w:tcW w:w="96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91" w:hRule="exact"/>
        </w:trPr>
        <w:tc>
          <w:tcPr>
            <w:tcW w:w="969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年首次公开发行股票募集资金情况</w:t>
            </w:r>
          </w:p>
          <w:p>
            <w:pPr>
              <w:pStyle w:val="TableParagraph"/>
              <w:spacing w:line="360" w:lineRule="auto" w:before="115"/>
              <w:ind w:left="295" w:right="23" w:hanging="27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）集资金到位情况 </w:t>
            </w:r>
            <w:r>
              <w:rPr>
                <w:rFonts w:ascii="宋体" w:hAnsi="宋体" w:cs="宋体" w:eastAsia="宋体" w:hint="default"/>
                <w:spacing w:val="-4"/>
                <w:sz w:val="18"/>
                <w:szCs w:val="18"/>
              </w:rPr>
              <w:t>公司经中国证券监督管理委员会《关于北京北信源软件股份有限公司首次公开发行股票并在创业板上市的批复》（证监许</w:t>
            </w:r>
          </w:p>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30"/>
                <w:sz w:val="18"/>
                <w:szCs w:val="18"/>
              </w:rPr>
              <w:t> </w:t>
            </w:r>
            <w:r>
              <w:rPr>
                <w:rFonts w:ascii="宋体" w:hAnsi="宋体" w:cs="宋体" w:eastAsia="宋体" w:hint="default"/>
                <w:sz w:val="18"/>
                <w:szCs w:val="18"/>
              </w:rPr>
              <w:t>[2012]1054</w:t>
            </w:r>
            <w:r>
              <w:rPr>
                <w:rFonts w:ascii="宋体" w:hAnsi="宋体" w:cs="宋体" w:eastAsia="宋体" w:hint="default"/>
                <w:spacing w:val="-59"/>
                <w:sz w:val="18"/>
                <w:szCs w:val="18"/>
              </w:rPr>
              <w:t> </w:t>
            </w:r>
            <w:r>
              <w:rPr>
                <w:rFonts w:ascii="宋体" w:hAnsi="宋体" w:cs="宋体" w:eastAsia="宋体" w:hint="default"/>
                <w:sz w:val="18"/>
                <w:szCs w:val="18"/>
              </w:rPr>
              <w:t>号）核准，由主承销商中国民族证券有限责任公司采用网下询价配售与网上资金申购定价发行相结合的方式</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发行人民币普通股（</w:t>
            </w: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pacing w:val="-3"/>
                <w:sz w:val="18"/>
                <w:szCs w:val="18"/>
              </w:rPr>
              <w:t>股）</w:t>
            </w:r>
            <w:r>
              <w:rPr>
                <w:rFonts w:ascii="宋体" w:hAnsi="宋体" w:cs="宋体" w:eastAsia="宋体" w:hint="default"/>
                <w:spacing w:val="-3"/>
                <w:sz w:val="18"/>
                <w:szCs w:val="18"/>
              </w:rPr>
              <w:t>1,670</w:t>
            </w:r>
            <w:r>
              <w:rPr>
                <w:rFonts w:ascii="宋体" w:hAnsi="宋体" w:cs="宋体" w:eastAsia="宋体" w:hint="default"/>
                <w:spacing w:val="-50"/>
                <w:sz w:val="18"/>
                <w:szCs w:val="18"/>
              </w:rPr>
              <w:t> </w:t>
            </w:r>
            <w:r>
              <w:rPr>
                <w:rFonts w:ascii="宋体" w:hAnsi="宋体" w:cs="宋体" w:eastAsia="宋体" w:hint="default"/>
                <w:sz w:val="18"/>
                <w:szCs w:val="18"/>
              </w:rPr>
              <w:t>万股。其中网下发行数量为</w:t>
            </w:r>
            <w:r>
              <w:rPr>
                <w:rFonts w:ascii="宋体" w:hAnsi="宋体" w:cs="宋体" w:eastAsia="宋体" w:hint="default"/>
                <w:spacing w:val="-51"/>
                <w:sz w:val="18"/>
                <w:szCs w:val="18"/>
              </w:rPr>
              <w:t> </w:t>
            </w:r>
            <w:r>
              <w:rPr>
                <w:rFonts w:ascii="宋体" w:hAnsi="宋体" w:cs="宋体" w:eastAsia="宋体" w:hint="default"/>
                <w:sz w:val="18"/>
                <w:szCs w:val="18"/>
              </w:rPr>
              <w:t>506</w:t>
            </w:r>
            <w:r>
              <w:rPr>
                <w:rFonts w:ascii="宋体" w:hAnsi="宋体" w:cs="宋体" w:eastAsia="宋体" w:hint="default"/>
                <w:spacing w:val="-51"/>
                <w:sz w:val="18"/>
                <w:szCs w:val="18"/>
              </w:rPr>
              <w:t> </w:t>
            </w:r>
            <w:r>
              <w:rPr>
                <w:rFonts w:ascii="宋体" w:hAnsi="宋体" w:cs="宋体" w:eastAsia="宋体" w:hint="default"/>
                <w:sz w:val="18"/>
                <w:szCs w:val="18"/>
              </w:rPr>
              <w:t>万股，网上发行数量为</w:t>
            </w:r>
            <w:r>
              <w:rPr>
                <w:rFonts w:ascii="宋体" w:hAnsi="宋体" w:cs="宋体" w:eastAsia="宋体" w:hint="default"/>
                <w:spacing w:val="-53"/>
                <w:sz w:val="18"/>
                <w:szCs w:val="18"/>
              </w:rPr>
              <w:t> </w:t>
            </w:r>
            <w:r>
              <w:rPr>
                <w:rFonts w:ascii="宋体" w:hAnsi="宋体" w:cs="宋体" w:eastAsia="宋体" w:hint="default"/>
                <w:sz w:val="18"/>
                <w:szCs w:val="18"/>
              </w:rPr>
              <w:t>1,164</w:t>
            </w:r>
            <w:r>
              <w:rPr>
                <w:rFonts w:ascii="宋体" w:hAnsi="宋体" w:cs="宋体" w:eastAsia="宋体" w:hint="default"/>
                <w:spacing w:val="-50"/>
                <w:sz w:val="18"/>
                <w:szCs w:val="18"/>
              </w:rPr>
              <w:t> </w:t>
            </w:r>
            <w:r>
              <w:rPr>
                <w:rFonts w:ascii="宋体" w:hAnsi="宋体" w:cs="宋体" w:eastAsia="宋体" w:hint="default"/>
                <w:spacing w:val="-3"/>
                <w:sz w:val="18"/>
                <w:szCs w:val="18"/>
              </w:rPr>
              <w:t>万股，发行价格为</w:t>
            </w:r>
            <w:r>
              <w:rPr>
                <w:rFonts w:ascii="宋体" w:hAnsi="宋体" w:cs="宋体" w:eastAsia="宋体" w:hint="default"/>
                <w:spacing w:val="-51"/>
                <w:sz w:val="18"/>
                <w:szCs w:val="18"/>
              </w:rPr>
              <w:t> </w:t>
            </w:r>
            <w:r>
              <w:rPr>
                <w:rFonts w:ascii="宋体" w:hAnsi="宋体" w:cs="宋体" w:eastAsia="宋体" w:hint="default"/>
                <w:sz w:val="18"/>
                <w:szCs w:val="18"/>
              </w:rPr>
              <w:t>25.00</w:t>
            </w:r>
            <w:r>
              <w:rPr>
                <w:rFonts w:ascii="宋体" w:hAnsi="宋体" w:cs="宋体" w:eastAsia="宋体" w:hint="default"/>
                <w:spacing w:val="-50"/>
                <w:sz w:val="18"/>
                <w:szCs w:val="18"/>
              </w:rPr>
              <w:t> </w:t>
            </w:r>
            <w:r>
              <w:rPr>
                <w:rFonts w:ascii="宋体" w:hAnsi="宋体" w:cs="宋体" w:eastAsia="宋体" w:hint="default"/>
                <w:sz w:val="18"/>
                <w:szCs w:val="18"/>
              </w:rPr>
              <w:t>元</w:t>
            </w:r>
            <w:r>
              <w:rPr>
                <w:rFonts w:ascii="宋体" w:hAnsi="宋体" w:cs="宋体" w:eastAsia="宋体" w:hint="default"/>
                <w:sz w:val="18"/>
                <w:szCs w:val="18"/>
              </w:rPr>
              <w:t>/</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股。公司募集资金总额为人民币</w:t>
            </w:r>
            <w:r>
              <w:rPr>
                <w:rFonts w:ascii="宋体" w:hAnsi="宋体" w:cs="宋体" w:eastAsia="宋体" w:hint="default"/>
                <w:spacing w:val="-50"/>
                <w:sz w:val="18"/>
                <w:szCs w:val="18"/>
              </w:rPr>
              <w:t> </w:t>
            </w:r>
            <w:r>
              <w:rPr>
                <w:rFonts w:ascii="宋体" w:hAnsi="宋体" w:cs="宋体" w:eastAsia="宋体" w:hint="default"/>
                <w:sz w:val="18"/>
                <w:szCs w:val="18"/>
              </w:rPr>
              <w:t>417,500,000.00</w:t>
            </w:r>
            <w:r>
              <w:rPr>
                <w:rFonts w:ascii="宋体" w:hAnsi="宋体" w:cs="宋体" w:eastAsia="宋体" w:hint="default"/>
                <w:spacing w:val="-48"/>
                <w:sz w:val="18"/>
                <w:szCs w:val="18"/>
              </w:rPr>
              <w:t> </w:t>
            </w:r>
            <w:r>
              <w:rPr>
                <w:rFonts w:ascii="宋体" w:hAnsi="宋体" w:cs="宋体" w:eastAsia="宋体" w:hint="default"/>
                <w:sz w:val="18"/>
                <w:szCs w:val="18"/>
              </w:rPr>
              <w:t>元，扣除发行费用后实际募集资金净额</w:t>
            </w:r>
            <w:r>
              <w:rPr>
                <w:rFonts w:ascii="宋体" w:hAnsi="宋体" w:cs="宋体" w:eastAsia="宋体" w:hint="default"/>
                <w:spacing w:val="-51"/>
                <w:sz w:val="18"/>
                <w:szCs w:val="18"/>
              </w:rPr>
              <w:t> </w:t>
            </w:r>
            <w:r>
              <w:rPr>
                <w:rFonts w:ascii="宋体" w:hAnsi="宋体" w:cs="宋体" w:eastAsia="宋体" w:hint="default"/>
                <w:sz w:val="18"/>
                <w:szCs w:val="18"/>
              </w:rPr>
              <w:t>377,008,645.20</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其中超募资金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净额为</w:t>
            </w:r>
            <w:r>
              <w:rPr>
                <w:rFonts w:ascii="宋体" w:hAnsi="宋体" w:cs="宋体" w:eastAsia="宋体" w:hint="default"/>
                <w:spacing w:val="-46"/>
                <w:sz w:val="18"/>
                <w:szCs w:val="18"/>
              </w:rPr>
              <w:t> </w:t>
            </w:r>
            <w:r>
              <w:rPr>
                <w:rFonts w:ascii="宋体" w:hAnsi="宋体" w:cs="宋体" w:eastAsia="宋体" w:hint="default"/>
                <w:sz w:val="18"/>
                <w:szCs w:val="18"/>
              </w:rPr>
              <w:t>203,566,645.20</w:t>
            </w:r>
            <w:r>
              <w:rPr>
                <w:rFonts w:ascii="宋体" w:hAnsi="宋体" w:cs="宋体" w:eastAsia="宋体" w:hint="default"/>
                <w:spacing w:val="-45"/>
                <w:sz w:val="18"/>
                <w:szCs w:val="18"/>
              </w:rPr>
              <w:t> </w:t>
            </w:r>
            <w:r>
              <w:rPr>
                <w:rFonts w:ascii="宋体" w:hAnsi="宋体" w:cs="宋体" w:eastAsia="宋体" w:hint="default"/>
                <w:spacing w:val="-4"/>
                <w:sz w:val="18"/>
                <w:szCs w:val="18"/>
              </w:rPr>
              <w:t>元。中瑞岳华会计师事务所（特殊普通合伙）已于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日对发行人首次公开发行股票的资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金到位情况进行了审验，并出具中瑞岳华验</w:t>
            </w:r>
            <w:r>
              <w:rPr>
                <w:rFonts w:ascii="宋体" w:hAnsi="宋体" w:cs="宋体" w:eastAsia="宋体" w:hint="default"/>
                <w:spacing w:val="1"/>
                <w:sz w:val="18"/>
                <w:szCs w:val="18"/>
              </w:rPr>
              <w:t>字</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pacing w:val="1"/>
                <w:sz w:val="18"/>
                <w:szCs w:val="18"/>
              </w:rPr>
              <w:t>0</w:t>
            </w:r>
            <w:r>
              <w:rPr>
                <w:rFonts w:ascii="宋体" w:hAnsi="宋体" w:cs="宋体" w:eastAsia="宋体" w:hint="default"/>
                <w:spacing w:val="-2"/>
                <w:sz w:val="18"/>
                <w:szCs w:val="18"/>
              </w:rPr>
              <w:t>2</w:t>
            </w:r>
            <w:r>
              <w:rPr>
                <w:rFonts w:ascii="宋体" w:hAnsi="宋体" w:cs="宋体" w:eastAsia="宋体" w:hint="default"/>
                <w:spacing w:val="1"/>
                <w:sz w:val="18"/>
                <w:szCs w:val="18"/>
              </w:rPr>
              <w:t>6</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号《验资报告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115"/>
              <w:ind w:left="24" w:right="2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）募集资金的实际使用情况 募集资金的实际使用情况，扣除发行费用后实际募集资金净额</w:t>
            </w:r>
            <w:r>
              <w:rPr>
                <w:rFonts w:ascii="宋体" w:hAnsi="宋体" w:cs="宋体" w:eastAsia="宋体" w:hint="default"/>
                <w:spacing w:val="-45"/>
                <w:sz w:val="18"/>
                <w:szCs w:val="18"/>
              </w:rPr>
              <w:t> </w:t>
            </w:r>
            <w:r>
              <w:rPr>
                <w:rFonts w:ascii="宋体" w:hAnsi="宋体" w:cs="宋体" w:eastAsia="宋体" w:hint="default"/>
                <w:sz w:val="18"/>
                <w:szCs w:val="18"/>
              </w:rPr>
              <w:t>37,700.86</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其中超募资 金净额为</w:t>
            </w:r>
            <w:r>
              <w:rPr>
                <w:rFonts w:ascii="宋体" w:hAnsi="宋体" w:cs="宋体" w:eastAsia="宋体" w:hint="default"/>
                <w:spacing w:val="-46"/>
                <w:sz w:val="18"/>
                <w:szCs w:val="18"/>
              </w:rPr>
              <w:t> </w:t>
            </w:r>
            <w:r>
              <w:rPr>
                <w:rFonts w:ascii="宋体" w:hAnsi="宋体" w:cs="宋体" w:eastAsia="宋体" w:hint="default"/>
                <w:sz w:val="18"/>
                <w:szCs w:val="18"/>
              </w:rPr>
              <w:t>20,356.66</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 </w:t>
            </w:r>
            <w:r>
              <w:rPr>
                <w:rFonts w:ascii="宋体" w:hAnsi="宋体" w:cs="宋体" w:eastAsia="宋体" w:hint="default"/>
                <w:sz w:val="18"/>
                <w:szCs w:val="18"/>
              </w:rPr>
              <w:t>，公司募投项目终端安全管理整体解决方案升级项目、数据安全管理整体解决方案研发项目、企</w:t>
            </w:r>
          </w:p>
        </w:tc>
      </w:tr>
    </w:tbl>
    <w:p>
      <w:pPr>
        <w:spacing w:after="0" w:line="316"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11"/>
        <w:rPr>
          <w:rFonts w:ascii="宋体" w:hAnsi="宋体" w:cs="宋体" w:eastAsia="宋体" w:hint="default"/>
          <w:sz w:val="26"/>
          <w:szCs w:val="26"/>
        </w:rPr>
      </w:pPr>
    </w:p>
    <w:p>
      <w:pPr>
        <w:spacing w:line="3956" w:lineRule="exact"/>
        <w:ind w:left="124" w:right="0" w:firstLine="0"/>
        <w:rPr>
          <w:rFonts w:ascii="宋体" w:hAnsi="宋体" w:cs="宋体" w:eastAsia="宋体" w:hint="default"/>
          <w:sz w:val="20"/>
          <w:szCs w:val="20"/>
        </w:rPr>
      </w:pPr>
      <w:r>
        <w:rPr>
          <w:rFonts w:ascii="宋体" w:hAnsi="宋体" w:cs="宋体" w:eastAsia="宋体" w:hint="default"/>
          <w:position w:val="-78"/>
          <w:sz w:val="20"/>
          <w:szCs w:val="20"/>
        </w:rPr>
        <w:pict>
          <v:shape style="width:484.9pt;height:197.85pt;mso-position-horizontal-relative:char;mso-position-vertical-relative:line" type="#_x0000_t202" filled="false" stroked="true" strokeweight=".47998pt" strokecolor="#000000">
            <w10:anchorlock/>
            <v:textbox inset="0,0,0,0">
              <w:txbxContent>
                <w:p>
                  <w:pPr>
                    <w:pStyle w:val="BodyText"/>
                    <w:spacing w:line="240" w:lineRule="auto" w:before="8"/>
                    <w:ind w:left="24" w:right="0"/>
                    <w:jc w:val="left"/>
                  </w:pPr>
                  <w:r>
                    <w:rPr/>
                    <w:t>业级云安全管理平台项目、营销服务体系建设项目</w:t>
                  </w:r>
                  <w:r>
                    <w:rPr>
                      <w:rFonts w:ascii="宋体" w:hAnsi="宋体" w:cs="宋体" w:eastAsia="宋体" w:hint="default"/>
                    </w:rPr>
                    <w:t>,</w:t>
                  </w:r>
                  <w:r>
                    <w:rPr/>
                    <w:t>募集资金承诺投资项目</w:t>
                  </w:r>
                  <w:r>
                    <w:rPr>
                      <w:spacing w:val="-47"/>
                    </w:rPr>
                    <w:t> </w:t>
                  </w:r>
                  <w:r>
                    <w:rPr>
                      <w:rFonts w:ascii="宋体" w:hAnsi="宋体" w:cs="宋体" w:eastAsia="宋体" w:hint="default"/>
                    </w:rPr>
                    <w:t>17,344.20</w:t>
                  </w:r>
                  <w:r>
                    <w:rPr>
                      <w:rFonts w:ascii="宋体" w:hAnsi="宋体" w:cs="宋体" w:eastAsia="宋体" w:hint="default"/>
                      <w:spacing w:val="-46"/>
                    </w:rPr>
                    <w:t> </w:t>
                  </w:r>
                  <w:r>
                    <w:rPr/>
                    <w:t>万元，实际募集资金项目累计投入</w:t>
                  </w:r>
                </w:p>
                <w:p>
                  <w:pPr>
                    <w:pStyle w:val="BodyText"/>
                    <w:spacing w:line="240" w:lineRule="auto" w:before="76"/>
                    <w:ind w:left="24" w:right="0"/>
                    <w:jc w:val="left"/>
                  </w:pPr>
                  <w:r>
                    <w:rPr>
                      <w:rFonts w:ascii="宋体" w:hAnsi="宋体" w:cs="宋体" w:eastAsia="宋体" w:hint="default"/>
                    </w:rPr>
                    <w:t>17,381.76</w:t>
                  </w:r>
                  <w:r>
                    <w:rPr>
                      <w:rFonts w:ascii="宋体" w:hAnsi="宋体" w:cs="宋体" w:eastAsia="宋体" w:hint="default"/>
                      <w:spacing w:val="-49"/>
                    </w:rPr>
                    <w:t> </w:t>
                  </w:r>
                  <w:r>
                    <w:rPr/>
                    <w:t>万元</w:t>
                  </w:r>
                  <w:r>
                    <w:rPr>
                      <w:rFonts w:ascii="宋体" w:hAnsi="宋体" w:cs="宋体" w:eastAsia="宋体" w:hint="default"/>
                    </w:rPr>
                    <w:t>,</w:t>
                  </w:r>
                  <w:r>
                    <w:rPr/>
                    <w:t>募集资金投资项目已完成投资，已结项并将结余资金永久补充流动资金。</w:t>
                  </w:r>
                </w:p>
                <w:p>
                  <w:pPr>
                    <w:pStyle w:val="BodyText"/>
                    <w:spacing w:line="357" w:lineRule="auto" w:before="117"/>
                    <w:ind w:left="24" w:right="31"/>
                    <w:jc w:val="left"/>
                  </w:pPr>
                  <w:r>
                    <w:rPr/>
                    <w:t>（</w:t>
                  </w:r>
                  <w:r>
                    <w:rPr>
                      <w:rFonts w:ascii="宋体" w:hAnsi="宋体" w:cs="宋体" w:eastAsia="宋体" w:hint="default"/>
                    </w:rPr>
                    <w:t>3</w:t>
                  </w:r>
                  <w:r>
                    <w:rPr/>
                    <w:t>）截止报告期末，公司不存在募集资金投向变更情况。 </w:t>
                  </w:r>
                  <w:r>
                    <w:rPr>
                      <w:rFonts w:ascii="宋体" w:hAnsi="宋体" w:cs="宋体" w:eastAsia="宋体" w:hint="default"/>
                    </w:rPr>
                    <w:t>2</w:t>
                  </w:r>
                  <w:r>
                    <w:rPr/>
                    <w:t>、发行股份及支付现金购买资产经证监会《关于核准北京北信源软件股份有限公司向田秋桂等发行股份购买资产的批复》</w:t>
                  </w:r>
                </w:p>
                <w:p>
                  <w:pPr>
                    <w:pStyle w:val="BodyText"/>
                    <w:spacing w:line="224" w:lineRule="exact"/>
                    <w:ind w:left="24" w:right="0"/>
                    <w:jc w:val="left"/>
                  </w:pPr>
                  <w:r>
                    <w:rPr/>
                    <w:t>（证监许可</w:t>
                  </w:r>
                  <w:r>
                    <w:rPr>
                      <w:rFonts w:ascii="宋体" w:hAnsi="宋体" w:cs="宋体" w:eastAsia="宋体" w:hint="default"/>
                    </w:rPr>
                    <w:t>[2015]1719</w:t>
                  </w:r>
                  <w:r>
                    <w:rPr>
                      <w:rFonts w:ascii="宋体" w:hAnsi="宋体" w:cs="宋体" w:eastAsia="宋体" w:hint="default"/>
                      <w:spacing w:val="-47"/>
                    </w:rPr>
                    <w:t> </w:t>
                  </w:r>
                  <w:r>
                    <w:rPr/>
                    <w:t>号）核准，公司以</w:t>
                  </w:r>
                  <w:r>
                    <w:rPr>
                      <w:spacing w:val="-48"/>
                    </w:rPr>
                    <w:t> </w:t>
                  </w:r>
                  <w:r>
                    <w:rPr>
                      <w:rFonts w:ascii="宋体" w:hAnsi="宋体" w:cs="宋体" w:eastAsia="宋体" w:hint="default"/>
                    </w:rPr>
                    <w:t>23.35</w:t>
                  </w:r>
                  <w:r>
                    <w:rPr>
                      <w:rFonts w:ascii="宋体" w:hAnsi="宋体" w:cs="宋体" w:eastAsia="宋体" w:hint="default"/>
                      <w:spacing w:val="-47"/>
                    </w:rPr>
                    <w:t> </w:t>
                  </w:r>
                  <w:r>
                    <w:rPr/>
                    <w:t>元</w:t>
                  </w:r>
                  <w:r>
                    <w:rPr>
                      <w:rFonts w:ascii="宋体" w:hAnsi="宋体" w:cs="宋体" w:eastAsia="宋体" w:hint="default"/>
                    </w:rPr>
                    <w:t>/</w:t>
                  </w:r>
                  <w:r>
                    <w:rPr/>
                    <w:t>股非公开发行</w:t>
                  </w:r>
                  <w:r>
                    <w:rPr>
                      <w:spacing w:val="-49"/>
                    </w:rPr>
                    <w:t> </w:t>
                  </w:r>
                  <w:r>
                    <w:rPr>
                      <w:rFonts w:ascii="宋体" w:hAnsi="宋体" w:cs="宋体" w:eastAsia="宋体" w:hint="default"/>
                    </w:rPr>
                    <w:t>1,520,857</w:t>
                  </w:r>
                  <w:r>
                    <w:rPr>
                      <w:rFonts w:ascii="宋体" w:hAnsi="宋体" w:cs="宋体" w:eastAsia="宋体" w:hint="default"/>
                      <w:spacing w:val="-47"/>
                    </w:rPr>
                    <w:t> </w:t>
                  </w:r>
                  <w:r>
                    <w:rPr/>
                    <w:t>股、</w:t>
                  </w:r>
                  <w:r>
                    <w:rPr>
                      <w:rFonts w:ascii="宋体" w:hAnsi="宋体" w:cs="宋体" w:eastAsia="宋体" w:hint="default"/>
                    </w:rPr>
                    <w:t>1,490,021</w:t>
                  </w:r>
                  <w:r>
                    <w:rPr>
                      <w:rFonts w:ascii="宋体" w:hAnsi="宋体" w:cs="宋体" w:eastAsia="宋体" w:hint="default"/>
                      <w:spacing w:val="-47"/>
                    </w:rPr>
                    <w:t> </w:t>
                  </w:r>
                  <w:r>
                    <w:rPr/>
                    <w:t>股、</w:t>
                  </w:r>
                  <w:r>
                    <w:rPr>
                      <w:rFonts w:ascii="宋体" w:hAnsi="宋体" w:cs="宋体" w:eastAsia="宋体" w:hint="default"/>
                    </w:rPr>
                    <w:t>415,246</w:t>
                  </w:r>
                  <w:r>
                    <w:rPr>
                      <w:rFonts w:ascii="宋体" w:hAnsi="宋体" w:cs="宋体" w:eastAsia="宋体" w:hint="default"/>
                      <w:spacing w:val="-47"/>
                    </w:rPr>
                    <w:t> </w:t>
                  </w:r>
                  <w:r>
                    <w:rPr/>
                    <w:t>股人民币普通股</w:t>
                  </w:r>
                </w:p>
                <w:p>
                  <w:pPr>
                    <w:pStyle w:val="BodyText"/>
                    <w:spacing w:line="316" w:lineRule="auto" w:before="76"/>
                    <w:ind w:left="24" w:right="18"/>
                    <w:jc w:val="left"/>
                  </w:pPr>
                  <w:r>
                    <w:rPr/>
                    <w:t>（</w:t>
                  </w:r>
                  <w:r>
                    <w:rPr>
                      <w:rFonts w:ascii="宋体" w:hAnsi="宋体" w:cs="宋体" w:eastAsia="宋体" w:hint="default"/>
                    </w:rPr>
                    <w:t>A</w:t>
                  </w:r>
                  <w:r>
                    <w:rPr>
                      <w:rFonts w:ascii="宋体" w:hAnsi="宋体" w:cs="宋体" w:eastAsia="宋体" w:hint="default"/>
                      <w:spacing w:val="-36"/>
                    </w:rPr>
                    <w:t> </w:t>
                  </w:r>
                  <w:r>
                    <w:rPr>
                      <w:spacing w:val="-15"/>
                    </w:rPr>
                    <w:t>股），同时支付现金对价</w:t>
                  </w:r>
                  <w:r>
                    <w:rPr>
                      <w:spacing w:val="-38"/>
                    </w:rPr>
                    <w:t> </w:t>
                  </w:r>
                  <w:r>
                    <w:rPr>
                      <w:rFonts w:ascii="宋体" w:hAnsi="宋体" w:cs="宋体" w:eastAsia="宋体" w:hint="default"/>
                    </w:rPr>
                    <w:t>2000</w:t>
                  </w:r>
                  <w:r>
                    <w:rPr>
                      <w:rFonts w:ascii="宋体" w:hAnsi="宋体" w:cs="宋体" w:eastAsia="宋体" w:hint="default"/>
                      <w:spacing w:val="-35"/>
                    </w:rPr>
                    <w:t> </w:t>
                  </w:r>
                  <w:r>
                    <w:rPr>
                      <w:spacing w:val="-6"/>
                    </w:rPr>
                    <w:t>万元，分别向自然人田秋桂、马永清、王俊锋发行股份购买其三人共同持有的中软华泰</w:t>
                  </w:r>
                  <w:r>
                    <w:rPr>
                      <w:spacing w:val="-36"/>
                    </w:rPr>
                    <w:t> </w:t>
                  </w:r>
                  <w:r>
                    <w:rPr>
                      <w:rFonts w:ascii="宋体" w:hAnsi="宋体" w:cs="宋体" w:eastAsia="宋体" w:hint="default"/>
                    </w:rPr>
                    <w:t>100%</w:t>
                  </w:r>
                  <w:r>
                    <w:rPr>
                      <w:rFonts w:ascii="宋体" w:hAnsi="宋体" w:cs="宋体" w:eastAsia="宋体" w:hint="default"/>
                      <w:spacing w:val="-87"/>
                    </w:rPr>
                    <w:t> </w:t>
                  </w:r>
                  <w:r>
                    <w:rPr>
                      <w:rFonts w:ascii="宋体" w:hAnsi="宋体" w:cs="宋体" w:eastAsia="宋体" w:hint="default"/>
                      <w:spacing w:val="-87"/>
                    </w:rPr>
                  </w:r>
                  <w:r>
                    <w:rPr/>
                    <w:t>股权。</w:t>
                  </w:r>
                </w:p>
                <w:p>
                  <w:pPr>
                    <w:pStyle w:val="BodyText"/>
                    <w:spacing w:line="316" w:lineRule="auto" w:before="59"/>
                    <w:ind w:left="24" w:right="24" w:firstLine="360"/>
                    <w:jc w:val="both"/>
                  </w:pPr>
                  <w:r>
                    <w:rPr/>
                    <w:t>截至</w:t>
                  </w:r>
                  <w:r>
                    <w:rPr>
                      <w:spacing w:val="-39"/>
                    </w:rPr>
                    <w:t> </w:t>
                  </w:r>
                  <w:r>
                    <w:rPr>
                      <w:rFonts w:ascii="宋体" w:hAnsi="宋体" w:cs="宋体" w:eastAsia="宋体" w:hint="default"/>
                    </w:rPr>
                    <w:t>2015</w:t>
                  </w:r>
                  <w:r>
                    <w:rPr>
                      <w:rFonts w:ascii="宋体" w:hAnsi="宋体" w:cs="宋体" w:eastAsia="宋体" w:hint="default"/>
                      <w:spacing w:val="-40"/>
                    </w:rPr>
                    <w:t> </w:t>
                  </w:r>
                  <w:r>
                    <w:rPr/>
                    <w:t>年</w:t>
                  </w:r>
                  <w:r>
                    <w:rPr>
                      <w:spacing w:val="-39"/>
                    </w:rPr>
                    <w:t> </w:t>
                  </w:r>
                  <w:r>
                    <w:rPr>
                      <w:rFonts w:ascii="宋体" w:hAnsi="宋体" w:cs="宋体" w:eastAsia="宋体" w:hint="default"/>
                    </w:rPr>
                    <w:t>9</w:t>
                  </w:r>
                  <w:r>
                    <w:rPr>
                      <w:rFonts w:ascii="宋体" w:hAnsi="宋体" w:cs="宋体" w:eastAsia="宋体" w:hint="default"/>
                      <w:spacing w:val="-40"/>
                    </w:rPr>
                    <w:t> </w:t>
                  </w:r>
                  <w:r>
                    <w:rPr/>
                    <w:t>月</w:t>
                  </w:r>
                  <w:r>
                    <w:rPr>
                      <w:spacing w:val="-39"/>
                    </w:rPr>
                    <w:t> </w:t>
                  </w:r>
                  <w:r>
                    <w:rPr>
                      <w:rFonts w:ascii="宋体" w:hAnsi="宋体" w:cs="宋体" w:eastAsia="宋体" w:hint="default"/>
                    </w:rPr>
                    <w:t>14</w:t>
                  </w:r>
                  <w:r>
                    <w:rPr>
                      <w:rFonts w:ascii="宋体" w:hAnsi="宋体" w:cs="宋体" w:eastAsia="宋体" w:hint="default"/>
                      <w:spacing w:val="-38"/>
                    </w:rPr>
                    <w:t> </w:t>
                  </w:r>
                  <w:r>
                    <w:rPr>
                      <w:spacing w:val="-3"/>
                    </w:rPr>
                    <w:t>日，中软华泰股东由自然人田秋桂、马永清、王俊锋变更为北京北信源软件股份有限公司，该事项</w:t>
                  </w:r>
                  <w:r>
                    <w:rPr/>
                    <w:t> </w:t>
                  </w:r>
                  <w:r>
                    <w:rPr>
                      <w:spacing w:val="-2"/>
                    </w:rPr>
                    <w:t>在北京市工商行政管理局海淀分局办理了工商变更登记手续。本次发行股份及支付现金购买资产的过户手续已经完成，公司</w:t>
                  </w:r>
                  <w:r>
                    <w:rPr>
                      <w:spacing w:val="-64"/>
                    </w:rPr>
                    <w:t> </w:t>
                  </w:r>
                  <w:r>
                    <w:rPr>
                      <w:spacing w:val="-64"/>
                    </w:rPr>
                  </w:r>
                  <w:r>
                    <w:rPr/>
                    <w:t>已合法拥有中软华泰</w:t>
                  </w:r>
                  <w:r>
                    <w:rPr>
                      <w:spacing w:val="-47"/>
                    </w:rPr>
                    <w:t> </w:t>
                  </w:r>
                  <w:r>
                    <w:rPr>
                      <w:rFonts w:ascii="宋体" w:hAnsi="宋体" w:cs="宋体" w:eastAsia="宋体" w:hint="default"/>
                    </w:rPr>
                    <w:t>100%</w:t>
                  </w:r>
                  <w:r>
                    <w:rPr/>
                    <w:t>的股权。变更后公司注册资本为人民币</w:t>
                  </w:r>
                  <w:r>
                    <w:rPr>
                      <w:spacing w:val="-47"/>
                    </w:rPr>
                    <w:t> </w:t>
                  </w:r>
                  <w:r>
                    <w:rPr>
                      <w:rFonts w:ascii="宋体" w:hAnsi="宋体" w:cs="宋体" w:eastAsia="宋体" w:hint="default"/>
                    </w:rPr>
                    <w:t>27,022.6124</w:t>
                  </w:r>
                  <w:r>
                    <w:rPr>
                      <w:rFonts w:ascii="宋体" w:hAnsi="宋体" w:cs="宋体" w:eastAsia="宋体" w:hint="default"/>
                      <w:spacing w:val="-45"/>
                    </w:rPr>
                    <w:t> </w:t>
                  </w:r>
                  <w:r>
                    <w:rPr/>
                    <w:t>万元。</w:t>
                  </w:r>
                </w:p>
                <w:p>
                  <w:pPr>
                    <w:pStyle w:val="BodyText"/>
                    <w:spacing w:line="316" w:lineRule="auto" w:before="60"/>
                    <w:ind w:left="24" w:right="72" w:firstLine="360"/>
                    <w:jc w:val="both"/>
                  </w:pPr>
                  <w:r>
                    <w:rPr/>
                    <w:t>本次发行股票</w:t>
                  </w:r>
                  <w:r>
                    <w:rPr>
                      <w:spacing w:val="-47"/>
                    </w:rPr>
                    <w:t> </w:t>
                  </w:r>
                  <w:r>
                    <w:rPr>
                      <w:rFonts w:ascii="宋体" w:hAnsi="宋体" w:cs="宋体" w:eastAsia="宋体" w:hint="default"/>
                    </w:rPr>
                    <w:t>3,426,124</w:t>
                  </w:r>
                  <w:r>
                    <w:rPr>
                      <w:rFonts w:ascii="宋体" w:hAnsi="宋体" w:cs="宋体" w:eastAsia="宋体" w:hint="default"/>
                      <w:spacing w:val="-45"/>
                    </w:rPr>
                    <w:t> </w:t>
                  </w:r>
                  <w:r>
                    <w:rPr/>
                    <w:t>股仅涉及以发行股票形式购买自然人田秋桂、马永清、王俊锋所持有的中软华泰</w:t>
                  </w:r>
                  <w:r>
                    <w:rPr>
                      <w:spacing w:val="-45"/>
                    </w:rPr>
                    <w:t> </w:t>
                  </w:r>
                  <w:r>
                    <w:rPr>
                      <w:rFonts w:ascii="宋体" w:hAnsi="宋体" w:cs="宋体" w:eastAsia="宋体" w:hint="default"/>
                    </w:rPr>
                    <w:t>100%</w:t>
                  </w:r>
                  <w:r>
                    <w:rPr/>
                    <w:t>股权， 未涉及募集资金的实际流入，不存在资金到账时间及资金在专项账户的存放情况。</w:t>
                  </w:r>
                </w:p>
              </w:txbxContent>
            </v:textbox>
          </v:shape>
        </w:pict>
      </w:r>
      <w:r>
        <w:rPr>
          <w:rFonts w:ascii="宋体" w:hAnsi="宋体" w:cs="宋体" w:eastAsia="宋体" w:hint="default"/>
          <w:position w:val="-78"/>
          <w:sz w:val="20"/>
          <w:szCs w:val="20"/>
        </w:rPr>
      </w:r>
    </w:p>
    <w:p>
      <w:pPr>
        <w:spacing w:line="240" w:lineRule="auto" w:before="8"/>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3012"/>
        <w:jc w:val="left"/>
      </w:pPr>
      <w:r>
        <w:rPr/>
        <w:t>√ 适用 □</w:t>
      </w:r>
      <w:r>
        <w:rPr>
          <w:spacing w:val="3"/>
        </w:rPr>
        <w:t> </w:t>
      </w:r>
      <w:r>
        <w:rPr/>
        <w:t>不适用</w:t>
      </w:r>
    </w:p>
    <w:p>
      <w:pPr>
        <w:pStyle w:val="BodyText"/>
        <w:spacing w:line="240" w:lineRule="auto" w:before="117"/>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39"/>
        <w:gridCol w:w="614"/>
        <w:gridCol w:w="872"/>
        <w:gridCol w:w="866"/>
        <w:gridCol w:w="776"/>
        <w:gridCol w:w="927"/>
        <w:gridCol w:w="690"/>
        <w:gridCol w:w="502"/>
        <w:gridCol w:w="866"/>
        <w:gridCol w:w="867"/>
        <w:gridCol w:w="593"/>
        <w:gridCol w:w="586"/>
      </w:tblGrid>
      <w:tr>
        <w:trPr>
          <w:trHeight w:val="227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14" w:right="41"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1" w:right="31"/>
              <w:jc w:val="center"/>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 部分变 更</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9" w:right="22" w:firstLine="45"/>
              <w:jc w:val="left"/>
              <w:rPr>
                <w:rFonts w:ascii="宋体" w:hAnsi="宋体" w:cs="宋体" w:eastAsia="宋体" w:hint="default"/>
                <w:sz w:val="18"/>
                <w:szCs w:val="18"/>
              </w:rPr>
            </w:pPr>
            <w:r>
              <w:rPr>
                <w:rFonts w:ascii="宋体" w:hAnsi="宋体" w:cs="宋体" w:eastAsia="宋体" w:hint="default"/>
                <w:sz w:val="18"/>
                <w:szCs w:val="18"/>
              </w:rPr>
              <w:t>调整后投 资总额</w:t>
            </w:r>
            <w:r>
              <w:rPr>
                <w:rFonts w:ascii="宋体" w:hAnsi="宋体" w:cs="宋体" w:eastAsia="宋体" w:hint="default"/>
                <w:sz w:val="18"/>
                <w:szCs w:val="18"/>
              </w:rPr>
              <w:t>(1)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4" w:right="100"/>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3"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6" w:lineRule="auto" w:before="19"/>
              <w:ind w:left="22" w:right="23"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5"/>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5"/>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12" w:right="108"/>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 w:right="107"/>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3"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7"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center"/>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、终端安全管理整</w:t>
            </w:r>
            <w:r>
              <w:rPr>
                <w:rFonts w:ascii="宋体" w:hAnsi="宋体" w:cs="宋体" w:eastAsia="宋体" w:hint="default"/>
                <w:sz w:val="18"/>
                <w:szCs w:val="18"/>
              </w:rPr>
              <w:t> 体解决方案升级项 目</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7,563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sz w:val="18"/>
              </w:rPr>
              <w:t>7,563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sz w:val="18"/>
              </w:rPr>
              <w:t>184.99</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sz w:val="18"/>
              </w:rPr>
              <w:t>7,560.67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sz w:val="18"/>
              </w:rPr>
              <w:t>99.97%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2015</w:t>
            </w:r>
          </w:p>
          <w:p>
            <w:pPr>
              <w:pStyle w:val="TableParagraph"/>
              <w:spacing w:line="240" w:lineRule="auto" w:before="74"/>
              <w:ind w:left="4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02</w:t>
            </w:r>
          </w:p>
          <w:p>
            <w:pPr>
              <w:pStyle w:val="TableParagraph"/>
              <w:spacing w:line="316" w:lineRule="auto" w:before="76"/>
              <w:ind w:left="156" w:right="38" w:hanging="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13,243.34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30,635.64</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center"/>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、数据安全管理整</w:t>
            </w:r>
            <w:r>
              <w:rPr>
                <w:rFonts w:ascii="宋体" w:hAnsi="宋体" w:cs="宋体" w:eastAsia="宋体" w:hint="default"/>
                <w:sz w:val="18"/>
                <w:szCs w:val="18"/>
              </w:rPr>
              <w:t> 体解决方案研发项 目</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4,856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sz w:val="18"/>
              </w:rPr>
              <w:t>4,856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sz w:val="18"/>
              </w:rPr>
              <w:t>4,893.57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sz w:val="18"/>
              </w:rPr>
              <w:t>100.77%</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2015</w:t>
            </w:r>
          </w:p>
          <w:p>
            <w:pPr>
              <w:pStyle w:val="TableParagraph"/>
              <w:spacing w:line="240" w:lineRule="auto" w:before="77"/>
              <w:ind w:left="4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02</w:t>
            </w:r>
          </w:p>
          <w:p>
            <w:pPr>
              <w:pStyle w:val="TableParagraph"/>
              <w:spacing w:line="316" w:lineRule="auto" w:before="76"/>
              <w:ind w:left="156" w:right="38" w:hanging="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5,355.85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13,521.48</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14" w:right="20" w:hanging="291"/>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、企业级云安全管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理平台项目</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2,243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sz w:val="18"/>
              </w:rPr>
              <w:t>2,243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sz w:val="18"/>
              </w:rPr>
              <w:t>155.65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sz w:val="18"/>
              </w:rPr>
              <w:t>2,244.39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sz w:val="18"/>
              </w:rPr>
              <w:t>100.06%</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2015</w:t>
            </w:r>
          </w:p>
          <w:p>
            <w:pPr>
              <w:pStyle w:val="TableParagraph"/>
              <w:spacing w:line="240" w:lineRule="auto" w:before="74"/>
              <w:ind w:left="4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02</w:t>
            </w:r>
          </w:p>
          <w:p>
            <w:pPr>
              <w:pStyle w:val="TableParagraph"/>
              <w:spacing w:line="316" w:lineRule="auto" w:before="76"/>
              <w:ind w:left="156" w:right="38" w:hanging="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1,796.26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3,983.53</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94" w:right="20" w:hanging="471"/>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、营销服务体系建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设项目</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sz w:val="18"/>
              </w:rPr>
              <w:t>2,682.2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sz w:val="18"/>
              </w:rPr>
              <w:t>2,682.2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sz w:val="18"/>
              </w:rPr>
              <w:t>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sz w:val="18"/>
              </w:rPr>
              <w:t>2,683.13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sz w:val="18"/>
              </w:rPr>
              <w:t>100.03%</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2014</w:t>
            </w:r>
          </w:p>
          <w:p>
            <w:pPr>
              <w:pStyle w:val="TableParagraph"/>
              <w:spacing w:line="240" w:lineRule="auto" w:before="76"/>
              <w:ind w:left="4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09</w:t>
            </w:r>
          </w:p>
          <w:p>
            <w:pPr>
              <w:pStyle w:val="TableParagraph"/>
              <w:spacing w:line="319" w:lineRule="auto" w:before="76"/>
              <w:ind w:left="156" w:right="38" w:hanging="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1" w:right="108" w:hanging="8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72.237pt;margin-top:449.709991pt;width:467.65pt;height:50.8pt;mso-position-horizontal-relative:page;mso-position-vertical-relative:page;z-index:-754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pStyle w:val="BodyText"/>
                    <w:spacing w:line="240" w:lineRule="auto"/>
                    <w:ind w:left="0" w:right="0"/>
                    <w:jc w:val="left"/>
                  </w:pPr>
                  <w:r>
                    <w:rPr/>
                    <w:t>（分具体项目）</w:t>
                  </w:r>
                </w:p>
              </w:txbxContent>
            </v:textbox>
            <w10:wrap type="none"/>
          </v:shape>
        </w:pict>
      </w:r>
      <w:r>
        <w:rPr/>
        <w:pict>
          <v:group style="position:absolute;margin-left:132.5pt;margin-top:449.709991pt;width:407.35pt;height:15.6pt;mso-position-horizontal-relative:page;mso-position-vertical-relative:page;z-index:-754744" coordorigin="2650,8994" coordsize="8147,312">
            <v:shape style="position:absolute;left:2650;top:8994;width:8147;height:312" coordorigin="2650,8994" coordsize="8147,312" path="m2650,9306l10797,9306,10797,8994,2650,8994,2650,9306xe" filled="true" fillcolor="#ffffff" stroked="false">
              <v:path arrowok="t"/>
              <v:fill type="solid"/>
            </v:shape>
            <w10:wrap type="none"/>
          </v:group>
        </w:pict>
      </w:r>
      <w:r>
        <w:rPr/>
        <w:pict>
          <v:group style="position:absolute;margin-left:132.5pt;margin-top:484.869995pt;width:407.35pt;height:15.6pt;mso-position-horizontal-relative:page;mso-position-vertical-relative:page;z-index:-754720" coordorigin="2650,9697" coordsize="8147,312">
            <v:shape style="position:absolute;left:2650;top:9697;width:8147;height:312" coordorigin="2650,9697" coordsize="8147,312" path="m2650,10009l10797,10009,10797,9697,2650,9697,2650,10009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539"/>
        <w:gridCol w:w="614"/>
        <w:gridCol w:w="872"/>
        <w:gridCol w:w="866"/>
        <w:gridCol w:w="776"/>
        <w:gridCol w:w="897"/>
        <w:gridCol w:w="720"/>
        <w:gridCol w:w="502"/>
        <w:gridCol w:w="866"/>
        <w:gridCol w:w="867"/>
        <w:gridCol w:w="593"/>
        <w:gridCol w:w="586"/>
      </w:tblGrid>
      <w:tr>
        <w:trPr>
          <w:trHeight w:val="1337"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45" w:right="20" w:hanging="22"/>
              <w:jc w:val="both"/>
              <w:rPr>
                <w:rFonts w:ascii="宋体" w:hAnsi="宋体" w:cs="宋体" w:eastAsia="宋体" w:hint="default"/>
                <w:sz w:val="18"/>
                <w:szCs w:val="18"/>
              </w:rPr>
            </w:pPr>
            <w:r>
              <w:rPr>
                <w:rFonts w:ascii="宋体" w:hAnsi="宋体" w:cs="宋体" w:eastAsia="宋体" w:hint="default"/>
                <w:spacing w:val="-6"/>
                <w:sz w:val="18"/>
                <w:szCs w:val="18"/>
              </w:rPr>
              <w:t>5</w:t>
            </w:r>
            <w:r>
              <w:rPr>
                <w:rFonts w:ascii="宋体" w:hAnsi="宋体" w:cs="宋体" w:eastAsia="宋体" w:hint="default"/>
                <w:spacing w:val="-6"/>
                <w:sz w:val="18"/>
                <w:szCs w:val="18"/>
              </w:rPr>
              <w:t>、购买北京中软华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泰信息技术有限责 任公司</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sz w:val="18"/>
              </w:rPr>
              <w:t>8,000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7" w:right="0"/>
              <w:jc w:val="center"/>
              <w:rPr>
                <w:rFonts w:ascii="宋体" w:hAnsi="宋体" w:cs="宋体" w:eastAsia="宋体" w:hint="default"/>
                <w:sz w:val="18"/>
                <w:szCs w:val="18"/>
              </w:rPr>
            </w:pPr>
            <w:r>
              <w:rPr>
                <w:rFonts w:ascii="宋体"/>
                <w:sz w:val="18"/>
              </w:rPr>
              <w:t>8,000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 w:right="0"/>
              <w:jc w:val="center"/>
              <w:rPr>
                <w:rFonts w:ascii="宋体" w:hAnsi="宋体" w:cs="宋体" w:eastAsia="宋体" w:hint="default"/>
                <w:sz w:val="18"/>
                <w:szCs w:val="18"/>
              </w:rPr>
            </w:pPr>
            <w:r>
              <w:rPr>
                <w:rFonts w:ascii="宋体"/>
                <w:sz w:val="18"/>
              </w:rPr>
              <w:t>8,000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7" w:right="0"/>
              <w:jc w:val="center"/>
              <w:rPr>
                <w:rFonts w:ascii="宋体" w:hAnsi="宋体" w:cs="宋体" w:eastAsia="宋体" w:hint="default"/>
                <w:sz w:val="18"/>
                <w:szCs w:val="18"/>
              </w:rPr>
            </w:pPr>
            <w:r>
              <w:rPr>
                <w:rFonts w:ascii="宋体"/>
                <w:sz w:val="18"/>
              </w:rPr>
              <w:t>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7" w:right="0"/>
              <w:jc w:val="left"/>
              <w:rPr>
                <w:rFonts w:ascii="宋体" w:hAnsi="宋体" w:cs="宋体" w:eastAsia="宋体" w:hint="default"/>
                <w:sz w:val="18"/>
                <w:szCs w:val="18"/>
              </w:rPr>
            </w:pPr>
            <w:r>
              <w:rPr>
                <w:rFonts w:ascii="宋体"/>
                <w:sz w:val="18"/>
              </w:rPr>
              <w:t>100.00%</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4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09</w:t>
            </w:r>
          </w:p>
          <w:p>
            <w:pPr>
              <w:pStyle w:val="TableParagraph"/>
              <w:spacing w:line="316" w:lineRule="auto" w:before="76"/>
              <w:ind w:left="156" w:right="38" w:hanging="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1,194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1194</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25,344.2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sz w:val="18"/>
              </w:rPr>
              <w:t>25,344.2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8,340.64</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18"/>
                <w:szCs w:val="18"/>
              </w:rPr>
            </w:pPr>
            <w:r>
              <w:rPr>
                <w:rFonts w:ascii="宋体"/>
                <w:sz w:val="18"/>
              </w:rPr>
              <w:t>25,381.76</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 w:right="0"/>
              <w:jc w:val="center"/>
              <w:rPr>
                <w:rFonts w:ascii="宋体" w:hAnsi="宋体" w:cs="宋体" w:eastAsia="宋体" w:hint="default"/>
                <w:sz w:val="18"/>
                <w:szCs w:val="18"/>
              </w:rPr>
            </w:pPr>
            <w:r>
              <w:rPr>
                <w:rFonts w:ascii="宋体"/>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21,589.45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49,334.65</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sz w:val="18"/>
              </w:rPr>
              <w:t>--</w:t>
            </w:r>
          </w:p>
        </w:tc>
      </w:tr>
      <w:tr>
        <w:trPr>
          <w:trHeight w:val="396"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5" w:right="41"/>
              <w:jc w:val="center"/>
              <w:rPr>
                <w:rFonts w:ascii="宋体" w:hAnsi="宋体" w:cs="宋体" w:eastAsia="宋体" w:hint="default"/>
                <w:sz w:val="18"/>
                <w:szCs w:val="18"/>
              </w:rPr>
            </w:pPr>
            <w:r>
              <w:rPr>
                <w:rFonts w:ascii="宋体" w:hAnsi="宋体" w:cs="宋体" w:eastAsia="宋体" w:hint="default"/>
                <w:sz w:val="18"/>
                <w:szCs w:val="18"/>
              </w:rPr>
              <w:t>江苏神州信源系统 工程有限公司增资 款</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4,000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
              <w:jc w:val="center"/>
              <w:rPr>
                <w:rFonts w:ascii="宋体" w:hAnsi="宋体" w:cs="宋体" w:eastAsia="宋体" w:hint="default"/>
                <w:sz w:val="18"/>
                <w:szCs w:val="18"/>
              </w:rPr>
            </w:pPr>
            <w:r>
              <w:rPr>
                <w:rFonts w:ascii="宋体"/>
                <w:sz w:val="18"/>
              </w:rPr>
              <w:t>4,000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center"/>
              <w:rPr>
                <w:rFonts w:ascii="宋体" w:hAnsi="宋体" w:cs="宋体" w:eastAsia="宋体" w:hint="default"/>
                <w:sz w:val="18"/>
                <w:szCs w:val="18"/>
              </w:rPr>
            </w:pPr>
            <w:r>
              <w:rPr>
                <w:rFonts w:ascii="宋体"/>
                <w:sz w:val="18"/>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
              <w:jc w:val="center"/>
              <w:rPr>
                <w:rFonts w:ascii="宋体" w:hAnsi="宋体" w:cs="宋体" w:eastAsia="宋体" w:hint="default"/>
                <w:sz w:val="18"/>
                <w:szCs w:val="18"/>
              </w:rPr>
            </w:pPr>
            <w:r>
              <w:rPr>
                <w:rFonts w:ascii="宋体"/>
                <w:sz w:val="18"/>
              </w:rPr>
              <w:t>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建设武汉研发中心</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1,600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1,600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214.42</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2"/>
              <w:jc w:val="center"/>
              <w:rPr>
                <w:rFonts w:ascii="宋体" w:hAnsi="宋体" w:cs="宋体" w:eastAsia="宋体" w:hint="default"/>
                <w:sz w:val="18"/>
                <w:szCs w:val="18"/>
              </w:rPr>
            </w:pPr>
            <w:r>
              <w:rPr>
                <w:rFonts w:ascii="宋体"/>
                <w:sz w:val="18"/>
              </w:rPr>
              <w:t>1,600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100.00%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01" w:right="108" w:hanging="8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674" w:right="41" w:hanging="630"/>
              <w:jc w:val="left"/>
              <w:rPr>
                <w:rFonts w:ascii="宋体" w:hAnsi="宋体" w:cs="宋体" w:eastAsia="宋体" w:hint="default"/>
                <w:sz w:val="18"/>
                <w:szCs w:val="18"/>
              </w:rPr>
            </w:pPr>
            <w:r>
              <w:rPr>
                <w:rFonts w:ascii="宋体" w:hAnsi="宋体" w:cs="宋体" w:eastAsia="宋体" w:hint="default"/>
                <w:sz w:val="18"/>
                <w:szCs w:val="18"/>
              </w:rPr>
              <w:t>设立马来西亚子公 司</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sz w:val="18"/>
              </w:rPr>
              <w:t>1,000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2"/>
              <w:jc w:val="center"/>
              <w:rPr>
                <w:rFonts w:ascii="宋体" w:hAnsi="宋体" w:cs="宋体" w:eastAsia="宋体" w:hint="default"/>
                <w:sz w:val="18"/>
                <w:szCs w:val="18"/>
              </w:rPr>
            </w:pPr>
            <w:r>
              <w:rPr>
                <w:rFonts w:ascii="宋体"/>
                <w:sz w:val="18"/>
              </w:rPr>
              <w:t>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-138.07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-214.62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14" w:right="41" w:hanging="270"/>
              <w:jc w:val="left"/>
              <w:rPr>
                <w:rFonts w:ascii="宋体" w:hAnsi="宋体" w:cs="宋体" w:eastAsia="宋体" w:hint="default"/>
                <w:sz w:val="18"/>
                <w:szCs w:val="18"/>
              </w:rPr>
            </w:pPr>
            <w:r>
              <w:rPr>
                <w:rFonts w:ascii="宋体" w:hAnsi="宋体" w:cs="宋体" w:eastAsia="宋体" w:hint="default"/>
                <w:sz w:val="18"/>
                <w:szCs w:val="18"/>
              </w:rPr>
              <w:t>北京双洲科技有限 公司投资款</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500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sz w:val="18"/>
              </w:rPr>
              <w:t>500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3"/>
              <w:jc w:val="center"/>
              <w:rPr>
                <w:rFonts w:ascii="宋体" w:hAnsi="宋体" w:cs="宋体" w:eastAsia="宋体" w:hint="default"/>
                <w:sz w:val="18"/>
                <w:szCs w:val="18"/>
              </w:rPr>
            </w:pPr>
            <w:r>
              <w:rPr>
                <w:rFonts w:ascii="宋体"/>
                <w:sz w:val="18"/>
              </w:rPr>
              <w:t>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sz w:val="18"/>
              </w:rPr>
              <w:t>100.00%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01" w:right="108" w:hanging="8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5" w:right="41"/>
              <w:jc w:val="left"/>
              <w:rPr>
                <w:rFonts w:ascii="宋体" w:hAnsi="宋体" w:cs="宋体" w:eastAsia="宋体" w:hint="default"/>
                <w:sz w:val="18"/>
                <w:szCs w:val="18"/>
              </w:rPr>
            </w:pPr>
            <w:r>
              <w:rPr>
                <w:rFonts w:ascii="宋体" w:hAnsi="宋体" w:cs="宋体" w:eastAsia="宋体" w:hint="default"/>
                <w:sz w:val="18"/>
                <w:szCs w:val="18"/>
              </w:rPr>
              <w:t>深圳市金城保密技 术有限公司投资款</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438.37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宋体"/>
                <w:sz w:val="18"/>
              </w:rPr>
              <w:t>438.37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sz w:val="18"/>
              </w:rPr>
              <w:t>438.37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4"/>
              <w:jc w:val="center"/>
              <w:rPr>
                <w:rFonts w:ascii="宋体" w:hAnsi="宋体" w:cs="宋体" w:eastAsia="宋体" w:hint="default"/>
                <w:sz w:val="18"/>
                <w:szCs w:val="18"/>
              </w:rPr>
            </w:pPr>
            <w:r>
              <w:rPr>
                <w:rFonts w:ascii="宋体"/>
                <w:sz w:val="18"/>
              </w:rPr>
              <w:t>438.37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100.00%</w:t>
            </w:r>
          </w:p>
        </w:tc>
        <w:tc>
          <w:tcPr>
            <w:tcW w:w="502"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01" w:right="108" w:hanging="8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6" w:right="41" w:hanging="541"/>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8,000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sz w:val="18"/>
              </w:rPr>
              <w:t>8,000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sz w:val="18"/>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2"/>
              <w:jc w:val="center"/>
              <w:rPr>
                <w:rFonts w:ascii="宋体" w:hAnsi="宋体" w:cs="宋体" w:eastAsia="宋体" w:hint="default"/>
                <w:sz w:val="18"/>
                <w:szCs w:val="18"/>
              </w:rPr>
            </w:pPr>
            <w:r>
              <w:rPr>
                <w:rFonts w:ascii="宋体"/>
                <w:sz w:val="18"/>
              </w:rPr>
              <w:t>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宋体" w:hAnsi="宋体" w:cs="宋体" w:eastAsia="宋体" w:hint="default"/>
                <w:sz w:val="18"/>
                <w:szCs w:val="18"/>
              </w:rPr>
            </w:pPr>
            <w:r>
              <w:rPr>
                <w:rFonts w:ascii="宋体"/>
                <w:sz w:val="18"/>
              </w:rPr>
              <w:t>0.00%</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sz w:val="18"/>
              </w:rPr>
              <w:t>--</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15,538.37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15,538.37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sz w:val="18"/>
              </w:rPr>
              <w:t>652.79</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
              <w:jc w:val="center"/>
              <w:rPr>
                <w:rFonts w:ascii="宋体" w:hAnsi="宋体" w:cs="宋体" w:eastAsia="宋体" w:hint="default"/>
                <w:sz w:val="18"/>
                <w:szCs w:val="18"/>
              </w:rPr>
            </w:pPr>
            <w:r>
              <w:rPr>
                <w:rFonts w:ascii="宋体"/>
                <w:sz w:val="18"/>
              </w:rPr>
              <w:t>15,538.37</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center"/>
              <w:rPr>
                <w:rFonts w:ascii="宋体" w:hAnsi="宋体" w:cs="宋体" w:eastAsia="宋体" w:hint="default"/>
                <w:sz w:val="18"/>
                <w:szCs w:val="18"/>
              </w:rPr>
            </w:pPr>
            <w:r>
              <w:rPr>
                <w:rFonts w:ascii="宋体"/>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-138.07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-214.62</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sz w:val="18"/>
              </w:rPr>
              <w:t>--</w:t>
            </w: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40,882.57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40,882.57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8,993.43</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
              <w:jc w:val="center"/>
              <w:rPr>
                <w:rFonts w:ascii="宋体" w:hAnsi="宋体" w:cs="宋体" w:eastAsia="宋体" w:hint="default"/>
                <w:sz w:val="18"/>
                <w:szCs w:val="18"/>
              </w:rPr>
            </w:pPr>
            <w:r>
              <w:rPr>
                <w:rFonts w:ascii="宋体"/>
                <w:sz w:val="18"/>
              </w:rPr>
              <w:t>40,920.13</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center"/>
              <w:rPr>
                <w:rFonts w:ascii="宋体" w:hAnsi="宋体" w:cs="宋体" w:eastAsia="宋体" w:hint="default"/>
                <w:sz w:val="18"/>
                <w:szCs w:val="18"/>
              </w:rPr>
            </w:pPr>
            <w:r>
              <w:rPr>
                <w:rFonts w:ascii="宋体"/>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21,451.38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49,120.03</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sz w:val="18"/>
              </w:rPr>
              <w:t>--</w:t>
            </w:r>
          </w:p>
        </w:tc>
      </w:tr>
      <w:tr>
        <w:trPr>
          <w:trHeight w:val="1027"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w:t>
            </w:r>
          </w:p>
        </w:tc>
        <w:tc>
          <w:tcPr>
            <w:tcW w:w="757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center"/>
              <w:rPr>
                <w:rFonts w:ascii="宋体" w:hAnsi="宋体" w:cs="宋体" w:eastAsia="宋体" w:hint="default"/>
                <w:sz w:val="18"/>
                <w:szCs w:val="18"/>
              </w:rPr>
            </w:pPr>
            <w:r>
              <w:rPr>
                <w:rFonts w:ascii="宋体" w:hAnsi="宋体" w:cs="宋体" w:eastAsia="宋体" w:hint="default"/>
                <w:sz w:val="18"/>
                <w:szCs w:val="18"/>
              </w:rPr>
              <w:t>马来西</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64" w:right="0"/>
              <w:jc w:val="left"/>
              <w:rPr>
                <w:rFonts w:ascii="宋体" w:hAnsi="宋体" w:cs="宋体" w:eastAsia="宋体" w:hint="default"/>
                <w:sz w:val="18"/>
                <w:szCs w:val="18"/>
              </w:rPr>
            </w:pPr>
            <w:r>
              <w:rPr>
                <w:rFonts w:ascii="宋体" w:hAnsi="宋体" w:cs="宋体" w:eastAsia="宋体" w:hint="default"/>
                <w:sz w:val="18"/>
                <w:szCs w:val="18"/>
              </w:rPr>
              <w:t>亚子公司因正处于起始阶段，属于前期投入期，未能达到预计销售收入和净利润。</w:t>
            </w:r>
          </w:p>
        </w:tc>
        <w:tc>
          <w:tcPr>
            <w:tcW w:w="586" w:type="dxa"/>
            <w:tcBorders>
              <w:top w:val="single" w:sz="4" w:space="0" w:color="000000"/>
              <w:left w:val="nil" w:sz="6" w:space="0" w:color="auto"/>
              <w:bottom w:val="single" w:sz="4" w:space="0" w:color="000000"/>
              <w:right w:val="single" w:sz="4" w:space="0" w:color="000000"/>
            </w:tcBorders>
          </w:tcPr>
          <w:p>
            <w:pP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1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5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24" w:right="63"/>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1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915" w:hRule="exact"/>
        </w:trPr>
        <w:tc>
          <w:tcPr>
            <w:tcW w:w="1539" w:type="dxa"/>
            <w:vMerge/>
            <w:tcBorders>
              <w:left w:val="single" w:sz="4" w:space="0" w:color="000000"/>
              <w:bottom w:val="single" w:sz="4" w:space="0" w:color="000000"/>
              <w:right w:val="single" w:sz="4" w:space="0" w:color="000000"/>
            </w:tcBorders>
            <w:shd w:val="clear" w:color="auto" w:fill="D2D2D2"/>
          </w:tcPr>
          <w:p>
            <w:pPr/>
          </w:p>
        </w:tc>
        <w:tc>
          <w:tcPr>
            <w:tcW w:w="81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本公司超募资金</w:t>
            </w:r>
            <w:r>
              <w:rPr>
                <w:rFonts w:ascii="宋体" w:hAnsi="宋体" w:cs="宋体" w:eastAsia="宋体" w:hint="default"/>
                <w:spacing w:val="-47"/>
                <w:sz w:val="18"/>
                <w:szCs w:val="18"/>
              </w:rPr>
              <w:t> </w:t>
            </w:r>
            <w:r>
              <w:rPr>
                <w:rFonts w:ascii="宋体" w:hAnsi="宋体" w:cs="宋体" w:eastAsia="宋体" w:hint="default"/>
                <w:sz w:val="18"/>
                <w:szCs w:val="18"/>
              </w:rPr>
              <w:t>20,356.66</w:t>
            </w:r>
            <w:r>
              <w:rPr>
                <w:rFonts w:ascii="宋体" w:hAnsi="宋体" w:cs="宋体" w:eastAsia="宋体" w:hint="default"/>
                <w:spacing w:val="-46"/>
                <w:sz w:val="18"/>
                <w:szCs w:val="18"/>
              </w:rPr>
              <w:t> </w:t>
            </w:r>
            <w:r>
              <w:rPr>
                <w:rFonts w:ascii="宋体" w:hAnsi="宋体" w:cs="宋体" w:eastAsia="宋体" w:hint="default"/>
                <w:sz w:val="18"/>
                <w:szCs w:val="18"/>
              </w:rPr>
              <w:t>万元，主要用于其它与主营业务相关的营运资金。截止到本报告期末，具体 使用情况如下：</w:t>
            </w:r>
          </w:p>
          <w:p>
            <w:pPr>
              <w:pStyle w:val="TableParagraph"/>
              <w:spacing w:line="240" w:lineRule="auto" w:before="55"/>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日，公司第一届董事会第九次临时会议审议通过了《关于使用部分超募资金永久</w:t>
            </w:r>
          </w:p>
          <w:p>
            <w:pPr>
              <w:pStyle w:val="TableParagraph"/>
              <w:spacing w:line="316" w:lineRule="auto" w:before="76"/>
              <w:ind w:left="24" w:right="20"/>
              <w:jc w:val="both"/>
              <w:rPr>
                <w:rFonts w:ascii="宋体" w:hAnsi="宋体" w:cs="宋体" w:eastAsia="宋体" w:hint="default"/>
                <w:sz w:val="18"/>
                <w:szCs w:val="18"/>
              </w:rPr>
            </w:pPr>
            <w:r>
              <w:rPr>
                <w:rFonts w:ascii="宋体" w:hAnsi="宋体" w:cs="宋体" w:eastAsia="宋体" w:hint="default"/>
                <w:spacing w:val="-5"/>
                <w:sz w:val="18"/>
                <w:szCs w:val="18"/>
              </w:rPr>
              <w:t>性补充流动资金的议案》，使用超募资金人民币</w:t>
            </w:r>
            <w:r>
              <w:rPr>
                <w:rFonts w:ascii="宋体" w:hAnsi="宋体" w:cs="宋体" w:eastAsia="宋体" w:hint="default"/>
                <w:spacing w:val="-29"/>
                <w:sz w:val="18"/>
                <w:szCs w:val="18"/>
              </w:rPr>
              <w:t> </w:t>
            </w:r>
            <w:r>
              <w:rPr>
                <w:rFonts w:ascii="宋体" w:hAnsi="宋体" w:cs="宋体" w:eastAsia="宋体" w:hint="default"/>
                <w:spacing w:val="-1"/>
                <w:sz w:val="18"/>
                <w:szCs w:val="18"/>
              </w:rPr>
              <w:t>4,000.00</w:t>
            </w:r>
            <w:r>
              <w:rPr>
                <w:rFonts w:ascii="宋体" w:hAnsi="宋体" w:cs="宋体" w:eastAsia="宋体" w:hint="default"/>
                <w:spacing w:val="-27"/>
                <w:sz w:val="18"/>
                <w:szCs w:val="18"/>
              </w:rPr>
              <w:t> </w:t>
            </w:r>
            <w:r>
              <w:rPr>
                <w:rFonts w:ascii="宋体" w:hAnsi="宋体" w:cs="宋体" w:eastAsia="宋体" w:hint="default"/>
                <w:spacing w:val="-1"/>
                <w:sz w:val="18"/>
                <w:szCs w:val="18"/>
              </w:rPr>
              <w:t>万元永久性补充流动资金，截至报告期末，流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动资金补充到位。</w:t>
            </w:r>
          </w:p>
          <w:p>
            <w:pPr>
              <w:pStyle w:val="TableParagraph"/>
              <w:spacing w:line="240" w:lineRule="auto" w:before="59"/>
              <w:ind w:left="24"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2013</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3</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28</w:t>
            </w:r>
            <w:r>
              <w:rPr>
                <w:rFonts w:ascii="宋体" w:hAnsi="宋体" w:cs="宋体" w:eastAsia="宋体" w:hint="default"/>
                <w:spacing w:val="-51"/>
                <w:sz w:val="18"/>
                <w:szCs w:val="18"/>
              </w:rPr>
              <w:t> </w:t>
            </w:r>
            <w:r>
              <w:rPr>
                <w:rFonts w:ascii="宋体" w:hAnsi="宋体" w:cs="宋体" w:eastAsia="宋体" w:hint="default"/>
                <w:sz w:val="18"/>
                <w:szCs w:val="18"/>
              </w:rPr>
              <w:t>日，公司第一届董事会第九次会议审议通过了《关于使用部分超募资金对全资子公</w:t>
            </w:r>
          </w:p>
          <w:p>
            <w:pPr>
              <w:pStyle w:val="TableParagraph"/>
              <w:spacing w:line="316" w:lineRule="auto" w:before="76"/>
              <w:ind w:left="24" w:right="21"/>
              <w:jc w:val="both"/>
              <w:rPr>
                <w:rFonts w:ascii="宋体" w:hAnsi="宋体" w:cs="宋体" w:eastAsia="宋体" w:hint="default"/>
                <w:sz w:val="18"/>
                <w:szCs w:val="18"/>
              </w:rPr>
            </w:pPr>
            <w:r>
              <w:rPr>
                <w:rFonts w:ascii="宋体" w:hAnsi="宋体" w:cs="宋体" w:eastAsia="宋体" w:hint="default"/>
                <w:spacing w:val="-5"/>
                <w:sz w:val="18"/>
                <w:szCs w:val="18"/>
              </w:rPr>
              <w:t>司江苏神州信源系统工程有限公司进行增资的议案》，同意使用超募资金</w:t>
            </w:r>
            <w:r>
              <w:rPr>
                <w:rFonts w:ascii="宋体" w:hAnsi="宋体" w:cs="宋体" w:eastAsia="宋体" w:hint="default"/>
                <w:spacing w:val="-34"/>
                <w:sz w:val="18"/>
                <w:szCs w:val="18"/>
              </w:rPr>
              <w:t> </w:t>
            </w:r>
            <w:r>
              <w:rPr>
                <w:rFonts w:ascii="宋体" w:hAnsi="宋体" w:cs="宋体" w:eastAsia="宋体" w:hint="default"/>
                <w:spacing w:val="-1"/>
                <w:sz w:val="18"/>
                <w:szCs w:val="18"/>
              </w:rPr>
              <w:t>4,000.00</w:t>
            </w:r>
            <w:r>
              <w:rPr>
                <w:rFonts w:ascii="宋体" w:hAnsi="宋体" w:cs="宋体" w:eastAsia="宋体" w:hint="default"/>
                <w:spacing w:val="22"/>
                <w:sz w:val="18"/>
                <w:szCs w:val="18"/>
              </w:rPr>
              <w:t> </w:t>
            </w:r>
            <w:r>
              <w:rPr>
                <w:rFonts w:ascii="宋体" w:hAnsi="宋体" w:cs="宋体" w:eastAsia="宋体" w:hint="default"/>
                <w:spacing w:val="-1"/>
                <w:sz w:val="18"/>
                <w:szCs w:val="18"/>
              </w:rPr>
              <w:t>万元对全资子公司江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苏神州信源系统工程有限公司进行增资，用于筹建南京研发培训中心和南京技术支持中心项目，截至报 告期末，已完成使用超募资金 </w:t>
            </w:r>
            <w:r>
              <w:rPr>
                <w:rFonts w:ascii="宋体" w:hAnsi="宋体" w:cs="宋体" w:eastAsia="宋体" w:hint="default"/>
                <w:sz w:val="18"/>
                <w:szCs w:val="18"/>
              </w:rPr>
              <w:t>4,000.00</w:t>
            </w:r>
            <w:r>
              <w:rPr>
                <w:rFonts w:ascii="宋体" w:hAnsi="宋体" w:cs="宋体" w:eastAsia="宋体" w:hint="default"/>
                <w:spacing w:val="-46"/>
                <w:sz w:val="18"/>
                <w:szCs w:val="18"/>
              </w:rPr>
              <w:t> </w:t>
            </w:r>
            <w:r>
              <w:rPr>
                <w:rFonts w:ascii="宋体" w:hAnsi="宋体" w:cs="宋体" w:eastAsia="宋体" w:hint="default"/>
                <w:sz w:val="18"/>
                <w:szCs w:val="18"/>
              </w:rPr>
              <w:t>万元对江苏神舟信源系统工程有限公司增资。</w:t>
            </w:r>
          </w:p>
          <w:p>
            <w:pPr>
              <w:pStyle w:val="TableParagraph"/>
              <w:spacing w:line="240" w:lineRule="auto" w:before="59"/>
              <w:ind w:left="24"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2013</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日，公司第二届董事会第一次会议审议通过了《关于使用部分超募资金建设武汉研</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发中心的议案</w:t>
            </w:r>
            <w:r>
              <w:rPr>
                <w:rFonts w:ascii="宋体" w:hAnsi="宋体" w:cs="宋体" w:eastAsia="宋体" w:hint="default"/>
                <w:spacing w:val="-92"/>
                <w:sz w:val="18"/>
                <w:szCs w:val="18"/>
              </w:rPr>
              <w:t>》</w:t>
            </w:r>
            <w:r>
              <w:rPr>
                <w:rFonts w:ascii="宋体" w:hAnsi="宋体" w:cs="宋体" w:eastAsia="宋体" w:hint="default"/>
                <w:sz w:val="18"/>
                <w:szCs w:val="18"/>
              </w:rPr>
              <w:t>，同意使用超</w:t>
            </w:r>
            <w:r>
              <w:rPr>
                <w:rFonts w:ascii="宋体" w:hAnsi="宋体" w:cs="宋体" w:eastAsia="宋体" w:hint="default"/>
                <w:spacing w:val="2"/>
                <w:sz w:val="18"/>
                <w:szCs w:val="18"/>
              </w:rPr>
              <w:t>募</w:t>
            </w: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6</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万元用于建设</w:t>
            </w:r>
            <w:r>
              <w:rPr>
                <w:rFonts w:ascii="宋体" w:hAnsi="宋体" w:cs="宋体" w:eastAsia="宋体" w:hint="default"/>
                <w:spacing w:val="-3"/>
                <w:sz w:val="18"/>
                <w:szCs w:val="18"/>
              </w:rPr>
              <w:t>武</w:t>
            </w:r>
            <w:r>
              <w:rPr>
                <w:rFonts w:ascii="宋体" w:hAnsi="宋体" w:cs="宋体" w:eastAsia="宋体" w:hint="default"/>
                <w:sz w:val="18"/>
                <w:szCs w:val="18"/>
              </w:rPr>
              <w:t>汉研发中心，其中购置办公场所用房产支</w:t>
            </w:r>
          </w:p>
          <w:p>
            <w:pPr>
              <w:pStyle w:val="TableParagraph"/>
              <w:spacing w:line="240" w:lineRule="auto" w:before="77"/>
              <w:ind w:left="24" w:right="0"/>
              <w:jc w:val="both"/>
              <w:rPr>
                <w:rFonts w:ascii="宋体" w:hAnsi="宋体" w:cs="宋体" w:eastAsia="宋体" w:hint="default"/>
                <w:sz w:val="18"/>
                <w:szCs w:val="18"/>
              </w:rPr>
            </w:pPr>
            <w:r>
              <w:rPr>
                <w:rFonts w:ascii="宋体" w:hAnsi="宋体" w:cs="宋体" w:eastAsia="宋体" w:hint="default"/>
                <w:sz w:val="18"/>
                <w:szCs w:val="18"/>
              </w:rPr>
              <w:t>出约</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75"/>
                <w:sz w:val="18"/>
                <w:szCs w:val="18"/>
              </w:rPr>
              <w:t>，</w:t>
            </w:r>
            <w:r>
              <w:rPr>
                <w:rFonts w:ascii="宋体" w:hAnsi="宋体" w:cs="宋体" w:eastAsia="宋体" w:hint="default"/>
                <w:sz w:val="18"/>
                <w:szCs w:val="18"/>
              </w:rPr>
              <w:t>办公场</w:t>
            </w:r>
            <w:r>
              <w:rPr>
                <w:rFonts w:ascii="宋体" w:hAnsi="宋体" w:cs="宋体" w:eastAsia="宋体" w:hint="default"/>
                <w:spacing w:val="-3"/>
                <w:sz w:val="18"/>
                <w:szCs w:val="18"/>
              </w:rPr>
              <w:t>地</w:t>
            </w:r>
            <w:r>
              <w:rPr>
                <w:rFonts w:ascii="宋体" w:hAnsi="宋体" w:cs="宋体" w:eastAsia="宋体" w:hint="default"/>
                <w:sz w:val="18"/>
                <w:szCs w:val="18"/>
              </w:rPr>
              <w:t>装修</w:t>
            </w:r>
            <w:r>
              <w:rPr>
                <w:rFonts w:ascii="宋体" w:hAnsi="宋体" w:cs="宋体" w:eastAsia="宋体" w:hint="default"/>
                <w:spacing w:val="-75"/>
                <w:sz w:val="18"/>
                <w:szCs w:val="18"/>
              </w:rPr>
              <w:t>、</w:t>
            </w:r>
            <w:r>
              <w:rPr>
                <w:rFonts w:ascii="宋体" w:hAnsi="宋体" w:cs="宋体" w:eastAsia="宋体" w:hint="default"/>
                <w:sz w:val="18"/>
                <w:szCs w:val="18"/>
              </w:rPr>
              <w:t>科研设备及其他投入约</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宋体" w:hAnsi="宋体" w:cs="宋体" w:eastAsia="宋体" w:hint="default"/>
                <w:sz w:val="18"/>
                <w:szCs w:val="18"/>
              </w:rPr>
              <w:t>报告期内使用超</w:t>
            </w:r>
            <w:r>
              <w:rPr>
                <w:rFonts w:ascii="宋体" w:hAnsi="宋体" w:cs="宋体" w:eastAsia="宋体" w:hint="default"/>
                <w:spacing w:val="-3"/>
                <w:sz w:val="18"/>
                <w:szCs w:val="18"/>
              </w:rPr>
              <w:t>募</w:t>
            </w: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z w:val="18"/>
                <w:szCs w:val="18"/>
              </w:rPr>
              <w:t>2</w:t>
            </w:r>
          </w:p>
        </w:tc>
      </w:tr>
    </w:tbl>
    <w:p>
      <w:pPr>
        <w:spacing w:after="0" w:line="240" w:lineRule="auto"/>
        <w:jc w:val="both"/>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538"/>
        <w:gridCol w:w="8159"/>
      </w:tblGrid>
      <w:tr>
        <w:trPr>
          <w:trHeight w:val="4619"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截至报告期末，该项目已使用超募资金</w:t>
            </w:r>
            <w:r>
              <w:rPr>
                <w:rFonts w:ascii="宋体" w:hAnsi="宋体" w:cs="宋体" w:eastAsia="宋体" w:hint="default"/>
                <w:spacing w:val="-44"/>
                <w:sz w:val="18"/>
                <w:szCs w:val="18"/>
              </w:rPr>
              <w:t> </w:t>
            </w:r>
            <w:r>
              <w:rPr>
                <w:rFonts w:ascii="宋体" w:hAnsi="宋体" w:cs="宋体" w:eastAsia="宋体" w:hint="default"/>
                <w:sz w:val="18"/>
                <w:szCs w:val="18"/>
              </w:rPr>
              <w:t>1600</w:t>
            </w:r>
            <w:r>
              <w:rPr>
                <w:rFonts w:ascii="宋体" w:hAnsi="宋体" w:cs="宋体" w:eastAsia="宋体" w:hint="default"/>
                <w:spacing w:val="-43"/>
                <w:sz w:val="18"/>
                <w:szCs w:val="18"/>
              </w:rPr>
              <w:t> </w:t>
            </w:r>
            <w:r>
              <w:rPr>
                <w:rFonts w:ascii="宋体" w:hAnsi="宋体" w:cs="宋体" w:eastAsia="宋体" w:hint="default"/>
                <w:sz w:val="18"/>
                <w:szCs w:val="18"/>
              </w:rPr>
              <w:t>万元。</w:t>
            </w:r>
          </w:p>
          <w:p>
            <w:pPr>
              <w:pStyle w:val="TableParagraph"/>
              <w:spacing w:line="240" w:lineRule="auto" w:before="117"/>
              <w:ind w:left="24"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2013</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日，公司第二届董事会第三次临时会议审议通过了《关于以部分超募资金设立境外</w:t>
            </w:r>
          </w:p>
          <w:p>
            <w:pPr>
              <w:pStyle w:val="TableParagraph"/>
              <w:spacing w:line="316" w:lineRule="auto" w:before="76"/>
              <w:ind w:left="24" w:right="22"/>
              <w:jc w:val="both"/>
              <w:rPr>
                <w:rFonts w:ascii="宋体" w:hAnsi="宋体" w:cs="宋体" w:eastAsia="宋体" w:hint="default"/>
                <w:sz w:val="18"/>
                <w:szCs w:val="18"/>
              </w:rPr>
            </w:pPr>
            <w:r>
              <w:rPr>
                <w:rFonts w:ascii="宋体" w:hAnsi="宋体" w:cs="宋体" w:eastAsia="宋体" w:hint="default"/>
                <w:spacing w:val="-3"/>
                <w:sz w:val="18"/>
                <w:szCs w:val="18"/>
              </w:rPr>
              <w:t>全资子公司的议案》同意使用超募资金</w:t>
            </w:r>
            <w:r>
              <w:rPr>
                <w:rFonts w:ascii="宋体" w:hAnsi="宋体" w:cs="宋体" w:eastAsia="宋体" w:hint="default"/>
                <w:spacing w:val="-34"/>
                <w:sz w:val="18"/>
                <w:szCs w:val="18"/>
              </w:rPr>
              <w:t> </w:t>
            </w:r>
            <w:r>
              <w:rPr>
                <w:rFonts w:ascii="宋体" w:hAnsi="宋体" w:cs="宋体" w:eastAsia="宋体" w:hint="default"/>
                <w:sz w:val="18"/>
                <w:szCs w:val="18"/>
              </w:rPr>
              <w:t>1,000.00</w:t>
            </w:r>
            <w:r>
              <w:rPr>
                <w:rFonts w:ascii="宋体" w:hAnsi="宋体" w:cs="宋体" w:eastAsia="宋体" w:hint="default"/>
                <w:spacing w:val="-32"/>
                <w:sz w:val="18"/>
                <w:szCs w:val="18"/>
              </w:rPr>
              <w:t> </w:t>
            </w:r>
            <w:r>
              <w:rPr>
                <w:rFonts w:ascii="宋体" w:hAnsi="宋体" w:cs="宋体" w:eastAsia="宋体" w:hint="default"/>
                <w:spacing w:val="-3"/>
                <w:sz w:val="18"/>
                <w:szCs w:val="18"/>
              </w:rPr>
              <w:t>万元用于建设马来西亚研发中心。截止报告期末该项目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超募资金已使用完毕。</w:t>
            </w:r>
          </w:p>
          <w:p>
            <w:pPr>
              <w:pStyle w:val="TableParagraph"/>
              <w:spacing w:line="240" w:lineRule="auto" w:before="57"/>
              <w:ind w:left="24"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13</w:t>
            </w:r>
            <w:r>
              <w:rPr>
                <w:rFonts w:ascii="宋体" w:hAnsi="宋体" w:cs="宋体" w:eastAsia="宋体" w:hint="default"/>
                <w:spacing w:val="-51"/>
                <w:sz w:val="18"/>
                <w:szCs w:val="18"/>
              </w:rPr>
              <w:t> </w:t>
            </w:r>
            <w:r>
              <w:rPr>
                <w:rFonts w:ascii="宋体" w:hAnsi="宋体" w:cs="宋体" w:eastAsia="宋体" w:hint="default"/>
                <w:sz w:val="18"/>
                <w:szCs w:val="18"/>
              </w:rPr>
              <w:t>日，公司第二届董事会第六次会议审议通过了《关于使用部分超募资金永久性补充</w:t>
            </w:r>
          </w:p>
          <w:p>
            <w:pPr>
              <w:pStyle w:val="TableParagraph"/>
              <w:spacing w:line="316" w:lineRule="auto" w:before="76"/>
              <w:ind w:left="24" w:right="20"/>
              <w:jc w:val="both"/>
              <w:rPr>
                <w:rFonts w:ascii="宋体" w:hAnsi="宋体" w:cs="宋体" w:eastAsia="宋体" w:hint="default"/>
                <w:sz w:val="18"/>
                <w:szCs w:val="18"/>
              </w:rPr>
            </w:pPr>
            <w:r>
              <w:rPr>
                <w:rFonts w:ascii="宋体" w:hAnsi="宋体" w:cs="宋体" w:eastAsia="宋体" w:hint="default"/>
                <w:spacing w:val="-5"/>
                <w:sz w:val="18"/>
                <w:szCs w:val="18"/>
              </w:rPr>
              <w:t>流动资金的议案》，同意使用超募资金人民币</w:t>
            </w:r>
            <w:r>
              <w:rPr>
                <w:rFonts w:ascii="宋体" w:hAnsi="宋体" w:cs="宋体" w:eastAsia="宋体" w:hint="default"/>
                <w:spacing w:val="-30"/>
                <w:sz w:val="18"/>
                <w:szCs w:val="18"/>
              </w:rPr>
              <w:t> </w:t>
            </w:r>
            <w:r>
              <w:rPr>
                <w:rFonts w:ascii="宋体" w:hAnsi="宋体" w:cs="宋体" w:eastAsia="宋体" w:hint="default"/>
                <w:spacing w:val="-1"/>
                <w:sz w:val="18"/>
                <w:szCs w:val="18"/>
              </w:rPr>
              <w:t>4,000.00</w:t>
            </w:r>
            <w:r>
              <w:rPr>
                <w:rFonts w:ascii="宋体" w:hAnsi="宋体" w:cs="宋体" w:eastAsia="宋体" w:hint="default"/>
                <w:spacing w:val="-29"/>
                <w:sz w:val="18"/>
                <w:szCs w:val="18"/>
              </w:rPr>
              <w:t> </w:t>
            </w:r>
            <w:r>
              <w:rPr>
                <w:rFonts w:ascii="宋体" w:hAnsi="宋体" w:cs="宋体" w:eastAsia="宋体" w:hint="default"/>
                <w:spacing w:val="-1"/>
                <w:sz w:val="18"/>
                <w:szCs w:val="18"/>
              </w:rPr>
              <w:t>万元永久性补充流动资金。截至报告期末，流动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资金补充到位。</w:t>
            </w:r>
          </w:p>
          <w:p>
            <w:pPr>
              <w:pStyle w:val="TableParagraph"/>
              <w:spacing w:line="316" w:lineRule="auto" w:before="59"/>
              <w:ind w:left="24" w:right="66"/>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日，公司使用</w:t>
            </w:r>
            <w:r>
              <w:rPr>
                <w:rFonts w:ascii="宋体" w:hAnsi="宋体" w:cs="宋体" w:eastAsia="宋体" w:hint="default"/>
                <w:spacing w:val="-47"/>
                <w:sz w:val="18"/>
                <w:szCs w:val="18"/>
              </w:rPr>
              <w:t> </w:t>
            </w:r>
            <w:r>
              <w:rPr>
                <w:rFonts w:ascii="宋体" w:hAnsi="宋体" w:cs="宋体" w:eastAsia="宋体" w:hint="default"/>
                <w:sz w:val="18"/>
                <w:szCs w:val="18"/>
              </w:rPr>
              <w:t>500.00</w:t>
            </w:r>
            <w:r>
              <w:rPr>
                <w:rFonts w:ascii="宋体" w:hAnsi="宋体" w:cs="宋体" w:eastAsia="宋体" w:hint="default"/>
                <w:spacing w:val="-45"/>
                <w:sz w:val="18"/>
                <w:szCs w:val="18"/>
              </w:rPr>
              <w:t> </w:t>
            </w:r>
            <w:r>
              <w:rPr>
                <w:rFonts w:ascii="宋体" w:hAnsi="宋体" w:cs="宋体" w:eastAsia="宋体" w:hint="default"/>
                <w:sz w:val="18"/>
                <w:szCs w:val="18"/>
              </w:rPr>
              <w:t>万元向北京双洲科技有限公司增资，截至本报告期末，该项 目超募资金已支付完毕。</w:t>
            </w:r>
          </w:p>
          <w:p>
            <w:pPr>
              <w:pStyle w:val="TableParagraph"/>
              <w:spacing w:line="319" w:lineRule="auto" w:before="59"/>
              <w:ind w:left="24" w:right="2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7</w:t>
            </w:r>
            <w:r>
              <w:rPr>
                <w:rFonts w:ascii="宋体" w:hAnsi="宋体" w:cs="宋体" w:eastAsia="宋体" w:hint="default"/>
                <w:spacing w:val="-4"/>
                <w:sz w:val="18"/>
                <w:szCs w:val="18"/>
              </w:rPr>
              <w:t>）</w:t>
            </w:r>
            <w:r>
              <w:rPr>
                <w:rFonts w:ascii="宋体" w:hAnsi="宋体" w:cs="宋体" w:eastAsia="宋体" w:hint="default"/>
                <w:spacing w:val="-4"/>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日公司第二届董事会第六次临时会议审议通过《关于使用部分超募资金与深圳金天 城投资管理中心联合参与深圳市金城保密技术有限公司</w:t>
            </w:r>
            <w:r>
              <w:rPr>
                <w:rFonts w:ascii="宋体" w:hAnsi="宋体" w:cs="宋体" w:eastAsia="宋体" w:hint="default"/>
                <w:spacing w:val="-29"/>
                <w:sz w:val="18"/>
                <w:szCs w:val="18"/>
              </w:rPr>
              <w:t> </w:t>
            </w:r>
            <w:r>
              <w:rPr>
                <w:rFonts w:ascii="宋体" w:hAnsi="宋体" w:cs="宋体" w:eastAsia="宋体" w:hint="default"/>
                <w:spacing w:val="-7"/>
                <w:sz w:val="18"/>
                <w:szCs w:val="18"/>
              </w:rPr>
              <w:t>66%</w:t>
            </w:r>
            <w:r>
              <w:rPr>
                <w:rFonts w:ascii="宋体" w:hAnsi="宋体" w:cs="宋体" w:eastAsia="宋体" w:hint="default"/>
                <w:spacing w:val="-7"/>
                <w:sz w:val="18"/>
                <w:szCs w:val="18"/>
              </w:rPr>
              <w:t>股权公开转让（招投标）的议案》，公司使用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超募资金以挂牌价 </w:t>
            </w:r>
            <w:r>
              <w:rPr>
                <w:rFonts w:ascii="宋体" w:hAnsi="宋体" w:cs="宋体" w:eastAsia="宋体" w:hint="default"/>
                <w:sz w:val="18"/>
                <w:szCs w:val="18"/>
              </w:rPr>
              <w:t>438.3735 </w:t>
            </w:r>
            <w:r>
              <w:rPr>
                <w:rFonts w:ascii="宋体" w:hAnsi="宋体" w:cs="宋体" w:eastAsia="宋体" w:hint="default"/>
                <w:sz w:val="18"/>
                <w:szCs w:val="18"/>
              </w:rPr>
              <w:t>万元参与竞买深圳金城</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z w:val="18"/>
                <w:szCs w:val="18"/>
              </w:rPr>
              <w:t>股权。</w:t>
            </w:r>
          </w:p>
          <w:p>
            <w:pPr>
              <w:pStyle w:val="TableParagraph"/>
              <w:spacing w:line="316" w:lineRule="auto" w:before="55"/>
              <w:ind w:left="24" w:right="19"/>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日止，公司已使用超募资金</w:t>
            </w:r>
            <w:r>
              <w:rPr>
                <w:rFonts w:ascii="宋体" w:hAnsi="宋体" w:cs="宋体" w:eastAsia="宋体" w:hint="default"/>
                <w:spacing w:val="-49"/>
                <w:sz w:val="18"/>
                <w:szCs w:val="18"/>
              </w:rPr>
              <w:t> </w:t>
            </w:r>
            <w:r>
              <w:rPr>
                <w:rFonts w:ascii="宋体" w:hAnsi="宋体" w:cs="宋体" w:eastAsia="宋体" w:hint="default"/>
                <w:sz w:val="18"/>
                <w:szCs w:val="18"/>
              </w:rPr>
              <w:t>15,538.37</w:t>
            </w:r>
            <w:r>
              <w:rPr>
                <w:rFonts w:ascii="宋体" w:hAnsi="宋体" w:cs="宋体" w:eastAsia="宋体" w:hint="default"/>
                <w:spacing w:val="-49"/>
                <w:sz w:val="18"/>
                <w:szCs w:val="18"/>
              </w:rPr>
              <w:t> </w:t>
            </w:r>
            <w:r>
              <w:rPr>
                <w:rFonts w:ascii="宋体" w:hAnsi="宋体" w:cs="宋体" w:eastAsia="宋体" w:hint="default"/>
                <w:sz w:val="18"/>
                <w:szCs w:val="18"/>
              </w:rPr>
              <w:t>万元，剩余超募资金</w:t>
            </w:r>
            <w:r>
              <w:rPr>
                <w:rFonts w:ascii="宋体" w:hAnsi="宋体" w:cs="宋体" w:eastAsia="宋体" w:hint="default"/>
                <w:spacing w:val="-7"/>
                <w:sz w:val="18"/>
                <w:szCs w:val="18"/>
              </w:rPr>
              <w:t> </w:t>
            </w:r>
            <w:r>
              <w:rPr>
                <w:rFonts w:ascii="宋体" w:hAnsi="宋体" w:cs="宋体" w:eastAsia="宋体" w:hint="default"/>
                <w:sz w:val="18"/>
                <w:szCs w:val="18"/>
              </w:rPr>
              <w:t>4,818.29</w:t>
            </w:r>
            <w:r>
              <w:rPr>
                <w:rFonts w:ascii="宋体" w:hAnsi="宋体" w:cs="宋体" w:eastAsia="宋体" w:hint="default"/>
                <w:spacing w:val="-48"/>
                <w:sz w:val="18"/>
                <w:szCs w:val="18"/>
              </w:rPr>
              <w:t> </w:t>
            </w:r>
            <w:r>
              <w:rPr>
                <w:rFonts w:ascii="宋体" w:hAnsi="宋体" w:cs="宋体" w:eastAsia="宋体" w:hint="default"/>
                <w:spacing w:val="-3"/>
                <w:sz w:val="18"/>
                <w:szCs w:val="18"/>
              </w:rPr>
              <w:t>万元（不含</w:t>
            </w:r>
            <w:r>
              <w:rPr>
                <w:rFonts w:ascii="宋体" w:hAnsi="宋体" w:cs="宋体" w:eastAsia="宋体" w:hint="default"/>
                <w:sz w:val="18"/>
                <w:szCs w:val="18"/>
              </w:rPr>
              <w:t> </w:t>
            </w:r>
            <w:r>
              <w:rPr>
                <w:rFonts w:ascii="宋体" w:hAnsi="宋体" w:cs="宋体" w:eastAsia="宋体" w:hint="default"/>
                <w:spacing w:val="-4"/>
                <w:sz w:val="18"/>
                <w:szCs w:val="18"/>
              </w:rPr>
              <w:t>利息），剩余超募资金全部存放于募集资金专户内。</w:t>
            </w:r>
          </w:p>
        </w:tc>
      </w:tr>
      <w:tr>
        <w:trPr>
          <w:trHeight w:val="403" w:hRule="exact"/>
        </w:trPr>
        <w:tc>
          <w:tcPr>
            <w:tcW w:w="1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2" w:right="63"/>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538" w:type="dxa"/>
            <w:vMerge/>
            <w:tcBorders>
              <w:left w:val="single" w:sz="4" w:space="0" w:color="000000"/>
              <w:right w:val="single" w:sz="4" w:space="0" w:color="000000"/>
            </w:tcBorders>
            <w:shd w:val="clear" w:color="auto" w:fill="D2D2D2"/>
          </w:tcPr>
          <w:p>
            <w:pPr/>
          </w:p>
        </w:tc>
        <w:tc>
          <w:tcPr>
            <w:tcW w:w="81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81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2" w:right="63"/>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538" w:type="dxa"/>
            <w:vMerge/>
            <w:tcBorders>
              <w:left w:val="single" w:sz="4" w:space="0" w:color="000000"/>
              <w:right w:val="single" w:sz="4" w:space="0" w:color="000000"/>
            </w:tcBorders>
            <w:shd w:val="clear" w:color="auto" w:fill="D2D2D2"/>
          </w:tcPr>
          <w:p>
            <w:pPr/>
          </w:p>
        </w:tc>
        <w:tc>
          <w:tcPr>
            <w:tcW w:w="81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81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63"/>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81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63"/>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81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8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首发募集资金投项目已完成，募集资金承诺投资项目</w:t>
            </w:r>
            <w:r>
              <w:rPr>
                <w:rFonts w:ascii="宋体" w:hAnsi="宋体" w:cs="宋体" w:eastAsia="宋体" w:hint="default"/>
                <w:spacing w:val="-48"/>
                <w:sz w:val="18"/>
                <w:szCs w:val="18"/>
              </w:rPr>
              <w:t> </w:t>
            </w:r>
            <w:r>
              <w:rPr>
                <w:rFonts w:ascii="宋体" w:hAnsi="宋体" w:cs="宋体" w:eastAsia="宋体" w:hint="default"/>
                <w:sz w:val="18"/>
                <w:szCs w:val="18"/>
              </w:rPr>
              <w:t>17,344.20</w:t>
            </w:r>
            <w:r>
              <w:rPr>
                <w:rFonts w:ascii="宋体" w:hAnsi="宋体" w:cs="宋体" w:eastAsia="宋体" w:hint="default"/>
                <w:spacing w:val="-47"/>
                <w:sz w:val="18"/>
                <w:szCs w:val="18"/>
              </w:rPr>
              <w:t> </w:t>
            </w:r>
            <w:r>
              <w:rPr>
                <w:rFonts w:ascii="宋体" w:hAnsi="宋体" w:cs="宋体" w:eastAsia="宋体" w:hint="default"/>
                <w:sz w:val="18"/>
                <w:szCs w:val="18"/>
              </w:rPr>
              <w:t>万元。实际募集资金项目累计投入</w:t>
            </w:r>
          </w:p>
          <w:p>
            <w:pPr>
              <w:pStyle w:val="TableParagraph"/>
              <w:spacing w:line="316" w:lineRule="auto" w:before="74"/>
              <w:ind w:left="24" w:right="19"/>
              <w:jc w:val="left"/>
              <w:rPr>
                <w:rFonts w:ascii="宋体" w:hAnsi="宋体" w:cs="宋体" w:eastAsia="宋体" w:hint="default"/>
                <w:sz w:val="18"/>
                <w:szCs w:val="18"/>
              </w:rPr>
            </w:pPr>
            <w:r>
              <w:rPr>
                <w:rFonts w:ascii="宋体" w:hAnsi="宋体" w:cs="宋体" w:eastAsia="宋体" w:hint="default"/>
                <w:sz w:val="18"/>
                <w:szCs w:val="18"/>
              </w:rPr>
              <w:t>17,381.76</w:t>
            </w:r>
            <w:r>
              <w:rPr>
                <w:rFonts w:ascii="宋体" w:hAnsi="宋体" w:cs="宋体" w:eastAsia="宋体" w:hint="default"/>
                <w:spacing w:val="-41"/>
                <w:sz w:val="18"/>
                <w:szCs w:val="18"/>
              </w:rPr>
              <w:t> </w:t>
            </w:r>
            <w:r>
              <w:rPr>
                <w:rFonts w:ascii="宋体" w:hAnsi="宋体" w:cs="宋体" w:eastAsia="宋体" w:hint="default"/>
                <w:spacing w:val="-3"/>
                <w:sz w:val="18"/>
                <w:szCs w:val="18"/>
              </w:rPr>
              <w:t>万元，占公司原计划投入的募集资金总额的</w:t>
            </w:r>
            <w:r>
              <w:rPr>
                <w:rFonts w:ascii="宋体" w:hAnsi="宋体" w:cs="宋体" w:eastAsia="宋体" w:hint="default"/>
                <w:spacing w:val="-42"/>
                <w:sz w:val="18"/>
                <w:szCs w:val="18"/>
              </w:rPr>
              <w:t> </w:t>
            </w:r>
            <w:r>
              <w:rPr>
                <w:rFonts w:ascii="宋体" w:hAnsi="宋体" w:cs="宋体" w:eastAsia="宋体" w:hint="default"/>
                <w:sz w:val="18"/>
                <w:szCs w:val="18"/>
              </w:rPr>
              <w:t>100.22%,</w:t>
            </w:r>
            <w:r>
              <w:rPr>
                <w:rFonts w:ascii="宋体" w:hAnsi="宋体" w:cs="宋体" w:eastAsia="宋体" w:hint="default"/>
                <w:sz w:val="18"/>
                <w:szCs w:val="18"/>
              </w:rPr>
              <w:t>募投项目结余资金</w:t>
            </w:r>
            <w:r>
              <w:rPr>
                <w:rFonts w:ascii="宋体" w:hAnsi="宋体" w:cs="宋体" w:eastAsia="宋体" w:hint="default"/>
                <w:spacing w:val="-45"/>
                <w:sz w:val="18"/>
                <w:szCs w:val="18"/>
              </w:rPr>
              <w:t> </w:t>
            </w:r>
            <w:r>
              <w:rPr>
                <w:rFonts w:ascii="宋体" w:hAnsi="宋体" w:cs="宋体" w:eastAsia="宋体" w:hint="default"/>
                <w:sz w:val="18"/>
                <w:szCs w:val="18"/>
              </w:rPr>
              <w:t>743.24</w:t>
            </w:r>
            <w:r>
              <w:rPr>
                <w:rFonts w:ascii="宋体" w:hAnsi="宋体" w:cs="宋体" w:eastAsia="宋体" w:hint="default"/>
                <w:spacing w:val="-41"/>
                <w:sz w:val="18"/>
                <w:szCs w:val="18"/>
              </w:rPr>
              <w:t> </w:t>
            </w:r>
            <w:r>
              <w:rPr>
                <w:rFonts w:ascii="宋体" w:hAnsi="宋体" w:cs="宋体" w:eastAsia="宋体" w:hint="default"/>
                <w:spacing w:val="-9"/>
                <w:sz w:val="18"/>
                <w:szCs w:val="18"/>
              </w:rPr>
              <w:t>万元，为募集</w:t>
            </w:r>
            <w:r>
              <w:rPr>
                <w:rFonts w:ascii="宋体" w:hAnsi="宋体" w:cs="宋体" w:eastAsia="宋体" w:hint="default"/>
                <w:sz w:val="18"/>
                <w:szCs w:val="18"/>
              </w:rPr>
              <w:t> 资金账户的利息收入。</w:t>
            </w:r>
          </w:p>
        </w:tc>
      </w:tr>
      <w:tr>
        <w:trPr>
          <w:trHeight w:val="71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尚未使用的超募资金存放在募集资金银行专户中，按募集资金管理办法严格管理和使用。</w:t>
            </w:r>
          </w:p>
        </w:tc>
      </w:tr>
      <w:tr>
        <w:trPr>
          <w:trHeight w:val="102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3"/>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354"/>
        <w:jc w:val="left"/>
      </w:pPr>
      <w:r>
        <w:rPr/>
        <w:t>□ 适用 √</w:t>
      </w:r>
      <w:r>
        <w:rPr>
          <w:spacing w:val="3"/>
        </w:rPr>
        <w:t> </w:t>
      </w:r>
      <w:r>
        <w:rPr/>
        <w:t>不适用</w:t>
      </w:r>
      <w:r>
        <w:rPr/>
        <w:t> 公司报告期不存在募集资金变更项目情况。</w:t>
      </w:r>
    </w:p>
    <w:p>
      <w:pPr>
        <w:spacing w:after="0" w:line="357" w:lineRule="auto"/>
        <w:jc w:val="left"/>
        <w:sectPr>
          <w:pgSz w:w="11910" w:h="16840"/>
          <w:pgMar w:header="781" w:footer="979" w:top="1080" w:bottom="1160" w:left="980" w:right="980"/>
        </w:sectPr>
      </w:pPr>
    </w:p>
    <w:p>
      <w:pPr>
        <w:spacing w:line="240" w:lineRule="auto" w:before="8"/>
        <w:rPr>
          <w:rFonts w:ascii="宋体" w:hAnsi="宋体" w:cs="宋体" w:eastAsia="宋体" w:hint="default"/>
          <w:sz w:val="21"/>
          <w:szCs w:val="21"/>
        </w:rPr>
      </w:pPr>
    </w:p>
    <w:p>
      <w:pPr>
        <w:pStyle w:val="Heading2"/>
        <w:spacing w:line="367" w:lineRule="exact"/>
        <w:ind w:right="3012"/>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7434"/>
        <w:jc w:val="left"/>
      </w:pPr>
      <w:r>
        <w:rPr/>
        <w:t>□ 适用 √</w:t>
      </w:r>
      <w:r>
        <w:rPr>
          <w:spacing w:val="3"/>
        </w:rPr>
        <w:t> </w:t>
      </w:r>
      <w:r>
        <w:rPr/>
        <w:t>不适用</w:t>
      </w:r>
      <w:r>
        <w:rPr/>
        <w:t> 公司报告期未出售重大资产。</w:t>
      </w:r>
    </w:p>
    <w:p>
      <w:pPr>
        <w:spacing w:line="240" w:lineRule="auto" w:before="0"/>
        <w:rPr>
          <w:rFonts w:ascii="宋体" w:hAnsi="宋体" w:cs="宋体" w:eastAsia="宋体" w:hint="default"/>
          <w:sz w:val="15"/>
          <w:szCs w:val="15"/>
        </w:rPr>
      </w:pPr>
    </w:p>
    <w:p>
      <w:pPr>
        <w:pStyle w:val="Heading3"/>
        <w:spacing w:line="240" w:lineRule="auto"/>
        <w:ind w:right="3012"/>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00"/>
        <w:gridCol w:w="686"/>
        <w:gridCol w:w="504"/>
        <w:gridCol w:w="598"/>
        <w:gridCol w:w="596"/>
        <w:gridCol w:w="598"/>
        <w:gridCol w:w="595"/>
        <w:gridCol w:w="595"/>
        <w:gridCol w:w="596"/>
        <w:gridCol w:w="595"/>
        <w:gridCol w:w="595"/>
        <w:gridCol w:w="595"/>
        <w:gridCol w:w="595"/>
        <w:gridCol w:w="1949"/>
      </w:tblGrid>
      <w:tr>
        <w:trPr>
          <w:trHeight w:val="5082" w:hRule="exact"/>
        </w:trPr>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04" w:right="24"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58" w:right="65"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出售 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9"/>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19"/>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12" w:right="111"/>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12" w:right="110"/>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112" w:right="110"/>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hanging="3"/>
              <w:jc w:val="center"/>
              <w:rPr>
                <w:rFonts w:ascii="宋体" w:hAnsi="宋体" w:cs="宋体" w:eastAsia="宋体" w:hint="default"/>
                <w:sz w:val="18"/>
                <w:szCs w:val="18"/>
              </w:rPr>
            </w:pPr>
            <w:r>
              <w:rPr>
                <w:rFonts w:ascii="宋体" w:hAnsi="宋体" w:cs="宋体" w:eastAsia="宋体" w:hint="default"/>
                <w:sz w:val="18"/>
                <w:szCs w:val="18"/>
              </w:rPr>
              <w:t>是否 按计 划如 期实 施，如 未按 计划 实施， 应当 说明 原因 及公 司已 采取 的措</w:t>
            </w:r>
          </w:p>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施</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667"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趣游时 代（北 京）科 技有限 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3" w:right="18" w:hanging="1"/>
              <w:jc w:val="center"/>
              <w:rPr>
                <w:rFonts w:ascii="宋体" w:hAnsi="宋体" w:cs="宋体" w:eastAsia="宋体" w:hint="default"/>
                <w:sz w:val="18"/>
                <w:szCs w:val="18"/>
              </w:rPr>
            </w:pPr>
            <w:r>
              <w:rPr>
                <w:rFonts w:ascii="宋体" w:hAnsi="宋体" w:cs="宋体" w:eastAsia="宋体" w:hint="default"/>
                <w:sz w:val="18"/>
                <w:szCs w:val="18"/>
              </w:rPr>
              <w:t>北京恒 易传奇 科技有 限责任 公司 </w:t>
            </w:r>
            <w:r>
              <w:rPr>
                <w:rFonts w:ascii="宋体" w:hAnsi="宋体" w:cs="宋体" w:eastAsia="宋体" w:hint="default"/>
                <w:sz w:val="18"/>
                <w:szCs w:val="18"/>
              </w:rPr>
              <w:t>8.3333%</w:t>
            </w:r>
          </w:p>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的股权</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4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06</w:t>
            </w:r>
          </w:p>
          <w:p>
            <w:pPr>
              <w:pStyle w:val="TableParagraph"/>
              <w:spacing w:line="316" w:lineRule="auto" w:before="76"/>
              <w:ind w:left="158" w:right="38" w:hanging="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sz w:val="18"/>
              </w:rPr>
              <w:t>222.67</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center"/>
              <w:rPr>
                <w:rFonts w:ascii="宋体" w:hAnsi="宋体" w:cs="宋体" w:eastAsia="宋体" w:hint="default"/>
                <w:sz w:val="18"/>
                <w:szCs w:val="18"/>
              </w:rPr>
            </w:pPr>
            <w:r>
              <w:rPr>
                <w:rFonts w:ascii="宋体" w:hAnsi="宋体" w:cs="宋体" w:eastAsia="宋体" w:hint="default"/>
                <w:sz w:val="18"/>
                <w:szCs w:val="18"/>
              </w:rPr>
              <w:t>有利于 增加公 司资金 流动 性，使 公司更 加专注 于主营 业务， 加大现 有和规 划中产 品的支 持力 度；也 将激发 公司寻 找能够</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67" w:right="0"/>
              <w:jc w:val="left"/>
              <w:rPr>
                <w:rFonts w:ascii="宋体" w:hAnsi="宋体" w:cs="宋体" w:eastAsia="宋体" w:hint="default"/>
                <w:sz w:val="18"/>
                <w:szCs w:val="18"/>
              </w:rPr>
            </w:pPr>
            <w:r>
              <w:rPr>
                <w:rFonts w:ascii="宋体"/>
                <w:sz w:val="18"/>
              </w:rPr>
              <w:t>0.32%</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议价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03" w:right="110"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9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p>
          <w:p>
            <w:pPr>
              <w:pStyle w:val="TableParagraph"/>
              <w:spacing w:line="316" w:lineRule="auto" w:before="76"/>
              <w:ind w:left="203" w:right="84" w:hanging="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4" w:right="21"/>
              <w:jc w:val="center"/>
              <w:rPr>
                <w:rFonts w:ascii="宋体" w:hAnsi="宋体" w:cs="宋体" w:eastAsia="宋体" w:hint="default"/>
                <w:sz w:val="18"/>
                <w:szCs w:val="18"/>
              </w:rPr>
            </w:pPr>
            <w:r>
              <w:rPr>
                <w:rFonts w:ascii="宋体" w:hAnsi="宋体" w:cs="宋体" w:eastAsia="宋体" w:hint="default"/>
                <w:spacing w:val="-9"/>
                <w:sz w:val="18"/>
                <w:szCs w:val="18"/>
              </w:rPr>
              <w:t>北信源：关于转让北京恒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易传奇科技有限责任公 司股权的公告 </w:t>
            </w:r>
            <w:hyperlink r:id="rId14">
              <w:r>
                <w:rPr>
                  <w:rFonts w:ascii="宋体" w:hAnsi="宋体" w:cs="宋体" w:eastAsia="宋体" w:hint="default"/>
                  <w:sz w:val="18"/>
                  <w:szCs w:val="18"/>
                </w:rPr>
                <w:t>http://www.cninfo.com</w:t>
              </w:r>
            </w:hyperlink>
          </w:p>
        </w:tc>
      </w:tr>
    </w:tbl>
    <w:p>
      <w:pPr>
        <w:spacing w:after="0" w:line="316" w:lineRule="auto"/>
        <w:jc w:val="center"/>
        <w:rPr>
          <w:rFonts w:ascii="宋体" w:hAnsi="宋体" w:cs="宋体" w:eastAsia="宋体"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600"/>
        <w:gridCol w:w="686"/>
        <w:gridCol w:w="504"/>
        <w:gridCol w:w="598"/>
        <w:gridCol w:w="596"/>
        <w:gridCol w:w="598"/>
        <w:gridCol w:w="595"/>
        <w:gridCol w:w="595"/>
        <w:gridCol w:w="596"/>
        <w:gridCol w:w="595"/>
        <w:gridCol w:w="595"/>
        <w:gridCol w:w="595"/>
        <w:gridCol w:w="595"/>
        <w:gridCol w:w="1949"/>
      </w:tblGrid>
      <w:tr>
        <w:trPr>
          <w:trHeight w:val="315" w:hRule="exact"/>
        </w:trPr>
        <w:tc>
          <w:tcPr>
            <w:tcW w:w="600"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504" w:type="dxa"/>
            <w:vMerge w:val="restart"/>
            <w:tcBorders>
              <w:top w:val="single" w:sz="4" w:space="0" w:color="000000"/>
              <w:left w:val="single" w:sz="4" w:space="0" w:color="000000"/>
              <w:right w:val="single" w:sz="4" w:space="0" w:color="000000"/>
            </w:tcBorders>
          </w:tcPr>
          <w:p>
            <w:pPr/>
          </w:p>
        </w:tc>
        <w:tc>
          <w:tcPr>
            <w:tcW w:w="598" w:type="dxa"/>
            <w:vMerge w:val="restart"/>
            <w:tcBorders>
              <w:top w:val="single" w:sz="4" w:space="0" w:color="000000"/>
              <w:left w:val="single" w:sz="4" w:space="0" w:color="000000"/>
              <w:right w:val="single" w:sz="4" w:space="0" w:color="000000"/>
            </w:tcBorders>
          </w:tcPr>
          <w:p>
            <w:pPr/>
          </w:p>
        </w:tc>
        <w:tc>
          <w:tcPr>
            <w:tcW w:w="596" w:type="dxa"/>
            <w:vMerge w:val="restart"/>
            <w:tcBorders>
              <w:top w:val="single" w:sz="4" w:space="0" w:color="000000"/>
              <w:left w:val="single" w:sz="4" w:space="0" w:color="000000"/>
              <w:right w:val="single" w:sz="4" w:space="0" w:color="000000"/>
            </w:tcBorders>
          </w:tcPr>
          <w:p>
            <w:pPr/>
          </w:p>
        </w:tc>
        <w:tc>
          <w:tcPr>
            <w:tcW w:w="5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与公司</w:t>
            </w:r>
          </w:p>
        </w:tc>
        <w:tc>
          <w:tcPr>
            <w:tcW w:w="595" w:type="dxa"/>
            <w:vMerge w:val="restart"/>
            <w:tcBorders>
              <w:top w:val="single" w:sz="4" w:space="0" w:color="000000"/>
              <w:left w:val="single" w:sz="4" w:space="0" w:color="000000"/>
              <w:right w:val="single" w:sz="4" w:space="0" w:color="000000"/>
            </w:tcBorders>
          </w:tcPr>
          <w:p>
            <w:pPr/>
          </w:p>
        </w:tc>
        <w:tc>
          <w:tcPr>
            <w:tcW w:w="595" w:type="dxa"/>
            <w:vMerge w:val="restart"/>
            <w:tcBorders>
              <w:top w:val="single" w:sz="4" w:space="0" w:color="000000"/>
              <w:left w:val="single" w:sz="4" w:space="0" w:color="000000"/>
              <w:right w:val="single" w:sz="4" w:space="0" w:color="000000"/>
            </w:tcBorders>
          </w:tcPr>
          <w:p>
            <w:pPr/>
          </w:p>
        </w:tc>
        <w:tc>
          <w:tcPr>
            <w:tcW w:w="596" w:type="dxa"/>
            <w:vMerge w:val="restart"/>
            <w:tcBorders>
              <w:top w:val="single" w:sz="4" w:space="0" w:color="000000"/>
              <w:left w:val="single" w:sz="4" w:space="0" w:color="000000"/>
              <w:right w:val="single" w:sz="4" w:space="0" w:color="000000"/>
            </w:tcBorders>
          </w:tcPr>
          <w:p>
            <w:pPr/>
          </w:p>
        </w:tc>
        <w:tc>
          <w:tcPr>
            <w:tcW w:w="595" w:type="dxa"/>
            <w:vMerge w:val="restart"/>
            <w:tcBorders>
              <w:top w:val="single" w:sz="4" w:space="0" w:color="000000"/>
              <w:left w:val="single" w:sz="4" w:space="0" w:color="000000"/>
              <w:right w:val="single" w:sz="4" w:space="0" w:color="000000"/>
            </w:tcBorders>
          </w:tcPr>
          <w:p>
            <w:pPr/>
          </w:p>
        </w:tc>
        <w:tc>
          <w:tcPr>
            <w:tcW w:w="595" w:type="dxa"/>
            <w:vMerge w:val="restart"/>
            <w:tcBorders>
              <w:top w:val="single" w:sz="4" w:space="0" w:color="000000"/>
              <w:left w:val="single" w:sz="4" w:space="0" w:color="000000"/>
              <w:right w:val="single" w:sz="4" w:space="0" w:color="000000"/>
            </w:tcBorders>
          </w:tcPr>
          <w:p>
            <w:pPr/>
          </w:p>
        </w:tc>
        <w:tc>
          <w:tcPr>
            <w:tcW w:w="595" w:type="dxa"/>
            <w:vMerge w:val="restart"/>
            <w:tcBorders>
              <w:top w:val="single" w:sz="4" w:space="0" w:color="000000"/>
              <w:left w:val="single" w:sz="4" w:space="0" w:color="000000"/>
              <w:right w:val="single" w:sz="4" w:space="0" w:color="000000"/>
            </w:tcBorders>
          </w:tcPr>
          <w:p>
            <w:pPr/>
          </w:p>
        </w:tc>
        <w:tc>
          <w:tcPr>
            <w:tcW w:w="595" w:type="dxa"/>
            <w:vMerge w:val="restart"/>
            <w:tcBorders>
              <w:top w:val="single" w:sz="4" w:space="0" w:color="000000"/>
              <w:left w:val="single" w:sz="4" w:space="0" w:color="000000"/>
              <w:right w:val="single" w:sz="4" w:space="0" w:color="000000"/>
            </w:tcBorders>
          </w:tcPr>
          <w:p>
            <w:pPr/>
          </w:p>
        </w:tc>
        <w:tc>
          <w:tcPr>
            <w:tcW w:w="1949" w:type="dxa"/>
            <w:vMerge w:val="restart"/>
            <w:tcBorders>
              <w:top w:val="single" w:sz="4" w:space="0" w:color="000000"/>
              <w:left w:val="single" w:sz="4" w:space="0" w:color="000000"/>
              <w:right w:val="single" w:sz="4" w:space="0" w:color="000000"/>
            </w:tcBorders>
          </w:tcPr>
          <w:p>
            <w:pPr/>
          </w:p>
        </w:tc>
      </w:tr>
      <w:tr>
        <w:trPr>
          <w:trHeight w:val="312" w:hRule="exact"/>
        </w:trPr>
        <w:tc>
          <w:tcPr>
            <w:tcW w:w="600"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发挥更</w:t>
            </w: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12" w:hRule="exact"/>
        </w:trPr>
        <w:tc>
          <w:tcPr>
            <w:tcW w:w="600"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好协同</w:t>
            </w: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12" w:hRule="exact"/>
        </w:trPr>
        <w:tc>
          <w:tcPr>
            <w:tcW w:w="600"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作用的</w:t>
            </w: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12" w:hRule="exact"/>
        </w:trPr>
        <w:tc>
          <w:tcPr>
            <w:tcW w:w="600"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投资标</w:t>
            </w: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12" w:hRule="exact"/>
        </w:trPr>
        <w:tc>
          <w:tcPr>
            <w:tcW w:w="600"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的，促</w:t>
            </w: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12" w:hRule="exact"/>
        </w:trPr>
        <w:tc>
          <w:tcPr>
            <w:tcW w:w="600"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进公司</w:t>
            </w: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12" w:hRule="exact"/>
        </w:trPr>
        <w:tc>
          <w:tcPr>
            <w:tcW w:w="600"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外延内</w:t>
            </w: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12" w:hRule="exact"/>
        </w:trPr>
        <w:tc>
          <w:tcPr>
            <w:tcW w:w="600"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伸发展</w:t>
            </w: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12" w:hRule="exact"/>
        </w:trPr>
        <w:tc>
          <w:tcPr>
            <w:tcW w:w="600"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504" w:type="dxa"/>
            <w:vMerge/>
            <w:tcBorders>
              <w:left w:val="single" w:sz="4" w:space="0" w:color="000000"/>
              <w:right w:val="single" w:sz="4" w:space="0" w:color="000000"/>
            </w:tcBorders>
          </w:tcPr>
          <w:p>
            <w:pPr/>
          </w:p>
        </w:tc>
        <w:tc>
          <w:tcPr>
            <w:tcW w:w="598"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战略的</w:t>
            </w: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6"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595" w:type="dxa"/>
            <w:vMerge/>
            <w:tcBorders>
              <w:left w:val="single" w:sz="4" w:space="0" w:color="000000"/>
              <w:right w:val="single" w:sz="4" w:space="0" w:color="000000"/>
            </w:tcBorders>
          </w:tcPr>
          <w:p>
            <w:pPr/>
          </w:p>
        </w:tc>
        <w:tc>
          <w:tcPr>
            <w:tcW w:w="1949" w:type="dxa"/>
            <w:vMerge/>
            <w:tcBorders>
              <w:left w:val="single" w:sz="4" w:space="0" w:color="000000"/>
              <w:right w:val="single" w:sz="4" w:space="0" w:color="000000"/>
            </w:tcBorders>
          </w:tcPr>
          <w:p>
            <w:pPr/>
          </w:p>
        </w:tc>
      </w:tr>
      <w:tr>
        <w:trPr>
          <w:trHeight w:val="360" w:hRule="exact"/>
        </w:trPr>
        <w:tc>
          <w:tcPr>
            <w:tcW w:w="600"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504" w:type="dxa"/>
            <w:vMerge/>
            <w:tcBorders>
              <w:left w:val="single" w:sz="4" w:space="0" w:color="000000"/>
              <w:bottom w:val="single" w:sz="4" w:space="0" w:color="000000"/>
              <w:right w:val="single" w:sz="4" w:space="0" w:color="000000"/>
            </w:tcBorders>
          </w:tcPr>
          <w:p>
            <w:pPr/>
          </w:p>
        </w:tc>
        <w:tc>
          <w:tcPr>
            <w:tcW w:w="598" w:type="dxa"/>
            <w:vMerge/>
            <w:tcBorders>
              <w:left w:val="single" w:sz="4" w:space="0" w:color="000000"/>
              <w:bottom w:val="single" w:sz="4" w:space="0" w:color="000000"/>
              <w:right w:val="single" w:sz="4" w:space="0" w:color="000000"/>
            </w:tcBorders>
          </w:tcPr>
          <w:p>
            <w:pPr/>
          </w:p>
        </w:tc>
        <w:tc>
          <w:tcPr>
            <w:tcW w:w="596" w:type="dxa"/>
            <w:vMerge/>
            <w:tcBorders>
              <w:left w:val="single" w:sz="4" w:space="0" w:color="000000"/>
              <w:bottom w:val="single" w:sz="4" w:space="0" w:color="000000"/>
              <w:right w:val="single" w:sz="4" w:space="0" w:color="000000"/>
            </w:tcBorders>
          </w:tcPr>
          <w:p>
            <w:pPr/>
          </w:p>
        </w:tc>
        <w:tc>
          <w:tcPr>
            <w:tcW w:w="5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实现</w:t>
            </w:r>
          </w:p>
        </w:tc>
        <w:tc>
          <w:tcPr>
            <w:tcW w:w="595"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c>
          <w:tcPr>
            <w:tcW w:w="596"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c>
          <w:tcPr>
            <w:tcW w:w="595"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102"/>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81" w:footer="979" w:top="1080" w:bottom="1160" w:left="980" w:right="940"/>
        </w:sectPr>
      </w:pPr>
    </w:p>
    <w:p>
      <w:pPr>
        <w:pStyle w:val="BodyText"/>
        <w:spacing w:line="240" w:lineRule="auto" w:before="44"/>
        <w:ind w:right="-18"/>
        <w:jc w:val="left"/>
      </w:pPr>
      <w:r>
        <w:rPr/>
        <w:t>√ 适用 □</w:t>
      </w:r>
      <w:r>
        <w:rPr>
          <w:spacing w:val="3"/>
        </w:rPr>
        <w:t> </w:t>
      </w:r>
      <w:r>
        <w:rPr/>
        <w:t>不适用</w:t>
      </w:r>
    </w:p>
    <w:p>
      <w:pPr>
        <w:pStyle w:val="BodyText"/>
        <w:spacing w:line="240" w:lineRule="auto" w:before="115"/>
        <w:ind w:right="-18"/>
        <w:jc w:val="left"/>
      </w:pPr>
      <w:r>
        <w:rPr/>
        <w:t>主要子公司及对公司净利润影响达</w:t>
      </w:r>
      <w:r>
        <w:rPr>
          <w:spacing w:val="-44"/>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80" w:bottom="1160" w:left="980" w:right="940"/>
          <w:cols w:num="2" w:equalWidth="0">
            <w:col w:w="4791" w:space="4129"/>
            <w:col w:w="1070"/>
          </w:cols>
        </w:sectPr>
      </w:pP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766"/>
        <w:gridCol w:w="907"/>
        <w:gridCol w:w="756"/>
        <w:gridCol w:w="1136"/>
        <w:gridCol w:w="1226"/>
        <w:gridCol w:w="1227"/>
        <w:gridCol w:w="1226"/>
        <w:gridCol w:w="1227"/>
        <w:gridCol w:w="1226"/>
      </w:tblGrid>
      <w:tr>
        <w:trPr>
          <w:trHeight w:val="713" w:hRule="exact"/>
        </w:trPr>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6" w:hanging="181"/>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3" w:right="10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964" w:hRule="exact"/>
        </w:trPr>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8" w:right="106"/>
              <w:jc w:val="center"/>
              <w:rPr>
                <w:rFonts w:ascii="宋体" w:hAnsi="宋体" w:cs="宋体" w:eastAsia="宋体" w:hint="default"/>
                <w:sz w:val="18"/>
                <w:szCs w:val="18"/>
              </w:rPr>
            </w:pPr>
            <w:r>
              <w:rPr>
                <w:rFonts w:ascii="宋体" w:hAnsi="宋体" w:cs="宋体" w:eastAsia="宋体" w:hint="default"/>
                <w:sz w:val="18"/>
                <w:szCs w:val="18"/>
              </w:rPr>
              <w:t>北京中 软华泰 信息技 术有限 责任公 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01"/>
              <w:jc w:val="both"/>
              <w:rPr>
                <w:rFonts w:ascii="宋体" w:hAnsi="宋体" w:cs="宋体" w:eastAsia="宋体" w:hint="default"/>
                <w:sz w:val="18"/>
                <w:szCs w:val="18"/>
              </w:rPr>
            </w:pPr>
            <w:r>
              <w:rPr>
                <w:rFonts w:ascii="宋体" w:hAnsi="宋体" w:cs="宋体" w:eastAsia="宋体" w:hint="default"/>
                <w:sz w:val="18"/>
                <w:szCs w:val="18"/>
              </w:rPr>
              <w:t>服务器 加固和 咨询服 务等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 w:right="0"/>
              <w:jc w:val="center"/>
              <w:rPr>
                <w:rFonts w:ascii="宋体" w:hAnsi="宋体" w:cs="宋体" w:eastAsia="宋体" w:hint="default"/>
                <w:sz w:val="18"/>
                <w:szCs w:val="18"/>
              </w:rPr>
            </w:pPr>
            <w:r>
              <w:rPr>
                <w:rFonts w:ascii="宋体"/>
                <w:sz w:val="18"/>
              </w:rPr>
              <w:t>15,865,384.7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sz w:val="18"/>
              </w:rPr>
              <w:t>37,670,132.27</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sz w:val="18"/>
              </w:rPr>
              <w:t>26,846,200.80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sz w:val="18"/>
              </w:rPr>
              <w:t>26,968,992.09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 w:right="0"/>
              <w:jc w:val="center"/>
              <w:rPr>
                <w:rFonts w:ascii="宋体" w:hAnsi="宋体" w:cs="宋体" w:eastAsia="宋体" w:hint="default"/>
                <w:sz w:val="18"/>
                <w:szCs w:val="18"/>
              </w:rPr>
            </w:pPr>
            <w:r>
              <w:rPr>
                <w:rFonts w:ascii="宋体"/>
                <w:sz w:val="18"/>
              </w:rPr>
              <w:t>12,831,073.49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sz w:val="18"/>
              </w:rPr>
              <w:t>11,924,673.15</w:t>
            </w:r>
          </w:p>
        </w:tc>
      </w:tr>
    </w:tbl>
    <w:p>
      <w:pPr>
        <w:pStyle w:val="BodyText"/>
        <w:spacing w:line="240" w:lineRule="auto" w:before="49"/>
        <w:ind w:right="102"/>
        <w:jc w:val="left"/>
      </w:pPr>
      <w:r>
        <w:rPr/>
        <w:t>报告期内取得和处置子公司的情况</w:t>
      </w:r>
    </w:p>
    <w:p>
      <w:pPr>
        <w:pStyle w:val="BodyText"/>
        <w:spacing w:line="240" w:lineRule="auto" w:before="115"/>
        <w:ind w:right="10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北京中软华泰信息技术有限责任公司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411" w:right="35" w:hanging="1373"/>
              <w:jc w:val="left"/>
              <w:rPr>
                <w:rFonts w:ascii="宋体" w:hAnsi="宋体" w:cs="宋体" w:eastAsia="宋体" w:hint="default"/>
                <w:sz w:val="18"/>
                <w:szCs w:val="18"/>
              </w:rPr>
            </w:pPr>
            <w:r>
              <w:rPr>
                <w:rFonts w:ascii="宋体" w:hAnsi="宋体" w:cs="宋体" w:eastAsia="宋体" w:hint="default"/>
                <w:sz w:val="18"/>
                <w:szCs w:val="18"/>
              </w:rPr>
              <w:t>发行股份及支付现金购买中软华泰</w:t>
            </w:r>
            <w:r>
              <w:rPr>
                <w:rFonts w:ascii="宋体" w:hAnsi="宋体" w:cs="宋体" w:eastAsia="宋体" w:hint="default"/>
                <w:spacing w:val="-44"/>
                <w:sz w:val="18"/>
                <w:szCs w:val="18"/>
              </w:rPr>
              <w:t> </w:t>
            </w:r>
            <w:r>
              <w:rPr>
                <w:rFonts w:ascii="宋体" w:hAnsi="宋体" w:cs="宋体" w:eastAsia="宋体" w:hint="default"/>
                <w:sz w:val="18"/>
                <w:szCs w:val="18"/>
              </w:rPr>
              <w:t>100% </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8" w:right="33"/>
              <w:jc w:val="center"/>
              <w:rPr>
                <w:rFonts w:ascii="宋体" w:hAnsi="宋体" w:cs="宋体" w:eastAsia="宋体" w:hint="default"/>
                <w:sz w:val="18"/>
                <w:szCs w:val="18"/>
              </w:rPr>
            </w:pPr>
            <w:r>
              <w:rPr>
                <w:rFonts w:ascii="宋体" w:hAnsi="宋体" w:cs="宋体" w:eastAsia="宋体" w:hint="default"/>
                <w:sz w:val="18"/>
                <w:szCs w:val="18"/>
              </w:rPr>
              <w:t>收购中软华泰</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股权，公司全面进入 服务器安全领域</w:t>
            </w:r>
            <w:r>
              <w:rPr>
                <w:rFonts w:ascii="宋体" w:hAnsi="宋体" w:cs="宋体" w:eastAsia="宋体" w:hint="default"/>
                <w:sz w:val="18"/>
                <w:szCs w:val="18"/>
              </w:rPr>
              <w:t>,</w:t>
            </w:r>
            <w:r>
              <w:rPr>
                <w:rFonts w:ascii="宋体" w:hAnsi="宋体" w:cs="宋体" w:eastAsia="宋体" w:hint="default"/>
                <w:sz w:val="18"/>
                <w:szCs w:val="18"/>
              </w:rPr>
              <w:t>进一步强化了公司在 终端安全领域的地位。</w:t>
            </w:r>
          </w:p>
        </w:tc>
      </w:tr>
    </w:tbl>
    <w:p>
      <w:pPr>
        <w:pStyle w:val="BodyText"/>
        <w:spacing w:line="357" w:lineRule="auto" w:before="49"/>
        <w:ind w:left="515" w:right="102" w:hanging="363"/>
        <w:jc w:val="left"/>
      </w:pPr>
      <w:r>
        <w:rPr/>
        <w:t>主要控股参股公司情况说明 </w:t>
      </w:r>
      <w:r>
        <w:rPr>
          <w:rFonts w:ascii="宋体" w:hAnsi="宋体" w:cs="宋体" w:eastAsia="宋体" w:hint="default"/>
          <w:spacing w:val="-2"/>
        </w:rPr>
        <w:t>1</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20</w:t>
      </w:r>
      <w:r>
        <w:rPr>
          <w:spacing w:val="-2"/>
        </w:rPr>
        <w:t>日，经证监会《关于核准北京北信源软件股份有限公司向田秋桂等发行股份购买资产的批复》（证监许</w:t>
      </w:r>
    </w:p>
    <w:p>
      <w:pPr>
        <w:pStyle w:val="BodyText"/>
        <w:spacing w:line="224" w:lineRule="exact"/>
        <w:ind w:right="0"/>
        <w:jc w:val="left"/>
      </w:pPr>
      <w:r>
        <w:rPr/>
        <w:t>可</w:t>
      </w:r>
      <w:r>
        <w:rPr>
          <w:rFonts w:ascii="宋体" w:hAnsi="宋体" w:cs="宋体" w:eastAsia="宋体" w:hint="default"/>
        </w:rPr>
        <w:t>[2015]1719</w:t>
      </w:r>
      <w:r>
        <w:rPr/>
        <w:t>号）核准，公司以非公开发行</w:t>
      </w:r>
      <w:r>
        <w:rPr>
          <w:rFonts w:ascii="宋体" w:hAnsi="宋体" w:cs="宋体" w:eastAsia="宋体" w:hint="default"/>
        </w:rPr>
        <w:t>1,520,857</w:t>
      </w:r>
      <w:r>
        <w:rPr/>
        <w:t>股、</w:t>
      </w:r>
      <w:r>
        <w:rPr>
          <w:rFonts w:ascii="宋体" w:hAnsi="宋体" w:cs="宋体" w:eastAsia="宋体" w:hint="default"/>
        </w:rPr>
        <w:t>1,490,021</w:t>
      </w:r>
      <w:r>
        <w:rPr/>
        <w:t>股、</w:t>
      </w:r>
      <w:r>
        <w:rPr>
          <w:rFonts w:ascii="宋体" w:hAnsi="宋体" w:cs="宋体" w:eastAsia="宋体" w:hint="default"/>
        </w:rPr>
        <w:t>415,246</w:t>
      </w:r>
      <w:r>
        <w:rPr/>
        <w:t>股人民币普通股（</w:t>
      </w:r>
      <w:r>
        <w:rPr>
          <w:rFonts w:ascii="宋体" w:hAnsi="宋体" w:cs="宋体" w:eastAsia="宋体" w:hint="default"/>
        </w:rPr>
        <w:t>A</w:t>
      </w:r>
      <w:r>
        <w:rPr/>
        <w:t>股）为对价，发行股份</w:t>
      </w:r>
    </w:p>
    <w:p>
      <w:pPr>
        <w:pStyle w:val="BodyText"/>
        <w:spacing w:line="316" w:lineRule="auto" w:before="76"/>
        <w:ind w:right="91"/>
        <w:jc w:val="left"/>
      </w:pPr>
      <w:r>
        <w:rPr>
          <w:spacing w:val="-2"/>
        </w:rPr>
        <w:t>价格为</w:t>
      </w:r>
      <w:r>
        <w:rPr>
          <w:rFonts w:ascii="宋体" w:hAnsi="宋体" w:cs="宋体" w:eastAsia="宋体" w:hint="default"/>
          <w:spacing w:val="-2"/>
        </w:rPr>
        <w:t>23.35</w:t>
      </w:r>
      <w:r>
        <w:rPr>
          <w:spacing w:val="-2"/>
        </w:rPr>
        <w:t>元</w:t>
      </w:r>
      <w:r>
        <w:rPr>
          <w:rFonts w:ascii="宋体" w:hAnsi="宋体" w:cs="宋体" w:eastAsia="宋体" w:hint="default"/>
          <w:spacing w:val="-2"/>
        </w:rPr>
        <w:t>/</w:t>
      </w:r>
      <w:r>
        <w:rPr>
          <w:spacing w:val="-2"/>
        </w:rPr>
        <w:t>股，同时支付现金对价</w:t>
      </w:r>
      <w:r>
        <w:rPr>
          <w:rFonts w:ascii="宋体" w:hAnsi="宋体" w:cs="宋体" w:eastAsia="宋体" w:hint="default"/>
          <w:spacing w:val="-2"/>
        </w:rPr>
        <w:t>2000</w:t>
      </w:r>
      <w:r>
        <w:rPr>
          <w:spacing w:val="-2"/>
        </w:rPr>
        <w:t>万元，分别向自然人田秋桂、马永清、王俊锋发行股份购买其三人共同持有的北</w:t>
      </w:r>
      <w:r>
        <w:rPr>
          <w:spacing w:val="-57"/>
        </w:rPr>
        <w:t> </w:t>
      </w:r>
      <w:r>
        <w:rPr>
          <w:spacing w:val="-57"/>
        </w:rPr>
      </w:r>
      <w:r>
        <w:rPr>
          <w:spacing w:val="-3"/>
        </w:rPr>
        <w:t>京中软华泰信息技术有限责任公司</w:t>
      </w:r>
      <w:r>
        <w:rPr>
          <w:rFonts w:ascii="宋体" w:hAnsi="宋体" w:cs="宋体" w:eastAsia="宋体" w:hint="default"/>
          <w:spacing w:val="-3"/>
        </w:rPr>
        <w:t>100%</w:t>
      </w:r>
      <w:r>
        <w:rPr>
          <w:spacing w:val="-3"/>
        </w:rPr>
        <w:t>股权，截至报告期末中软华泰已完成工商变更登记手续，公司持有中软华泰</w:t>
      </w:r>
      <w:r>
        <w:rPr>
          <w:rFonts w:ascii="宋体" w:hAnsi="宋体" w:cs="宋体" w:eastAsia="宋体" w:hint="default"/>
          <w:spacing w:val="-3"/>
        </w:rPr>
        <w:t>100%</w:t>
      </w:r>
      <w:r>
        <w:rPr>
          <w:spacing w:val="-3"/>
        </w:rPr>
        <w:t>股权。</w:t>
      </w:r>
      <w:r>
        <w:rPr/>
        <w:t> </w:t>
      </w:r>
      <w:r>
        <w:rPr>
          <w:rFonts w:ascii="宋体" w:hAnsi="宋体" w:cs="宋体" w:eastAsia="宋体" w:hint="default"/>
          <w:spacing w:val="-2"/>
        </w:rPr>
        <w:t>2015</w:t>
      </w:r>
      <w:r>
        <w:rPr>
          <w:spacing w:val="-2"/>
        </w:rPr>
        <w:t>年通过收购中软华泰的全部股权，全面进入服务器安全领域，成功构建了一体化终端安全解决方案，进一步强化了公司</w:t>
      </w:r>
      <w:r>
        <w:rPr>
          <w:spacing w:val="-61"/>
        </w:rPr>
        <w:t> </w:t>
      </w:r>
      <w:r>
        <w:rPr>
          <w:spacing w:val="-61"/>
        </w:rPr>
      </w:r>
      <w:r>
        <w:rPr/>
        <w:t>在终端安全领域的地位。</w:t>
      </w:r>
    </w:p>
    <w:p>
      <w:pPr>
        <w:pStyle w:val="BodyText"/>
        <w:spacing w:line="319" w:lineRule="auto" w:before="19"/>
        <w:ind w:right="191" w:firstLine="362"/>
        <w:jc w:val="both"/>
      </w:pP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23</w:t>
      </w:r>
      <w:r>
        <w:rPr>
          <w:spacing w:val="-2"/>
        </w:rPr>
        <w:t>日公司第二届董事会第六次临时会议审议通过《关于使用部分超募资金与深圳金天城投资管理中心联合</w:t>
      </w:r>
      <w:r>
        <w:rPr/>
        <w:t> </w:t>
      </w:r>
      <w:r>
        <w:rPr>
          <w:spacing w:val="-2"/>
        </w:rPr>
        <w:t>参与深圳市金城保密技术有限公司</w:t>
      </w:r>
      <w:r>
        <w:rPr>
          <w:rFonts w:ascii="宋体" w:hAnsi="宋体" w:cs="宋体" w:eastAsia="宋体" w:hint="default"/>
          <w:spacing w:val="-2"/>
        </w:rPr>
        <w:t>66%</w:t>
      </w:r>
      <w:r>
        <w:rPr>
          <w:spacing w:val="-2"/>
        </w:rPr>
        <w:t>股权公开转让（招投标）的议案》，公司使用超募资金以挂牌价</w:t>
      </w:r>
      <w:r>
        <w:rPr>
          <w:rFonts w:ascii="宋体" w:hAnsi="宋体" w:cs="宋体" w:eastAsia="宋体" w:hint="default"/>
          <w:spacing w:val="-2"/>
        </w:rPr>
        <w:t>438.3735</w:t>
      </w:r>
      <w:r>
        <w:rPr>
          <w:rFonts w:ascii="宋体" w:hAnsi="宋体" w:cs="宋体" w:eastAsia="宋体" w:hint="default"/>
          <w:spacing w:val="24"/>
        </w:rPr>
        <w:t> </w:t>
      </w:r>
      <w:r>
        <w:rPr>
          <w:spacing w:val="-1"/>
        </w:rPr>
        <w:t>万元参与竞</w:t>
      </w:r>
      <w:r>
        <w:rPr>
          <w:spacing w:val="-88"/>
        </w:rPr>
        <w:t> </w:t>
      </w:r>
      <w:r>
        <w:rPr>
          <w:spacing w:val="-88"/>
        </w:rPr>
      </w:r>
      <w:r>
        <w:rPr/>
        <w:t>买深圳金城</w:t>
      </w:r>
      <w:r>
        <w:rPr>
          <w:spacing w:val="-2"/>
        </w:rPr>
        <w:t> </w:t>
      </w:r>
      <w:r>
        <w:rPr>
          <w:rFonts w:ascii="宋体" w:hAnsi="宋体" w:cs="宋体" w:eastAsia="宋体" w:hint="default"/>
        </w:rPr>
        <w:t>15%</w:t>
      </w:r>
      <w:r>
        <w:rPr/>
        <w:t>股权，公司持有深圳金城</w:t>
      </w:r>
      <w:r>
        <w:rPr>
          <w:rFonts w:ascii="宋体" w:hAnsi="宋体" w:cs="宋体" w:eastAsia="宋体" w:hint="default"/>
        </w:rPr>
        <w:t>15%</w:t>
      </w:r>
      <w:r>
        <w:rPr/>
        <w:t>股权。投资深圳金城有利于公司在稳固现有市场份额的同时，充分利用投资公 </w:t>
      </w:r>
      <w:r>
        <w:rPr>
          <w:spacing w:val="-2"/>
        </w:rPr>
        <w:t>司项目实施经验及客户资源，进一步开拓公司在党政机关、中央各部委、军队军工等大型客户中的市场，提升公司在涉密信</w:t>
      </w:r>
    </w:p>
    <w:p>
      <w:pPr>
        <w:spacing w:after="0" w:line="319" w:lineRule="auto"/>
        <w:jc w:val="both"/>
        <w:sectPr>
          <w:type w:val="continuous"/>
          <w:pgSz w:w="11910" w:h="16840"/>
          <w:pgMar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left="515" w:right="102" w:hanging="363"/>
        <w:jc w:val="left"/>
      </w:pPr>
      <w:r>
        <w:rPr/>
        <w:t>息安全及相关领域的技术。 </w:t>
      </w:r>
      <w:r>
        <w:rPr>
          <w:rFonts w:ascii="宋体" w:hAnsi="宋体" w:cs="宋体" w:eastAsia="宋体" w:hint="default"/>
          <w:spacing w:val="-2"/>
        </w:rPr>
        <w:t>3</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19</w:t>
      </w:r>
      <w:r>
        <w:rPr>
          <w:spacing w:val="-2"/>
        </w:rPr>
        <w:t>日公司召开第二届董事会第十一次会议审议通过了《关于与浙江华睿投资管理有限公司共同设立产业基</w:t>
      </w:r>
    </w:p>
    <w:p>
      <w:pPr>
        <w:pStyle w:val="BodyText"/>
        <w:spacing w:line="316" w:lineRule="auto" w:before="19"/>
        <w:ind w:right="193"/>
        <w:jc w:val="both"/>
      </w:pPr>
      <w:r>
        <w:rPr>
          <w:spacing w:val="-2"/>
        </w:rPr>
        <w:t>金的议案》，公司投资浙江华睿北信源数据信息产业投资合伙企业（有限合伙）</w:t>
      </w:r>
      <w:r>
        <w:rPr>
          <w:rFonts w:ascii="宋体" w:hAnsi="宋体" w:cs="宋体" w:eastAsia="宋体" w:hint="default"/>
          <w:spacing w:val="-2"/>
        </w:rPr>
        <w:t>3000</w:t>
      </w:r>
      <w:r>
        <w:rPr>
          <w:spacing w:val="-2"/>
        </w:rPr>
        <w:t>万元，持股</w:t>
      </w:r>
      <w:r>
        <w:rPr>
          <w:rFonts w:ascii="宋体" w:hAnsi="宋体" w:cs="宋体" w:eastAsia="宋体" w:hint="default"/>
          <w:spacing w:val="-2"/>
        </w:rPr>
        <w:t>14.63%</w:t>
      </w:r>
      <w:r>
        <w:rPr>
          <w:spacing w:val="-2"/>
        </w:rPr>
        <w:t>，截止报告期末，浙</w:t>
      </w:r>
      <w:r>
        <w:rPr>
          <w:spacing w:val="-65"/>
        </w:rPr>
        <w:t> </w:t>
      </w:r>
      <w:r>
        <w:rPr>
          <w:spacing w:val="-65"/>
        </w:rPr>
      </w:r>
      <w:r>
        <w:rPr>
          <w:spacing w:val="-2"/>
        </w:rPr>
        <w:t>江华睿北信源数据信息产业投资合伙企业（有限合伙）已完成工商注册登记手续并领取了营业执照。投资设立浙江华睿北信</w:t>
      </w:r>
      <w:r>
        <w:rPr>
          <w:spacing w:val="-66"/>
        </w:rPr>
        <w:t> </w:t>
      </w:r>
      <w:r>
        <w:rPr>
          <w:spacing w:val="-66"/>
        </w:rPr>
      </w:r>
      <w:r>
        <w:rPr>
          <w:spacing w:val="-2"/>
        </w:rPr>
        <w:t>源数据信息产业投资合伙企业（有限合伙）有利于公司抓住大数据产业蓬勃发展的大好趋势，为公司未来储备更多符合战略</w:t>
      </w:r>
      <w:r>
        <w:rPr>
          <w:spacing w:val="-66"/>
        </w:rPr>
        <w:t> </w:t>
      </w:r>
      <w:r>
        <w:rPr>
          <w:spacing w:val="-66"/>
        </w:rPr>
      </w:r>
      <w:r>
        <w:rPr/>
        <w:t>发展要求的标的企业及项目，持续推动公司业务的开展，提升公司整体盈利能力。</w:t>
      </w:r>
    </w:p>
    <w:p>
      <w:pPr>
        <w:pStyle w:val="BodyText"/>
        <w:spacing w:line="316" w:lineRule="auto" w:before="19"/>
        <w:ind w:right="191" w:firstLine="362"/>
        <w:jc w:val="both"/>
      </w:pPr>
      <w:r>
        <w:rPr>
          <w:rFonts w:ascii="宋体" w:hAnsi="宋体" w:cs="宋体" w:eastAsia="宋体" w:hint="default"/>
          <w:spacing w:val="-6"/>
        </w:rPr>
        <w:t>4</w:t>
      </w:r>
      <w:r>
        <w:rPr>
          <w:spacing w:val="-6"/>
        </w:rPr>
        <w:t>、</w:t>
      </w:r>
      <w:r>
        <w:rPr>
          <w:rFonts w:ascii="宋体" w:hAnsi="宋体" w:cs="宋体" w:eastAsia="宋体" w:hint="default"/>
          <w:spacing w:val="-6"/>
        </w:rPr>
        <w:t>2015</w:t>
      </w:r>
      <w:r>
        <w:rPr>
          <w:rFonts w:ascii="宋体" w:hAnsi="宋体" w:cs="宋体" w:eastAsia="宋体" w:hint="default"/>
          <w:spacing w:val="-47"/>
        </w:rPr>
        <w:t> </w:t>
      </w:r>
      <w:r>
        <w:rPr/>
        <w:t>年</w:t>
      </w:r>
      <w:r>
        <w:rPr>
          <w:rFonts w:ascii="宋体" w:hAnsi="宋体" w:cs="宋体" w:eastAsia="宋体" w:hint="default"/>
        </w:rPr>
        <w:t>6</w:t>
      </w:r>
      <w:r>
        <w:rPr/>
        <w:t>月</w:t>
      </w:r>
      <w:r>
        <w:rPr>
          <w:rFonts w:ascii="宋体" w:hAnsi="宋体" w:cs="宋体" w:eastAsia="宋体" w:hint="default"/>
        </w:rPr>
        <w:t>9</w:t>
      </w:r>
      <w:r>
        <w:rPr/>
        <w:t>日公司召开的第二届董事会第十次临时会议，审议通过了《关于转让恒易传奇科技有限责任公司股权的 议案》，公司将其持有的恒易传奇</w:t>
      </w:r>
      <w:r>
        <w:rPr>
          <w:rFonts w:ascii="宋体" w:hAnsi="宋体" w:cs="宋体" w:eastAsia="宋体" w:hint="default"/>
        </w:rPr>
        <w:t>8.3333%</w:t>
      </w:r>
      <w:r>
        <w:rPr/>
        <w:t>股权以人民币</w:t>
      </w:r>
      <w:r>
        <w:rPr>
          <w:rFonts w:ascii="宋体" w:hAnsi="宋体" w:cs="宋体" w:eastAsia="宋体" w:hint="default"/>
        </w:rPr>
        <w:t>222.6667</w:t>
      </w:r>
      <w:r>
        <w:rPr>
          <w:rFonts w:ascii="宋体" w:hAnsi="宋体" w:cs="宋体" w:eastAsia="宋体" w:hint="default"/>
          <w:spacing w:val="-11"/>
        </w:rPr>
        <w:t> </w:t>
      </w:r>
      <w:r>
        <w:rPr>
          <w:spacing w:val="-3"/>
        </w:rPr>
        <w:t>万元转让给趣游时代（北京）科技有限公司，本次交易有</w:t>
      </w:r>
      <w:r>
        <w:rPr/>
        <w:t> 利于增加公司资金流动性，加大现有和规划中产品的支持力度，对公司经营情况无影响。</w:t>
      </w:r>
    </w:p>
    <w:p>
      <w:pPr>
        <w:pStyle w:val="BodyText"/>
        <w:spacing w:line="240" w:lineRule="auto" w:before="19"/>
        <w:ind w:left="515" w:right="102"/>
        <w:jc w:val="left"/>
      </w:pPr>
      <w:r>
        <w:rPr>
          <w:rFonts w:ascii="宋体" w:hAnsi="宋体" w:cs="宋体" w:eastAsia="宋体" w:hint="default"/>
        </w:rPr>
        <w:t>5</w:t>
      </w:r>
      <w:r>
        <w:rPr/>
        <w:t>、</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27</w:t>
      </w:r>
      <w:r>
        <w:rPr/>
        <w:t>日，公司使用</w:t>
      </w:r>
      <w:r>
        <w:rPr>
          <w:rFonts w:ascii="宋体" w:hAnsi="宋体" w:cs="宋体" w:eastAsia="宋体" w:hint="default"/>
        </w:rPr>
        <w:t>500.00</w:t>
      </w:r>
      <w:r>
        <w:rPr/>
        <w:t>万元向北京双洲科技有限公司增资，截至本报告期末，已完成工商登记变更。</w:t>
      </w:r>
    </w:p>
    <w:p>
      <w:pPr>
        <w:pStyle w:val="BodyText"/>
        <w:spacing w:line="319" w:lineRule="auto" w:before="76"/>
        <w:ind w:right="191" w:firstLine="362"/>
        <w:jc w:val="both"/>
      </w:pPr>
      <w:r>
        <w:rPr>
          <w:rFonts w:ascii="宋体" w:hAnsi="宋体" w:cs="宋体" w:eastAsia="宋体" w:hint="default"/>
        </w:rPr>
        <w:t>6</w:t>
      </w:r>
      <w:r>
        <w:rPr/>
        <w:t>、公司使用自有资金投资上海无寻，截至报告期末已完成工商变更登记手续。对上海无寻的投资有助于完善公司在信 </w:t>
      </w:r>
      <w:r>
        <w:rPr>
          <w:spacing w:val="-2"/>
        </w:rPr>
        <w:t>息安全领域的布局，优化公司现有产业结构，使得公司从传统信息安全领域跨入人身家庭安全领域</w:t>
      </w:r>
      <w:r>
        <w:rPr>
          <w:rFonts w:ascii="宋体" w:hAnsi="宋体" w:cs="宋体" w:eastAsia="宋体" w:hint="default"/>
          <w:spacing w:val="-2"/>
        </w:rPr>
        <w:t>,</w:t>
      </w:r>
      <w:r>
        <w:rPr>
          <w:rFonts w:ascii="宋体" w:hAnsi="宋体" w:cs="宋体" w:eastAsia="宋体" w:hint="default"/>
          <w:spacing w:val="15"/>
        </w:rPr>
        <w:t> </w:t>
      </w:r>
      <w:r>
        <w:rPr>
          <w:spacing w:val="-1"/>
        </w:rPr>
        <w:t>客户群从企业级用户扩</w:t>
      </w:r>
      <w:r>
        <w:rPr/>
        <w:t> 展到广大的消费者用户</w:t>
      </w:r>
      <w:r>
        <w:rPr>
          <w:rFonts w:ascii="宋体" w:hAnsi="宋体" w:cs="宋体" w:eastAsia="宋体" w:hint="default"/>
        </w:rPr>
        <w:t>,</w:t>
      </w:r>
      <w:r>
        <w:rPr>
          <w:rFonts w:ascii="宋体" w:hAnsi="宋体" w:cs="宋体" w:eastAsia="宋体" w:hint="default"/>
          <w:spacing w:val="20"/>
        </w:rPr>
        <w:t> </w:t>
      </w:r>
      <w:r>
        <w:rPr>
          <w:spacing w:val="-1"/>
        </w:rPr>
        <w:t>从专著于企业级市场跨入快速发展的互联网行业</w:t>
      </w:r>
      <w:r>
        <w:rPr>
          <w:rFonts w:ascii="宋体" w:hAnsi="宋体" w:cs="宋体" w:eastAsia="宋体" w:hint="default"/>
          <w:spacing w:val="-1"/>
        </w:rPr>
        <w:t>,</w:t>
      </w:r>
      <w:r>
        <w:rPr>
          <w:rFonts w:ascii="宋体" w:hAnsi="宋体" w:cs="宋体" w:eastAsia="宋体" w:hint="default"/>
          <w:spacing w:val="20"/>
        </w:rPr>
        <w:t> </w:t>
      </w:r>
      <w:r>
        <w:rPr>
          <w:spacing w:val="-5"/>
        </w:rPr>
        <w:t>从而进一步拓展公司现有产业范围，丰富并延伸</w:t>
      </w:r>
      <w:r>
        <w:rPr>
          <w:spacing w:val="-88"/>
        </w:rPr>
        <w:t> </w:t>
      </w:r>
      <w:r>
        <w:rPr>
          <w:spacing w:val="-88"/>
        </w:rPr>
      </w:r>
      <w:r>
        <w:rPr/>
        <w:t>公司现有产品线，快速在相关技术及产品领域形成竞争优势。</w:t>
      </w:r>
    </w:p>
    <w:p>
      <w:pPr>
        <w:spacing w:line="240" w:lineRule="auto" w:before="11"/>
        <w:rPr>
          <w:rFonts w:ascii="宋体" w:hAnsi="宋体" w:cs="宋体" w:eastAsia="宋体" w:hint="default"/>
          <w:sz w:val="14"/>
          <w:szCs w:val="14"/>
        </w:rPr>
      </w:pPr>
    </w:p>
    <w:p>
      <w:pPr>
        <w:pStyle w:val="Heading2"/>
        <w:spacing w:line="240" w:lineRule="auto"/>
        <w:ind w:right="102"/>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2"/>
        <w:jc w:val="left"/>
      </w:pPr>
      <w:r>
        <w:rPr/>
        <w:t>□ 适用 √</w:t>
      </w:r>
      <w:r>
        <w:rPr>
          <w:spacing w:val="3"/>
        </w:rPr>
        <w:t> </w:t>
      </w:r>
      <w:r>
        <w:rPr/>
        <w:t>不适用</w:t>
      </w:r>
    </w:p>
    <w:p>
      <w:pPr>
        <w:spacing w:line="240" w:lineRule="auto" w:before="3"/>
        <w:rPr>
          <w:rFonts w:ascii="宋体" w:hAnsi="宋体" w:cs="宋体" w:eastAsia="宋体" w:hint="default"/>
          <w:sz w:val="19"/>
          <w:szCs w:val="19"/>
        </w:rPr>
      </w:pPr>
    </w:p>
    <w:p>
      <w:pPr>
        <w:pStyle w:val="Heading2"/>
        <w:spacing w:line="240" w:lineRule="auto"/>
        <w:ind w:right="102"/>
        <w:jc w:val="left"/>
        <w:rPr>
          <w:b w:val="0"/>
          <w:bCs w:val="0"/>
        </w:rPr>
      </w:pPr>
      <w:r>
        <w:rPr/>
        <w:t>九、公司未来发展的展望</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line="283" w:lineRule="auto" w:before="0"/>
        <w:ind w:left="515" w:right="3421" w:hanging="363"/>
        <w:jc w:val="left"/>
        <w:rPr>
          <w:rFonts w:ascii="宋体" w:hAnsi="宋体" w:cs="宋体" w:eastAsia="宋体" w:hint="default"/>
          <w:sz w:val="18"/>
          <w:szCs w:val="18"/>
        </w:rPr>
      </w:pPr>
      <w:r>
        <w:rPr>
          <w:rFonts w:ascii="Microsoft JhengHei" w:hAnsi="Microsoft JhengHei" w:cs="Microsoft JhengHei" w:eastAsia="Microsoft JhengHei" w:hint="default"/>
          <w:b/>
          <w:bCs/>
          <w:color w:val="2B2B2B"/>
          <w:sz w:val="18"/>
          <w:szCs w:val="18"/>
        </w:rPr>
        <w:t>（一）行业发展发展现状</w:t>
      </w:r>
      <w:r>
        <w:rPr>
          <w:rFonts w:ascii="Microsoft JhengHei" w:hAnsi="Microsoft JhengHei" w:cs="Microsoft JhengHei" w:eastAsia="Microsoft JhengHei" w:hint="default"/>
          <w:b/>
          <w:bCs/>
          <w:color w:val="2B2B2B"/>
          <w:spacing w:val="-40"/>
          <w:sz w:val="18"/>
          <w:szCs w:val="18"/>
        </w:rPr>
        <w:t> </w:t>
      </w:r>
      <w:r>
        <w:rPr>
          <w:rFonts w:ascii="Microsoft JhengHei" w:hAnsi="Microsoft JhengHei" w:cs="Microsoft JhengHei" w:eastAsia="Microsoft JhengHei" w:hint="default"/>
          <w:b/>
          <w:bCs/>
          <w:color w:val="2B2B2B"/>
          <w:spacing w:val="-40"/>
          <w:sz w:val="18"/>
          <w:szCs w:val="18"/>
        </w:rPr>
      </w:r>
      <w:r>
        <w:rPr>
          <w:rFonts w:ascii="宋体" w:hAnsi="宋体" w:cs="宋体" w:eastAsia="宋体" w:hint="default"/>
          <w:sz w:val="18"/>
          <w:szCs w:val="18"/>
        </w:rPr>
        <w:t>1</w:t>
      </w:r>
      <w:r>
        <w:rPr>
          <w:rFonts w:ascii="宋体" w:hAnsi="宋体" w:cs="宋体" w:eastAsia="宋体" w:hint="default"/>
          <w:sz w:val="18"/>
          <w:szCs w:val="18"/>
        </w:rPr>
        <w:t>、大数据列入国家发展战略和十三五规划，大数据应用市场进入加速成长期</w:t>
      </w:r>
    </w:p>
    <w:p>
      <w:pPr>
        <w:pStyle w:val="BodyText"/>
        <w:spacing w:line="316" w:lineRule="auto" w:before="44"/>
        <w:ind w:right="94" w:firstLine="362"/>
        <w:jc w:val="left"/>
      </w:pP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19</w:t>
      </w:r>
      <w:r>
        <w:rPr/>
        <w:t>日国务院常务会议通过了《关于促进大数据发展的行动纲要》，指出当前大数据已经成为国家竞争力的重 要体现，并明确要求在</w:t>
      </w:r>
      <w:r>
        <w:rPr>
          <w:rFonts w:ascii="宋体" w:hAnsi="宋体" w:cs="宋体" w:eastAsia="宋体" w:hint="default"/>
        </w:rPr>
        <w:t>2018</w:t>
      </w:r>
      <w:r>
        <w:rPr/>
        <w:t>年底建成国家政府数据统一开放平台的具体目标，要求率先在气象、环境、信用、交通、医疗、 </w:t>
      </w:r>
      <w:r>
        <w:rPr>
          <w:spacing w:val="-2"/>
        </w:rPr>
        <w:t>卫生等</w:t>
      </w:r>
      <w:r>
        <w:rPr>
          <w:rFonts w:ascii="宋体" w:hAnsi="宋体" w:cs="宋体" w:eastAsia="宋体" w:hint="default"/>
          <w:spacing w:val="-2"/>
        </w:rPr>
        <w:t>20</w:t>
      </w:r>
      <w:r>
        <w:rPr>
          <w:spacing w:val="-2"/>
        </w:rPr>
        <w:t>余项重要领域，通过政府投入大数据基础平台建设和应用服务创新来推动大数据在整个社会经济增长中发挥龙头作</w:t>
      </w:r>
      <w:r>
        <w:rPr>
          <w:spacing w:val="-63"/>
        </w:rPr>
        <w:t> </w:t>
      </w:r>
      <w:r>
        <w:rPr>
          <w:spacing w:val="-63"/>
        </w:rPr>
      </w:r>
      <w:r>
        <w:rPr/>
        <w:t>用。今年</w:t>
      </w:r>
      <w:r>
        <w:rPr>
          <w:rFonts w:ascii="宋体" w:hAnsi="宋体" w:cs="宋体" w:eastAsia="宋体" w:hint="default"/>
        </w:rPr>
        <w:t>3</w:t>
      </w:r>
      <w:r>
        <w:rPr/>
        <w:t>月，国家“十三五”规划纲要中再次指出，实施国家大数据战略。把大数据作为基础性战略资源，全面实施促进 </w:t>
      </w:r>
      <w:r>
        <w:rPr>
          <w:spacing w:val="-2"/>
        </w:rPr>
        <w:t>大数据发展行动，加快推动数据资源共享开放和开发应用，助力产业转型升级和社会治理创新。深化大数据在各行业的创新</w:t>
      </w:r>
      <w:r>
        <w:rPr>
          <w:spacing w:val="-63"/>
        </w:rPr>
        <w:t> </w:t>
      </w:r>
      <w:r>
        <w:rPr>
          <w:spacing w:val="-63"/>
        </w:rPr>
      </w:r>
      <w:r>
        <w:rPr/>
        <w:t>应用，探索与传统产业协同发展新业态新模式，加快完善大数据产业链。</w:t>
      </w:r>
    </w:p>
    <w:p>
      <w:pPr>
        <w:pStyle w:val="BodyText"/>
        <w:spacing w:line="240" w:lineRule="auto" w:before="19"/>
        <w:ind w:left="551" w:right="102"/>
        <w:jc w:val="left"/>
      </w:pPr>
      <w:r>
        <w:rPr>
          <w:rFonts w:ascii="宋体" w:hAnsi="宋体" w:cs="宋体" w:eastAsia="宋体" w:hint="default"/>
        </w:rPr>
        <w:t>2</w:t>
      </w:r>
      <w:r>
        <w:rPr/>
        <w:t>、发展现代互联网产业体系，“互联网</w:t>
      </w:r>
      <w:r>
        <w:rPr>
          <w:rFonts w:ascii="宋体" w:hAnsi="宋体" w:cs="宋体" w:eastAsia="宋体" w:hint="default"/>
        </w:rPr>
        <w:t>+</w:t>
      </w:r>
      <w:r>
        <w:rPr/>
        <w:t>”产业未来空间巨大</w:t>
      </w:r>
    </w:p>
    <w:p>
      <w:pPr>
        <w:pStyle w:val="BodyText"/>
        <w:spacing w:line="319" w:lineRule="auto" w:before="76"/>
        <w:ind w:right="94" w:firstLine="362"/>
        <w:jc w:val="left"/>
      </w:pPr>
      <w:r>
        <w:rPr>
          <w:rFonts w:ascii="宋体" w:hAnsi="宋体" w:cs="宋体" w:eastAsia="宋体" w:hint="default"/>
          <w:spacing w:val="-4"/>
        </w:rPr>
        <w:t>2015</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5</w:t>
      </w:r>
      <w:r>
        <w:rPr>
          <w:spacing w:val="-4"/>
        </w:rPr>
        <w:t>日上午十二届全国人大三次会议上，李克强总理在政府工作报告中首次提出“互联网</w:t>
      </w:r>
      <w:r>
        <w:rPr>
          <w:rFonts w:ascii="宋体" w:hAnsi="宋体" w:cs="宋体" w:eastAsia="宋体" w:hint="default"/>
          <w:spacing w:val="-4"/>
        </w:rPr>
        <w:t>+</w:t>
      </w:r>
      <w:r>
        <w:rPr>
          <w:spacing w:val="-4"/>
        </w:rPr>
        <w:t>”行动计划，制定“互</w:t>
      </w:r>
      <w:r>
        <w:rPr/>
        <w:t> 联网</w:t>
      </w:r>
      <w:r>
        <w:rPr>
          <w:rFonts w:ascii="宋体" w:hAnsi="宋体" w:cs="宋体" w:eastAsia="宋体" w:hint="default"/>
        </w:rPr>
        <w:t>+</w:t>
      </w:r>
      <w:r>
        <w:rPr/>
        <w:t>”行动计划是国家“稳增长、调结构”行动中的一环。“互联网</w:t>
      </w:r>
      <w:r>
        <w:rPr>
          <w:rFonts w:ascii="宋体" w:hAnsi="宋体" w:cs="宋体" w:eastAsia="宋体" w:hint="default"/>
        </w:rPr>
        <w:t>+</w:t>
      </w:r>
      <w:r>
        <w:rPr/>
        <w:t>”不仅包括制造业，也包括电子商务、工业互联网、 </w:t>
      </w:r>
      <w:r>
        <w:rPr>
          <w:spacing w:val="-2"/>
        </w:rPr>
        <w:t>互联网金融以及创客创新。推动移动互联网、云计算、大数据、物联网等与现代制造业结合，促进电子商务、工业互联网和</w:t>
      </w:r>
      <w:r>
        <w:rPr>
          <w:spacing w:val="-68"/>
        </w:rPr>
        <w:t> </w:t>
      </w:r>
      <w:r>
        <w:rPr>
          <w:spacing w:val="-68"/>
        </w:rPr>
      </w:r>
      <w:r>
        <w:rPr/>
        <w:t>互联网金融健康发展，引导互联网企业拓展国际市场。“互联网</w:t>
      </w:r>
      <w:r>
        <w:rPr>
          <w:rFonts w:ascii="宋体" w:hAnsi="宋体" w:cs="宋体" w:eastAsia="宋体" w:hint="default"/>
        </w:rPr>
        <w:t>+</w:t>
      </w:r>
      <w:r>
        <w:rPr/>
        <w:t>”战略的提出，使我们站在了大数据的风口浪尖上，大数 据渗透的领域更多，更容易被采集分析，也将由此带来更多的安全问题。</w:t>
      </w:r>
    </w:p>
    <w:p>
      <w:pPr>
        <w:pStyle w:val="BodyText"/>
        <w:spacing w:line="316" w:lineRule="auto" w:before="17"/>
        <w:ind w:right="102" w:firstLine="360"/>
        <w:jc w:val="left"/>
      </w:pPr>
      <w:r>
        <w:rPr>
          <w:spacing w:val="-2"/>
        </w:rPr>
        <w:t>十三五规划指出：实施“互联网</w:t>
      </w:r>
      <w:r>
        <w:rPr>
          <w:rFonts w:ascii="宋体" w:hAnsi="宋体" w:cs="宋体" w:eastAsia="宋体" w:hint="default"/>
          <w:spacing w:val="-2"/>
        </w:rPr>
        <w:t>+</w:t>
      </w:r>
      <w:r>
        <w:rPr>
          <w:spacing w:val="-2"/>
        </w:rPr>
        <w:t>”行动计划，促进互联网深度广泛应用，带动生产模式和组织方式变革，形成网络化、</w:t>
      </w:r>
      <w:r>
        <w:rPr/>
        <w:t> </w:t>
      </w:r>
      <w:r>
        <w:rPr>
          <w:spacing w:val="-2"/>
        </w:rPr>
        <w:t>智能化、服务化、协同化的产业发展新形态。组织实施“互联网</w:t>
      </w:r>
      <w:r>
        <w:rPr>
          <w:rFonts w:ascii="宋体" w:hAnsi="宋体" w:cs="宋体" w:eastAsia="宋体" w:hint="default"/>
          <w:spacing w:val="-2"/>
        </w:rPr>
        <w:t>+</w:t>
      </w:r>
      <w:r>
        <w:rPr>
          <w:spacing w:val="-2"/>
        </w:rPr>
        <w:t>”重大工程，加快推进基于互联网的商业模式、服务模式、</w:t>
      </w:r>
      <w:r>
        <w:rPr>
          <w:spacing w:val="-67"/>
        </w:rPr>
        <w:t> </w:t>
      </w:r>
      <w:r>
        <w:rPr>
          <w:spacing w:val="-67"/>
        </w:rPr>
      </w:r>
      <w:r>
        <w:rPr/>
        <w:t>管理模式及供应链、物流链等各类创新，培育“互联网</w:t>
      </w:r>
      <w:r>
        <w:rPr>
          <w:rFonts w:ascii="宋体" w:hAnsi="宋体" w:cs="宋体" w:eastAsia="宋体" w:hint="default"/>
        </w:rPr>
        <w:t>+</w:t>
      </w:r>
      <w:r>
        <w:rPr/>
        <w:t>”生态体系，形成网络化协同分工新格局。</w:t>
      </w:r>
      <w:r>
        <w:rPr>
          <w:spacing w:val="2"/>
        </w:rPr>
        <w:t> </w:t>
      </w:r>
      <w:r>
        <w:rPr/>
        <w:t>“互联网</w:t>
      </w:r>
      <w:r>
        <w:rPr>
          <w:rFonts w:ascii="宋体" w:hAnsi="宋体" w:cs="宋体" w:eastAsia="宋体" w:hint="default"/>
        </w:rPr>
        <w:t>+</w:t>
      </w:r>
      <w:r>
        <w:rPr/>
        <w:t>”是两化融 </w:t>
      </w:r>
      <w:r>
        <w:rPr>
          <w:spacing w:val="-2"/>
        </w:rPr>
        <w:t>合的升级版，不仅仅是工业化，而是将互联网作为当前信息化发展的核心特征，提取出来，并与工业，商业，金融业等服务</w:t>
      </w:r>
      <w:r>
        <w:rPr>
          <w:spacing w:val="-70"/>
        </w:rPr>
        <w:t> </w:t>
      </w:r>
      <w:r>
        <w:rPr>
          <w:spacing w:val="-70"/>
        </w:rPr>
      </w:r>
      <w:r>
        <w:rPr>
          <w:spacing w:val="-2"/>
        </w:rPr>
        <w:t>业的全面融合。在互联网</w:t>
      </w:r>
      <w:r>
        <w:rPr>
          <w:rFonts w:ascii="宋体" w:hAnsi="宋体" w:cs="宋体" w:eastAsia="宋体" w:hint="default"/>
          <w:spacing w:val="-2"/>
        </w:rPr>
        <w:t>+</w:t>
      </w:r>
      <w:r>
        <w:rPr>
          <w:spacing w:val="-2"/>
        </w:rPr>
        <w:t>国家行动计划的背景下，传统企业拥抱“互联网</w:t>
      </w:r>
      <w:r>
        <w:rPr>
          <w:rFonts w:ascii="宋体" w:hAnsi="宋体" w:cs="宋体" w:eastAsia="宋体" w:hint="default"/>
          <w:spacing w:val="-2"/>
        </w:rPr>
        <w:t>+</w:t>
      </w:r>
      <w:r>
        <w:rPr>
          <w:spacing w:val="-2"/>
        </w:rPr>
        <w:t>”进行信息化再造，投资基于移动化、社交化和</w:t>
      </w:r>
      <w:r>
        <w:rPr>
          <w:spacing w:val="-65"/>
        </w:rPr>
        <w:t> </w:t>
      </w:r>
      <w:r>
        <w:rPr>
          <w:spacing w:val="-65"/>
        </w:rPr>
      </w:r>
      <w:r>
        <w:rPr>
          <w:spacing w:val="-2"/>
        </w:rPr>
        <w:t>大数据的创新应用，企业互联网营销、</w:t>
      </w:r>
      <w:r>
        <w:rPr>
          <w:rFonts w:ascii="宋体" w:hAnsi="宋体" w:cs="宋体" w:eastAsia="宋体" w:hint="default"/>
          <w:spacing w:val="-2"/>
        </w:rPr>
        <w:t>SaaS</w:t>
      </w:r>
      <w:r>
        <w:rPr>
          <w:spacing w:val="-2"/>
        </w:rPr>
        <w:t>和云服务也获得更广阔的市场空间。公司作为国内拥有互联网和大数据核心技术</w:t>
      </w:r>
      <w:r>
        <w:rPr>
          <w:spacing w:val="-60"/>
        </w:rPr>
        <w:t> </w:t>
      </w:r>
      <w:r>
        <w:rPr>
          <w:spacing w:val="-60"/>
        </w:rPr>
      </w:r>
      <w:r>
        <w:rPr/>
        <w:t>的领导厂商，正在积极布局和推动，以把握新的增长机遇。</w:t>
      </w:r>
    </w:p>
    <w:p>
      <w:pPr>
        <w:pStyle w:val="BodyText"/>
        <w:spacing w:line="240" w:lineRule="auto" w:before="19"/>
        <w:ind w:left="513" w:right="102"/>
        <w:jc w:val="left"/>
      </w:pPr>
      <w:r>
        <w:rPr>
          <w:rFonts w:ascii="宋体" w:hAnsi="宋体" w:cs="宋体" w:eastAsia="宋体" w:hint="default"/>
        </w:rPr>
        <w:t>3</w:t>
      </w:r>
      <w:r>
        <w:rPr/>
        <w:t>、从网络安全到国家安全加强社会治理</w:t>
      </w:r>
    </w:p>
    <w:p>
      <w:pPr>
        <w:pStyle w:val="BodyText"/>
        <w:spacing w:line="316" w:lineRule="auto" w:before="76"/>
        <w:ind w:right="102" w:firstLine="389"/>
        <w:jc w:val="left"/>
      </w:pP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月，十二届全国人大常委会第十五次会议审议了网络安全法草案。草案要求国务院有关部门建立健全网络安全</w:t>
      </w:r>
      <w:r>
        <w:rPr/>
        <w:t> </w:t>
      </w:r>
      <w:r>
        <w:rPr>
          <w:spacing w:val="-2"/>
        </w:rPr>
        <w:t>监测预警和信息通报制度，加强网络安全信息收集、分析和情况通报工作；建立网络安全应急工作机制，制定应急预案；规</w:t>
      </w:r>
    </w:p>
    <w:p>
      <w:pPr>
        <w:spacing w:after="0" w:line="316" w:lineRule="auto"/>
        <w:jc w:val="left"/>
        <w:sectPr>
          <w:footerReference w:type="default" r:id="rId15"/>
          <w:pgSz w:w="11910" w:h="16840"/>
          <w:pgMar w:footer="979" w:header="781" w:top="1080" w:bottom="1160" w:left="980" w:right="940"/>
          <w:pgNumType w:start="34"/>
        </w:sectPr>
      </w:pPr>
    </w:p>
    <w:p>
      <w:pPr>
        <w:spacing w:line="240" w:lineRule="auto" w:before="10"/>
        <w:rPr>
          <w:rFonts w:ascii="宋体" w:hAnsi="宋体" w:cs="宋体" w:eastAsia="宋体" w:hint="default"/>
          <w:sz w:val="23"/>
          <w:szCs w:val="23"/>
        </w:rPr>
      </w:pPr>
    </w:p>
    <w:p>
      <w:pPr>
        <w:pStyle w:val="BodyText"/>
        <w:spacing w:line="316" w:lineRule="auto" w:before="44"/>
        <w:ind w:right="189"/>
        <w:jc w:val="both"/>
      </w:pPr>
      <w:r>
        <w:rPr>
          <w:spacing w:val="-2"/>
        </w:rPr>
        <w:t>定预警信息的发布及网络安全事件应急处置措施。网络安全法草案的公布表明，网络安全已上升至国家战略级层面，受到政</w:t>
      </w:r>
      <w:r>
        <w:rPr>
          <w:spacing w:val="-62"/>
        </w:rPr>
        <w:t> </w:t>
      </w:r>
      <w:r>
        <w:rPr>
          <w:spacing w:val="-62"/>
        </w:rPr>
      </w:r>
      <w:r>
        <w:rPr>
          <w:spacing w:val="-2"/>
        </w:rPr>
        <w:t>府的高度重视。此外，伴随中央机关采购计算机禁止安装</w:t>
      </w:r>
      <w:r>
        <w:rPr>
          <w:rFonts w:ascii="宋体" w:hAnsi="宋体" w:cs="宋体" w:eastAsia="宋体" w:hint="default"/>
          <w:spacing w:val="-2"/>
        </w:rPr>
        <w:t>win8</w:t>
      </w:r>
      <w:r>
        <w:rPr>
          <w:spacing w:val="-2"/>
        </w:rPr>
        <w:t>系统，政府采购部门将赛门铁克与卡巴斯基从安全软件供应商</w:t>
      </w:r>
      <w:r>
        <w:rPr>
          <w:spacing w:val="-63"/>
        </w:rPr>
        <w:t> </w:t>
      </w:r>
      <w:r>
        <w:rPr>
          <w:spacing w:val="-63"/>
        </w:rPr>
      </w:r>
      <w:r>
        <w:rPr>
          <w:spacing w:val="-2"/>
        </w:rPr>
        <w:t>名单中排除等规定的公布，信息自主可控、国产化替代趋势日益凸显，本土信息安全软件行业将大大受益。没有网络安全就</w:t>
      </w:r>
      <w:r>
        <w:rPr>
          <w:spacing w:val="-65"/>
        </w:rPr>
        <w:t> </w:t>
      </w:r>
      <w:r>
        <w:rPr>
          <w:spacing w:val="-65"/>
        </w:rPr>
      </w:r>
      <w:r>
        <w:rPr/>
        <w:t>没有信息安全，国家级信息安全保障体系势在必行。</w:t>
      </w:r>
    </w:p>
    <w:p>
      <w:pPr>
        <w:pStyle w:val="BodyText"/>
        <w:spacing w:line="316" w:lineRule="auto" w:before="19"/>
        <w:ind w:right="190" w:firstLine="360"/>
        <w:jc w:val="both"/>
      </w:pPr>
      <w:r>
        <w:rPr>
          <w:spacing w:val="-2"/>
        </w:rPr>
        <w:t>“十三五”高度重视强化信息安全保障，要求统筹网络安全和信息化发展，完善国家网络安全保障体系，强化重要信息</w:t>
      </w:r>
      <w:r>
        <w:rPr/>
        <w:t> </w:t>
      </w:r>
      <w:r>
        <w:rPr>
          <w:spacing w:val="-2"/>
        </w:rPr>
        <w:t>系统和数据资源保护，提高网络治理能力，保障国家信息安全；建立大数据安全管理制度，实施大数据安全保障工程，加强</w:t>
      </w:r>
      <w:r>
        <w:rPr>
          <w:spacing w:val="-66"/>
        </w:rPr>
        <w:t> </w:t>
      </w:r>
      <w:r>
        <w:rPr>
          <w:spacing w:val="-66"/>
        </w:rPr>
      </w:r>
      <w:r>
        <w:rPr>
          <w:spacing w:val="-2"/>
        </w:rPr>
        <w:t>数据资源在采集、存储、应用和开放等环节的安全保护；制定实施政治、国土、经济、社会、资源、网络等重点领域国家安</w:t>
      </w:r>
      <w:r>
        <w:rPr>
          <w:spacing w:val="-65"/>
        </w:rPr>
        <w:t> </w:t>
      </w:r>
      <w:r>
        <w:rPr>
          <w:spacing w:val="-65"/>
        </w:rPr>
      </w:r>
      <w:r>
        <w:rPr>
          <w:spacing w:val="-2"/>
        </w:rPr>
        <w:t>全政策，加强国家安全科技和装备建设，建立健全国家安全监测预警体系，强化不同领域监测预警系统的高效整合，提升安</w:t>
      </w:r>
      <w:r>
        <w:rPr>
          <w:spacing w:val="-65"/>
        </w:rPr>
        <w:t> </w:t>
      </w:r>
      <w:r>
        <w:rPr>
          <w:spacing w:val="-65"/>
        </w:rPr>
      </w:r>
      <w:r>
        <w:rPr>
          <w:spacing w:val="-2"/>
        </w:rPr>
        <w:t>全信息搜集分析和处理能力。加强网上主权空间对敌斗争和网络舆情管控，遏制敌对势力和恐怖势力利用网络空间进行渗透</w:t>
      </w:r>
      <w:r>
        <w:rPr>
          <w:spacing w:val="-64"/>
        </w:rPr>
        <w:t> </w:t>
      </w:r>
      <w:r>
        <w:rPr>
          <w:spacing w:val="-64"/>
        </w:rPr>
      </w:r>
      <w:r>
        <w:rPr/>
        <w:t>破坏活动。</w:t>
      </w:r>
    </w:p>
    <w:p>
      <w:pPr>
        <w:pStyle w:val="BodyText"/>
        <w:spacing w:line="319" w:lineRule="auto" w:before="19"/>
        <w:ind w:right="200" w:firstLine="360"/>
        <w:jc w:val="both"/>
      </w:pPr>
      <w:r>
        <w:rPr/>
        <w:t>综上，“十三五”规划推动了国家信息安全、大数据战略和“互联网</w:t>
      </w:r>
      <w:r>
        <w:rPr>
          <w:rFonts w:ascii="宋体" w:hAnsi="宋体" w:cs="宋体" w:eastAsia="宋体" w:hint="default"/>
        </w:rPr>
        <w:t>+</w:t>
      </w:r>
      <w:r>
        <w:rPr/>
        <w:t>”计划，以及融合新媒体、安全等行业出现较明 显的增长趋势，给公司所定位的技术方向或重点行业上带来极好的发展机遇和很大的扩张空间。</w:t>
      </w:r>
    </w:p>
    <w:p>
      <w:pPr>
        <w:spacing w:line="240" w:lineRule="auto" w:before="10"/>
        <w:rPr>
          <w:rFonts w:ascii="宋体" w:hAnsi="宋体" w:cs="宋体" w:eastAsia="宋体" w:hint="default"/>
          <w:sz w:val="20"/>
          <w:szCs w:val="20"/>
        </w:rPr>
      </w:pPr>
    </w:p>
    <w:p>
      <w:pPr>
        <w:pStyle w:val="BodyText"/>
        <w:spacing w:line="283" w:lineRule="auto"/>
        <w:ind w:left="513" w:right="183" w:hanging="361"/>
        <w:jc w:val="left"/>
      </w:pPr>
      <w:r>
        <w:rPr>
          <w:rFonts w:ascii="Microsoft JhengHei" w:hAnsi="Microsoft JhengHei" w:cs="Microsoft JhengHei" w:eastAsia="Microsoft JhengHei" w:hint="default"/>
          <w:b/>
          <w:bCs/>
        </w:rPr>
        <w:t>（二）公司发展战略</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“互联网</w:t>
      </w:r>
      <w:r>
        <w:rPr>
          <w:rFonts w:ascii="宋体" w:hAnsi="宋体" w:cs="宋体" w:eastAsia="宋体" w:hint="default"/>
        </w:rPr>
        <w:t>+</w:t>
      </w:r>
      <w:r>
        <w:rPr/>
        <w:t>”背景下，公司根据国家网络空间安全需要，顺应技术发展和市场趋势，启动并实施全新的战略规划，布局</w:t>
      </w:r>
    </w:p>
    <w:p>
      <w:pPr>
        <w:pStyle w:val="BodyText"/>
        <w:spacing w:line="316" w:lineRule="auto" w:before="44"/>
        <w:ind w:right="189"/>
        <w:jc w:val="both"/>
      </w:pPr>
      <w:r>
        <w:rPr>
          <w:spacing w:val="-2"/>
        </w:rPr>
        <w:t>信息安全、大数据、互联网三大业务方向。三个方向相辅相成、相互推进，将以信息安全为基础，充分借力大数据平台和技</w:t>
      </w:r>
      <w:r>
        <w:rPr>
          <w:spacing w:val="-68"/>
        </w:rPr>
        <w:t> </w:t>
      </w:r>
      <w:r>
        <w:rPr>
          <w:spacing w:val="-68"/>
        </w:rPr>
      </w:r>
      <w:r>
        <w:rPr>
          <w:spacing w:val="-2"/>
        </w:rPr>
        <w:t>术，进一步完善和提升终端安全体系防护能力，提高信息系统的</w:t>
      </w:r>
      <w:r>
        <w:rPr>
          <w:rFonts w:ascii="宋体" w:hAnsi="宋体" w:cs="宋体" w:eastAsia="宋体" w:hint="default"/>
          <w:spacing w:val="-2"/>
        </w:rPr>
        <w:t>IT</w:t>
      </w:r>
      <w:r>
        <w:rPr>
          <w:spacing w:val="-2"/>
        </w:rPr>
        <w:t>运维水平，以安全即时通信为基础，打造移动安全互联平</w:t>
      </w:r>
      <w:r>
        <w:rPr>
          <w:spacing w:val="-62"/>
        </w:rPr>
        <w:t> </w:t>
      </w:r>
      <w:r>
        <w:rPr>
          <w:spacing w:val="-62"/>
        </w:rPr>
      </w:r>
      <w:r>
        <w:rPr/>
        <w:t>台，实现对研发力量、网络应用和媒体等内容的聚合，多维度助力“互联网</w:t>
      </w:r>
      <w:r>
        <w:rPr>
          <w:rFonts w:ascii="宋体" w:hAnsi="宋体" w:cs="宋体" w:eastAsia="宋体" w:hint="default"/>
        </w:rPr>
        <w:t>+</w:t>
      </w:r>
      <w:r>
        <w:rPr/>
        <w:t>”，从而将公司打造成为业界领先的平台及服 务提供商。</w:t>
      </w:r>
    </w:p>
    <w:p>
      <w:pPr>
        <w:spacing w:line="240" w:lineRule="auto" w:before="12"/>
        <w:rPr>
          <w:rFonts w:ascii="宋体" w:hAnsi="宋体" w:cs="宋体" w:eastAsia="宋体" w:hint="default"/>
          <w:sz w:val="20"/>
          <w:szCs w:val="20"/>
        </w:rPr>
      </w:pPr>
    </w:p>
    <w:p>
      <w:pPr>
        <w:spacing w:line="283" w:lineRule="auto" w:before="0"/>
        <w:ind w:left="542" w:right="244" w:hanging="39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（三）</w:t>
      </w:r>
      <w:r>
        <w:rPr>
          <w:rFonts w:ascii="Trebuchet MS" w:hAnsi="Trebuchet MS" w:cs="Trebuchet MS" w:eastAsia="Trebuchet MS" w:hint="default"/>
          <w:b/>
          <w:bCs/>
          <w:sz w:val="18"/>
          <w:szCs w:val="18"/>
        </w:rPr>
        <w:t>2016</w:t>
      </w:r>
      <w:r>
        <w:rPr>
          <w:rFonts w:ascii="Microsoft JhengHei" w:hAnsi="Microsoft JhengHei" w:cs="Microsoft JhengHei" w:eastAsia="Microsoft JhengHei" w:hint="default"/>
          <w:b/>
          <w:bCs/>
          <w:sz w:val="18"/>
          <w:szCs w:val="18"/>
        </w:rPr>
        <w:t>年经营工作计划 </w:t>
      </w:r>
      <w:r>
        <w:rPr>
          <w:rFonts w:ascii="宋体" w:hAnsi="宋体" w:cs="宋体" w:eastAsia="宋体" w:hint="default"/>
          <w:sz w:val="18"/>
          <w:szCs w:val="18"/>
        </w:rPr>
        <w:t>2016</w:t>
      </w:r>
      <w:r>
        <w:rPr>
          <w:rFonts w:ascii="宋体" w:hAnsi="宋体" w:cs="宋体" w:eastAsia="宋体" w:hint="default"/>
          <w:sz w:val="18"/>
          <w:szCs w:val="18"/>
        </w:rPr>
        <w:t>年是公司承上启下的一年，公司将紧密围绕“信息安全、大数据、互联网”三大发展战略，加快业务发展，推进</w:t>
      </w:r>
    </w:p>
    <w:p>
      <w:pPr>
        <w:pStyle w:val="BodyText"/>
        <w:spacing w:line="338" w:lineRule="auto" w:before="44"/>
        <w:ind w:left="513" w:right="102" w:hanging="361"/>
        <w:jc w:val="left"/>
      </w:pPr>
      <w:r>
        <w:rPr/>
        <w:t>资源整合和投资并购，进一步推动经营业绩的稳步提升。为确保</w:t>
      </w:r>
      <w:r>
        <w:rPr>
          <w:rFonts w:ascii="宋体" w:hAnsi="宋体" w:cs="宋体" w:eastAsia="宋体" w:hint="default"/>
        </w:rPr>
        <w:t>2016</w:t>
      </w:r>
      <w:r>
        <w:rPr/>
        <w:t>年经营目标的实现，公司将着重做好以下工作： </w:t>
      </w:r>
      <w:r>
        <w:rPr>
          <w:rFonts w:ascii="宋体" w:hAnsi="宋体" w:cs="宋体" w:eastAsia="宋体" w:hint="default"/>
        </w:rPr>
        <w:t>1</w:t>
      </w:r>
      <w:r>
        <w:rPr/>
        <w:t>、加强研发、推陈出新，利用新技术、新产品提升公司业绩 </w:t>
      </w:r>
      <w:r>
        <w:rPr>
          <w:spacing w:val="-2"/>
        </w:rPr>
        <w:t>在大力发展现有信息安全业务的基础上，继续加大研发的力度，积极关注研究产业动态和发展方向。一方面，作为现有</w:t>
      </w:r>
    </w:p>
    <w:p>
      <w:pPr>
        <w:pStyle w:val="BodyText"/>
        <w:spacing w:line="316" w:lineRule="auto" w:before="2"/>
        <w:ind w:right="102"/>
        <w:jc w:val="both"/>
      </w:pPr>
      <w:r>
        <w:rPr>
          <w:spacing w:val="-2"/>
        </w:rPr>
        <w:t>业务的根基，公司将优化信息安全技术，提升产品附加值，保证公司现有信息安全产品的性能优越，打造新一代终端安全管</w:t>
      </w:r>
      <w:r>
        <w:rPr>
          <w:spacing w:val="-63"/>
        </w:rPr>
        <w:t> </w:t>
      </w:r>
      <w:r>
        <w:rPr>
          <w:spacing w:val="-63"/>
        </w:rPr>
      </w:r>
      <w:r>
        <w:rPr/>
        <w:t>理体系</w:t>
      </w:r>
      <w:r>
        <w:rPr>
          <w:rFonts w:ascii="宋体" w:hAnsi="宋体" w:cs="宋体" w:eastAsia="宋体" w:hint="default"/>
        </w:rPr>
        <w:t>--</w:t>
      </w:r>
      <w:r>
        <w:rPr/>
        <w:t>北信源</w:t>
      </w:r>
      <w:r>
        <w:rPr>
          <w:rFonts w:ascii="宋体" w:hAnsi="宋体" w:cs="宋体" w:eastAsia="宋体" w:hint="default"/>
        </w:rPr>
        <w:t>VRV NAST</w:t>
      </w:r>
      <w:r>
        <w:rPr/>
        <w:t>（</w:t>
      </w:r>
      <w:r>
        <w:rPr>
          <w:rFonts w:ascii="宋体" w:hAnsi="宋体" w:cs="宋体" w:eastAsia="宋体" w:hint="default"/>
        </w:rPr>
        <w:t>Next Administration of Secure</w:t>
      </w:r>
      <w:r>
        <w:rPr>
          <w:rFonts w:ascii="宋体" w:hAnsi="宋体" w:cs="宋体" w:eastAsia="宋体" w:hint="default"/>
          <w:spacing w:val="-7"/>
        </w:rPr>
        <w:t> </w:t>
      </w:r>
      <w:r>
        <w:rPr>
          <w:rFonts w:ascii="宋体" w:hAnsi="宋体" w:cs="宋体" w:eastAsia="宋体" w:hint="default"/>
        </w:rPr>
        <w:t>Terminals</w:t>
      </w:r>
      <w:r>
        <w:rPr/>
        <w:t>），为客户提供更加智慧、全面的整体安全解决方 </w:t>
      </w:r>
      <w:r>
        <w:rPr>
          <w:spacing w:val="-2"/>
        </w:rPr>
        <w:t>案。另一方面，公司深入大数据产品的研发，整合现有安全终端优势，实现不同行业的内网大数据采集、存储、建模、分析</w:t>
      </w:r>
      <w:r>
        <w:rPr>
          <w:spacing w:val="-73"/>
        </w:rPr>
        <w:t> </w:t>
      </w:r>
      <w:r>
        <w:rPr>
          <w:spacing w:val="-73"/>
        </w:rPr>
      </w:r>
      <w:r>
        <w:rPr/>
        <w:t>和展示，打造“大数据”内网安全产品生态体系，不但在防范</w:t>
      </w:r>
      <w:r>
        <w:rPr>
          <w:rFonts w:ascii="宋体" w:hAnsi="宋体" w:cs="宋体" w:eastAsia="宋体" w:hint="default"/>
        </w:rPr>
        <w:t>APT</w:t>
      </w:r>
      <w:r>
        <w:rPr/>
        <w:t>攻击、数据防泄漏等方面提高主动安全防御能力，同时为</w:t>
      </w:r>
      <w:r>
        <w:rPr>
          <w:spacing w:val="-85"/>
        </w:rPr>
        <w:t> </w:t>
      </w:r>
      <w:r>
        <w:rPr>
          <w:spacing w:val="-85"/>
        </w:rPr>
      </w:r>
      <w:r>
        <w:rPr>
          <w:spacing w:val="-2"/>
        </w:rPr>
        <w:t>感知、优化和再造业务流程提供有效手段，提升用户工作效率。同时，公司将依托于新一代互联网安全聚合通道项目，在互</w:t>
      </w:r>
      <w:r>
        <w:rPr>
          <w:spacing w:val="-67"/>
        </w:rPr>
        <w:t> </w:t>
      </w:r>
      <w:r>
        <w:rPr>
          <w:spacing w:val="-67"/>
        </w:rPr>
      </w:r>
      <w:r>
        <w:rPr>
          <w:spacing w:val="-3"/>
        </w:rPr>
        <w:t>联网产品方面加快研发进程，实现互联互通，打造智能开放的</w:t>
      </w:r>
      <w:r>
        <w:rPr>
          <w:rFonts w:ascii="宋体" w:hAnsi="宋体" w:cs="宋体" w:eastAsia="宋体" w:hint="default"/>
          <w:spacing w:val="-3"/>
        </w:rPr>
        <w:t>DDIO+SDK</w:t>
      </w:r>
      <w:r>
        <w:rPr>
          <w:spacing w:val="-3"/>
        </w:rPr>
        <w:t>服务接口，使信源豆豆拓展为</w:t>
      </w:r>
      <w:r>
        <w:rPr>
          <w:rFonts w:ascii="宋体" w:hAnsi="宋体" w:cs="宋体" w:eastAsia="宋体" w:hint="default"/>
          <w:spacing w:val="-3"/>
        </w:rPr>
        <w:t>AI+IOT</w:t>
      </w:r>
      <w:r>
        <w:rPr>
          <w:spacing w:val="-3"/>
        </w:rPr>
        <w:t>的智能社交平台。</w:t>
      </w:r>
    </w:p>
    <w:p>
      <w:pPr>
        <w:pStyle w:val="BodyText"/>
        <w:spacing w:line="316" w:lineRule="auto" w:before="58"/>
        <w:ind w:right="109" w:firstLine="360"/>
        <w:jc w:val="both"/>
      </w:pPr>
      <w:r>
        <w:rPr/>
        <w:t>巩固现有产品性能，关注产业发展动态，贴近市场需求，紧随技术潮流，与新兴科技研发机构加深合作，推出新产品、 新技术，提升公司战略布局眼光，这是公司未来增长的源泉和保障。</w:t>
      </w:r>
    </w:p>
    <w:p>
      <w:pPr>
        <w:pStyle w:val="BodyText"/>
        <w:spacing w:line="316" w:lineRule="auto" w:before="19"/>
        <w:ind w:left="513" w:right="93"/>
        <w:jc w:val="left"/>
      </w:pPr>
      <w:r>
        <w:rPr>
          <w:rFonts w:ascii="宋体" w:hAnsi="宋体" w:cs="宋体" w:eastAsia="宋体" w:hint="default"/>
        </w:rPr>
        <w:t>2</w:t>
      </w:r>
      <w:r>
        <w:rPr/>
        <w:t>、积极推进非公开发行股票事项，举旗新一代互联网安全通道与社交网络创新技术和应用 本次非公开发行股票募集资金将主要用于新一代互联网安全聚合通道项目和北信源（南京）研发运营基地项目的实施。</w:t>
      </w:r>
    </w:p>
    <w:p>
      <w:pPr>
        <w:pStyle w:val="BodyText"/>
        <w:spacing w:line="316" w:lineRule="auto" w:before="19"/>
        <w:ind w:right="189"/>
        <w:jc w:val="both"/>
      </w:pPr>
      <w:r>
        <w:rPr>
          <w:spacing w:val="-2"/>
        </w:rPr>
        <w:t>公司将基于当前公司信息安全业务方面的技术优势，举旗新一代互联网通道与社交网络创新技术和应用，创新设计新一代互</w:t>
      </w:r>
      <w:r>
        <w:rPr>
          <w:spacing w:val="-63"/>
        </w:rPr>
        <w:t> </w:t>
      </w:r>
      <w:r>
        <w:rPr>
          <w:spacing w:val="-63"/>
        </w:rPr>
      </w:r>
      <w:r>
        <w:rPr>
          <w:spacing w:val="-2"/>
        </w:rPr>
        <w:t>联网通道体系结构和核心产品，从社交互联网和信息安全聚合切入，战略发展新一代互联网通道服务，解决当前即时通信服</w:t>
      </w:r>
      <w:r>
        <w:rPr>
          <w:spacing w:val="-63"/>
        </w:rPr>
        <w:t> </w:t>
      </w:r>
      <w:r>
        <w:rPr>
          <w:spacing w:val="-63"/>
        </w:rPr>
      </w:r>
      <w:r>
        <w:rPr>
          <w:spacing w:val="-2"/>
        </w:rPr>
        <w:t>务面临的安全、便捷等问题，拓宽公司业务范围，延长公司现有业务的产业链，促进公司在现有业务之外形成新的盈利增长</w:t>
      </w:r>
      <w:r>
        <w:rPr>
          <w:spacing w:val="-64"/>
        </w:rPr>
        <w:t> </w:t>
      </w:r>
      <w:r>
        <w:rPr>
          <w:spacing w:val="-64"/>
        </w:rPr>
      </w:r>
      <w:r>
        <w:rPr>
          <w:spacing w:val="-2"/>
        </w:rPr>
        <w:t>点通过本项目的实施，公司将新兴的云计算、大数据、即时通信等技术与现有信息安全、数据安全业务相结合，在现有终端</w:t>
      </w:r>
      <w:r>
        <w:rPr>
          <w:spacing w:val="-67"/>
        </w:rPr>
        <w:t> </w:t>
      </w:r>
      <w:r>
        <w:rPr>
          <w:spacing w:val="-67"/>
        </w:rPr>
      </w:r>
      <w:r>
        <w:rPr>
          <w:spacing w:val="-2"/>
        </w:rPr>
        <w:t>安全服务基础上进一步为客户提供跨终端、全方位的安全通信和互联互通服务，有利于公司实现传统终端安全和互联网信息</w:t>
      </w:r>
      <w:r>
        <w:rPr>
          <w:spacing w:val="-64"/>
        </w:rPr>
        <w:t> </w:t>
      </w:r>
      <w:r>
        <w:rPr>
          <w:spacing w:val="-64"/>
        </w:rPr>
      </w:r>
      <w:r>
        <w:rPr>
          <w:spacing w:val="-2"/>
        </w:rPr>
        <w:t>安全双轮驱动的业务新格局，形成新的利润持续增长极，有效提升公司的核心竞争力和行业影响力。从而实现公司的整体跨</w:t>
      </w:r>
      <w:r>
        <w:rPr>
          <w:spacing w:val="-62"/>
        </w:rPr>
        <w:t> </w:t>
      </w:r>
      <w:r>
        <w:rPr>
          <w:spacing w:val="-62"/>
        </w:rPr>
      </w:r>
      <w:r>
        <w:rPr/>
        <w:t>越式发展。</w:t>
      </w:r>
    </w:p>
    <w:p>
      <w:pPr>
        <w:pStyle w:val="BodyText"/>
        <w:spacing w:line="316" w:lineRule="auto" w:before="19"/>
        <w:ind w:left="513" w:right="183"/>
        <w:jc w:val="left"/>
      </w:pPr>
      <w:r>
        <w:rPr>
          <w:rFonts w:ascii="宋体" w:hAnsi="宋体" w:cs="宋体" w:eastAsia="宋体" w:hint="default"/>
        </w:rPr>
        <w:t>3</w:t>
      </w:r>
      <w:r>
        <w:rPr/>
        <w:t>、深挖市场需求，加强市场宣传，提高互联网知名度 公司继续强化总部市场策略，深挖市场需求</w:t>
      </w:r>
      <w:r>
        <w:rPr>
          <w:rFonts w:ascii="宋体" w:hAnsi="宋体" w:cs="宋体" w:eastAsia="宋体" w:hint="default"/>
        </w:rPr>
        <w:t>:</w:t>
      </w:r>
      <w:r>
        <w:rPr/>
        <w:t>一方面公司深度挖掘已开发的政府部门、军工、金融以及能源企业客户总</w:t>
      </w:r>
    </w:p>
    <w:p>
      <w:pPr>
        <w:spacing w:after="0" w:line="316"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right="191"/>
        <w:jc w:val="both"/>
      </w:pPr>
      <w:r>
        <w:rPr/>
        <w:t>部机</w:t>
      </w:r>
      <w:r>
        <w:rPr>
          <w:spacing w:val="19"/>
        </w:rPr>
        <w:t> </w:t>
      </w:r>
      <w:r>
        <w:rPr>
          <w:spacing w:val="-2"/>
        </w:rPr>
        <w:t>构的需求</w:t>
      </w:r>
      <w:r>
        <w:rPr>
          <w:rFonts w:ascii="宋体" w:hAnsi="宋体" w:cs="宋体" w:eastAsia="宋体" w:hint="default"/>
          <w:spacing w:val="-2"/>
        </w:rPr>
        <w:t>,</w:t>
      </w:r>
      <w:r>
        <w:rPr>
          <w:spacing w:val="-2"/>
        </w:rPr>
        <w:t>适时推广公司的新产品及服务</w:t>
      </w:r>
      <w:r>
        <w:rPr>
          <w:rFonts w:ascii="宋体" w:hAnsi="宋体" w:cs="宋体" w:eastAsia="宋体" w:hint="default"/>
          <w:spacing w:val="-2"/>
        </w:rPr>
        <w:t>,</w:t>
      </w:r>
      <w:r>
        <w:rPr>
          <w:spacing w:val="-2"/>
        </w:rPr>
        <w:t>同时通过投资、合作</w:t>
      </w:r>
      <w:r>
        <w:rPr>
          <w:rFonts w:ascii="宋体" w:hAnsi="宋体" w:cs="宋体" w:eastAsia="宋体" w:hint="default"/>
          <w:spacing w:val="-2"/>
        </w:rPr>
        <w:t>,</w:t>
      </w:r>
      <w:r>
        <w:rPr>
          <w:spacing w:val="-2"/>
        </w:rPr>
        <w:t>进一步拓展公司产品的市场覆盖率</w:t>
      </w:r>
      <w:r>
        <w:rPr>
          <w:rFonts w:ascii="宋体" w:hAnsi="宋体" w:cs="宋体" w:eastAsia="宋体" w:hint="default"/>
          <w:spacing w:val="-2"/>
        </w:rPr>
        <w:t>;</w:t>
      </w:r>
      <w:r>
        <w:rPr>
          <w:spacing w:val="-2"/>
        </w:rPr>
        <w:t>另一方面</w:t>
      </w:r>
      <w:r>
        <w:rPr>
          <w:rFonts w:ascii="宋体" w:hAnsi="宋体" w:cs="宋体" w:eastAsia="宋体" w:hint="default"/>
          <w:spacing w:val="-2"/>
        </w:rPr>
        <w:t>,</w:t>
      </w:r>
      <w:r>
        <w:rPr>
          <w:spacing w:val="-2"/>
        </w:rPr>
        <w:t>公司充分</w:t>
      </w:r>
      <w:r>
        <w:rPr>
          <w:spacing w:val="-88"/>
        </w:rPr>
        <w:t> </w:t>
      </w:r>
      <w:r>
        <w:rPr>
          <w:spacing w:val="-88"/>
        </w:rPr>
      </w:r>
      <w:r>
        <w:rPr/>
        <w:t>利用已形成的总部优势</w:t>
      </w:r>
      <w:r>
        <w:rPr>
          <w:rFonts w:ascii="宋体" w:hAnsi="宋体" w:cs="宋体" w:eastAsia="宋体" w:hint="default"/>
        </w:rPr>
        <w:t>,</w:t>
      </w:r>
      <w:r>
        <w:rPr/>
        <w:t>沿着纵向管理层级体系向其下属省、市、县级机构延伸</w:t>
      </w:r>
      <w:r>
        <w:rPr>
          <w:rFonts w:ascii="宋体" w:hAnsi="宋体" w:cs="宋体" w:eastAsia="宋体" w:hint="default"/>
        </w:rPr>
        <w:t>,</w:t>
      </w:r>
      <w:r>
        <w:rPr/>
        <w:t>不断地拓展公司产品应用范围</w:t>
      </w:r>
      <w:r>
        <w:rPr>
          <w:rFonts w:ascii="宋体" w:hAnsi="宋体" w:cs="宋体" w:eastAsia="宋体" w:hint="default"/>
        </w:rPr>
        <w:t>;</w:t>
      </w:r>
      <w:r>
        <w:rPr/>
        <w:t>同时公司利</w:t>
      </w:r>
      <w:r>
        <w:rPr>
          <w:spacing w:val="-86"/>
        </w:rPr>
        <w:t> </w:t>
      </w:r>
      <w:r>
        <w:rPr/>
        <w:t>用丰富的经验和成熟的市场策略</w:t>
      </w:r>
      <w:r>
        <w:rPr>
          <w:rFonts w:ascii="宋体" w:hAnsi="宋体" w:cs="宋体" w:eastAsia="宋体" w:hint="default"/>
        </w:rPr>
        <w:t>,</w:t>
      </w:r>
      <w:r>
        <w:rPr>
          <w:rFonts w:ascii="宋体" w:hAnsi="宋体" w:cs="宋体" w:eastAsia="宋体" w:hint="default"/>
          <w:spacing w:val="1"/>
        </w:rPr>
        <w:t> </w:t>
      </w:r>
      <w:r>
        <w:rPr/>
        <w:t>将成熟的销售模式向其他行业和客户进行复制</w:t>
      </w:r>
      <w:r>
        <w:rPr>
          <w:rFonts w:ascii="宋体" w:hAnsi="宋体" w:cs="宋体" w:eastAsia="宋体" w:hint="default"/>
        </w:rPr>
        <w:t>,</w:t>
      </w:r>
      <w:r>
        <w:rPr/>
        <w:t>不断开拓出优质的新客户。</w:t>
      </w:r>
    </w:p>
    <w:p>
      <w:pPr>
        <w:pStyle w:val="BodyText"/>
        <w:spacing w:line="316" w:lineRule="auto" w:before="19"/>
        <w:ind w:right="192" w:firstLine="360"/>
        <w:jc w:val="both"/>
      </w:pPr>
      <w:r>
        <w:rPr>
          <w:spacing w:val="-2"/>
        </w:rPr>
        <w:t>同时公司的产品日臻完善，</w:t>
      </w:r>
      <w:r>
        <w:rPr>
          <w:rFonts w:ascii="宋体" w:hAnsi="宋体" w:cs="宋体" w:eastAsia="宋体" w:hint="default"/>
          <w:spacing w:val="-2"/>
        </w:rPr>
        <w:t>2016</w:t>
      </w:r>
      <w:r>
        <w:rPr>
          <w:spacing w:val="-2"/>
        </w:rPr>
        <w:t>年，公司将积极参与行业性会议，通过组织研讨等方式，加强公司产品在客户群体中的</w:t>
      </w:r>
      <w:r>
        <w:rPr/>
        <w:t> </w:t>
      </w:r>
      <w:r>
        <w:rPr>
          <w:spacing w:val="-2"/>
        </w:rPr>
        <w:t>宣传力度，提高品牌认知度和客户认可度。另外，结合互联网产品的推广特点，公司组织专人进行市场营销推广，包括但不</w:t>
      </w:r>
      <w:r>
        <w:rPr>
          <w:spacing w:val="-66"/>
        </w:rPr>
        <w:t> </w:t>
      </w:r>
      <w:r>
        <w:rPr>
          <w:spacing w:val="-66"/>
        </w:rPr>
      </w:r>
      <w:r>
        <w:rPr/>
        <w:t>限于加强第三方合作、开拓渠道、展开线上线下推广等，积极提高公司信源豆豆</w:t>
      </w:r>
      <w:r>
        <w:rPr>
          <w:rFonts w:ascii="宋体" w:hAnsi="宋体" w:cs="宋体" w:eastAsia="宋体" w:hint="default"/>
        </w:rPr>
        <w:t>Linkdood</w:t>
      </w:r>
      <w:r>
        <w:rPr/>
        <w:t>的市场占有率和活跃用户数。</w:t>
      </w:r>
    </w:p>
    <w:p>
      <w:pPr>
        <w:pStyle w:val="BodyText"/>
        <w:spacing w:line="316" w:lineRule="auto" w:before="19"/>
        <w:ind w:left="542" w:right="244" w:hanging="29"/>
        <w:jc w:val="left"/>
      </w:pPr>
      <w:r>
        <w:rPr>
          <w:rFonts w:ascii="宋体" w:hAnsi="宋体" w:cs="宋体" w:eastAsia="宋体" w:hint="default"/>
        </w:rPr>
        <w:t>4</w:t>
      </w:r>
      <w:r>
        <w:rPr/>
        <w:t>、全面提升企业管理水平 随着公司资产规模和业务范围的不断扩大，要求公司与各投资并购对象在企业文化、经营管理、业务拓展等方面进行</w:t>
      </w:r>
    </w:p>
    <w:p>
      <w:pPr>
        <w:pStyle w:val="BodyText"/>
        <w:spacing w:line="319" w:lineRule="auto" w:before="19"/>
        <w:ind w:right="189"/>
        <w:jc w:val="both"/>
      </w:pPr>
      <w:r>
        <w:rPr>
          <w:spacing w:val="-2"/>
        </w:rPr>
        <w:t>融合。应对变化，对公司内部管理也提出了更高的要求。</w:t>
      </w:r>
      <w:r>
        <w:rPr>
          <w:rFonts w:ascii="宋体" w:hAnsi="宋体" w:cs="宋体" w:eastAsia="宋体" w:hint="default"/>
          <w:spacing w:val="-2"/>
        </w:rPr>
        <w:t>2016</w:t>
      </w:r>
      <w:r>
        <w:rPr>
          <w:spacing w:val="-2"/>
        </w:rPr>
        <w:t>年公司将进一步强化财务管理，充分发挥财务预算、计划、控</w:t>
      </w:r>
      <w:r>
        <w:rPr>
          <w:spacing w:val="-62"/>
        </w:rPr>
        <w:t> </w:t>
      </w:r>
      <w:r>
        <w:rPr>
          <w:spacing w:val="-62"/>
        </w:rPr>
      </w:r>
      <w:r>
        <w:rPr>
          <w:spacing w:val="-2"/>
        </w:rPr>
        <w:t>制职能作用；进一步加强人力资源管理，完善组织绩效管理框架，以及绩效考核机制和激励机制；引进高端人才，加强人才</w:t>
      </w:r>
      <w:r>
        <w:rPr>
          <w:spacing w:val="-67"/>
        </w:rPr>
        <w:t> </w:t>
      </w:r>
      <w:r>
        <w:rPr>
          <w:spacing w:val="-67"/>
        </w:rPr>
      </w:r>
      <w:r>
        <w:rPr>
          <w:spacing w:val="-2"/>
        </w:rPr>
        <w:t>梯队建设，夯实人才基础；优化公司组织机构和人员结构，降低公司运营成本；进一步加强企业文化建设，健全内部管理制</w:t>
      </w:r>
      <w:r>
        <w:rPr>
          <w:spacing w:val="-67"/>
        </w:rPr>
        <w:t> </w:t>
      </w:r>
      <w:r>
        <w:rPr>
          <w:spacing w:val="-67"/>
        </w:rPr>
      </w:r>
      <w:r>
        <w:rPr/>
        <w:t>度体系，促进公司长期可持续健康发展。</w:t>
      </w:r>
    </w:p>
    <w:p>
      <w:pPr>
        <w:pStyle w:val="BodyText"/>
        <w:spacing w:line="240" w:lineRule="auto" w:before="17"/>
        <w:ind w:left="542" w:right="102"/>
        <w:jc w:val="left"/>
      </w:pPr>
      <w:r>
        <w:rPr>
          <w:rFonts w:ascii="宋体" w:hAnsi="宋体" w:cs="宋体" w:eastAsia="宋体" w:hint="default"/>
        </w:rPr>
        <w:t>5</w:t>
      </w:r>
      <w:r>
        <w:rPr/>
        <w:t>、继续加强现金流管理以及应收账款管理</w:t>
      </w:r>
    </w:p>
    <w:p>
      <w:pPr>
        <w:pStyle w:val="BodyText"/>
        <w:spacing w:line="316" w:lineRule="auto" w:before="76"/>
        <w:ind w:right="102" w:firstLine="391"/>
        <w:jc w:val="left"/>
      </w:pPr>
      <w:r>
        <w:rPr>
          <w:rFonts w:ascii="宋体" w:hAnsi="宋体" w:cs="宋体" w:eastAsia="宋体" w:hint="default"/>
        </w:rPr>
        <w:t>2015</w:t>
      </w:r>
      <w:r>
        <w:rPr/>
        <w:t>年，公司加大应收账款催收及细化现金流管理，取得了积极成效，</w:t>
      </w:r>
      <w:r>
        <w:rPr>
          <w:rFonts w:ascii="宋体" w:hAnsi="宋体" w:cs="宋体" w:eastAsia="宋体" w:hint="default"/>
        </w:rPr>
        <w:t>2016</w:t>
      </w:r>
      <w:r>
        <w:rPr/>
        <w:t>年，公司将做好全面预算管理，继续加强 </w:t>
      </w:r>
      <w:r>
        <w:rPr>
          <w:spacing w:val="-2"/>
        </w:rPr>
        <w:t>绩效管理和精细化管理，完善公司现金流及应收账款管理，促进人均效率提升，并围绕授权、审计、问责机制，定期或不定</w:t>
      </w:r>
      <w:r>
        <w:rPr>
          <w:spacing w:val="-70"/>
        </w:rPr>
        <w:t> </w:t>
      </w:r>
      <w:r>
        <w:rPr>
          <w:spacing w:val="-70"/>
        </w:rPr>
      </w:r>
      <w:r>
        <w:rPr>
          <w:spacing w:val="-2"/>
        </w:rPr>
        <w:t>期检查、跟踪落实，建立对目标结果的监督和评价，以持续降低成本，谋求更大的市场竞争优势。通过加强应收款的回款和</w:t>
      </w:r>
      <w:r>
        <w:rPr>
          <w:spacing w:val="-67"/>
        </w:rPr>
        <w:t> </w:t>
      </w:r>
      <w:r>
        <w:rPr>
          <w:spacing w:val="-67"/>
        </w:rPr>
      </w:r>
      <w:r>
        <w:rPr/>
        <w:t>清理工作，提升资金周转率；同时，公司将加大与融资渠道的沟通，扩展多样性的融资渠道。</w:t>
      </w:r>
    </w:p>
    <w:p>
      <w:pPr>
        <w:pStyle w:val="BodyText"/>
        <w:spacing w:line="240" w:lineRule="auto" w:before="19"/>
        <w:ind w:left="542" w:right="102"/>
        <w:jc w:val="left"/>
      </w:pPr>
      <w:r>
        <w:rPr>
          <w:rFonts w:ascii="宋体" w:hAnsi="宋体" w:cs="宋体" w:eastAsia="宋体" w:hint="default"/>
        </w:rPr>
        <w:t>6</w:t>
      </w:r>
      <w:r>
        <w:rPr/>
        <w:t>、进一步加强产业链整合和投资并购，持续推动外延式发展</w:t>
      </w:r>
    </w:p>
    <w:p>
      <w:pPr>
        <w:pStyle w:val="BodyText"/>
        <w:spacing w:line="319" w:lineRule="auto" w:before="76"/>
        <w:ind w:right="102" w:firstLine="389"/>
        <w:jc w:val="left"/>
      </w:pPr>
      <w:r>
        <w:rPr>
          <w:rFonts w:ascii="宋体" w:hAnsi="宋体" w:cs="宋体" w:eastAsia="宋体" w:hint="default"/>
        </w:rPr>
        <w:t>2016</w:t>
      </w:r>
      <w:r>
        <w:rPr/>
        <w:t>年，公司将积极推进投资并购等各项工作的开展，通过持续外延方式拓展业务布局、投资并购多样化领域增加新 </w:t>
      </w:r>
      <w:r>
        <w:rPr>
          <w:spacing w:val="-2"/>
        </w:rPr>
        <w:t>的盈利点。公司将根据自身在资金、技术和管理等方面的实际情况，围绕主营业务，适时的进行投资并购一些与自身发展目</w:t>
      </w:r>
      <w:r>
        <w:rPr>
          <w:spacing w:val="-63"/>
        </w:rPr>
        <w:t> </w:t>
      </w:r>
      <w:r>
        <w:rPr>
          <w:spacing w:val="-63"/>
        </w:rPr>
      </w:r>
      <w:r>
        <w:rPr>
          <w:spacing w:val="-2"/>
        </w:rPr>
        <w:t>标相符合，具有一定的技术互补性或具有上下游关系的企业，逐步提升公司产品在信息安全领域的覆盖面。确保充分发挥各</w:t>
      </w:r>
      <w:r>
        <w:rPr>
          <w:spacing w:val="-63"/>
        </w:rPr>
        <w:t> </w:t>
      </w:r>
      <w:r>
        <w:rPr>
          <w:spacing w:val="-63"/>
        </w:rPr>
      </w:r>
      <w:r>
        <w:rPr/>
        <w:t>投资标的协同效应，将促进公司信息安全、大数据、互联网业务的良性、有效、可持续发展。</w:t>
      </w:r>
    </w:p>
    <w:p>
      <w:pPr>
        <w:pStyle w:val="BodyText"/>
        <w:spacing w:line="316" w:lineRule="auto" w:before="17"/>
        <w:ind w:left="542" w:right="244"/>
        <w:jc w:val="left"/>
      </w:pPr>
      <w:r>
        <w:rPr>
          <w:rFonts w:ascii="宋体" w:hAnsi="宋体" w:cs="宋体" w:eastAsia="宋体" w:hint="default"/>
        </w:rPr>
        <w:t>7</w:t>
      </w:r>
      <w:r>
        <w:rPr/>
        <w:t>、强化市值管理，加强投资者沟通 公司将积极探索适合公司的市值管理模式，提升投资者关系管理水平。通过搭建多样化的沟通平台，进一步加强与投</w:t>
      </w:r>
    </w:p>
    <w:p>
      <w:pPr>
        <w:pStyle w:val="BodyText"/>
        <w:spacing w:line="316" w:lineRule="auto" w:before="19"/>
        <w:ind w:right="191"/>
        <w:jc w:val="both"/>
      </w:pPr>
      <w:r>
        <w:rPr>
          <w:spacing w:val="-2"/>
        </w:rPr>
        <w:t>资者之间的互动与沟通，加深投资者对公司的了解与认同，促进公司与投资者之间形成长期、稳定的良好互动关系，提升公</w:t>
      </w:r>
      <w:r>
        <w:rPr>
          <w:spacing w:val="-64"/>
        </w:rPr>
        <w:t> </w:t>
      </w:r>
      <w:r>
        <w:rPr>
          <w:spacing w:val="-64"/>
        </w:rPr>
      </w:r>
      <w:r>
        <w:rPr/>
        <w:t>司的诚信度，树立良好的资本市场形象，最终实现公司价值最大化和投资者利益最大化。</w:t>
      </w:r>
    </w:p>
    <w:p>
      <w:pPr>
        <w:pStyle w:val="BodyText"/>
        <w:spacing w:line="316" w:lineRule="auto" w:before="19"/>
        <w:ind w:left="542" w:right="244" w:firstLine="62"/>
        <w:jc w:val="left"/>
      </w:pPr>
      <w:r>
        <w:rPr>
          <w:rFonts w:ascii="宋体" w:hAnsi="宋体" w:cs="宋体" w:eastAsia="宋体" w:hint="default"/>
        </w:rPr>
        <w:t>8</w:t>
      </w:r>
      <w:r>
        <w:rPr/>
        <w:t>、国际化经营 公司将抓住本次非公开发行的有利时机，完成非公开投资项目建设，全面提升公司的核心技术水平和技术服务能力。</w:t>
      </w:r>
    </w:p>
    <w:p>
      <w:pPr>
        <w:pStyle w:val="BodyText"/>
        <w:spacing w:line="316" w:lineRule="auto" w:before="19"/>
        <w:ind w:right="190"/>
        <w:jc w:val="both"/>
      </w:pPr>
      <w:r>
        <w:rPr>
          <w:spacing w:val="-2"/>
        </w:rPr>
        <w:t>公司将加强对外战略合作，并考虑适时的在当地设立代理机构甚至分支机构，逐步建立并完善国际营销网络，走国际化经营</w:t>
      </w:r>
      <w:r>
        <w:rPr>
          <w:spacing w:val="-63"/>
        </w:rPr>
        <w:t> </w:t>
      </w:r>
      <w:r>
        <w:rPr>
          <w:spacing w:val="-63"/>
        </w:rPr>
      </w:r>
      <w:r>
        <w:rPr/>
        <w:t>之路，力争成为国际著名的大型信息安全领导企业。</w:t>
      </w:r>
    </w:p>
    <w:p>
      <w:pPr>
        <w:pStyle w:val="Heading4"/>
        <w:spacing w:line="275" w:lineRule="exact"/>
        <w:ind w:left="604" w:right="102"/>
        <w:jc w:val="left"/>
        <w:rPr>
          <w:b w:val="0"/>
          <w:bCs w:val="0"/>
        </w:rPr>
      </w:pPr>
      <w:r>
        <w:rPr/>
        <w:t>上述计划并不代表公司对</w:t>
      </w:r>
      <w:r>
        <w:rPr>
          <w:rFonts w:ascii="Trebuchet MS" w:hAnsi="Trebuchet MS" w:cs="Trebuchet MS" w:eastAsia="Trebuchet MS" w:hint="default"/>
        </w:rPr>
        <w:t>2016</w:t>
      </w:r>
      <w:r>
        <w:rPr/>
        <w:t>年度的盈利预测，不构成公司对投资者的实质承诺，请投资者注意投资风险。</w:t>
      </w:r>
      <w:r>
        <w:rPr>
          <w:b w:val="0"/>
          <w:bCs w:val="0"/>
        </w:rPr>
      </w:r>
    </w:p>
    <w:p>
      <w:pPr>
        <w:spacing w:line="240" w:lineRule="auto" w:before="15"/>
        <w:rPr>
          <w:rFonts w:ascii="Microsoft JhengHei" w:hAnsi="Microsoft JhengHei" w:cs="Microsoft JhengHei" w:eastAsia="Microsoft JhengHei" w:hint="default"/>
          <w:b/>
          <w:bCs/>
          <w:sz w:val="17"/>
          <w:szCs w:val="17"/>
        </w:rPr>
      </w:pPr>
    </w:p>
    <w:p>
      <w:pPr>
        <w:spacing w:line="283" w:lineRule="auto" w:before="0"/>
        <w:ind w:left="544" w:right="7892" w:hanging="392"/>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（四）可能面对的风险</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宋体" w:hAnsi="宋体" w:cs="宋体" w:eastAsia="宋体" w:hint="default"/>
          <w:sz w:val="18"/>
          <w:szCs w:val="18"/>
        </w:rPr>
        <w:t>1</w:t>
      </w:r>
      <w:r>
        <w:rPr>
          <w:rFonts w:ascii="宋体" w:hAnsi="宋体" w:cs="宋体" w:eastAsia="宋体" w:hint="default"/>
          <w:sz w:val="18"/>
          <w:szCs w:val="18"/>
        </w:rPr>
        <w:t>、技术创新的风险</w:t>
      </w:r>
    </w:p>
    <w:p>
      <w:pPr>
        <w:pStyle w:val="BodyText"/>
        <w:spacing w:line="316" w:lineRule="auto" w:before="44"/>
        <w:ind w:right="102" w:firstLine="391"/>
        <w:jc w:val="left"/>
      </w:pPr>
      <w:r>
        <w:rPr/>
        <w:t>经过多年的技术积累和创新，公司拥有众多核心产品和行业应用解决方案。由于软件行业正处于快速发展阶段，技术 </w:t>
      </w:r>
      <w:r>
        <w:rPr>
          <w:spacing w:val="-2"/>
        </w:rPr>
        <w:t>更新和换代速度快，随着用户信息管理应用的深入与升级，对软件技术也提出更高的要求，如果本公司的研发不能及时跟上</w:t>
      </w:r>
      <w:r>
        <w:rPr>
          <w:spacing w:val="-63"/>
        </w:rPr>
        <w:t> </w:t>
      </w:r>
      <w:r>
        <w:rPr>
          <w:spacing w:val="-63"/>
        </w:rPr>
      </w:r>
      <w:r>
        <w:rPr>
          <w:spacing w:val="-2"/>
        </w:rPr>
        <w:t>行业技术更新换代的速度，或不能及时将新技术运用于产品开发和升级，将削弱公司的市场竞争优势，公司持续通过研发投</w:t>
      </w:r>
      <w:r>
        <w:rPr>
          <w:spacing w:val="-63"/>
        </w:rPr>
        <w:t> </w:t>
      </w:r>
      <w:r>
        <w:rPr>
          <w:spacing w:val="-63"/>
        </w:rPr>
      </w:r>
      <w:r>
        <w:rPr>
          <w:spacing w:val="-2"/>
        </w:rPr>
        <w:t>入和技术创新，紧跟行业发展趋势，不断提升技术管理水平，把握产品和技术研发方向，技术研发面向市场，及时根据市场</w:t>
      </w:r>
      <w:r>
        <w:rPr>
          <w:spacing w:val="-67"/>
        </w:rPr>
        <w:t> </w:t>
      </w:r>
      <w:r>
        <w:rPr>
          <w:spacing w:val="-67"/>
        </w:rPr>
      </w:r>
      <w:r>
        <w:rPr/>
        <w:t>变化和客户需求推出新产品和解决方案。</w:t>
      </w:r>
    </w:p>
    <w:p>
      <w:pPr>
        <w:pStyle w:val="BodyText"/>
        <w:spacing w:line="316" w:lineRule="auto" w:before="19"/>
        <w:ind w:left="515" w:right="102"/>
        <w:jc w:val="left"/>
      </w:pPr>
      <w:r>
        <w:rPr>
          <w:rFonts w:ascii="宋体" w:hAnsi="宋体" w:cs="宋体" w:eastAsia="宋体" w:hint="default"/>
        </w:rPr>
        <w:t>2</w:t>
      </w:r>
      <w:r>
        <w:rPr/>
        <w:t>、行业政策风险 </w:t>
      </w:r>
      <w:r>
        <w:rPr>
          <w:spacing w:val="-2"/>
        </w:rPr>
        <w:t>国家大力推动软件产业发展，相关政府部门先后颁布财税、研发、知识产权等多项扶持政策，为行业发展提供了有力的</w:t>
      </w:r>
    </w:p>
    <w:p>
      <w:pPr>
        <w:pStyle w:val="BodyText"/>
        <w:spacing w:line="319" w:lineRule="auto" w:before="19"/>
        <w:ind w:right="104"/>
        <w:jc w:val="both"/>
      </w:pPr>
      <w:r>
        <w:rPr/>
        <w:t>政策支持，如高新技术企业减按</w:t>
      </w:r>
      <w:r>
        <w:rPr>
          <w:rFonts w:ascii="宋体" w:hAnsi="宋体" w:cs="宋体" w:eastAsia="宋体" w:hint="default"/>
        </w:rPr>
        <w:t>15%</w:t>
      </w:r>
      <w:r>
        <w:rPr/>
        <w:t>的税率征收企业所得税等税收优惠政策、软件企业增值税实际税负超过</w:t>
      </w:r>
      <w:r>
        <w:rPr>
          <w:rFonts w:ascii="宋体" w:hAnsi="宋体" w:cs="宋体" w:eastAsia="宋体" w:hint="default"/>
        </w:rPr>
        <w:t>3%</w:t>
      </w:r>
      <w:r>
        <w:rPr/>
        <w:t>的部分实行即 </w:t>
      </w:r>
      <w:r>
        <w:rPr>
          <w:spacing w:val="-2"/>
        </w:rPr>
        <w:t>征即退等政策。但随着行业的发展，存在政策发生变化的风险。公司将紧抓市场机遇，及时把握政策动向，严格依照国家有</w:t>
      </w:r>
      <w:r>
        <w:rPr>
          <w:spacing w:val="-67"/>
        </w:rPr>
        <w:t> </w:t>
      </w:r>
      <w:r>
        <w:rPr>
          <w:spacing w:val="-67"/>
        </w:rPr>
      </w:r>
      <w:r>
        <w:rPr>
          <w:spacing w:val="-4"/>
        </w:rPr>
        <w:t>关法律法规经营，持续提升在技术、知识产权、财务等各方面的运营水平，提高盈利能力，避免或减少政策变化带来的风险。</w:t>
      </w:r>
    </w:p>
    <w:p>
      <w:pPr>
        <w:spacing w:after="0" w:line="319" w:lineRule="auto"/>
        <w:jc w:val="both"/>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left="453" w:right="0" w:firstLine="62"/>
        <w:jc w:val="left"/>
      </w:pPr>
      <w:r>
        <w:rPr>
          <w:rFonts w:ascii="宋体" w:hAnsi="宋体" w:cs="宋体" w:eastAsia="宋体" w:hint="default"/>
        </w:rPr>
        <w:t>3</w:t>
      </w:r>
      <w:r>
        <w:rPr/>
        <w:t>、核心技术泄密及人才流失风险 </w:t>
      </w:r>
      <w:r>
        <w:rPr>
          <w:spacing w:val="-1"/>
        </w:rPr>
        <w:t>在产品更新和技术进步不断加快的背景下，独特的技术优势、专业的技术人员共同决定了公司的市场竞争力。公司虽然</w:t>
      </w:r>
    </w:p>
    <w:p>
      <w:pPr>
        <w:pStyle w:val="BodyText"/>
        <w:spacing w:line="316" w:lineRule="auto" w:before="19"/>
        <w:ind w:right="0"/>
        <w:jc w:val="left"/>
      </w:pPr>
      <w:r>
        <w:rPr>
          <w:spacing w:val="-2"/>
        </w:rPr>
        <w:t>已经采取了加大研发投入、增强技术及法律防控手段、提高核心技术人员待遇激励在内的诸多措施，仍无法杜绝核心技术泄</w:t>
      </w:r>
      <w:r>
        <w:rPr>
          <w:spacing w:val="-63"/>
        </w:rPr>
        <w:t> </w:t>
      </w:r>
      <w:r>
        <w:rPr>
          <w:spacing w:val="-63"/>
        </w:rPr>
      </w:r>
      <w:r>
        <w:rPr/>
        <w:t>露及核心技术人员流失等情况的出现，公司正常的经营运作存在受此类情况影响的风险。</w:t>
      </w:r>
    </w:p>
    <w:p>
      <w:pPr>
        <w:pStyle w:val="BodyText"/>
        <w:spacing w:line="316" w:lineRule="auto" w:before="19"/>
        <w:ind w:left="542" w:right="204" w:hanging="27"/>
        <w:jc w:val="left"/>
      </w:pPr>
      <w:r>
        <w:rPr>
          <w:rFonts w:ascii="宋体" w:hAnsi="宋体" w:cs="宋体" w:eastAsia="宋体" w:hint="default"/>
        </w:rPr>
        <w:t>4</w:t>
      </w:r>
      <w:r>
        <w:rPr/>
        <w:t>、人力成本上升的风险 随着公司业务规模的不断扩大，员工队伍的扩大和薪酬待遇水平的上升，总体薪酬亦呈增长态势公司采取了适合现阶</w:t>
      </w:r>
    </w:p>
    <w:p>
      <w:pPr>
        <w:pStyle w:val="BodyText"/>
        <w:spacing w:line="240" w:lineRule="auto" w:before="19"/>
        <w:ind w:right="0"/>
        <w:jc w:val="left"/>
      </w:pPr>
      <w:r>
        <w:rPr/>
        <w:t>段公司特点的工资政策，如果公司全部人员总成本增幅与营业收入增幅不匹配，将可能对公司经营业绩产生一定影响。</w:t>
      </w:r>
    </w:p>
    <w:p>
      <w:pPr>
        <w:spacing w:line="240" w:lineRule="auto" w:before="5"/>
        <w:rPr>
          <w:rFonts w:ascii="宋体" w:hAnsi="宋体" w:cs="宋体" w:eastAsia="宋体" w:hint="default"/>
          <w:sz w:val="19"/>
          <w:szCs w:val="19"/>
        </w:rPr>
      </w:pPr>
    </w:p>
    <w:p>
      <w:pPr>
        <w:pStyle w:val="Heading2"/>
        <w:spacing w:line="240" w:lineRule="auto"/>
        <w:ind w:right="3012"/>
        <w:jc w:val="left"/>
        <w:rPr>
          <w:b w:val="0"/>
          <w:bCs w:val="0"/>
        </w:rPr>
      </w:pPr>
      <w:r>
        <w:rPr/>
        <w:t>十、接待调研、沟通、采访等活动情况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208"/>
        <w:gridCol w:w="2206"/>
        <w:gridCol w:w="2206"/>
        <w:gridCol w:w="3077"/>
      </w:tblGrid>
      <w:tr>
        <w:trPr>
          <w:trHeight w:val="401" w:hRule="exact"/>
        </w:trPr>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37"/>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8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日投资者活 动关系表</w:t>
            </w:r>
          </w:p>
        </w:tc>
      </w:tr>
      <w:tr>
        <w:trPr>
          <w:trHeight w:val="1025"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8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日投资 者活动关系表</w:t>
            </w:r>
          </w:p>
        </w:tc>
      </w:tr>
      <w:tr>
        <w:trPr>
          <w:trHeight w:val="1028"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68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w:t>
            </w:r>
            <w:r>
              <w:rPr>
                <w:rFonts w:ascii="宋体" w:hAnsi="宋体" w:cs="宋体" w:eastAsia="宋体" w:hint="default"/>
                <w:spacing w:val="-54"/>
                <w:sz w:val="18"/>
                <w:szCs w:val="18"/>
              </w:rPr>
              <w:t> </w:t>
            </w:r>
            <w:r>
              <w:rPr>
                <w:rFonts w:ascii="宋体" w:hAnsi="宋体" w:cs="宋体" w:eastAsia="宋体" w:hint="default"/>
                <w:sz w:val="18"/>
                <w:szCs w:val="18"/>
              </w:rPr>
              <w:t>日投资者 活动关系表</w:t>
            </w:r>
          </w:p>
        </w:tc>
      </w:tr>
      <w:tr>
        <w:trPr>
          <w:trHeight w:val="1025"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8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9</w:t>
            </w:r>
            <w:r>
              <w:rPr>
                <w:rFonts w:ascii="宋体" w:hAnsi="宋体" w:cs="宋体" w:eastAsia="宋体" w:hint="default"/>
                <w:spacing w:val="-54"/>
                <w:sz w:val="18"/>
                <w:szCs w:val="18"/>
              </w:rPr>
              <w:t> </w:t>
            </w:r>
            <w:r>
              <w:rPr>
                <w:rFonts w:ascii="宋体" w:hAnsi="宋体" w:cs="宋体" w:eastAsia="宋体" w:hint="default"/>
                <w:sz w:val="18"/>
                <w:szCs w:val="18"/>
              </w:rPr>
              <w:t>日投资者 活动关系表</w:t>
            </w:r>
          </w:p>
        </w:tc>
      </w:tr>
      <w:tr>
        <w:trPr>
          <w:trHeight w:val="1027"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8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日投资 者活动关系表</w:t>
            </w:r>
          </w:p>
        </w:tc>
      </w:tr>
      <w:tr>
        <w:trPr>
          <w:trHeight w:val="1025"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68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9"/>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日投资 者活动关系表</w:t>
            </w:r>
          </w:p>
        </w:tc>
      </w:tr>
      <w:tr>
        <w:trPr>
          <w:trHeight w:val="1027"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8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日投资 者活动关系表</w:t>
            </w:r>
          </w:p>
        </w:tc>
      </w:tr>
      <w:tr>
        <w:trPr>
          <w:trHeight w:val="1025"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8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27</w:t>
            </w:r>
            <w:r>
              <w:rPr>
                <w:rFonts w:ascii="宋体" w:hAnsi="宋体" w:cs="宋体" w:eastAsia="宋体" w:hint="default"/>
                <w:spacing w:val="-52"/>
                <w:sz w:val="18"/>
                <w:szCs w:val="18"/>
              </w:rPr>
              <w:t> </w:t>
            </w:r>
            <w:r>
              <w:rPr>
                <w:rFonts w:ascii="宋体" w:hAnsi="宋体" w:cs="宋体" w:eastAsia="宋体" w:hint="default"/>
                <w:sz w:val="18"/>
                <w:szCs w:val="18"/>
              </w:rPr>
              <w:t>日投资 者活动关系表</w:t>
            </w:r>
          </w:p>
        </w:tc>
      </w:tr>
      <w:tr>
        <w:trPr>
          <w:trHeight w:val="1028"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684"/>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9"/>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日投资 者活动关系表</w:t>
            </w:r>
          </w:p>
        </w:tc>
      </w:tr>
    </w:tbl>
    <w:p>
      <w:pPr>
        <w:spacing w:after="0" w:line="319" w:lineRule="auto"/>
        <w:jc w:val="both"/>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208"/>
        <w:gridCol w:w="2206"/>
        <w:gridCol w:w="2206"/>
        <w:gridCol w:w="3077"/>
      </w:tblGrid>
      <w:tr>
        <w:trPr>
          <w:trHeight w:val="1025"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日投资 者活动关系表</w:t>
            </w:r>
          </w:p>
        </w:tc>
      </w:tr>
      <w:tr>
        <w:trPr>
          <w:trHeight w:val="1027"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22</w:t>
            </w:r>
            <w:r>
              <w:rPr>
                <w:rFonts w:ascii="宋体" w:hAnsi="宋体" w:cs="宋体" w:eastAsia="宋体" w:hint="default"/>
                <w:spacing w:val="-52"/>
                <w:sz w:val="18"/>
                <w:szCs w:val="18"/>
              </w:rPr>
              <w:t> </w:t>
            </w:r>
            <w:r>
              <w:rPr>
                <w:rFonts w:ascii="宋体" w:hAnsi="宋体" w:cs="宋体" w:eastAsia="宋体" w:hint="default"/>
                <w:sz w:val="18"/>
                <w:szCs w:val="18"/>
              </w:rPr>
              <w:t>日投资 者活动关系表</w:t>
            </w:r>
          </w:p>
        </w:tc>
      </w:tr>
      <w:tr>
        <w:trPr>
          <w:trHeight w:val="1027"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hyperlink r:id="rId16">
              <w:r>
                <w:rPr>
                  <w:rFonts w:ascii="宋体" w:hAnsi="宋体" w:cs="宋体" w:eastAsia="宋体" w:hint="default"/>
                  <w:sz w:val="18"/>
                  <w:szCs w:val="18"/>
                </w:rPr>
                <w:t>http://www.cninfo.com.cn/</w:t>
              </w:r>
              <w:r>
                <w:rPr>
                  <w:rFonts w:ascii="宋体" w:hAnsi="宋体" w:cs="宋体" w:eastAsia="宋体" w:hint="default"/>
                  <w:sz w:val="18"/>
                  <w:szCs w:val="18"/>
                </w:rPr>
                <w:t>巨潮资讯</w:t>
              </w:r>
            </w:hyperlink>
            <w:r>
              <w:rPr>
                <w:rFonts w:ascii="宋体" w:hAnsi="宋体" w:cs="宋体" w:eastAsia="宋体" w:hint="default"/>
                <w:sz w:val="18"/>
                <w:szCs w:val="18"/>
              </w:rPr>
              <w:t> 网</w:t>
            </w:r>
            <w:r>
              <w:rPr>
                <w:rFonts w:ascii="宋体" w:hAnsi="宋体" w:cs="宋体" w:eastAsia="宋体" w:hint="default"/>
                <w:sz w:val="18"/>
                <w:szCs w:val="18"/>
              </w:rPr>
              <w:t>/</w:t>
            </w:r>
            <w:r>
              <w:rPr>
                <w:rFonts w:ascii="宋体" w:hAnsi="宋体" w:cs="宋体" w:eastAsia="宋体" w:hint="default"/>
                <w:sz w:val="18"/>
                <w:szCs w:val="18"/>
              </w:rPr>
              <w:t>互动易平台</w:t>
            </w:r>
            <w:r>
              <w:rPr>
                <w:rFonts w:ascii="宋体" w:hAnsi="宋体" w:cs="宋体" w:eastAsia="宋体" w:hint="default"/>
                <w:spacing w:val="-45"/>
                <w:sz w:val="18"/>
                <w:szCs w:val="18"/>
              </w:rPr>
              <w:t> </w:t>
            </w:r>
            <w:r>
              <w:rPr>
                <w:rFonts w:ascii="宋体" w:hAnsi="宋体" w:cs="宋体" w:eastAsia="宋体"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 </w:t>
            </w:r>
            <w:r>
              <w:rPr>
                <w:rFonts w:ascii="宋体" w:hAnsi="宋体" w:cs="宋体" w:eastAsia="宋体" w:hint="default"/>
                <w:sz w:val="18"/>
                <w:szCs w:val="18"/>
              </w:rPr>
              <w:t>日投 资者活动关系表</w:t>
            </w:r>
          </w:p>
        </w:tc>
      </w:tr>
    </w:tbl>
    <w:p>
      <w:pPr>
        <w:spacing w:after="0" w:line="316" w:lineRule="auto"/>
        <w:jc w:val="both"/>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p>
      <w:pPr>
        <w:pStyle w:val="Heading1"/>
        <w:spacing w:line="456" w:lineRule="exact"/>
        <w:ind w:left="3749" w:right="3748"/>
        <w:jc w:val="center"/>
        <w:rPr>
          <w:b w:val="0"/>
          <w:bCs w:val="0"/>
        </w:rPr>
      </w:pPr>
      <w:bookmarkStart w:name="_TOC_250006" w:id="3"/>
      <w:r>
        <w:rPr/>
        <w:t>第五节 </w:t>
      </w:r>
      <w:r>
        <w:rPr>
          <w:spacing w:val="9"/>
        </w:rPr>
        <w:t> </w:t>
      </w:r>
      <w:r>
        <w:rPr/>
        <w:t>重要事项</w:t>
      </w:r>
      <w:bookmarkEnd w:id="3"/>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t>报告期内普通股利润分配政策，特别是现金分红政策的制定、执行或调整情况</w:t>
      </w:r>
    </w:p>
    <w:p>
      <w:pPr>
        <w:pStyle w:val="BodyText"/>
        <w:spacing w:line="357" w:lineRule="auto" w:before="117"/>
        <w:ind w:left="515" w:right="0" w:hanging="363"/>
        <w:jc w:val="left"/>
      </w:pPr>
      <w:r>
        <w:rPr/>
        <w:t>√ 适用 □</w:t>
      </w:r>
      <w:r>
        <w:rPr>
          <w:spacing w:val="3"/>
        </w:rPr>
        <w:t> </w:t>
      </w:r>
      <w:r>
        <w:rPr/>
        <w:t>不适用</w:t>
      </w:r>
      <w:r>
        <w:rPr/>
        <w:t> </w:t>
      </w:r>
      <w:r>
        <w:rPr>
          <w:rFonts w:ascii="宋体" w:hAnsi="宋体" w:cs="宋体" w:eastAsia="宋体" w:hint="default"/>
          <w:spacing w:val="-2"/>
        </w:rPr>
        <w:t>1</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日，公司召开第二届董事会第十次会议审议通过了《关于</w:t>
      </w:r>
      <w:r>
        <w:rPr>
          <w:rFonts w:ascii="宋体" w:hAnsi="宋体" w:cs="宋体" w:eastAsia="宋体" w:hint="default"/>
          <w:spacing w:val="-2"/>
        </w:rPr>
        <w:t>2014</w:t>
      </w:r>
      <w:r>
        <w:rPr>
          <w:spacing w:val="-2"/>
        </w:rPr>
        <w:t>年度利润分配方案的议案》，在符合利润</w:t>
      </w:r>
    </w:p>
    <w:p>
      <w:pPr>
        <w:pStyle w:val="BodyText"/>
        <w:spacing w:line="224" w:lineRule="exact"/>
        <w:ind w:right="0"/>
        <w:jc w:val="both"/>
      </w:pPr>
      <w:r>
        <w:rPr/>
        <w:t>分配原则、保证公司正常经营和长远发展的前提下，根据《公司法》及《公司章程》的相关规定，分配方案如下：以公司总</w:t>
      </w:r>
    </w:p>
    <w:p>
      <w:pPr>
        <w:pStyle w:val="BodyText"/>
        <w:spacing w:line="316" w:lineRule="auto" w:before="77"/>
        <w:ind w:right="148"/>
        <w:jc w:val="both"/>
      </w:pPr>
      <w:r>
        <w:rPr/>
        <w:t>股本 </w:t>
      </w:r>
      <w:r>
        <w:rPr>
          <w:rFonts w:ascii="宋体" w:hAnsi="宋体" w:cs="宋体" w:eastAsia="宋体" w:hint="default"/>
        </w:rPr>
        <w:t>266,800,000 </w:t>
      </w:r>
      <w:r>
        <w:rPr/>
        <w:t>股为基数，向全体股东每 </w:t>
      </w:r>
      <w:r>
        <w:rPr>
          <w:rFonts w:ascii="宋体" w:hAnsi="宋体" w:cs="宋体" w:eastAsia="宋体" w:hint="default"/>
        </w:rPr>
        <w:t>10 </w:t>
      </w:r>
      <w:r>
        <w:rPr/>
        <w:t>股派发现金股利</w:t>
      </w:r>
      <w:r>
        <w:rPr>
          <w:spacing w:val="-1"/>
        </w:rPr>
        <w:t> </w:t>
      </w:r>
      <w:r>
        <w:rPr>
          <w:rFonts w:ascii="宋体" w:hAnsi="宋体" w:cs="宋体" w:eastAsia="宋体" w:hint="default"/>
          <w:spacing w:val="-3"/>
        </w:rPr>
        <w:t>0.5</w:t>
      </w:r>
      <w:r>
        <w:rPr>
          <w:spacing w:val="-3"/>
        </w:rPr>
        <w:t>元人民币（含税）。</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15</w:t>
      </w:r>
      <w:r>
        <w:rPr>
          <w:spacing w:val="-3"/>
        </w:rPr>
        <w:t>日，公司</w:t>
      </w:r>
      <w:r>
        <w:rPr>
          <w:rFonts w:ascii="宋体" w:hAnsi="宋体" w:cs="宋体" w:eastAsia="宋体" w:hint="default"/>
          <w:spacing w:val="-3"/>
        </w:rPr>
        <w:t>2014</w:t>
      </w:r>
      <w:r>
        <w:rPr>
          <w:spacing w:val="-3"/>
        </w:rPr>
        <w:t>年度股</w:t>
      </w:r>
      <w:r>
        <w:rPr/>
        <w:t> </w:t>
      </w:r>
      <w:r>
        <w:rPr>
          <w:spacing w:val="-2"/>
        </w:rPr>
        <w:t>东大会审议通过了上述《关于</w:t>
      </w:r>
      <w:r>
        <w:rPr>
          <w:rFonts w:ascii="宋体" w:hAnsi="宋体" w:cs="宋体" w:eastAsia="宋体" w:hint="default"/>
          <w:spacing w:val="-2"/>
        </w:rPr>
        <w:t>2014</w:t>
      </w:r>
      <w:r>
        <w:rPr>
          <w:spacing w:val="-2"/>
        </w:rPr>
        <w:t>年度利润分配方案的议案》；</w:t>
      </w:r>
      <w:r>
        <w:rPr>
          <w:rFonts w:ascii="宋体" w:hAnsi="宋体" w:cs="宋体" w:eastAsia="宋体" w:hint="default"/>
          <w:spacing w:val="-2"/>
        </w:rPr>
        <w:t>2014</w:t>
      </w:r>
      <w:r>
        <w:rPr>
          <w:spacing w:val="-2"/>
        </w:rPr>
        <w:t>年度权益分派股权登记日为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spacing w:val="-2"/>
        </w:rPr>
        <w:t>日，除权除息日</w:t>
      </w:r>
      <w:r>
        <w:rPr>
          <w:spacing w:val="-52"/>
        </w:rPr>
        <w:t> </w:t>
      </w:r>
      <w:r>
        <w:rPr>
          <w:spacing w:val="-52"/>
        </w:rPr>
      </w:r>
      <w:r>
        <w:rPr/>
        <w:t>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w:t>
      </w:r>
      <w:r>
        <w:rPr/>
        <w:t>日。</w:t>
      </w:r>
    </w:p>
    <w:p>
      <w:pPr>
        <w:pStyle w:val="BodyText"/>
        <w:spacing w:line="316" w:lineRule="auto" w:before="19"/>
        <w:ind w:right="151" w:firstLine="362"/>
        <w:jc w:val="both"/>
      </w:pPr>
      <w:r>
        <w:rPr>
          <w:rFonts w:ascii="宋体" w:hAnsi="宋体" w:cs="宋体" w:eastAsia="宋体" w:hint="default"/>
          <w:spacing w:val="-4"/>
        </w:rPr>
        <w:t>2</w:t>
      </w:r>
      <w:r>
        <w:rPr>
          <w:spacing w:val="-4"/>
        </w:rPr>
        <w:t>、</w:t>
      </w:r>
      <w:r>
        <w:rPr>
          <w:rFonts w:ascii="宋体" w:hAnsi="宋体" w:cs="宋体" w:eastAsia="宋体" w:hint="default"/>
          <w:spacing w:val="-4"/>
        </w:rPr>
        <w:t>2015</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21</w:t>
      </w:r>
      <w:r>
        <w:rPr>
          <w:spacing w:val="-4"/>
        </w:rPr>
        <w:t>日</w:t>
      </w:r>
      <w:r>
        <w:rPr>
          <w:rFonts w:ascii="宋体" w:hAnsi="宋体" w:cs="宋体" w:eastAsia="宋体" w:hint="default"/>
          <w:spacing w:val="-4"/>
        </w:rPr>
        <w:t>,</w:t>
      </w:r>
      <w:r>
        <w:rPr>
          <w:spacing w:val="-4"/>
        </w:rPr>
        <w:t>公司召开第二届董事会第十三次会议和</w:t>
      </w:r>
      <w:r>
        <w:rPr>
          <w:rFonts w:ascii="宋体" w:hAnsi="宋体" w:cs="宋体" w:eastAsia="宋体" w:hint="default"/>
          <w:spacing w:val="-4"/>
        </w:rPr>
        <w:t>2015</w:t>
      </w:r>
      <w:r>
        <w:rPr>
          <w:spacing w:val="-4"/>
        </w:rPr>
        <w:t>年第二次临时股东大会审议通过了《章程修正案》、《未</w:t>
      </w:r>
      <w:r>
        <w:rPr/>
        <w:t> </w:t>
      </w:r>
      <w:r>
        <w:rPr>
          <w:spacing w:val="-2"/>
        </w:rPr>
        <w:t>来三年分红回报规划》在保证公司正常经营和长远发展的前提下，根据《公司法》、《上市公司监管指引第</w:t>
      </w:r>
      <w:r>
        <w:rPr>
          <w:rFonts w:ascii="宋体" w:hAnsi="宋体" w:cs="宋体" w:eastAsia="宋体" w:hint="default"/>
          <w:spacing w:val="-2"/>
        </w:rPr>
        <w:t>3</w:t>
      </w:r>
      <w:r>
        <w:rPr>
          <w:spacing w:val="-2"/>
        </w:rPr>
        <w:t>号</w:t>
      </w:r>
      <w:r>
        <w:rPr>
          <w:rFonts w:ascii="宋体" w:hAnsi="宋体" w:cs="宋体" w:eastAsia="宋体" w:hint="default"/>
          <w:spacing w:val="-2"/>
        </w:rPr>
        <w:t>-</w:t>
      </w:r>
      <w:r>
        <w:rPr>
          <w:spacing w:val="-2"/>
        </w:rPr>
        <w:t>上市公司现</w:t>
      </w:r>
      <w:r>
        <w:rPr>
          <w:spacing w:val="-64"/>
        </w:rPr>
        <w:t> </w:t>
      </w:r>
      <w:r>
        <w:rPr>
          <w:spacing w:val="-64"/>
        </w:rPr>
      </w:r>
      <w:r>
        <w:rPr/>
        <w:t>金分红》等相关规定对公司利润分配政策进行了修订，制订了公司未来三年分红回报规划。</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60" w:lineRule="auto" w:before="115"/>
        <w:ind w:right="3294"/>
        <w:jc w:val="left"/>
      </w:pPr>
      <w:r>
        <w:rPr/>
        <w:t>√ 是 □ 否 □</w:t>
      </w:r>
      <w:r>
        <w:rPr>
          <w:spacing w:val="2"/>
        </w:rPr>
        <w:t> </w:t>
      </w:r>
      <w:r>
        <w:rPr/>
        <w:t>不适用</w:t>
      </w:r>
      <w:r>
        <w:rPr/>
        <w:t> 公司报告期利润分配预案及资本公积金转增股本预案符合公司章程等的相关规定。 本年度利润分配及资本公积金转增股本预案</w:t>
      </w: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0.45</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9</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270,226,124</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12,160,175.58</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272,745,322.88</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宋体" w:hAnsi="宋体" w:cs="宋体" w:eastAsia="宋体"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00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firstLine="362"/>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经瑞华会计师事务所（特殊普通合伙）审计</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年归属于上市公司股东的净利润</w:t>
            </w:r>
            <w:r>
              <w:rPr>
                <w:rFonts w:ascii="宋体" w:hAnsi="宋体" w:cs="宋体" w:eastAsia="宋体" w:hint="default"/>
                <w:spacing w:val="-50"/>
                <w:sz w:val="18"/>
                <w:szCs w:val="18"/>
              </w:rPr>
              <w:t> </w:t>
            </w:r>
            <w:r>
              <w:rPr>
                <w:rFonts w:ascii="宋体" w:hAnsi="宋体" w:cs="宋体" w:eastAsia="宋体" w:hint="default"/>
                <w:sz w:val="18"/>
                <w:szCs w:val="18"/>
              </w:rPr>
              <w:t>70,719,566.59</w:t>
            </w:r>
            <w:r>
              <w:rPr>
                <w:rFonts w:ascii="宋体" w:hAnsi="宋体" w:cs="宋体" w:eastAsia="宋体" w:hint="default"/>
                <w:spacing w:val="-47"/>
                <w:sz w:val="18"/>
                <w:szCs w:val="18"/>
              </w:rPr>
              <w:t> </w:t>
            </w:r>
            <w:r>
              <w:rPr>
                <w:rFonts w:ascii="宋体" w:hAnsi="宋体" w:cs="宋体" w:eastAsia="宋体" w:hint="default"/>
                <w:sz w:val="18"/>
                <w:szCs w:val="18"/>
              </w:rPr>
              <w:t>元，母公司实现净 利润为</w:t>
            </w:r>
            <w:r>
              <w:rPr>
                <w:rFonts w:ascii="宋体" w:hAnsi="宋体" w:cs="宋体" w:eastAsia="宋体" w:hint="default"/>
                <w:spacing w:val="-47"/>
                <w:sz w:val="18"/>
                <w:szCs w:val="18"/>
              </w:rPr>
              <w:t> </w:t>
            </w:r>
            <w:r>
              <w:rPr>
                <w:rFonts w:ascii="宋体" w:hAnsi="宋体" w:cs="宋体" w:eastAsia="宋体" w:hint="default"/>
                <w:sz w:val="18"/>
                <w:szCs w:val="18"/>
              </w:rPr>
              <w:t>63,392,240.28</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根据《公司章程》相关规定，按照母公司</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年度实现净利润的</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提取法定盈余公积金</w:t>
            </w:r>
          </w:p>
          <w:p>
            <w:pPr>
              <w:pStyle w:val="TableParagraph"/>
              <w:spacing w:line="357" w:lineRule="auto" w:before="19"/>
              <w:ind w:left="386" w:right="20" w:hanging="363"/>
              <w:jc w:val="left"/>
              <w:rPr>
                <w:rFonts w:ascii="宋体" w:hAnsi="宋体" w:cs="宋体" w:eastAsia="宋体" w:hint="default"/>
                <w:sz w:val="18"/>
                <w:szCs w:val="18"/>
              </w:rPr>
            </w:pPr>
            <w:r>
              <w:rPr>
                <w:rFonts w:ascii="宋体" w:hAnsi="宋体" w:cs="宋体" w:eastAsia="宋体" w:hint="default"/>
                <w:sz w:val="18"/>
                <w:szCs w:val="18"/>
              </w:rPr>
              <w:t>6,339,224.03</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日，母公司累计可供分配的利润</w:t>
            </w:r>
            <w:r>
              <w:rPr>
                <w:rFonts w:ascii="宋体" w:hAnsi="宋体" w:cs="宋体" w:eastAsia="宋体" w:hint="default"/>
                <w:spacing w:val="-46"/>
                <w:sz w:val="18"/>
                <w:szCs w:val="18"/>
              </w:rPr>
              <w:t> </w:t>
            </w:r>
            <w:r>
              <w:rPr>
                <w:rFonts w:ascii="宋体" w:hAnsi="宋体" w:cs="宋体" w:eastAsia="宋体" w:hint="default"/>
                <w:sz w:val="18"/>
                <w:szCs w:val="18"/>
              </w:rPr>
              <w:t>272,745,322.88</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1"/>
                <w:sz w:val="18"/>
                <w:szCs w:val="18"/>
              </w:rPr>
              <w:t>鉴于公司当前经营状况良好和盈利的持续增长，以及对公司未来发展的良好预期，为了回报公司股东，与广大投资者</w:t>
            </w:r>
          </w:p>
          <w:p>
            <w:pPr>
              <w:pStyle w:val="TableParagraph"/>
              <w:spacing w:line="224" w:lineRule="exact"/>
              <w:ind w:left="24" w:right="0"/>
              <w:jc w:val="left"/>
              <w:rPr>
                <w:rFonts w:ascii="宋体" w:hAnsi="宋体" w:cs="宋体" w:eastAsia="宋体" w:hint="default"/>
                <w:sz w:val="18"/>
                <w:szCs w:val="18"/>
              </w:rPr>
            </w:pPr>
            <w:r>
              <w:rPr>
                <w:rFonts w:ascii="宋体" w:hAnsi="宋体" w:cs="宋体" w:eastAsia="宋体" w:hint="default"/>
                <w:sz w:val="18"/>
                <w:szCs w:val="18"/>
              </w:rPr>
              <w:t>共享公司发展的经营成果，拟</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年度利润分配预案：拟以</w:t>
            </w:r>
            <w:r>
              <w:rPr>
                <w:rFonts w:ascii="宋体" w:hAnsi="宋体" w:cs="宋体" w:eastAsia="宋体" w:hint="default"/>
                <w:spacing w:val="-51"/>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日总股本</w:t>
            </w:r>
            <w:r>
              <w:rPr>
                <w:rFonts w:ascii="宋体" w:hAnsi="宋体" w:cs="宋体" w:eastAsia="宋体" w:hint="default"/>
                <w:spacing w:val="-51"/>
                <w:sz w:val="18"/>
                <w:szCs w:val="18"/>
              </w:rPr>
              <w:t> </w:t>
            </w:r>
            <w:r>
              <w:rPr>
                <w:rFonts w:ascii="宋体" w:hAnsi="宋体" w:cs="宋体" w:eastAsia="宋体" w:hint="default"/>
                <w:sz w:val="18"/>
                <w:szCs w:val="18"/>
              </w:rPr>
              <w:t>270,226,124</w:t>
            </w:r>
            <w:r>
              <w:rPr>
                <w:rFonts w:ascii="宋体" w:hAnsi="宋体" w:cs="宋体" w:eastAsia="宋体" w:hint="default"/>
                <w:spacing w:val="-47"/>
                <w:sz w:val="18"/>
                <w:szCs w:val="18"/>
              </w:rPr>
              <w:t> </w:t>
            </w:r>
            <w:r>
              <w:rPr>
                <w:rFonts w:ascii="宋体" w:hAnsi="宋体" w:cs="宋体" w:eastAsia="宋体" w:hint="default"/>
                <w:sz w:val="18"/>
                <w:szCs w:val="18"/>
              </w:rPr>
              <w:t>股为基数，向全体股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股派人民币</w:t>
            </w:r>
            <w:r>
              <w:rPr>
                <w:rFonts w:ascii="宋体" w:hAnsi="宋体" w:cs="宋体" w:eastAsia="宋体" w:hint="default"/>
                <w:spacing w:val="-47"/>
                <w:sz w:val="18"/>
                <w:szCs w:val="18"/>
              </w:rPr>
              <w:t> </w:t>
            </w:r>
            <w:r>
              <w:rPr>
                <w:rFonts w:ascii="宋体" w:hAnsi="宋体" w:cs="宋体" w:eastAsia="宋体" w:hint="default"/>
                <w:sz w:val="18"/>
                <w:szCs w:val="18"/>
              </w:rPr>
              <w:t>0.45</w:t>
            </w:r>
            <w:r>
              <w:rPr>
                <w:rFonts w:ascii="宋体" w:hAnsi="宋体" w:cs="宋体" w:eastAsia="宋体" w:hint="default"/>
                <w:spacing w:val="-45"/>
                <w:sz w:val="18"/>
                <w:szCs w:val="18"/>
              </w:rPr>
              <w:t> </w:t>
            </w:r>
            <w:r>
              <w:rPr>
                <w:rFonts w:ascii="宋体" w:hAnsi="宋体" w:cs="宋体" w:eastAsia="宋体" w:hint="default"/>
                <w:sz w:val="18"/>
                <w:szCs w:val="18"/>
              </w:rPr>
              <w:t>元（含税）现金，同时进行资本公积金转增股本每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pStyle w:val="BodyText"/>
        <w:spacing w:line="360" w:lineRule="auto" w:before="49"/>
        <w:ind w:left="515" w:right="0" w:hanging="363"/>
        <w:jc w:val="left"/>
      </w:pPr>
      <w:r>
        <w:rPr/>
        <w:t>公司近</w:t>
      </w:r>
      <w:r>
        <w:rPr>
          <w:spacing w:val="-44"/>
        </w:rPr>
        <w:t> </w:t>
      </w:r>
      <w:r>
        <w:rPr>
          <w:rFonts w:ascii="宋体" w:hAnsi="宋体" w:cs="宋体" w:eastAsia="宋体" w:hint="default"/>
        </w:rPr>
        <w:t>3</w:t>
      </w:r>
      <w:r>
        <w:rPr>
          <w:rFonts w:ascii="宋体" w:hAnsi="宋体" w:cs="宋体" w:eastAsia="宋体" w:hint="default"/>
          <w:spacing w:val="-44"/>
        </w:rPr>
        <w:t> </w:t>
      </w:r>
      <w:r>
        <w:rPr>
          <w:spacing w:val="-3"/>
        </w:rPr>
        <w:t>年（包括本报告期）的普通股股利分配方案（预案）、资本公积金转增股本方案（预案）情况</w:t>
      </w:r>
      <w:r>
        <w:rPr>
          <w:spacing w:val="-61"/>
        </w:rPr>
        <w:t> </w:t>
      </w:r>
      <w:r>
        <w:rPr>
          <w:spacing w:val="-61"/>
        </w:rPr>
      </w:r>
      <w:r>
        <w:rPr>
          <w:rFonts w:ascii="宋体" w:hAnsi="宋体" w:cs="宋体" w:eastAsia="宋体" w:hint="default"/>
          <w:spacing w:val="9"/>
        </w:rPr>
        <w:t>1</w:t>
      </w:r>
      <w:r>
        <w:rPr>
          <w:spacing w:val="9"/>
        </w:rPr>
        <w:t>、</w:t>
      </w:r>
      <w:r>
        <w:rPr>
          <w:rFonts w:ascii="宋体" w:hAnsi="宋体" w:cs="宋体" w:eastAsia="宋体" w:hint="default"/>
          <w:spacing w:val="9"/>
        </w:rPr>
        <w:t>2013</w:t>
      </w:r>
      <w:r>
        <w:rPr>
          <w:spacing w:val="9"/>
        </w:rPr>
        <w:t>年度：经公司第二届董事会第四次会议及</w:t>
      </w:r>
      <w:r>
        <w:rPr>
          <w:rFonts w:ascii="宋体" w:hAnsi="宋体" w:cs="宋体" w:eastAsia="宋体" w:hint="default"/>
          <w:spacing w:val="9"/>
        </w:rPr>
        <w:t>2013</w:t>
      </w:r>
      <w:r>
        <w:rPr>
          <w:spacing w:val="9"/>
        </w:rPr>
        <w:t>年度股东大会审议通过</w:t>
      </w:r>
      <w:r>
        <w:rPr>
          <w:rFonts w:ascii="宋体" w:hAnsi="宋体" w:cs="宋体" w:eastAsia="宋体" w:hint="default"/>
          <w:spacing w:val="9"/>
        </w:rPr>
        <w:t>2013</w:t>
      </w:r>
      <w:r>
        <w:rPr>
          <w:spacing w:val="9"/>
        </w:rPr>
        <w:t>年度利润分配方案，以总股本</w:t>
      </w:r>
    </w:p>
    <w:p>
      <w:pPr>
        <w:pStyle w:val="BodyText"/>
        <w:spacing w:line="223" w:lineRule="exact"/>
        <w:ind w:right="0"/>
        <w:jc w:val="left"/>
      </w:pPr>
      <w:r>
        <w:rPr>
          <w:rFonts w:ascii="宋体" w:hAnsi="宋体" w:cs="宋体" w:eastAsia="宋体" w:hint="default"/>
        </w:rPr>
        <w:t>133,400,000</w:t>
      </w:r>
      <w:r>
        <w:rPr/>
        <w:t>股为基数，每</w:t>
      </w:r>
      <w:r>
        <w:rPr>
          <w:rFonts w:ascii="宋体" w:hAnsi="宋体" w:cs="宋体" w:eastAsia="宋体" w:hint="default"/>
        </w:rPr>
        <w:t>10</w:t>
      </w:r>
      <w:r>
        <w:rPr/>
        <w:t>股派发现金股利</w:t>
      </w:r>
      <w:r>
        <w:rPr>
          <w:rFonts w:ascii="宋体" w:hAnsi="宋体" w:cs="宋体" w:eastAsia="宋体" w:hint="default"/>
        </w:rPr>
        <w:t>1</w:t>
      </w:r>
      <w:r>
        <w:rPr/>
        <w:t>元人民币（含税），共计派发现金股利</w:t>
      </w:r>
      <w:r>
        <w:rPr>
          <w:rFonts w:ascii="宋体" w:hAnsi="宋体" w:cs="宋体" w:eastAsia="宋体" w:hint="default"/>
        </w:rPr>
        <w:t>13,340,000.00</w:t>
      </w:r>
      <w:r>
        <w:rPr/>
        <w:t>元，同时使用资本公积</w:t>
      </w:r>
    </w:p>
    <w:p>
      <w:pPr>
        <w:pStyle w:val="BodyText"/>
        <w:spacing w:line="316" w:lineRule="auto" w:before="76"/>
        <w:ind w:left="515" w:right="0" w:hanging="363"/>
        <w:jc w:val="left"/>
      </w:pPr>
      <w:r>
        <w:rPr/>
        <w:t>金每</w:t>
      </w:r>
      <w:r>
        <w:rPr>
          <w:rFonts w:ascii="宋体" w:hAnsi="宋体" w:cs="宋体" w:eastAsia="宋体" w:hint="default"/>
        </w:rPr>
        <w:t>10</w:t>
      </w:r>
      <w:r>
        <w:rPr/>
        <w:t>股转增</w:t>
      </w:r>
      <w:r>
        <w:rPr>
          <w:rFonts w:ascii="宋体" w:hAnsi="宋体" w:cs="宋体" w:eastAsia="宋体" w:hint="default"/>
        </w:rPr>
        <w:t>10</w:t>
      </w:r>
      <w:r>
        <w:rPr/>
        <w:t>股。该权益分配已于</w:t>
      </w:r>
      <w:r>
        <w:rPr>
          <w:rFonts w:ascii="宋体" w:hAnsi="宋体" w:cs="宋体" w:eastAsia="宋体" w:hint="default"/>
        </w:rPr>
        <w:t>2014</w:t>
      </w:r>
      <w:r>
        <w:rPr/>
        <w:t>年</w:t>
      </w:r>
      <w:r>
        <w:rPr>
          <w:rFonts w:ascii="宋体" w:hAnsi="宋体" w:cs="宋体" w:eastAsia="宋体" w:hint="default"/>
        </w:rPr>
        <w:t>5</w:t>
      </w:r>
      <w:r>
        <w:rPr/>
        <w:t>月实施完毕。 </w:t>
      </w:r>
      <w:r>
        <w:rPr>
          <w:rFonts w:ascii="宋体" w:hAnsi="宋体" w:cs="宋体" w:eastAsia="宋体" w:hint="default"/>
          <w:spacing w:val="9"/>
        </w:rPr>
        <w:t>2</w:t>
      </w:r>
      <w:r>
        <w:rPr>
          <w:spacing w:val="9"/>
        </w:rPr>
        <w:t>、</w:t>
      </w:r>
      <w:r>
        <w:rPr>
          <w:rFonts w:ascii="宋体" w:hAnsi="宋体" w:cs="宋体" w:eastAsia="宋体" w:hint="default"/>
          <w:spacing w:val="9"/>
        </w:rPr>
        <w:t>2014</w:t>
      </w:r>
      <w:r>
        <w:rPr>
          <w:spacing w:val="9"/>
        </w:rPr>
        <w:t>年度：经公司第二届董事会第十次会议及</w:t>
      </w:r>
      <w:r>
        <w:rPr>
          <w:rFonts w:ascii="宋体" w:hAnsi="宋体" w:cs="宋体" w:eastAsia="宋体" w:hint="default"/>
          <w:spacing w:val="9"/>
        </w:rPr>
        <w:t>2014</w:t>
      </w:r>
      <w:r>
        <w:rPr>
          <w:spacing w:val="9"/>
        </w:rPr>
        <w:t>年度股东大会审议通过</w:t>
      </w:r>
      <w:r>
        <w:rPr>
          <w:rFonts w:ascii="宋体" w:hAnsi="宋体" w:cs="宋体" w:eastAsia="宋体" w:hint="default"/>
          <w:spacing w:val="9"/>
        </w:rPr>
        <w:t>2014</w:t>
      </w:r>
      <w:r>
        <w:rPr>
          <w:spacing w:val="9"/>
        </w:rPr>
        <w:t>年度利润分配方案，以总股本</w:t>
      </w:r>
    </w:p>
    <w:p>
      <w:pPr>
        <w:pStyle w:val="BodyText"/>
        <w:spacing w:line="240" w:lineRule="auto" w:before="19"/>
        <w:ind w:right="0"/>
        <w:jc w:val="left"/>
      </w:pPr>
      <w:r>
        <w:rPr>
          <w:rFonts w:ascii="宋体" w:hAnsi="宋体" w:cs="宋体" w:eastAsia="宋体" w:hint="default"/>
        </w:rPr>
        <w:t>266,800,000</w:t>
      </w:r>
      <w:r>
        <w:rPr/>
        <w:t>股为基数，每十股派发现金股利</w:t>
      </w:r>
      <w:r>
        <w:rPr>
          <w:rFonts w:ascii="宋体" w:hAnsi="宋体" w:cs="宋体" w:eastAsia="宋体" w:hint="default"/>
        </w:rPr>
        <w:t>0.5</w:t>
      </w:r>
      <w:r>
        <w:rPr/>
        <w:t>元人民币（含税），共计派发现金股利</w:t>
      </w:r>
      <w:r>
        <w:rPr>
          <w:rFonts w:ascii="宋体" w:hAnsi="宋体" w:cs="宋体" w:eastAsia="宋体" w:hint="default"/>
        </w:rPr>
        <w:t>13,340,000.00</w:t>
      </w:r>
      <w:r>
        <w:rPr/>
        <w:t>元。该权益分配已于</w:t>
      </w:r>
    </w:p>
    <w:p>
      <w:pPr>
        <w:pStyle w:val="BodyText"/>
        <w:spacing w:line="240" w:lineRule="auto" w:before="76"/>
        <w:ind w:right="3012"/>
        <w:jc w:val="left"/>
      </w:pPr>
      <w:r>
        <w:rPr>
          <w:rFonts w:ascii="宋体" w:hAnsi="宋体" w:cs="宋体" w:eastAsia="宋体" w:hint="default"/>
        </w:rPr>
        <w:t>2015</w:t>
      </w:r>
      <w:r>
        <w:rPr/>
        <w:t>年</w:t>
      </w:r>
      <w:r>
        <w:rPr>
          <w:rFonts w:ascii="宋体" w:hAnsi="宋体" w:cs="宋体" w:eastAsia="宋体" w:hint="default"/>
        </w:rPr>
        <w:t>5</w:t>
      </w:r>
      <w:r>
        <w:rPr/>
        <w:t>月实施完毕。</w:t>
      </w:r>
    </w:p>
    <w:p>
      <w:pPr>
        <w:pStyle w:val="BodyText"/>
        <w:spacing w:line="316" w:lineRule="auto" w:before="76"/>
        <w:ind w:right="151" w:firstLine="362"/>
        <w:jc w:val="both"/>
      </w:pPr>
      <w:r>
        <w:rPr>
          <w:rFonts w:ascii="宋体" w:hAnsi="宋体" w:cs="宋体" w:eastAsia="宋体" w:hint="default"/>
        </w:rPr>
        <w:t>3</w:t>
      </w:r>
      <w:r>
        <w:rPr/>
        <w:t>、</w:t>
      </w:r>
      <w:r>
        <w:rPr>
          <w:rFonts w:ascii="宋体" w:hAnsi="宋体" w:cs="宋体" w:eastAsia="宋体" w:hint="default"/>
        </w:rPr>
        <w:t>2015</w:t>
      </w:r>
      <w:r>
        <w:rPr/>
        <w:t>年度：经公司第二届董事会第十五次会议审议通过，拟</w:t>
      </w:r>
      <w:r>
        <w:rPr>
          <w:rFonts w:ascii="宋体" w:hAnsi="宋体" w:cs="宋体" w:eastAsia="宋体" w:hint="default"/>
        </w:rPr>
        <w:t>2015</w:t>
      </w:r>
      <w:r>
        <w:rPr/>
        <w:t>年度利润分配预案为：以截止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 </w:t>
      </w:r>
      <w:r>
        <w:rPr>
          <w:spacing w:val="-2"/>
        </w:rPr>
        <w:t>总股本</w:t>
      </w:r>
      <w:r>
        <w:rPr>
          <w:rFonts w:ascii="宋体" w:hAnsi="宋体" w:cs="宋体" w:eastAsia="宋体" w:hint="default"/>
          <w:spacing w:val="-2"/>
        </w:rPr>
        <w:t>270,226,124</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0.45</w:t>
      </w:r>
      <w:r>
        <w:rPr>
          <w:spacing w:val="-2"/>
        </w:rPr>
        <w:t>元（含税），同时进行资本公积金转增股本每</w:t>
      </w:r>
      <w:r>
        <w:rPr>
          <w:rFonts w:ascii="宋体" w:hAnsi="宋体" w:cs="宋体" w:eastAsia="宋体" w:hint="default"/>
          <w:spacing w:val="-2"/>
        </w:rPr>
        <w:t>10</w:t>
      </w:r>
      <w:r>
        <w:rPr>
          <w:spacing w:val="-2"/>
        </w:rPr>
        <w:t>股转增</w:t>
      </w:r>
      <w:r>
        <w:rPr>
          <w:rFonts w:ascii="宋体" w:hAnsi="宋体" w:cs="宋体" w:eastAsia="宋体" w:hint="default"/>
          <w:spacing w:val="-2"/>
        </w:rPr>
        <w:t>9</w:t>
      </w:r>
      <w:r>
        <w:rPr>
          <w:rFonts w:ascii="宋体" w:hAnsi="宋体" w:cs="宋体" w:eastAsia="宋体" w:hint="default"/>
          <w:spacing w:val="-55"/>
        </w:rPr>
        <w:t> </w:t>
      </w:r>
      <w:r>
        <w:rPr/>
        <w:t>股。本分配预案尚需提交公司</w:t>
      </w:r>
      <w:r>
        <w:rPr>
          <w:rFonts w:ascii="宋体" w:hAnsi="宋体" w:cs="宋体" w:eastAsia="宋体" w:hint="default"/>
        </w:rPr>
        <w:t>2015</w:t>
      </w:r>
      <w:r>
        <w:rPr/>
        <w:t>年度股东大会审议。</w:t>
      </w:r>
    </w:p>
    <w:p>
      <w:pPr>
        <w:pStyle w:val="BodyText"/>
        <w:spacing w:line="240" w:lineRule="auto" w:before="59"/>
        <w:ind w:right="3012"/>
        <w:jc w:val="left"/>
      </w:pPr>
      <w:r>
        <w:rPr/>
        <w:t>公司近三年（包括本报告期）普通股现金分红情况表</w:t>
      </w:r>
    </w:p>
    <w:p>
      <w:pPr>
        <w:pStyle w:val="BodyText"/>
        <w:spacing w:line="240" w:lineRule="auto" w:before="115"/>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619"/>
        <w:gridCol w:w="1616"/>
        <w:gridCol w:w="1615"/>
        <w:gridCol w:w="1616"/>
        <w:gridCol w:w="1616"/>
        <w:gridCol w:w="1615"/>
      </w:tblGrid>
      <w:tr>
        <w:trPr>
          <w:trHeight w:val="1337"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24" w:right="8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44" w:right="8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44" w:right="79"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3"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12,160,175.58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70,719,566.59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17.19%</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13,340,000.00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67,993,885.54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19.62%</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13,340,000.00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67,791,239.78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19.68%</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3012"/>
        <w:jc w:val="left"/>
      </w:pPr>
      <w:r>
        <w:rPr/>
        <w:t>□ 适用 √</w:t>
      </w:r>
      <w:r>
        <w:rPr>
          <w:spacing w:val="3"/>
        </w:rPr>
        <w:t> </w:t>
      </w:r>
      <w:r>
        <w:rPr/>
        <w:t>不适用</w:t>
      </w:r>
    </w:p>
    <w:p>
      <w:pPr>
        <w:spacing w:line="240" w:lineRule="auto" w:before="6"/>
        <w:rPr>
          <w:rFonts w:ascii="宋体" w:hAnsi="宋体" w:cs="宋体" w:eastAsia="宋体" w:hint="default"/>
          <w:sz w:val="19"/>
          <w:szCs w:val="19"/>
        </w:rPr>
      </w:pPr>
    </w:p>
    <w:p>
      <w:pPr>
        <w:pStyle w:val="Heading2"/>
        <w:spacing w:line="240" w:lineRule="auto"/>
        <w:ind w:right="3012"/>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3"/>
        <w:spacing w:line="312" w:lineRule="exact"/>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26"/>
        </w:rPr>
        <w:t> </w:t>
      </w:r>
      <w:r>
        <w:rPr>
          <w:spacing w:val="26"/>
        </w:rPr>
      </w:r>
      <w:r>
        <w:rPr/>
        <w:t>截至报告期末尚未履行完毕的承诺事项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3012"/>
        <w:jc w:val="left"/>
      </w:pPr>
      <w:r>
        <w:rPr>
          <w:rFonts w:ascii="Times New Roman" w:hAnsi="Times New Roman" w:cs="Times New Roman" w:eastAsia="Times New Roman" w:hint="default"/>
        </w:rPr>
        <w:t>√  </w:t>
      </w:r>
      <w:r>
        <w:rPr/>
        <w:t>适用 □</w:t>
      </w:r>
      <w:r>
        <w:rPr>
          <w:spacing w:val="3"/>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4"/>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4"/>
              <w:jc w:val="righ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4"/>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1"/>
              <w:jc w:val="right"/>
              <w:rPr>
                <w:rFonts w:ascii="宋体" w:hAnsi="宋体" w:cs="宋体" w:eastAsia="宋体" w:hint="default"/>
                <w:sz w:val="18"/>
                <w:szCs w:val="18"/>
              </w:rPr>
            </w:pPr>
            <w:r>
              <w:rPr>
                <w:rFonts w:ascii="宋体" w:hAnsi="宋体" w:cs="宋体" w:eastAsia="宋体" w:hint="default"/>
                <w:sz w:val="18"/>
                <w:szCs w:val="18"/>
              </w:rPr>
              <w:t>股份限售承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0"/>
              <w:jc w:val="right"/>
              <w:rPr>
                <w:rFonts w:ascii="宋体" w:hAnsi="宋体" w:cs="宋体" w:eastAsia="宋体" w:hint="default"/>
                <w:sz w:val="18"/>
                <w:szCs w:val="18"/>
              </w:rPr>
            </w:pPr>
            <w:r>
              <w:rPr>
                <w:rFonts w:ascii="宋体" w:hAnsi="宋体" w:cs="宋体" w:eastAsia="宋体" w:hint="default"/>
                <w:sz w:val="18"/>
                <w:szCs w:val="18"/>
              </w:rPr>
              <w:t>自本次新增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9"/>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5"/>
              <w:jc w:val="right"/>
              <w:rPr>
                <w:rFonts w:ascii="宋体" w:hAnsi="宋体" w:cs="宋体" w:eastAsia="宋体" w:hint="default"/>
                <w:sz w:val="18"/>
                <w:szCs w:val="18"/>
              </w:rPr>
            </w:pPr>
            <w:r>
              <w:rPr>
                <w:rFonts w:ascii="宋体" w:hAnsi="宋体" w:cs="宋体" w:eastAsia="宋体" w:hint="default"/>
                <w:sz w:val="18"/>
                <w:szCs w:val="18"/>
              </w:rPr>
              <w:t>自本次新增</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8"/>
              <w:jc w:val="center"/>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03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43"/>
              <w:jc w:val="both"/>
              <w:rPr>
                <w:rFonts w:ascii="宋体" w:hAnsi="宋体" w:cs="宋体" w:eastAsia="宋体" w:hint="default"/>
                <w:sz w:val="18"/>
                <w:szCs w:val="18"/>
              </w:rPr>
            </w:pPr>
            <w:r>
              <w:rPr>
                <w:rFonts w:ascii="宋体" w:hAnsi="宋体" w:cs="宋体" w:eastAsia="宋体" w:hint="default"/>
                <w:sz w:val="18"/>
                <w:szCs w:val="18"/>
              </w:rPr>
              <w:t>股份上市之 日起，至</w:t>
            </w:r>
            <w:r>
              <w:rPr>
                <w:rFonts w:ascii="宋体" w:hAnsi="宋体" w:cs="宋体" w:eastAsia="宋体" w:hint="default"/>
                <w:spacing w:val="-43"/>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个月届满之 日和本人在</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《业绩补偿 协议》中利润 补偿义务履 行完毕之日 中的较晚日 之前，不转让 本人持有的 本次发行取 得的上市公 司新增股份， 但按照《业绩 补偿协议》进 行回购的股 份除外；上述 锁定期满后， 如本人在中 软华泰或者 上市公司担 任董事、监事 或高级管理 人员的，任职 期间内，本人 每年转让的 上市公司股 份不超过本 人持有上市 公司股份总 数的</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7"/>
              <w:jc w:val="both"/>
              <w:rPr>
                <w:rFonts w:ascii="宋体" w:hAnsi="宋体" w:cs="宋体" w:eastAsia="宋体" w:hint="default"/>
                <w:sz w:val="18"/>
                <w:szCs w:val="18"/>
              </w:rPr>
            </w:pPr>
            <w:r>
              <w:rPr>
                <w:rFonts w:ascii="宋体" w:hAnsi="宋体" w:cs="宋体" w:eastAsia="宋体" w:hint="default"/>
                <w:sz w:val="18"/>
                <w:szCs w:val="18"/>
              </w:rPr>
              <w:t>股份上市之 日起，至</w:t>
            </w:r>
            <w:r>
              <w:rPr>
                <w:rFonts w:ascii="宋体" w:hAnsi="宋体" w:cs="宋体" w:eastAsia="宋体" w:hint="default"/>
                <w:spacing w:val="-43"/>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个月届满之 日和本人在</w:t>
            </w:r>
          </w:p>
          <w:p>
            <w:pPr>
              <w:pStyle w:val="TableParagraph"/>
              <w:spacing w:line="316"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《业绩补偿 </w:t>
            </w:r>
            <w:r>
              <w:rPr>
                <w:rFonts w:ascii="宋体" w:hAnsi="宋体" w:cs="宋体" w:eastAsia="宋体" w:hint="default"/>
                <w:spacing w:val="-3"/>
                <w:sz w:val="18"/>
                <w:szCs w:val="18"/>
              </w:rPr>
              <w:t>协议》中利润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补偿义务履 行完毕之日 中的较晚日 之前</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诺的情形。</w:t>
            </w: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自本次新增 股份上市之 日起，至</w:t>
            </w:r>
            <w:r>
              <w:rPr>
                <w:rFonts w:ascii="宋体" w:hAnsi="宋体" w:cs="宋体" w:eastAsia="宋体" w:hint="default"/>
                <w:spacing w:val="-43"/>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个月届满之 日和本人在</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《业绩补偿 </w:t>
            </w:r>
            <w:r>
              <w:rPr>
                <w:rFonts w:ascii="宋体" w:hAnsi="宋体" w:cs="宋体" w:eastAsia="宋体" w:hint="default"/>
                <w:spacing w:val="-2"/>
                <w:sz w:val="18"/>
                <w:szCs w:val="18"/>
              </w:rPr>
              <w:t>协议》中利润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补偿义务履 行完毕之日 中的较晚日 </w:t>
            </w:r>
            <w:r>
              <w:rPr>
                <w:rFonts w:ascii="宋体" w:hAnsi="宋体" w:cs="宋体" w:eastAsia="宋体" w:hint="default"/>
                <w:spacing w:val="-2"/>
                <w:sz w:val="18"/>
                <w:szCs w:val="18"/>
              </w:rPr>
              <w:t>之前，不转让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本人持有的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自本次新增 股份上市之 日起，至</w:t>
            </w:r>
            <w:r>
              <w:rPr>
                <w:rFonts w:ascii="宋体" w:hAnsi="宋体" w:cs="宋体" w:eastAsia="宋体" w:hint="default"/>
                <w:spacing w:val="-43"/>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个月届满之 日和本人在</w:t>
            </w:r>
          </w:p>
          <w:p>
            <w:pPr>
              <w:pStyle w:val="TableParagraph"/>
              <w:spacing w:line="316"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《业绩补偿 </w:t>
            </w:r>
            <w:r>
              <w:rPr>
                <w:rFonts w:ascii="宋体" w:hAnsi="宋体" w:cs="宋体" w:eastAsia="宋体" w:hint="default"/>
                <w:spacing w:val="-3"/>
                <w:sz w:val="18"/>
                <w:szCs w:val="18"/>
              </w:rPr>
              <w:t>协议》中利润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补偿义务履 行完毕之日 中的较晚日 之前</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正在履行中， 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诺的情形。</w:t>
            </w:r>
          </w:p>
        </w:tc>
      </w:tr>
    </w:tbl>
    <w:p>
      <w:pPr>
        <w:spacing w:after="0" w:line="316"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2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本次发行取 得的上市公 司新增股份， 但按照《业绩 补偿协议》进 行回购的股 份除外；鉴于 本人与中软 华泰另一股 东马永清系 一致行动人， 共同控制中 软华泰，在马 永清于中软 华泰或者上 市公司担任 董事、监事或 高级管理人 员期间内，本 人每年转让 的上市公司 股份不超过 本人持有上 市公司股份 总数的</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z w:val="18"/>
                <w:szCs w:val="18"/>
              </w:rPr>
              <w:t>； 同时，在陈青 松（系本人之 子）于中软华 泰或者上市 公司担任董 事、监事或高 级管理人员 期间内，本人 每年转让的 上市公司股 份亦不超过 本人持有上 市公司股份 总数的</w:t>
            </w:r>
            <w:r>
              <w:rPr>
                <w:rFonts w:ascii="宋体" w:hAnsi="宋体" w:cs="宋体" w:eastAsia="宋体" w:hint="default"/>
                <w:spacing w:val="-45"/>
                <w:sz w:val="18"/>
                <w:szCs w:val="18"/>
              </w:rPr>
              <w:t> </w:t>
            </w:r>
            <w:r>
              <w:rPr>
                <w:rFonts w:ascii="宋体" w:hAnsi="宋体" w:cs="宋体" w:eastAsia="宋体" w:hint="default"/>
                <w:sz w:val="18"/>
                <w:szCs w:val="18"/>
              </w:rPr>
              <w:t>25%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王俊锋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自本次新增 股份上市之 日起</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内，本人不转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让所持有的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91"/>
              <w:jc w:val="left"/>
              <w:rPr>
                <w:rFonts w:ascii="宋体" w:hAnsi="宋体" w:cs="宋体" w:eastAsia="宋体" w:hint="default"/>
                <w:sz w:val="18"/>
                <w:szCs w:val="18"/>
              </w:rPr>
            </w:pPr>
            <w:r>
              <w:rPr>
                <w:rFonts w:ascii="宋体" w:hAnsi="宋体" w:cs="宋体" w:eastAsia="宋体" w:hint="default"/>
                <w:sz w:val="18"/>
                <w:szCs w:val="18"/>
              </w:rPr>
              <w:t>自本次新增 股份上市之 日起</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 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正在履行中， 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诺的情形。</w:t>
            </w:r>
          </w:p>
        </w:tc>
      </w:tr>
    </w:tbl>
    <w:p>
      <w:pPr>
        <w:spacing w:after="0" w:line="316"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8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本次发行取 得的上市公 司新增股份。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内，不转让或 者委托他人 管理其直接 或间接持有 的公司股份， 也不由公司 回购其持有 的公司股份。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85"/>
              <w:jc w:val="both"/>
              <w:rPr>
                <w:rFonts w:ascii="宋体" w:hAnsi="宋体" w:cs="宋体" w:eastAsia="宋体" w:hint="default"/>
                <w:sz w:val="18"/>
                <w:szCs w:val="18"/>
              </w:rPr>
            </w:pPr>
            <w:r>
              <w:rPr>
                <w:rFonts w:ascii="宋体" w:hAnsi="宋体" w:cs="宋体" w:eastAsia="宋体" w:hint="default"/>
                <w:sz w:val="18"/>
                <w:szCs w:val="18"/>
              </w:rPr>
              <w:t>自公司股票 上市之日起 三十六个月 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9"/>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w:t>
            </w:r>
            <w:r>
              <w:rPr>
                <w:rFonts w:ascii="宋体" w:hAnsi="宋体" w:cs="宋体" w:eastAsia="宋体" w:hint="default"/>
                <w:spacing w:val="-5"/>
                <w:sz w:val="18"/>
                <w:szCs w:val="18"/>
              </w:rPr>
              <w:t>诺的情形，承</w:t>
            </w:r>
            <w:r>
              <w:rPr>
                <w:rFonts w:ascii="宋体" w:hAnsi="宋体" w:cs="宋体" w:eastAsia="宋体" w:hint="default"/>
                <w:sz w:val="18"/>
                <w:szCs w:val="18"/>
              </w:rPr>
              <w:t> 诺已履行完 毕。</w:t>
            </w:r>
          </w:p>
        </w:tc>
      </w:tr>
      <w:tr>
        <w:trPr>
          <w:trHeight w:val="941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在王晓娜女 士任职期间， 其每年转让 的股份公司 股份不超过 其所持有股 份公司股份 总数的百分 之二十五；在 王晓娜女士 离职后半年 内，其不转让 直接或者间 接持有的公 司股份；如王 晓娜女士在 首次公开发 行股票上市 之日起六个 月内申报离 职的，自王晓 娜女士申报 离职之日起 十八个月内 其不转让直 接或者间接 持有的公司 股份；如王晓 娜女士在首 次公开发行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9999-12-31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8"/>
              <w:jc w:val="left"/>
              <w:rPr>
                <w:rFonts w:ascii="宋体" w:hAnsi="宋体" w:cs="宋体" w:eastAsia="宋体" w:hint="default"/>
                <w:sz w:val="18"/>
                <w:szCs w:val="18"/>
              </w:rPr>
            </w:pPr>
            <w:r>
              <w:rPr>
                <w:rFonts w:ascii="宋体" w:hAnsi="宋体" w:cs="宋体" w:eastAsia="宋体" w:hint="default"/>
                <w:sz w:val="18"/>
                <w:szCs w:val="18"/>
              </w:rPr>
              <w:t>正在履行中， 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诺的情形。</w:t>
            </w:r>
          </w:p>
        </w:tc>
      </w:tr>
    </w:tbl>
    <w:p>
      <w:pPr>
        <w:spacing w:after="0" w:line="316"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79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股票上市之 日起第七个 月至第十二 个月之间申 </w:t>
            </w:r>
            <w:r>
              <w:rPr>
                <w:rFonts w:ascii="宋体" w:hAnsi="宋体" w:cs="宋体" w:eastAsia="宋体" w:hint="default"/>
                <w:spacing w:val="-2"/>
                <w:sz w:val="18"/>
                <w:szCs w:val="18"/>
              </w:rPr>
              <w:t>报离职的，自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王晓娜女士 申报离职之 日起十二个 月内其不转 让直接或者 间接持有的 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高曦</w:t>
            </w:r>
            <w:r>
              <w:rPr>
                <w:rFonts w:ascii="宋体" w:hAnsi="宋体" w:cs="宋体" w:eastAsia="宋体" w:hint="default"/>
                <w:sz w:val="18"/>
                <w:szCs w:val="18"/>
              </w:rPr>
              <w:t>;</w:t>
            </w:r>
            <w:r>
              <w:rPr>
                <w:rFonts w:ascii="宋体" w:hAnsi="宋体" w:cs="宋体" w:eastAsia="宋体" w:hint="default"/>
                <w:sz w:val="18"/>
                <w:szCs w:val="18"/>
              </w:rPr>
              <w:t>杨杰</w:t>
            </w:r>
            <w:r>
              <w:rPr>
                <w:rFonts w:ascii="宋体" w:hAnsi="宋体" w:cs="宋体" w:eastAsia="宋体" w:hint="default"/>
                <w:sz w:val="18"/>
                <w:szCs w:val="18"/>
              </w:rPr>
              <w:t>; </w:t>
            </w:r>
            <w:r>
              <w:rPr>
                <w:rFonts w:ascii="宋体" w:hAnsi="宋体" w:cs="宋体" w:eastAsia="宋体" w:hint="default"/>
                <w:sz w:val="18"/>
                <w:szCs w:val="18"/>
              </w:rPr>
              <w:t>尹子健</w:t>
            </w:r>
            <w:r>
              <w:rPr>
                <w:rFonts w:ascii="宋体" w:hAnsi="宋体" w:cs="宋体" w:eastAsia="宋体" w:hint="default"/>
                <w:sz w:val="18"/>
                <w:szCs w:val="18"/>
              </w:rPr>
              <w:t>;</w:t>
            </w:r>
            <w:r>
              <w:rPr>
                <w:rFonts w:ascii="宋体" w:hAnsi="宋体" w:cs="宋体" w:eastAsia="宋体" w:hint="default"/>
                <w:sz w:val="18"/>
                <w:szCs w:val="18"/>
              </w:rPr>
              <w:t>马承 栋</w:t>
            </w:r>
            <w:r>
              <w:rPr>
                <w:rFonts w:ascii="宋体" w:hAnsi="宋体" w:cs="宋体" w:eastAsia="宋体" w:hint="default"/>
                <w:sz w:val="18"/>
                <w:szCs w:val="18"/>
              </w:rPr>
              <w:t>;</w:t>
            </w:r>
            <w:r>
              <w:rPr>
                <w:rFonts w:ascii="宋体" w:hAnsi="宋体" w:cs="宋体" w:eastAsia="宋体" w:hint="default"/>
                <w:sz w:val="18"/>
                <w:szCs w:val="18"/>
              </w:rPr>
              <w:t>哈连琴</w:t>
            </w:r>
            <w:r>
              <w:rPr>
                <w:rFonts w:ascii="宋体" w:hAnsi="宋体" w:cs="宋体" w:eastAsia="宋体" w:hint="default"/>
                <w:sz w:val="18"/>
                <w:szCs w:val="18"/>
              </w:rPr>
              <w:t>; </w:t>
            </w:r>
            <w:r>
              <w:rPr>
                <w:rFonts w:ascii="宋体" w:hAnsi="宋体" w:cs="宋体" w:eastAsia="宋体" w:hint="default"/>
                <w:sz w:val="18"/>
                <w:szCs w:val="18"/>
              </w:rPr>
              <w:t>杨维</w:t>
            </w:r>
            <w:r>
              <w:rPr>
                <w:rFonts w:ascii="宋体" w:hAnsi="宋体" w:cs="宋体" w:eastAsia="宋体" w:hint="default"/>
                <w:sz w:val="18"/>
                <w:szCs w:val="18"/>
              </w:rPr>
              <w:t>;</w:t>
            </w:r>
            <w:r>
              <w:rPr>
                <w:rFonts w:ascii="宋体" w:hAnsi="宋体" w:cs="宋体" w:eastAsia="宋体" w:hint="default"/>
                <w:sz w:val="18"/>
                <w:szCs w:val="18"/>
              </w:rPr>
              <w:t>王晓 峰</w:t>
            </w:r>
            <w:r>
              <w:rPr>
                <w:rFonts w:ascii="宋体" w:hAnsi="宋体" w:cs="宋体" w:eastAsia="宋体" w:hint="default"/>
                <w:sz w:val="18"/>
                <w:szCs w:val="18"/>
              </w:rPr>
              <w:t>;</w:t>
            </w:r>
            <w:r>
              <w:rPr>
                <w:rFonts w:ascii="宋体" w:hAnsi="宋体" w:cs="宋体" w:eastAsia="宋体" w:hint="default"/>
                <w:sz w:val="18"/>
                <w:szCs w:val="18"/>
              </w:rPr>
              <w:t>李涛</w:t>
            </w:r>
            <w:r>
              <w:rPr>
                <w:rFonts w:ascii="宋体" w:hAnsi="宋体" w:cs="宋体" w:eastAsia="宋体" w:hint="default"/>
                <w:sz w:val="18"/>
                <w:szCs w:val="18"/>
              </w:rPr>
              <w:t>;</w:t>
            </w:r>
            <w:r>
              <w:rPr>
                <w:rFonts w:ascii="宋体" w:hAnsi="宋体" w:cs="宋体" w:eastAsia="宋体" w:hint="default"/>
                <w:sz w:val="18"/>
                <w:szCs w:val="18"/>
              </w:rPr>
              <w:t>张 伶敏</w:t>
            </w:r>
            <w:r>
              <w:rPr>
                <w:rFonts w:ascii="宋体" w:hAnsi="宋体" w:cs="宋体" w:eastAsia="宋体" w:hint="default"/>
                <w:sz w:val="18"/>
                <w:szCs w:val="18"/>
              </w:rPr>
              <w:t>;</w:t>
            </w:r>
            <w:r>
              <w:rPr>
                <w:rFonts w:ascii="宋体" w:hAnsi="宋体" w:cs="宋体" w:eastAsia="宋体" w:hint="default"/>
                <w:sz w:val="18"/>
                <w:szCs w:val="18"/>
              </w:rPr>
              <w:t>程志 远</w:t>
            </w:r>
            <w:r>
              <w:rPr>
                <w:rFonts w:ascii="宋体" w:hAnsi="宋体" w:cs="宋体" w:eastAsia="宋体" w:hint="default"/>
                <w:sz w:val="18"/>
                <w:szCs w:val="18"/>
              </w:rPr>
              <w:t>;</w:t>
            </w:r>
            <w:r>
              <w:rPr>
                <w:rFonts w:ascii="宋体" w:hAnsi="宋体" w:cs="宋体" w:eastAsia="宋体" w:hint="default"/>
                <w:sz w:val="18"/>
                <w:szCs w:val="18"/>
              </w:rPr>
              <w:t>毕永东</w:t>
            </w:r>
            <w:r>
              <w:rPr>
                <w:rFonts w:ascii="宋体" w:hAnsi="宋体" w:cs="宋体" w:eastAsia="宋体" w:hint="default"/>
                <w:sz w:val="18"/>
                <w:szCs w:val="18"/>
              </w:rPr>
              <w:t>;</w:t>
            </w:r>
          </w:p>
          <w:p>
            <w:pPr>
              <w:pStyle w:val="TableParagraph"/>
              <w:spacing w:line="316" w:lineRule="auto" w:before="19"/>
              <w:ind w:left="23" w:right="96"/>
              <w:jc w:val="left"/>
              <w:rPr>
                <w:rFonts w:ascii="宋体" w:hAnsi="宋体" w:cs="宋体" w:eastAsia="宋体" w:hint="default"/>
                <w:sz w:val="18"/>
                <w:szCs w:val="18"/>
              </w:rPr>
            </w:pPr>
            <w:r>
              <w:rPr>
                <w:rFonts w:ascii="宋体" w:hAnsi="宋体" w:cs="宋体" w:eastAsia="宋体" w:hint="default"/>
                <w:sz w:val="18"/>
                <w:szCs w:val="18"/>
              </w:rPr>
              <w:t>姚翔</w:t>
            </w:r>
            <w:r>
              <w:rPr>
                <w:rFonts w:ascii="宋体" w:hAnsi="宋体" w:cs="宋体" w:eastAsia="宋体" w:hint="default"/>
                <w:sz w:val="18"/>
                <w:szCs w:val="18"/>
              </w:rPr>
              <w:t>;</w:t>
            </w:r>
            <w:r>
              <w:rPr>
                <w:rFonts w:ascii="宋体" w:hAnsi="宋体" w:cs="宋体" w:eastAsia="宋体" w:hint="default"/>
                <w:sz w:val="18"/>
                <w:szCs w:val="18"/>
              </w:rPr>
              <w:t>何悦</w:t>
            </w:r>
            <w:r>
              <w:rPr>
                <w:rFonts w:ascii="宋体" w:hAnsi="宋体" w:cs="宋体" w:eastAsia="宋体" w:hint="default"/>
                <w:sz w:val="18"/>
                <w:szCs w:val="18"/>
              </w:rPr>
              <w:t>; </w:t>
            </w:r>
            <w:r>
              <w:rPr>
                <w:rFonts w:ascii="宋体" w:hAnsi="宋体" w:cs="宋体" w:eastAsia="宋体" w:hint="default"/>
                <w:sz w:val="18"/>
                <w:szCs w:val="18"/>
              </w:rPr>
              <w:t>王夏娟</w:t>
            </w:r>
            <w:r>
              <w:rPr>
                <w:rFonts w:ascii="宋体" w:hAnsi="宋体" w:cs="宋体" w:eastAsia="宋体" w:hint="default"/>
                <w:sz w:val="18"/>
                <w:szCs w:val="18"/>
              </w:rPr>
              <w:t>;</w:t>
            </w:r>
            <w:r>
              <w:rPr>
                <w:rFonts w:ascii="宋体" w:hAnsi="宋体" w:cs="宋体" w:eastAsia="宋体" w:hint="default"/>
                <w:sz w:val="18"/>
                <w:szCs w:val="18"/>
              </w:rPr>
              <w:t>李敬 勋</w:t>
            </w:r>
            <w:r>
              <w:rPr>
                <w:rFonts w:ascii="宋体" w:hAnsi="宋体" w:cs="宋体" w:eastAsia="宋体" w:hint="default"/>
                <w:sz w:val="18"/>
                <w:szCs w:val="18"/>
              </w:rPr>
              <w:t>;</w:t>
            </w:r>
            <w:r>
              <w:rPr>
                <w:rFonts w:ascii="宋体" w:hAnsi="宋体" w:cs="宋体" w:eastAsia="宋体" w:hint="default"/>
                <w:sz w:val="18"/>
                <w:szCs w:val="18"/>
              </w:rPr>
              <w:t>刘兴安</w:t>
            </w:r>
            <w:r>
              <w:rPr>
                <w:rFonts w:ascii="宋体" w:hAnsi="宋体" w:cs="宋体" w:eastAsia="宋体" w:hint="default"/>
                <w:sz w:val="18"/>
                <w:szCs w:val="18"/>
              </w:rPr>
              <w:t>; </w:t>
            </w:r>
            <w:r>
              <w:rPr>
                <w:rFonts w:ascii="宋体" w:hAnsi="宋体" w:cs="宋体" w:eastAsia="宋体" w:hint="default"/>
                <w:sz w:val="18"/>
                <w:szCs w:val="18"/>
              </w:rPr>
              <w:t>吴振芳</w:t>
            </w:r>
            <w:r>
              <w:rPr>
                <w:rFonts w:ascii="宋体" w:hAnsi="宋体" w:cs="宋体" w:eastAsia="宋体" w:hint="default"/>
                <w:sz w:val="18"/>
                <w:szCs w:val="18"/>
              </w:rPr>
              <w:t>;</w:t>
            </w:r>
            <w:r>
              <w:rPr>
                <w:rFonts w:ascii="宋体" w:hAnsi="宋体" w:cs="宋体" w:eastAsia="宋体" w:hint="default"/>
                <w:sz w:val="18"/>
                <w:szCs w:val="18"/>
              </w:rPr>
              <w:t>陈华 治</w:t>
            </w:r>
            <w:r>
              <w:rPr>
                <w:rFonts w:ascii="宋体" w:hAnsi="宋体" w:cs="宋体" w:eastAsia="宋体" w:hint="default"/>
                <w:sz w:val="18"/>
                <w:szCs w:val="18"/>
              </w:rPr>
              <w:t>;</w:t>
            </w:r>
            <w:r>
              <w:rPr>
                <w:rFonts w:ascii="宋体" w:hAnsi="宋体" w:cs="宋体" w:eastAsia="宋体" w:hint="default"/>
                <w:sz w:val="18"/>
                <w:szCs w:val="18"/>
              </w:rPr>
              <w:t>姜涛</w:t>
            </w:r>
            <w:r>
              <w:rPr>
                <w:rFonts w:ascii="宋体" w:hAnsi="宋体" w:cs="宋体" w:eastAsia="宋体" w:hint="default"/>
                <w:sz w:val="18"/>
                <w:szCs w:val="18"/>
              </w:rPr>
              <w:t>;</w:t>
            </w:r>
            <w:r>
              <w:rPr>
                <w:rFonts w:ascii="宋体" w:hAnsi="宋体" w:cs="宋体" w:eastAsia="宋体" w:hint="default"/>
                <w:sz w:val="18"/>
                <w:szCs w:val="18"/>
              </w:rPr>
              <w:t>王 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内，不转让或 者委托他人 管理其直接 或间接持有 的公司股份， 也不由公司 回购其持有 的公司股份。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自公司股票 上市之日起 三十六个月 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w:t>
            </w:r>
            <w:r>
              <w:rPr>
                <w:rFonts w:ascii="宋体" w:hAnsi="宋体" w:cs="宋体" w:eastAsia="宋体" w:hint="default"/>
                <w:spacing w:val="-5"/>
                <w:sz w:val="18"/>
                <w:szCs w:val="18"/>
              </w:rPr>
              <w:t>诺情形，承诺</w:t>
            </w:r>
            <w:r>
              <w:rPr>
                <w:rFonts w:ascii="宋体" w:hAnsi="宋体" w:cs="宋体" w:eastAsia="宋体" w:hint="default"/>
                <w:sz w:val="18"/>
                <w:szCs w:val="18"/>
              </w:rPr>
              <w:t> 已履行完毕。</w:t>
            </w:r>
          </w:p>
        </w:tc>
      </w:tr>
      <w:tr>
        <w:trPr>
          <w:trHeight w:val="597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尹子健</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其在任职期 间，每年转让 的公司股份 不超过其持 有公司股份 总数的百分 之二十五；离 职后半年内， 不转让其持 有的公司股 份；在首次公 开发行股票 上市之日起 六个月内申 报离职的，自 申报离职之 日起十八个 月内不转让 其直接或者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w:t>
            </w:r>
            <w:r>
              <w:rPr>
                <w:rFonts w:ascii="宋体" w:hAnsi="宋体" w:cs="宋体" w:eastAsia="宋体" w:hint="default"/>
                <w:spacing w:val="-5"/>
                <w:sz w:val="18"/>
                <w:szCs w:val="18"/>
              </w:rPr>
              <w:t>诺情形，承诺</w:t>
            </w:r>
            <w:r>
              <w:rPr>
                <w:rFonts w:ascii="宋体" w:hAnsi="宋体" w:cs="宋体" w:eastAsia="宋体" w:hint="default"/>
                <w:sz w:val="18"/>
                <w:szCs w:val="18"/>
              </w:rPr>
              <w:t> 已履行完毕。</w:t>
            </w:r>
          </w:p>
        </w:tc>
      </w:tr>
    </w:tbl>
    <w:p>
      <w:pPr>
        <w:spacing w:after="0" w:line="316"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41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间接持有的 公司股份；在 首次公开发 行股票上市 之日起第七 个月至第十 二个月之间 申报离职的， 自申报离职 之日起十二 个月内不转 让其直接或 者间接持有 的公司股份。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41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186"/>
              <w:jc w:val="left"/>
              <w:rPr>
                <w:rFonts w:ascii="宋体" w:hAnsi="宋体" w:cs="宋体" w:eastAsia="宋体" w:hint="default"/>
                <w:sz w:val="18"/>
                <w:szCs w:val="18"/>
              </w:rPr>
            </w:pPr>
            <w:r>
              <w:rPr>
                <w:rFonts w:ascii="宋体" w:hAnsi="宋体" w:cs="宋体" w:eastAsia="宋体" w:hint="default"/>
                <w:sz w:val="18"/>
                <w:szCs w:val="18"/>
              </w:rPr>
              <w:t>林皓</w:t>
            </w:r>
            <w:r>
              <w:rPr>
                <w:rFonts w:ascii="宋体" w:hAnsi="宋体" w:cs="宋体" w:eastAsia="宋体" w:hint="default"/>
                <w:spacing w:val="14"/>
                <w:sz w:val="18"/>
                <w:szCs w:val="18"/>
              </w:rPr>
              <w:t> </w:t>
            </w:r>
            <w:r>
              <w:rPr>
                <w:rFonts w:ascii="宋体" w:hAnsi="宋体" w:cs="宋体" w:eastAsia="宋体" w:hint="default"/>
                <w:sz w:val="18"/>
                <w:szCs w:val="18"/>
              </w:rPr>
              <w:t>;</w:t>
            </w:r>
            <w:r>
              <w:rPr>
                <w:rFonts w:ascii="宋体" w:hAnsi="宋体" w:cs="宋体" w:eastAsia="宋体" w:hint="default"/>
                <w:sz w:val="18"/>
                <w:szCs w:val="18"/>
              </w:rPr>
              <w:t>杨 杰 </w:t>
            </w:r>
            <w:r>
              <w:rPr>
                <w:rFonts w:ascii="宋体" w:hAnsi="宋体" w:cs="宋体" w:eastAsia="宋体" w:hint="default"/>
                <w:sz w:val="18"/>
                <w:szCs w:val="18"/>
              </w:rPr>
              <w:t>;</w:t>
            </w:r>
            <w:r>
              <w:rPr>
                <w:rFonts w:ascii="宋体" w:hAnsi="宋体" w:cs="宋体" w:eastAsia="宋体" w:hint="default"/>
                <w:sz w:val="18"/>
                <w:szCs w:val="18"/>
              </w:rPr>
              <w:t>高 曦</w:t>
            </w:r>
            <w:r>
              <w:rPr>
                <w:rFonts w:ascii="宋体" w:hAnsi="宋体" w:cs="宋体" w:eastAsia="宋体" w:hint="default"/>
                <w:sz w:val="18"/>
                <w:szCs w:val="18"/>
              </w:rPr>
              <w:t>; </w:t>
            </w:r>
            <w:r>
              <w:rPr>
                <w:rFonts w:ascii="宋体" w:hAnsi="宋体" w:cs="宋体" w:eastAsia="宋体" w:hint="default"/>
                <w:sz w:val="18"/>
                <w:szCs w:val="18"/>
              </w:rPr>
              <w:t>杨维</w:t>
            </w:r>
            <w:r>
              <w:rPr>
                <w:rFonts w:ascii="宋体" w:hAnsi="宋体" w:cs="宋体" w:eastAsia="宋体" w:hint="default"/>
                <w:sz w:val="18"/>
                <w:szCs w:val="18"/>
              </w:rPr>
              <w:t>;</w:t>
            </w:r>
            <w:r>
              <w:rPr>
                <w:rFonts w:ascii="宋体" w:hAnsi="宋体" w:cs="宋体" w:eastAsia="宋体" w:hint="default"/>
                <w:sz w:val="18"/>
                <w:szCs w:val="18"/>
              </w:rPr>
              <w:t>马承 栋</w:t>
            </w:r>
            <w:r>
              <w:rPr>
                <w:rFonts w:ascii="宋体" w:hAnsi="宋体" w:cs="宋体" w:eastAsia="宋体"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其在任职期 间，每年转让 的公司股份 不超过其持 有公司股份 总数的百分 之二十五；离 职后半年内， 不转让其持 有的公司股 份；在首次公 开发行股票 上市之日起 六个月内申 报离职的，自 申报离职之 日起十八个 月内不转让 其直接或者 间接持有的 公司股份；在 首次公开发 行股票上市 之日起第七 个月至第十 二个月之间 申报离职的， 自申报离职 之日起十二 个月内不转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5"/>
              <w:jc w:val="left"/>
              <w:rPr>
                <w:rFonts w:ascii="宋体" w:hAnsi="宋体" w:cs="宋体" w:eastAsia="宋体" w:hint="default"/>
                <w:sz w:val="18"/>
                <w:szCs w:val="18"/>
              </w:rPr>
            </w:pPr>
            <w:r>
              <w:rPr>
                <w:rFonts w:ascii="宋体" w:hAnsi="宋体" w:cs="宋体" w:eastAsia="宋体" w:hint="default"/>
                <w:sz w:val="18"/>
                <w:szCs w:val="18"/>
              </w:rPr>
              <w:t>严格履行中， 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诺的情形</w:t>
            </w:r>
          </w:p>
        </w:tc>
      </w:tr>
    </w:tbl>
    <w:p>
      <w:pPr>
        <w:spacing w:after="0" w:line="316"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8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让其直接或 者间接持有 的公司股份。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哈连琴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其在任职期 间，每年转让 的公司股份 不超过其持 有公司股份 总数的百分 之二十五；离 职后半年内， 不转让其持 有的公司股 份；在首次公 开发行股票 上市之日起 六个月内申 报离职的，自 申报离职之 日起十八个 月内不转让 其直接持有 的公司股份； 在首次公开 发行股票上 市之日起第 七个月至第 十二个月之 间申报离职 的，自申报离 职之日起十 二个月内不 转让其直接 持有的公司 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9999-12-31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严格履行中， 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诺的情形。</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6"/>
              <w:jc w:val="left"/>
              <w:rPr>
                <w:rFonts w:ascii="宋体" w:hAnsi="宋体" w:cs="宋体" w:eastAsia="宋体" w:hint="default"/>
                <w:sz w:val="18"/>
                <w:szCs w:val="18"/>
              </w:rPr>
            </w:pPr>
            <w:r>
              <w:rPr>
                <w:rFonts w:ascii="宋体" w:hAnsi="宋体" w:cs="宋体" w:eastAsia="宋体" w:hint="default"/>
                <w:sz w:val="18"/>
                <w:szCs w:val="18"/>
              </w:rPr>
              <w:t>林皓</w:t>
            </w:r>
            <w:r>
              <w:rPr>
                <w:rFonts w:ascii="宋体" w:hAnsi="宋体" w:cs="宋体" w:eastAsia="宋体" w:hint="default"/>
                <w:sz w:val="18"/>
                <w:szCs w:val="18"/>
              </w:rPr>
              <w:t>;</w:t>
            </w:r>
            <w:r>
              <w:rPr>
                <w:rFonts w:ascii="宋体" w:hAnsi="宋体" w:cs="宋体" w:eastAsia="宋体" w:hint="default"/>
                <w:sz w:val="18"/>
                <w:szCs w:val="18"/>
              </w:rPr>
              <w:t>高曦</w:t>
            </w:r>
            <w:r>
              <w:rPr>
                <w:rFonts w:ascii="宋体" w:hAnsi="宋体" w:cs="宋体" w:eastAsia="宋体" w:hint="default"/>
                <w:sz w:val="18"/>
                <w:szCs w:val="18"/>
              </w:rPr>
              <w:t>; </w:t>
            </w:r>
            <w:r>
              <w:rPr>
                <w:rFonts w:ascii="宋体" w:hAnsi="宋体" w:cs="宋体" w:eastAsia="宋体" w:hint="default"/>
                <w:sz w:val="18"/>
                <w:szCs w:val="18"/>
              </w:rPr>
              <w:t>杨杰</w:t>
            </w:r>
            <w:r>
              <w:rPr>
                <w:rFonts w:ascii="宋体" w:hAnsi="宋体" w:cs="宋体" w:eastAsia="宋体" w:hint="default"/>
                <w:sz w:val="18"/>
                <w:szCs w:val="18"/>
              </w:rPr>
              <w:t>;</w:t>
            </w:r>
            <w:r>
              <w:rPr>
                <w:rFonts w:ascii="宋体" w:hAnsi="宋体" w:cs="宋体" w:eastAsia="宋体" w:hint="default"/>
                <w:sz w:val="18"/>
                <w:szCs w:val="18"/>
              </w:rPr>
              <w:t>胡建 斌</w:t>
            </w:r>
            <w:r>
              <w:rPr>
                <w:rFonts w:ascii="宋体" w:hAnsi="宋体" w:cs="宋体" w:eastAsia="宋体" w:hint="default"/>
                <w:sz w:val="18"/>
                <w:szCs w:val="18"/>
              </w:rPr>
              <w:t>;</w:t>
            </w:r>
            <w:r>
              <w:rPr>
                <w:rFonts w:ascii="宋体" w:hAnsi="宋体" w:cs="宋体" w:eastAsia="宋体" w:hint="default"/>
                <w:sz w:val="18"/>
                <w:szCs w:val="18"/>
              </w:rPr>
              <w:t>哈连琴</w:t>
            </w:r>
            <w:r>
              <w:rPr>
                <w:rFonts w:ascii="宋体" w:hAnsi="宋体" w:cs="宋体" w:eastAsia="宋体" w:hint="default"/>
                <w:sz w:val="18"/>
                <w:szCs w:val="18"/>
              </w:rPr>
              <w:t>; </w:t>
            </w:r>
            <w:r>
              <w:rPr>
                <w:rFonts w:ascii="宋体" w:hAnsi="宋体" w:cs="宋体" w:eastAsia="宋体" w:hint="default"/>
                <w:sz w:val="18"/>
                <w:szCs w:val="18"/>
              </w:rPr>
              <w:t>马承栋</w:t>
            </w:r>
            <w:r>
              <w:rPr>
                <w:rFonts w:ascii="宋体" w:hAnsi="宋体" w:cs="宋体" w:eastAsia="宋体" w:hint="default"/>
                <w:sz w:val="18"/>
                <w:szCs w:val="18"/>
              </w:rPr>
              <w:t>;</w:t>
            </w:r>
            <w:r>
              <w:rPr>
                <w:rFonts w:ascii="宋体" w:hAnsi="宋体" w:cs="宋体" w:eastAsia="宋体" w:hint="default"/>
                <w:sz w:val="18"/>
                <w:szCs w:val="18"/>
              </w:rPr>
              <w:t>杨维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p>
          <w:p>
            <w:pPr>
              <w:pStyle w:val="TableParagraph"/>
              <w:spacing w:line="316" w:lineRule="auto" w:before="76"/>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日起六个 月内不减持 公司股票。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宋体" w:hAnsi="宋体" w:cs="宋体" w:eastAsia="宋体" w:hint="default"/>
                <w:sz w:val="18"/>
                <w:szCs w:val="18"/>
              </w:rPr>
              <w:t>2016</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截至报告期 </w:t>
            </w:r>
            <w:r>
              <w:rPr>
                <w:rFonts w:ascii="宋体" w:hAnsi="宋体" w:cs="宋体" w:eastAsia="宋体" w:hint="default"/>
                <w:spacing w:val="-5"/>
                <w:sz w:val="18"/>
                <w:szCs w:val="18"/>
              </w:rPr>
              <w:t>末，无违反承</w:t>
            </w:r>
            <w:r>
              <w:rPr>
                <w:rFonts w:ascii="宋体" w:hAnsi="宋体" w:cs="宋体" w:eastAsia="宋体" w:hint="default"/>
                <w:sz w:val="18"/>
                <w:szCs w:val="18"/>
              </w:rPr>
              <w:t> </w:t>
            </w:r>
            <w:r>
              <w:rPr>
                <w:rFonts w:ascii="宋体" w:hAnsi="宋体" w:cs="宋体" w:eastAsia="宋体" w:hint="default"/>
                <w:spacing w:val="-5"/>
                <w:sz w:val="18"/>
                <w:szCs w:val="18"/>
              </w:rPr>
              <w:t>诺情形；截止</w:t>
            </w:r>
            <w:r>
              <w:rPr>
                <w:rFonts w:ascii="宋体" w:hAnsi="宋体" w:cs="宋体" w:eastAsia="宋体" w:hint="default"/>
                <w:sz w:val="18"/>
                <w:szCs w:val="18"/>
              </w:rPr>
              <w:t> 本报告披露 日承诺已履 行完毕。</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8"/>
        <w:rPr>
          <w:rFonts w:ascii="Times New Roman" w:hAnsi="Times New Roman" w:cs="Times New Roman" w:eastAsia="Times New Roman"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837"/>
        <w:gridCol w:w="6731"/>
      </w:tblGrid>
      <w:tr>
        <w:trPr>
          <w:trHeight w:val="298" w:hRule="exact"/>
        </w:trPr>
        <w:tc>
          <w:tcPr>
            <w:tcW w:w="2837" w:type="dxa"/>
            <w:tcBorders>
              <w:top w:val="nil" w:sz="6" w:space="0" w:color="auto"/>
              <w:left w:val="nil" w:sz="6" w:space="0" w:color="auto"/>
              <w:bottom w:val="single" w:sz="4" w:space="0" w:color="000000"/>
              <w:right w:val="nil" w:sz="6" w:space="0" w:color="auto"/>
            </w:tcBorders>
          </w:tcPr>
          <w:p>
            <w:pPr/>
          </w:p>
        </w:tc>
        <w:tc>
          <w:tcPr>
            <w:tcW w:w="6731" w:type="dxa"/>
            <w:tcBorders>
              <w:top w:val="nil" w:sz="6" w:space="0" w:color="auto"/>
              <w:left w:val="nil" w:sz="6" w:space="0" w:color="auto"/>
              <w:bottom w:val="single" w:sz="4" w:space="0" w:color="000000"/>
              <w:right w:val="nil" w:sz="6" w:space="0" w:color="auto"/>
            </w:tcBorders>
          </w:tcPr>
          <w:p>
            <w:pPr/>
          </w:p>
        </w:tc>
      </w:tr>
      <w:tr>
        <w:trPr>
          <w:trHeight w:val="10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Times New Roman" w:hAnsi="Times New Roman" w:cs="Times New Roman" w:eastAsia="Times New Roman" w:hint="default"/>
          <w:sz w:val="23"/>
          <w:szCs w:val="23"/>
        </w:rPr>
      </w:pPr>
    </w:p>
    <w:p>
      <w:pPr>
        <w:pStyle w:val="Heading4"/>
        <w:spacing w:line="300" w:lineRule="exact"/>
        <w:ind w:right="0"/>
        <w:jc w:val="left"/>
        <w:rPr>
          <w:b w:val="0"/>
          <w:bCs w:val="0"/>
        </w:rPr>
      </w:pPr>
      <w:r>
        <w:rPr/>
        <w:pict>
          <v:group style="position:absolute;margin-left:55.200001pt;margin-top:-79.805626pt;width:484.9pt;height:.1pt;mso-position-horizontal-relative:page;mso-position-vertical-relative:paragraph;z-index:-754696" coordorigin="1104,-1596" coordsize="9698,2">
            <v:shape style="position:absolute;left:1104;top:-1596;width:9698;height:2" coordorigin="1104,-1596" coordsize="9698,0" path="m1104,-1596l10802,-1596e" filled="false" stroked="true" strokeweight=".72pt" strokecolor="#000000">
              <v:path arrowok="t"/>
            </v:shape>
            <w10:wrap type="none"/>
          </v:group>
        </w:pict>
      </w:r>
      <w:r>
        <w:rPr>
          <w:rFonts w:ascii="Trebuchet MS" w:hAnsi="Trebuchet MS" w:cs="Trebuchet MS" w:eastAsia="Trebuchet MS" w:hint="default"/>
        </w:rPr>
        <w:t>2</w:t>
      </w:r>
      <w:r>
        <w:rPr/>
        <w:t>、公司资产或项目存在盈利预测，且报告期仍处在盈利预测期间，公司就资产或项目达到原盈利预测及其原因做出说明</w:t>
      </w:r>
      <w:r>
        <w:rPr>
          <w:b w:val="0"/>
          <w:bCs w:val="0"/>
        </w:rPr>
      </w:r>
    </w:p>
    <w:p>
      <w:pPr>
        <w:spacing w:line="240" w:lineRule="auto" w:before="5"/>
        <w:rPr>
          <w:rFonts w:ascii="Microsoft JhengHei" w:hAnsi="Microsoft JhengHei" w:cs="Microsoft JhengHei" w:eastAsia="Microsoft JhengHei" w:hint="default"/>
          <w:b/>
          <w:bCs/>
          <w:sz w:val="20"/>
          <w:szCs w:val="20"/>
        </w:rPr>
      </w:pPr>
    </w:p>
    <w:p>
      <w:pPr>
        <w:pStyle w:val="BodyText"/>
        <w:spacing w:line="240" w:lineRule="auto"/>
        <w:ind w:right="301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65"/>
        <w:gridCol w:w="1138"/>
        <w:gridCol w:w="1141"/>
        <w:gridCol w:w="1140"/>
        <w:gridCol w:w="1140"/>
        <w:gridCol w:w="1142"/>
        <w:gridCol w:w="1145"/>
        <w:gridCol w:w="1586"/>
      </w:tblGrid>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8" w:right="84"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4"/>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4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1"/>
              <w:jc w:val="both"/>
              <w:rPr>
                <w:rFonts w:ascii="宋体" w:hAnsi="宋体" w:cs="宋体" w:eastAsia="宋体" w:hint="default"/>
                <w:sz w:val="18"/>
                <w:szCs w:val="18"/>
              </w:rPr>
            </w:pPr>
            <w:r>
              <w:rPr>
                <w:rFonts w:ascii="宋体" w:hAnsi="宋体" w:cs="宋体" w:eastAsia="宋体" w:hint="default"/>
                <w:sz w:val="18"/>
                <w:szCs w:val="18"/>
              </w:rPr>
              <w:t>发行股份及支 付现金购买中 软华泰</w:t>
            </w:r>
            <w:r>
              <w:rPr>
                <w:rFonts w:ascii="宋体" w:hAnsi="宋体" w:cs="宋体" w:eastAsia="宋体" w:hint="default"/>
                <w:spacing w:val="-44"/>
                <w:sz w:val="18"/>
                <w:szCs w:val="18"/>
              </w:rPr>
              <w:t> </w:t>
            </w:r>
            <w:r>
              <w:rPr>
                <w:rFonts w:ascii="宋体" w:hAnsi="宋体" w:cs="宋体" w:eastAsia="宋体" w:hint="default"/>
                <w:sz w:val="18"/>
                <w:szCs w:val="18"/>
              </w:rPr>
              <w:t>100%</w:t>
            </w:r>
            <w:r>
              <w:rPr>
                <w:rFonts w:ascii="宋体" w:hAnsi="宋体" w:cs="宋体" w:eastAsia="宋体" w:hint="default"/>
                <w:sz w:val="18"/>
                <w:szCs w:val="18"/>
              </w:rPr>
              <w:t>股 权项目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88" w:right="0"/>
              <w:jc w:val="left"/>
              <w:rPr>
                <w:rFonts w:ascii="宋体" w:hAnsi="宋体" w:cs="宋体" w:eastAsia="宋体" w:hint="default"/>
                <w:sz w:val="18"/>
                <w:szCs w:val="18"/>
              </w:rPr>
            </w:pPr>
            <w:r>
              <w:rPr>
                <w:rFonts w:ascii="宋体"/>
                <w:sz w:val="18"/>
              </w:rPr>
              <w:t>1,041.66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7" w:right="0"/>
              <w:jc w:val="left"/>
              <w:rPr>
                <w:rFonts w:ascii="宋体" w:hAnsi="宋体" w:cs="宋体" w:eastAsia="宋体" w:hint="default"/>
                <w:sz w:val="18"/>
                <w:szCs w:val="18"/>
              </w:rPr>
            </w:pPr>
            <w:r>
              <w:rPr>
                <w:rFonts w:ascii="宋体"/>
                <w:sz w:val="18"/>
              </w:rPr>
              <w:t>1,194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9"/>
              <w:jc w:val="left"/>
              <w:rPr>
                <w:rFonts w:ascii="宋体" w:hAnsi="宋体" w:cs="宋体" w:eastAsia="宋体" w:hint="default"/>
                <w:sz w:val="18"/>
                <w:szCs w:val="18"/>
              </w:rPr>
            </w:pPr>
            <w:r>
              <w:rPr>
                <w:rFonts w:ascii="宋体" w:hAnsi="宋体" w:cs="宋体" w:eastAsia="宋体" w:hint="default"/>
                <w:sz w:val="18"/>
                <w:szCs w:val="18"/>
              </w:rPr>
              <w:t>巨潮资讯网 </w:t>
            </w:r>
            <w:hyperlink r:id="rId13">
              <w:r>
                <w:rPr>
                  <w:rFonts w:ascii="宋体" w:hAnsi="宋体" w:cs="宋体" w:eastAsia="宋体" w:hint="default"/>
                  <w:sz w:val="18"/>
                  <w:szCs w:val="18"/>
                </w:rPr>
                <w:t>www.cninfo.com.cn</w:t>
              </w:r>
            </w:hyperlink>
          </w:p>
        </w:tc>
      </w:tr>
    </w:tbl>
    <w:p>
      <w:pPr>
        <w:pStyle w:val="BodyText"/>
        <w:spacing w:line="240" w:lineRule="auto" w:before="49"/>
        <w:ind w:right="0"/>
        <w:jc w:val="both"/>
      </w:pPr>
      <w:r>
        <w:rPr/>
        <w:t>公司股东、交易对手方对公司或相关资产年度经营业绩作出的承诺情况</w:t>
      </w:r>
    </w:p>
    <w:p>
      <w:pPr>
        <w:pStyle w:val="BodyText"/>
        <w:spacing w:line="360" w:lineRule="auto" w:before="115"/>
        <w:ind w:left="515" w:right="0" w:hanging="363"/>
        <w:jc w:val="left"/>
      </w:pPr>
      <w:r>
        <w:rPr/>
        <w:t>√ 适用 □</w:t>
      </w:r>
      <w:r>
        <w:rPr>
          <w:spacing w:val="3"/>
        </w:rPr>
        <w:t> </w:t>
      </w:r>
      <w:r>
        <w:rPr/>
        <w:t>不适用</w:t>
      </w:r>
      <w:r>
        <w:rPr/>
        <w:t> </w:t>
      </w:r>
      <w:r>
        <w:rPr>
          <w:spacing w:val="-2"/>
        </w:rPr>
        <w:t>根据公司与交易对方签署的《北京北信源软件股份有限公司发行股份及支付现金购买资产协议》、《北京北信源软件股</w:t>
      </w:r>
    </w:p>
    <w:p>
      <w:pPr>
        <w:pStyle w:val="BodyText"/>
        <w:spacing w:line="222" w:lineRule="exact"/>
        <w:ind w:right="0"/>
        <w:jc w:val="both"/>
      </w:pPr>
      <w:r>
        <w:rPr/>
        <w:t>份有限公司发行股份及支付现金购买资产协议之补充协议》、《北京北信源软件股份有限公司发行股份及支付现金购买资产</w:t>
      </w:r>
    </w:p>
    <w:p>
      <w:pPr>
        <w:pStyle w:val="BodyText"/>
        <w:spacing w:line="316" w:lineRule="auto" w:before="76"/>
        <w:ind w:right="150"/>
        <w:jc w:val="both"/>
      </w:pPr>
      <w:r>
        <w:rPr/>
        <w:t>协议之补充协议（一）》、《业绩补偿协议》，田秋桂、马永清作为业绩承诺方承诺中软华泰</w:t>
      </w:r>
      <w:r>
        <w:rPr>
          <w:rFonts w:ascii="宋体" w:hAnsi="宋体" w:cs="宋体" w:eastAsia="宋体" w:hint="default"/>
        </w:rPr>
        <w:t>2014</w:t>
      </w:r>
      <w:r>
        <w:rPr/>
        <w:t>年度、</w:t>
      </w:r>
      <w:r>
        <w:rPr>
          <w:rFonts w:ascii="宋体" w:hAnsi="宋体" w:cs="宋体" w:eastAsia="宋体" w:hint="default"/>
        </w:rPr>
        <w:t>2015</w:t>
      </w:r>
      <w:r>
        <w:rPr/>
        <w:t>年度、</w:t>
      </w:r>
      <w:r>
        <w:rPr>
          <w:rFonts w:ascii="宋体" w:hAnsi="宋体" w:cs="宋体" w:eastAsia="宋体" w:hint="default"/>
        </w:rPr>
        <w:t>2016</w:t>
      </w:r>
      <w:r>
        <w:rPr>
          <w:rFonts w:ascii="宋体" w:hAnsi="宋体" w:cs="宋体" w:eastAsia="宋体" w:hint="default"/>
          <w:spacing w:val="-10"/>
        </w:rPr>
        <w:t> </w:t>
      </w:r>
      <w:r>
        <w:rPr>
          <w:rFonts w:ascii="宋体" w:hAnsi="宋体" w:cs="宋体" w:eastAsia="宋体" w:hint="default"/>
          <w:spacing w:val="-10"/>
        </w:rPr>
      </w:r>
      <w:r>
        <w:rPr>
          <w:spacing w:val="-2"/>
        </w:rPr>
        <w:t>年度和</w:t>
      </w:r>
      <w:r>
        <w:rPr>
          <w:rFonts w:ascii="宋体" w:hAnsi="宋体" w:cs="宋体" w:eastAsia="宋体" w:hint="default"/>
          <w:spacing w:val="-2"/>
        </w:rPr>
        <w:t>2017</w:t>
      </w:r>
      <w:r>
        <w:rPr>
          <w:spacing w:val="-2"/>
        </w:rPr>
        <w:t>年度实现的净利润（以经北信源认可的会计师审计标的公司扣除非经常性损益后归属于母公司的净利润）分别不</w:t>
      </w:r>
      <w:r>
        <w:rPr>
          <w:spacing w:val="-62"/>
        </w:rPr>
        <w:t> </w:t>
      </w:r>
      <w:r>
        <w:rPr>
          <w:spacing w:val="-62"/>
        </w:rPr>
      </w:r>
      <w:r>
        <w:rPr/>
        <w:t>低于</w:t>
      </w:r>
      <w:r>
        <w:rPr>
          <w:rFonts w:ascii="宋体" w:hAnsi="宋体" w:cs="宋体" w:eastAsia="宋体" w:hint="default"/>
        </w:rPr>
        <w:t>833.33</w:t>
      </w:r>
      <w:r>
        <w:rPr/>
        <w:t>万元、</w:t>
      </w:r>
      <w:r>
        <w:rPr>
          <w:rFonts w:ascii="宋体" w:hAnsi="宋体" w:cs="宋体" w:eastAsia="宋体" w:hint="default"/>
        </w:rPr>
        <w:t>1,041.66</w:t>
      </w:r>
      <w:r>
        <w:rPr/>
        <w:t>万元、</w:t>
      </w:r>
      <w:r>
        <w:rPr>
          <w:rFonts w:ascii="宋体" w:hAnsi="宋体" w:cs="宋体" w:eastAsia="宋体" w:hint="default"/>
        </w:rPr>
        <w:t>1,302.08</w:t>
      </w:r>
      <w:r>
        <w:rPr/>
        <w:t>万元和</w:t>
      </w:r>
      <w:r>
        <w:rPr>
          <w:rFonts w:ascii="宋体" w:hAnsi="宋体" w:cs="宋体" w:eastAsia="宋体" w:hint="default"/>
        </w:rPr>
        <w:t>1,627.60</w:t>
      </w:r>
      <w:r>
        <w:rPr/>
        <w:t>万元。</w:t>
      </w:r>
    </w:p>
    <w:p>
      <w:pPr>
        <w:pStyle w:val="BodyText"/>
        <w:spacing w:line="316" w:lineRule="auto" w:before="19"/>
        <w:ind w:right="148" w:firstLine="362"/>
        <w:jc w:val="both"/>
      </w:pPr>
      <w:r>
        <w:rPr>
          <w:spacing w:val="-2"/>
        </w:rPr>
        <w:t>中软华泰</w:t>
      </w:r>
      <w:r>
        <w:rPr>
          <w:rFonts w:ascii="宋体" w:hAnsi="宋体" w:cs="宋体" w:eastAsia="宋体" w:hint="default"/>
          <w:spacing w:val="-2"/>
        </w:rPr>
        <w:t>2015</w:t>
      </w:r>
      <w:r>
        <w:rPr>
          <w:spacing w:val="-2"/>
        </w:rPr>
        <w:t>年财务报表业经瑞华会计师事务所（特殊普通合伙）审计，公司出具了《关于</w:t>
      </w:r>
      <w:r>
        <w:rPr>
          <w:rFonts w:ascii="宋体" w:hAnsi="宋体" w:cs="宋体" w:eastAsia="宋体" w:hint="default"/>
          <w:spacing w:val="-2"/>
        </w:rPr>
        <w:t>2015</w:t>
      </w:r>
      <w:r>
        <w:rPr>
          <w:spacing w:val="-2"/>
        </w:rPr>
        <w:t>年度发行股份及支付现</w:t>
      </w:r>
      <w:r>
        <w:rPr/>
        <w:t> 金购买资产之盈利预测实现情况的说明》</w:t>
      </w:r>
      <w:r>
        <w:rPr>
          <w:rFonts w:ascii="宋体" w:hAnsi="宋体" w:cs="宋体" w:eastAsia="宋体" w:hint="default"/>
        </w:rPr>
        <w:t>,</w:t>
      </w:r>
      <w:r>
        <w:rPr/>
        <w:t>同时瑞华瑞华会计师事务所（特殊普通合伙）出具了《北京北信源软件股份有限</w:t>
      </w:r>
      <w:r>
        <w:rPr>
          <w:spacing w:val="-83"/>
        </w:rPr>
        <w:t> </w:t>
      </w:r>
      <w:r>
        <w:rPr>
          <w:spacing w:val="-83"/>
        </w:rPr>
      </w:r>
      <w:r>
        <w:rPr/>
        <w:t>公司盈利预测实现情况的专项报告》</w:t>
      </w:r>
      <w:r>
        <w:rPr>
          <w:rFonts w:ascii="宋体" w:hAnsi="宋体" w:cs="宋体" w:eastAsia="宋体" w:hint="default"/>
        </w:rPr>
        <w:t>[2016]01660001</w:t>
      </w:r>
      <w:r>
        <w:rPr/>
        <w:t>。</w:t>
      </w:r>
    </w:p>
    <w:p>
      <w:pPr>
        <w:pStyle w:val="BodyText"/>
        <w:spacing w:line="316" w:lineRule="auto" w:before="19"/>
        <w:ind w:right="151" w:firstLine="362"/>
        <w:jc w:val="both"/>
      </w:pPr>
      <w:r>
        <w:rPr>
          <w:rFonts w:ascii="宋体" w:hAnsi="宋体" w:cs="宋体" w:eastAsia="宋体" w:hint="default"/>
        </w:rPr>
        <w:t>2015</w:t>
      </w:r>
      <w:r>
        <w:rPr/>
        <w:t>年度中软华泰经审计后实现净利润</w:t>
      </w:r>
      <w:r>
        <w:rPr>
          <w:spacing w:val="-3"/>
        </w:rPr>
        <w:t> </w:t>
      </w:r>
      <w:r>
        <w:rPr>
          <w:rFonts w:ascii="宋体" w:hAnsi="宋体" w:cs="宋体" w:eastAsia="宋体" w:hint="default"/>
        </w:rPr>
        <w:t>1,192.47</w:t>
      </w:r>
      <w:r>
        <w:rPr/>
        <w:t>万元，扣除非经常性损益后归属母公司净利润为</w:t>
      </w:r>
      <w:r>
        <w:rPr>
          <w:rFonts w:ascii="宋体" w:hAnsi="宋体" w:cs="宋体" w:eastAsia="宋体" w:hint="default"/>
        </w:rPr>
        <w:t>1,194.00</w:t>
      </w:r>
      <w:r>
        <w:rPr/>
        <w:t>万元，超额 完成承诺业绩</w:t>
      </w:r>
      <w:r>
        <w:rPr>
          <w:rFonts w:ascii="宋体" w:hAnsi="宋体" w:cs="宋体" w:eastAsia="宋体" w:hint="default"/>
        </w:rPr>
        <w:t>152.34</w:t>
      </w:r>
      <w:r>
        <w:rPr/>
        <w:t>万元。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4014"/>
        <w:jc w:val="left"/>
      </w:pPr>
      <w:r>
        <w:rPr/>
        <w:t>□ 适用 √</w:t>
      </w:r>
      <w:r>
        <w:rPr>
          <w:spacing w:val="3"/>
        </w:rPr>
        <w:t> </w:t>
      </w:r>
      <w:r>
        <w:rPr/>
        <w:t>不适用</w:t>
      </w:r>
      <w:r>
        <w:rPr/>
        <w:t> 公司报告期不存在控股股东及其关联方对上市公司的非经营性占用资金。</w:t>
      </w:r>
    </w:p>
    <w:p>
      <w:pPr>
        <w:spacing w:line="240" w:lineRule="auto" w:before="9"/>
        <w:rPr>
          <w:rFonts w:ascii="宋体" w:hAnsi="宋体" w:cs="宋体" w:eastAsia="宋体" w:hint="default"/>
          <w:sz w:val="12"/>
          <w:szCs w:val="12"/>
        </w:rPr>
      </w:pPr>
    </w:p>
    <w:p>
      <w:pPr>
        <w:pStyle w:val="Heading2"/>
        <w:spacing w:line="240" w:lineRule="auto"/>
        <w:ind w:right="0"/>
        <w:jc w:val="both"/>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 适用 √</w:t>
      </w:r>
      <w:r>
        <w:rPr>
          <w:spacing w:val="3"/>
        </w:rPr>
        <w:t> </w:t>
      </w:r>
      <w:r>
        <w:rPr/>
        <w:t>不适用</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 适用 √</w:t>
      </w:r>
      <w:r>
        <w:rPr>
          <w:spacing w:val="3"/>
        </w:rPr>
        <w:t> </w:t>
      </w:r>
      <w:r>
        <w:rPr/>
        <w:t>不适用</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 适用 √</w:t>
      </w:r>
      <w:r>
        <w:rPr>
          <w:spacing w:val="3"/>
        </w:rPr>
        <w:t> </w:t>
      </w:r>
      <w:r>
        <w:rPr/>
        <w:t>不适用</w:t>
      </w:r>
    </w:p>
    <w:p>
      <w:pPr>
        <w:spacing w:after="0" w:line="240" w:lineRule="auto"/>
        <w:jc w:val="both"/>
        <w:sectPr>
          <w:pgSz w:w="11910" w:h="16840"/>
          <w:pgMar w:header="781" w:footer="979" w:top="1080" w:bottom="1160" w:left="980" w:right="980"/>
        </w:sectPr>
      </w:pPr>
    </w:p>
    <w:p>
      <w:pPr>
        <w:spacing w:line="240" w:lineRule="auto" w:before="7"/>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6"/>
          <w:szCs w:val="16"/>
        </w:rPr>
      </w:pPr>
    </w:p>
    <w:p>
      <w:pPr>
        <w:pStyle w:val="Heading2"/>
        <w:spacing w:line="367" w:lineRule="exact"/>
        <w:ind w:right="0"/>
        <w:jc w:val="both"/>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left="513" w:right="0" w:hanging="361"/>
        <w:jc w:val="left"/>
      </w:pPr>
      <w:r>
        <w:rPr/>
        <w:t>√ 适用 □</w:t>
      </w:r>
      <w:r>
        <w:rPr>
          <w:spacing w:val="3"/>
        </w:rPr>
        <w:t> </w:t>
      </w:r>
      <w:r>
        <w:rPr/>
        <w:t>不适用</w:t>
      </w:r>
      <w:r>
        <w:rPr/>
        <w:t> </w:t>
      </w:r>
      <w:r>
        <w:rPr>
          <w:spacing w:val="-2"/>
        </w:rPr>
        <w:t>报告期内，公司合并报表增加</w:t>
      </w:r>
      <w:r>
        <w:rPr>
          <w:rFonts w:ascii="宋体" w:hAnsi="宋体" w:cs="宋体" w:eastAsia="宋体" w:hint="default"/>
          <w:spacing w:val="-2"/>
        </w:rPr>
        <w:t>1</w:t>
      </w:r>
      <w:r>
        <w:rPr>
          <w:spacing w:val="-2"/>
        </w:rPr>
        <w:t>家北京中软华泰信息技术有限责任公司，具体情况如下：</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20</w:t>
      </w:r>
      <w:r>
        <w:rPr>
          <w:spacing w:val="-2"/>
        </w:rPr>
        <w:t>日，经证监会《关</w:t>
      </w:r>
    </w:p>
    <w:p>
      <w:pPr>
        <w:pStyle w:val="BodyText"/>
        <w:spacing w:line="224" w:lineRule="exact"/>
        <w:ind w:right="0"/>
        <w:jc w:val="both"/>
      </w:pPr>
      <w:r>
        <w:rPr/>
        <w:t>于核准北京北信源软件股份有限公司向田秋桂等发行股份购买资产的批复》（证监许可</w:t>
      </w:r>
      <w:r>
        <w:rPr>
          <w:rFonts w:ascii="宋体" w:hAnsi="宋体" w:cs="宋体" w:eastAsia="宋体" w:hint="default"/>
        </w:rPr>
        <w:t>[2015]1719</w:t>
      </w:r>
      <w:r>
        <w:rPr/>
        <w:t>号）核准，公司以非公开</w:t>
      </w:r>
    </w:p>
    <w:p>
      <w:pPr>
        <w:pStyle w:val="BodyText"/>
        <w:spacing w:line="316" w:lineRule="auto" w:before="76"/>
        <w:ind w:right="153"/>
        <w:jc w:val="both"/>
      </w:pPr>
      <w:r>
        <w:rPr>
          <w:spacing w:val="-2"/>
        </w:rPr>
        <w:t>发行</w:t>
      </w:r>
      <w:r>
        <w:rPr>
          <w:rFonts w:ascii="宋体" w:hAnsi="宋体" w:cs="宋体" w:eastAsia="宋体" w:hint="default"/>
          <w:spacing w:val="-2"/>
        </w:rPr>
        <w:t>1,520,857</w:t>
      </w:r>
      <w:r>
        <w:rPr>
          <w:spacing w:val="-2"/>
        </w:rPr>
        <w:t>股、</w:t>
      </w:r>
      <w:r>
        <w:rPr>
          <w:rFonts w:ascii="宋体" w:hAnsi="宋体" w:cs="宋体" w:eastAsia="宋体" w:hint="default"/>
          <w:spacing w:val="-2"/>
        </w:rPr>
        <w:t>1,490,021</w:t>
      </w:r>
      <w:r>
        <w:rPr>
          <w:spacing w:val="-2"/>
        </w:rPr>
        <w:t>股、</w:t>
      </w:r>
      <w:r>
        <w:rPr>
          <w:rFonts w:ascii="宋体" w:hAnsi="宋体" w:cs="宋体" w:eastAsia="宋体" w:hint="default"/>
          <w:spacing w:val="-2"/>
        </w:rPr>
        <w:t>415,246</w:t>
      </w:r>
      <w:r>
        <w:rPr>
          <w:spacing w:val="-2"/>
        </w:rPr>
        <w:t>股人民币普通股（</w:t>
      </w:r>
      <w:r>
        <w:rPr>
          <w:rFonts w:ascii="宋体" w:hAnsi="宋体" w:cs="宋体" w:eastAsia="宋体" w:hint="default"/>
          <w:spacing w:val="-2"/>
        </w:rPr>
        <w:t>A</w:t>
      </w:r>
      <w:r>
        <w:rPr>
          <w:spacing w:val="-2"/>
        </w:rPr>
        <w:t>股）为对价，发行股份价格为</w:t>
      </w:r>
      <w:r>
        <w:rPr>
          <w:rFonts w:ascii="宋体" w:hAnsi="宋体" w:cs="宋体" w:eastAsia="宋体" w:hint="default"/>
          <w:spacing w:val="-2"/>
        </w:rPr>
        <w:t>23.35</w:t>
      </w:r>
      <w:r>
        <w:rPr>
          <w:spacing w:val="-2"/>
        </w:rPr>
        <w:t>元</w:t>
      </w:r>
      <w:r>
        <w:rPr>
          <w:rFonts w:ascii="宋体" w:hAnsi="宋体" w:cs="宋体" w:eastAsia="宋体" w:hint="default"/>
          <w:spacing w:val="-2"/>
        </w:rPr>
        <w:t>/</w:t>
      </w:r>
      <w:r>
        <w:rPr>
          <w:spacing w:val="-2"/>
        </w:rPr>
        <w:t>股，同时支付现金对价</w:t>
      </w:r>
      <w:r>
        <w:rPr>
          <w:spacing w:val="-49"/>
        </w:rPr>
        <w:t> </w:t>
      </w:r>
      <w:r>
        <w:rPr>
          <w:spacing w:val="-49"/>
        </w:rPr>
      </w:r>
      <w:r>
        <w:rPr>
          <w:rFonts w:ascii="宋体" w:hAnsi="宋体" w:cs="宋体" w:eastAsia="宋体" w:hint="default"/>
        </w:rPr>
        <w:t>2000</w:t>
      </w:r>
      <w:r>
        <w:rPr/>
        <w:t>万元，分别向自然人田秋桂、马永清、王俊锋发行股份购买其三人共同持有的中软华泰</w:t>
      </w:r>
      <w:r>
        <w:rPr>
          <w:rFonts w:ascii="宋体" w:hAnsi="宋体" w:cs="宋体" w:eastAsia="宋体" w:hint="default"/>
        </w:rPr>
        <w:t>100%</w:t>
      </w:r>
      <w:r>
        <w:rPr/>
        <w:t>股权。</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14</w:t>
      </w:r>
      <w:r>
        <w:rPr/>
        <w:t>日，中 软华泰完成了工商变更，公司持有中软华泰</w:t>
      </w:r>
      <w:r>
        <w:rPr>
          <w:rFonts w:ascii="宋体" w:hAnsi="宋体" w:cs="宋体" w:eastAsia="宋体" w:hint="default"/>
        </w:rPr>
        <w:t>100%</w:t>
      </w:r>
      <w:r>
        <w:rPr/>
        <w:t>股权，中软华泰于</w:t>
      </w:r>
      <w:r>
        <w:rPr>
          <w:rFonts w:ascii="宋体" w:hAnsi="宋体" w:cs="宋体" w:eastAsia="宋体" w:hint="default"/>
        </w:rPr>
        <w:t>2015</w:t>
      </w:r>
      <w:r>
        <w:rPr/>
        <w:t>年</w:t>
      </w:r>
      <w:r>
        <w:rPr>
          <w:rFonts w:ascii="宋体" w:hAnsi="宋体" w:cs="宋体" w:eastAsia="宋体" w:hint="default"/>
        </w:rPr>
        <w:t>10</w:t>
      </w:r>
      <w:r>
        <w:rPr/>
        <w:t>月正式纳入本公司的合并报表范围。</w:t>
      </w:r>
    </w:p>
    <w:p>
      <w:pPr>
        <w:spacing w:line="240" w:lineRule="auto" w:before="0"/>
        <w:rPr>
          <w:rFonts w:ascii="宋体" w:hAnsi="宋体" w:cs="宋体" w:eastAsia="宋体" w:hint="default"/>
          <w:sz w:val="15"/>
          <w:szCs w:val="15"/>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现聘任的会计师事务所</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938"/>
        <w:gridCol w:w="5759"/>
      </w:tblGrid>
      <w:tr>
        <w:trPr>
          <w:trHeight w:val="403"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70</w:t>
            </w:r>
          </w:p>
        </w:tc>
      </w:tr>
      <w:tr>
        <w:trPr>
          <w:trHeight w:val="402"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sz w:val="18"/>
              </w:rPr>
              <w:t>3</w:t>
            </w:r>
          </w:p>
        </w:tc>
      </w:tr>
      <w:tr>
        <w:trPr>
          <w:trHeight w:val="403" w:hRule="exact"/>
        </w:trPr>
        <w:tc>
          <w:tcPr>
            <w:tcW w:w="3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荣健、单大信</w:t>
            </w:r>
          </w:p>
        </w:tc>
      </w:tr>
    </w:tbl>
    <w:p>
      <w:pPr>
        <w:pStyle w:val="BodyText"/>
        <w:spacing w:line="240" w:lineRule="auto" w:before="49"/>
        <w:ind w:right="3012"/>
        <w:jc w:val="left"/>
      </w:pPr>
      <w:r>
        <w:rPr/>
        <w:t>是否改聘会计师事务所</w:t>
      </w:r>
    </w:p>
    <w:p>
      <w:pPr>
        <w:pStyle w:val="BodyText"/>
        <w:spacing w:line="360" w:lineRule="auto" w:before="115"/>
        <w:ind w:right="5274"/>
        <w:jc w:val="left"/>
      </w:pPr>
      <w:r>
        <w:rPr/>
        <w:t>□ 是 √</w:t>
      </w:r>
      <w:r>
        <w:rPr>
          <w:spacing w:val="3"/>
        </w:rPr>
        <w:t> </w:t>
      </w:r>
      <w:r>
        <w:rPr/>
        <w:t>否</w:t>
      </w:r>
      <w:r>
        <w:rPr/>
        <w:t> 聘请内部控制审计会计师事务所、财务顾问或保荐人情况</w:t>
      </w:r>
    </w:p>
    <w:p>
      <w:pPr>
        <w:pStyle w:val="BodyText"/>
        <w:spacing w:line="360" w:lineRule="auto" w:before="25"/>
        <w:ind w:left="515" w:right="141" w:hanging="363"/>
        <w:jc w:val="left"/>
      </w:pPr>
      <w:r>
        <w:rPr/>
        <w:t>√ 适用 □</w:t>
      </w:r>
      <w:r>
        <w:rPr>
          <w:spacing w:val="3"/>
        </w:rPr>
        <w:t> </w:t>
      </w:r>
      <w:r>
        <w:rPr/>
        <w:t>不适用</w:t>
      </w:r>
      <w:r>
        <w:rPr/>
        <w:t> </w:t>
      </w:r>
      <w:r>
        <w:rPr>
          <w:rFonts w:ascii="宋体" w:hAnsi="宋体" w:cs="宋体" w:eastAsia="宋体" w:hint="default"/>
        </w:rPr>
        <w:t>1</w:t>
      </w:r>
      <w:r>
        <w:rPr/>
        <w:t>、</w:t>
      </w:r>
      <w:r>
        <w:rPr>
          <w:rFonts w:ascii="宋体" w:hAnsi="宋体" w:cs="宋体" w:eastAsia="宋体" w:hint="default"/>
        </w:rPr>
        <w:t>2014</w:t>
      </w:r>
      <w:r>
        <w:rPr/>
        <w:t>年度，公司因发行股份及支付现金购买资产，聘请瑞信方正证券有限责任公司为财务顾问，期间共支付财务顾</w:t>
      </w:r>
    </w:p>
    <w:p>
      <w:pPr>
        <w:pStyle w:val="BodyText"/>
        <w:spacing w:line="222" w:lineRule="exact"/>
        <w:ind w:right="3012"/>
        <w:jc w:val="left"/>
      </w:pPr>
      <w:r>
        <w:rPr/>
        <w:t>问费</w:t>
      </w:r>
      <w:r>
        <w:rPr>
          <w:rFonts w:ascii="宋体" w:hAnsi="宋体" w:cs="宋体" w:eastAsia="宋体" w:hint="default"/>
        </w:rPr>
        <w:t>350</w:t>
      </w:r>
      <w:r>
        <w:rPr/>
        <w:t>万元。持续督导期间</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22</w:t>
      </w:r>
      <w:r>
        <w:rPr/>
        <w:t>日至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w:t>
      </w:r>
    </w:p>
    <w:p>
      <w:pPr>
        <w:pStyle w:val="BodyText"/>
        <w:spacing w:line="316" w:lineRule="auto" w:before="76"/>
        <w:ind w:right="142" w:firstLine="362"/>
        <w:jc w:val="left"/>
      </w:pPr>
      <w:r>
        <w:rPr>
          <w:rFonts w:ascii="宋体" w:hAnsi="宋体" w:cs="宋体" w:eastAsia="宋体" w:hint="default"/>
        </w:rPr>
        <w:t>2</w:t>
      </w:r>
      <w:r>
        <w:rPr/>
        <w:t>、报告期内，公司聘请安信证券股份有限公司担任本次非公开发行股票工作的保荐机构，并与其签订了《创业板非公 开发行股票之保荐与承销协议书》。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2"/>
        <w:spacing w:line="240" w:lineRule="auto"/>
        <w:ind w:right="3012"/>
        <w:jc w:val="left"/>
        <w:rPr>
          <w:b w:val="0"/>
          <w:bCs w:val="0"/>
        </w:rPr>
      </w:pPr>
      <w:r>
        <w:rPr/>
        <w:t>九、年度报告披露后面临暂停上市和终止上市情况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3012"/>
        <w:jc w:val="left"/>
      </w:pPr>
      <w:r>
        <w:rPr/>
        <w:t>□ 适用 √</w:t>
      </w:r>
      <w:r>
        <w:rPr>
          <w:spacing w:val="3"/>
        </w:rPr>
        <w:t> </w:t>
      </w:r>
      <w:r>
        <w:rPr/>
        <w:t>不适用</w:t>
      </w:r>
    </w:p>
    <w:p>
      <w:pPr>
        <w:spacing w:line="240" w:lineRule="auto" w:before="6"/>
        <w:rPr>
          <w:rFonts w:ascii="宋体" w:hAnsi="宋体" w:cs="宋体" w:eastAsia="宋体" w:hint="default"/>
          <w:sz w:val="19"/>
          <w:szCs w:val="19"/>
        </w:rPr>
      </w:pPr>
    </w:p>
    <w:p>
      <w:pPr>
        <w:pStyle w:val="Heading2"/>
        <w:spacing w:line="240" w:lineRule="auto"/>
        <w:ind w:right="3012"/>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6714"/>
        <w:jc w:val="left"/>
      </w:pPr>
      <w:r>
        <w:rPr/>
        <w:t>□ 适用 √</w:t>
      </w:r>
      <w:r>
        <w:rPr>
          <w:spacing w:val="3"/>
        </w:rPr>
        <w:t> </w:t>
      </w:r>
      <w:r>
        <w:rPr/>
        <w:t>不适用</w:t>
      </w:r>
      <w:r>
        <w:rPr/>
        <w:t> 公司报告期未发生破产重整相关事项。</w:t>
      </w:r>
    </w:p>
    <w:p>
      <w:pPr>
        <w:pStyle w:val="Heading2"/>
        <w:spacing w:line="240" w:lineRule="auto" w:before="161"/>
        <w:ind w:right="3012"/>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6714"/>
        <w:jc w:val="left"/>
      </w:pPr>
      <w:r>
        <w:rPr/>
        <w:t>□ 适用 √</w:t>
      </w:r>
      <w:r>
        <w:rPr>
          <w:spacing w:val="3"/>
        </w:rPr>
        <w:t> </w:t>
      </w:r>
      <w:r>
        <w:rPr/>
        <w:t>不适用</w:t>
      </w:r>
      <w:r>
        <w:rPr/>
        <w:t> 本报告期公司无重大诉讼、仲裁事项。</w:t>
      </w:r>
    </w:p>
    <w:p>
      <w:pPr>
        <w:spacing w:after="0" w:line="360" w:lineRule="auto"/>
        <w:jc w:val="left"/>
        <w:sectPr>
          <w:pgSz w:w="11910" w:h="16840"/>
          <w:pgMar w:header="781" w:footer="979" w:top="1080" w:bottom="1160" w:left="980" w:right="980"/>
        </w:sectPr>
      </w:pPr>
    </w:p>
    <w:p>
      <w:pPr>
        <w:spacing w:line="240" w:lineRule="auto" w:before="8"/>
        <w:rPr>
          <w:rFonts w:ascii="宋体" w:hAnsi="宋体" w:cs="宋体" w:eastAsia="宋体" w:hint="default"/>
          <w:sz w:val="21"/>
          <w:szCs w:val="21"/>
        </w:rPr>
      </w:pPr>
    </w:p>
    <w:p>
      <w:pPr>
        <w:pStyle w:val="Heading2"/>
        <w:spacing w:line="367" w:lineRule="exact"/>
        <w:ind w:right="3012"/>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6894"/>
        <w:jc w:val="left"/>
      </w:pPr>
      <w:r>
        <w:rPr/>
        <w:t>□ 适用 √</w:t>
      </w:r>
      <w:r>
        <w:rPr>
          <w:spacing w:val="3"/>
        </w:rPr>
        <w:t> </w:t>
      </w:r>
      <w:r>
        <w:rPr/>
        <w:t>不适用</w:t>
      </w:r>
      <w:r>
        <w:rPr/>
        <w:t> 公司报告期不存在处罚及整改情况。</w:t>
      </w:r>
    </w:p>
    <w:p>
      <w:pPr>
        <w:spacing w:line="240" w:lineRule="auto" w:before="9"/>
        <w:rPr>
          <w:rFonts w:ascii="宋体" w:hAnsi="宋体" w:cs="宋体" w:eastAsia="宋体" w:hint="default"/>
          <w:sz w:val="12"/>
          <w:szCs w:val="12"/>
        </w:rPr>
      </w:pPr>
    </w:p>
    <w:p>
      <w:pPr>
        <w:pStyle w:val="Heading2"/>
        <w:spacing w:line="240" w:lineRule="auto"/>
        <w:ind w:right="3012"/>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left="513" w:right="0" w:hanging="361"/>
        <w:jc w:val="left"/>
      </w:pPr>
      <w:r>
        <w:rPr/>
        <w:t>√ 适用 □</w:t>
      </w:r>
      <w:r>
        <w:rPr>
          <w:spacing w:val="3"/>
        </w:rPr>
        <w:t> </w:t>
      </w:r>
      <w:r>
        <w:rPr/>
        <w:t>不适用</w:t>
      </w:r>
      <w:r>
        <w:rPr/>
        <w:t> </w:t>
      </w:r>
      <w:r>
        <w:rPr>
          <w:spacing w:val="-2"/>
        </w:rPr>
        <w:t>报告期内公司及控股股东、实际控制人的诚信状况良好，不存在未履行法院生效判决、所负数额较大的债务到期未清偿</w:t>
      </w:r>
    </w:p>
    <w:p>
      <w:pPr>
        <w:pStyle w:val="BodyText"/>
        <w:spacing w:line="224" w:lineRule="exact"/>
        <w:ind w:right="3012"/>
        <w:jc w:val="left"/>
      </w:pPr>
      <w:r>
        <w:rPr/>
        <w:t>等情况。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left="513" w:right="0" w:hanging="361"/>
        <w:jc w:val="left"/>
      </w:pPr>
      <w:r>
        <w:rPr/>
        <w:t>√ 适用 □</w:t>
      </w:r>
      <w:r>
        <w:rPr>
          <w:spacing w:val="3"/>
        </w:rPr>
        <w:t> </w:t>
      </w:r>
      <w:r>
        <w:rPr/>
        <w:t>不适用</w:t>
      </w:r>
      <w:r>
        <w:rPr/>
        <w:t> </w:t>
      </w:r>
      <w:r>
        <w:rPr>
          <w:spacing w:val="-2"/>
        </w:rPr>
        <w:t>为了进一步完善公司治理结构，健全公司长期、有效的激励约束机制，深化公司总部和各子公司经营层的激励体系，充</w:t>
      </w:r>
    </w:p>
    <w:p>
      <w:pPr>
        <w:pStyle w:val="BodyText"/>
        <w:spacing w:line="222" w:lineRule="exact"/>
        <w:ind w:right="0"/>
        <w:jc w:val="left"/>
      </w:pPr>
      <w:r>
        <w:rPr/>
        <w:t>分调动员工的积极性和创造性，吸引和保留优秀管理人才和业务骨干，公司根据相关法律法规的规定，并结合自身的实际情</w:t>
      </w:r>
    </w:p>
    <w:p>
      <w:pPr>
        <w:pStyle w:val="BodyText"/>
        <w:spacing w:line="316" w:lineRule="auto" w:before="76"/>
        <w:ind w:left="515" w:right="5454" w:hanging="363"/>
        <w:jc w:val="left"/>
      </w:pPr>
      <w:r>
        <w:rPr/>
        <w:t>况，制定了第一期核心人员持股计划，详细情况如下： </w:t>
      </w:r>
      <w:r>
        <w:rPr>
          <w:rFonts w:ascii="宋体" w:hAnsi="宋体" w:cs="宋体" w:eastAsia="宋体" w:hint="default"/>
        </w:rPr>
        <w:t>1</w:t>
      </w:r>
      <w:r>
        <w:rPr/>
        <w:t>、核心人员持股计划概述</w:t>
      </w:r>
    </w:p>
    <w:p>
      <w:pPr>
        <w:pStyle w:val="BodyText"/>
        <w:spacing w:line="319" w:lineRule="auto" w:before="19"/>
        <w:ind w:right="151" w:firstLine="274"/>
        <w:jc w:val="both"/>
      </w:pPr>
      <w:r>
        <w:rPr>
          <w:spacing w:val="-2"/>
        </w:rPr>
        <w:t>（</w:t>
      </w:r>
      <w:r>
        <w:rPr>
          <w:rFonts w:ascii="宋体" w:hAnsi="宋体" w:cs="宋体" w:eastAsia="宋体" w:hint="default"/>
          <w:spacing w:val="-2"/>
        </w:rPr>
        <w:t>1</w:t>
      </w:r>
      <w:r>
        <w:rPr>
          <w:spacing w:val="-2"/>
        </w:rPr>
        <w:t>）参加对象：核心人员持股计划的参加对象为公司及下属子公司符合一定标准的员工，包括北信源的董事（不含独立</w:t>
      </w:r>
      <w:r>
        <w:rPr/>
        <w:t> </w:t>
      </w:r>
      <w:r>
        <w:rPr>
          <w:spacing w:val="-2"/>
        </w:rPr>
        <w:t>董事及外部董事）、监事、高级管理人员、在公司及下属子公司任职且具有主管以上职务资格的核心业务和技术骨干以及经</w:t>
      </w:r>
      <w:r>
        <w:rPr>
          <w:spacing w:val="-65"/>
        </w:rPr>
        <w:t> </w:t>
      </w:r>
      <w:r>
        <w:rPr>
          <w:spacing w:val="-65"/>
        </w:rPr>
      </w:r>
      <w:r>
        <w:rPr>
          <w:spacing w:val="-2"/>
        </w:rPr>
        <w:t>董事会认定有卓越贡献的其他员工；出资参加本次核心人员持股计划的公司及下属子公司的部分董事、监事、高级管理人员</w:t>
      </w:r>
      <w:r>
        <w:rPr>
          <w:spacing w:val="-66"/>
        </w:rPr>
        <w:t> </w:t>
      </w:r>
      <w:r>
        <w:rPr>
          <w:spacing w:val="-66"/>
        </w:rPr>
      </w:r>
      <w:r>
        <w:rPr/>
        <w:t>和员工合计不超过</w:t>
      </w:r>
      <w:r>
        <w:rPr>
          <w:rFonts w:ascii="宋体" w:hAnsi="宋体" w:cs="宋体" w:eastAsia="宋体" w:hint="default"/>
        </w:rPr>
        <w:t>22 </w:t>
      </w:r>
      <w:r>
        <w:rPr/>
        <w:t>人，具体参加人数根据员工实际缴款情况确定。</w:t>
      </w:r>
    </w:p>
    <w:p>
      <w:pPr>
        <w:pStyle w:val="BodyText"/>
        <w:spacing w:line="316" w:lineRule="auto" w:before="17"/>
        <w:ind w:right="150" w:firstLine="274"/>
        <w:jc w:val="both"/>
      </w:pPr>
      <w:r>
        <w:rPr/>
        <w:t>（</w:t>
      </w:r>
      <w:r>
        <w:rPr>
          <w:rFonts w:ascii="宋体" w:hAnsi="宋体" w:cs="宋体" w:eastAsia="宋体" w:hint="default"/>
        </w:rPr>
        <w:t>2</w:t>
      </w:r>
      <w:r>
        <w:rPr/>
        <w:t>）设立时的资金总额，本核心人员持股计划筹集资金总额上限为</w:t>
      </w:r>
      <w:r>
        <w:rPr>
          <w:rFonts w:ascii="宋体" w:hAnsi="宋体" w:cs="宋体" w:eastAsia="宋体" w:hint="default"/>
        </w:rPr>
        <w:t>6,000</w:t>
      </w:r>
      <w:r>
        <w:rPr/>
        <w:t>万元，每份份额为</w:t>
      </w:r>
      <w:r>
        <w:rPr>
          <w:rFonts w:ascii="宋体" w:hAnsi="宋体" w:cs="宋体" w:eastAsia="宋体" w:hint="default"/>
        </w:rPr>
        <w:t>1.00</w:t>
      </w:r>
      <w:r>
        <w:rPr/>
        <w:t>元，认购人员合计不超 </w:t>
      </w:r>
      <w:r>
        <w:rPr>
          <w:spacing w:val="-2"/>
        </w:rPr>
        <w:t>过</w:t>
      </w:r>
      <w:r>
        <w:rPr>
          <w:rFonts w:ascii="宋体" w:hAnsi="宋体" w:cs="宋体" w:eastAsia="宋体" w:hint="default"/>
          <w:spacing w:val="-2"/>
        </w:rPr>
        <w:t>22</w:t>
      </w:r>
      <w:r>
        <w:rPr>
          <w:spacing w:val="-2"/>
        </w:rPr>
        <w:t>人，具体参加人数根据员工实际缴款情况确定。公司正式员工参与本核心人员持股计划的资金来源为其自有资金、合法</w:t>
      </w:r>
      <w:r>
        <w:rPr>
          <w:spacing w:val="-62"/>
        </w:rPr>
        <w:t> </w:t>
      </w:r>
      <w:r>
        <w:rPr>
          <w:spacing w:val="-62"/>
        </w:rPr>
      </w:r>
      <w:r>
        <w:rPr/>
        <w:t>薪酬、控股股东借款及其他合法合规方式等。</w:t>
      </w:r>
    </w:p>
    <w:p>
      <w:pPr>
        <w:pStyle w:val="BodyText"/>
        <w:spacing w:line="316" w:lineRule="auto" w:before="19"/>
        <w:ind w:right="151" w:firstLine="274"/>
        <w:jc w:val="both"/>
      </w:pPr>
      <w:r>
        <w:rPr>
          <w:spacing w:val="-2"/>
        </w:rPr>
        <w:t>（</w:t>
      </w:r>
      <w:r>
        <w:rPr>
          <w:rFonts w:ascii="宋体" w:hAnsi="宋体" w:cs="宋体" w:eastAsia="宋体" w:hint="default"/>
          <w:spacing w:val="-2"/>
        </w:rPr>
        <w:t>3</w:t>
      </w:r>
      <w:r>
        <w:rPr>
          <w:spacing w:val="-2"/>
        </w:rPr>
        <w:t>）本次核心人员持股计划的股票来源：核心人员持股计划设立后全额认购兴证证券资产管理有限公司设立的兴证资管</w:t>
      </w:r>
      <w:r>
        <w:rPr/>
        <w:t> 鑫众</w:t>
      </w:r>
      <w:r>
        <w:rPr>
          <w:rFonts w:ascii="宋体" w:hAnsi="宋体" w:cs="宋体" w:eastAsia="宋体" w:hint="default"/>
        </w:rPr>
        <w:t>-</w:t>
      </w:r>
      <w:r>
        <w:rPr/>
        <w:t>北信源</w:t>
      </w:r>
      <w:r>
        <w:rPr>
          <w:rFonts w:ascii="宋体" w:hAnsi="宋体" w:cs="宋体" w:eastAsia="宋体" w:hint="default"/>
        </w:rPr>
        <w:t>1 </w:t>
      </w:r>
      <w:r>
        <w:rPr/>
        <w:t>号集合资产管理计划（以下简称“鑫众</w:t>
      </w:r>
      <w:r>
        <w:rPr>
          <w:rFonts w:ascii="宋体" w:hAnsi="宋体" w:cs="宋体" w:eastAsia="宋体" w:hint="default"/>
        </w:rPr>
        <w:t>-</w:t>
      </w:r>
      <w:r>
        <w:rPr/>
        <w:t>北信源</w:t>
      </w:r>
      <w:r>
        <w:rPr>
          <w:rFonts w:ascii="宋体" w:hAnsi="宋体" w:cs="宋体" w:eastAsia="宋体" w:hint="default"/>
        </w:rPr>
        <w:t>1</w:t>
      </w:r>
      <w:r>
        <w:rPr>
          <w:rFonts w:ascii="宋体" w:hAnsi="宋体" w:cs="宋体" w:eastAsia="宋体" w:hint="default"/>
          <w:spacing w:val="-8"/>
        </w:rPr>
        <w:t> </w:t>
      </w:r>
      <w:r>
        <w:rPr>
          <w:spacing w:val="-3"/>
        </w:rPr>
        <w:t>号集合计划”）的次级份额，该资产管理计划成立后以二级</w:t>
      </w:r>
      <w:r>
        <w:rPr/>
        <w:t> 市场购买（包括但不限于大宗交易、协议转让）等法律法规许可的方式取得并持有标的股票。</w:t>
      </w:r>
    </w:p>
    <w:p>
      <w:pPr>
        <w:pStyle w:val="BodyText"/>
        <w:spacing w:line="319" w:lineRule="auto" w:before="19"/>
        <w:ind w:right="151" w:firstLine="274"/>
        <w:jc w:val="both"/>
      </w:pPr>
      <w:r>
        <w:rPr/>
        <w:t>（</w:t>
      </w:r>
      <w:r>
        <w:rPr>
          <w:rFonts w:ascii="宋体" w:hAnsi="宋体" w:cs="宋体" w:eastAsia="宋体" w:hint="default"/>
        </w:rPr>
        <w:t>4</w:t>
      </w:r>
      <w:r>
        <w:rPr/>
        <w:t>）认购公司股票总额：鑫众</w:t>
      </w:r>
      <w:r>
        <w:rPr>
          <w:rFonts w:ascii="宋体" w:hAnsi="宋体" w:cs="宋体" w:eastAsia="宋体" w:hint="default"/>
        </w:rPr>
        <w:t>-</w:t>
      </w:r>
      <w:r>
        <w:rPr/>
        <w:t>北信源</w:t>
      </w:r>
      <w:r>
        <w:rPr>
          <w:rFonts w:ascii="宋体" w:hAnsi="宋体" w:cs="宋体" w:eastAsia="宋体" w:hint="default"/>
        </w:rPr>
        <w:t>1</w:t>
      </w:r>
      <w:r>
        <w:rPr/>
        <w:t>号集合计划所持有的股票总数累计不超过公司股本总额的</w:t>
      </w:r>
      <w:r>
        <w:rPr>
          <w:rFonts w:ascii="宋体" w:hAnsi="宋体" w:cs="宋体" w:eastAsia="宋体" w:hint="default"/>
        </w:rPr>
        <w:t>10%</w:t>
      </w:r>
      <w:r>
        <w:rPr/>
        <w:t>，任一持有人所持 </w:t>
      </w:r>
      <w:r>
        <w:rPr>
          <w:spacing w:val="-2"/>
        </w:rPr>
        <w:t>有本核心人员持股计划份额所对应的标的股票数量不得超过公司股本总额的</w:t>
      </w:r>
      <w:r>
        <w:rPr>
          <w:rFonts w:ascii="宋体" w:hAnsi="宋体" w:cs="宋体" w:eastAsia="宋体" w:hint="default"/>
          <w:spacing w:val="-2"/>
        </w:rPr>
        <w:t>1%</w:t>
      </w:r>
      <w:r>
        <w:rPr>
          <w:spacing w:val="-2"/>
        </w:rPr>
        <w:t>。核心人员持股计划持有人具体持有份额数以</w:t>
      </w:r>
      <w:r>
        <w:rPr>
          <w:spacing w:val="-62"/>
        </w:rPr>
        <w:t> </w:t>
      </w:r>
      <w:r>
        <w:rPr>
          <w:spacing w:val="-62"/>
        </w:rPr>
      </w:r>
      <w:r>
        <w:rPr>
          <w:spacing w:val="-2"/>
        </w:rPr>
        <w:t>员工最后实际缴纳的出资额所对应的份数为准。持有人持有核心人员持股计划份额所对应的股票总数不包括其在公司首次公</w:t>
      </w:r>
      <w:r>
        <w:rPr>
          <w:spacing w:val="-64"/>
        </w:rPr>
        <w:t> </w:t>
      </w:r>
      <w:r>
        <w:rPr>
          <w:spacing w:val="-64"/>
        </w:rPr>
      </w:r>
      <w:r>
        <w:rPr/>
        <w:t>开发行股票上市前获得的股份、通过二级市场自行购买的股份及通过股权激励获得的股份。</w:t>
      </w:r>
    </w:p>
    <w:p>
      <w:pPr>
        <w:pStyle w:val="BodyText"/>
        <w:spacing w:line="316" w:lineRule="auto" w:before="17"/>
        <w:ind w:right="146" w:firstLine="362"/>
        <w:jc w:val="both"/>
      </w:pPr>
      <w:r>
        <w:rPr>
          <w:spacing w:val="-1"/>
        </w:rPr>
        <w:t>以鑫众</w:t>
      </w:r>
      <w:r>
        <w:rPr>
          <w:rFonts w:ascii="宋体" w:hAnsi="宋体" w:cs="宋体" w:eastAsia="宋体" w:hint="default"/>
          <w:spacing w:val="-1"/>
        </w:rPr>
        <w:t>-</w:t>
      </w:r>
      <w:r>
        <w:rPr>
          <w:spacing w:val="-1"/>
        </w:rPr>
        <w:t>北信源</w:t>
      </w:r>
      <w:r>
        <w:rPr>
          <w:rFonts w:ascii="宋体" w:hAnsi="宋体" w:cs="宋体" w:eastAsia="宋体" w:hint="default"/>
          <w:spacing w:val="-1"/>
        </w:rPr>
        <w:t>1</w:t>
      </w:r>
      <w:r>
        <w:rPr>
          <w:rFonts w:ascii="宋体" w:hAnsi="宋体" w:cs="宋体" w:eastAsia="宋体" w:hint="default"/>
        </w:rPr>
        <w:t> </w:t>
      </w:r>
      <w:r>
        <w:rPr>
          <w:spacing w:val="-2"/>
        </w:rPr>
        <w:t>号集合计划的规模上限</w:t>
      </w:r>
      <w:r>
        <w:rPr>
          <w:rFonts w:ascii="宋体" w:hAnsi="宋体" w:cs="宋体" w:eastAsia="宋体" w:hint="default"/>
          <w:spacing w:val="-2"/>
        </w:rPr>
        <w:t>18,000</w:t>
      </w:r>
      <w:r>
        <w:rPr>
          <w:spacing w:val="-2"/>
        </w:rPr>
        <w:t>万元和公司</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18</w:t>
      </w:r>
      <w:r>
        <w:rPr>
          <w:spacing w:val="-2"/>
        </w:rPr>
        <w:t>日的收盘价</w:t>
      </w:r>
      <w:r>
        <w:rPr>
          <w:rFonts w:ascii="宋体" w:hAnsi="宋体" w:cs="宋体" w:eastAsia="宋体" w:hint="default"/>
          <w:spacing w:val="-2"/>
        </w:rPr>
        <w:t>61.80</w:t>
      </w:r>
      <w:r>
        <w:rPr>
          <w:spacing w:val="-2"/>
        </w:rPr>
        <w:t>元测算，鑫众</w:t>
      </w:r>
      <w:r>
        <w:rPr>
          <w:rFonts w:ascii="宋体" w:hAnsi="宋体" w:cs="宋体" w:eastAsia="宋体" w:hint="default"/>
          <w:spacing w:val="-2"/>
        </w:rPr>
        <w:t>-</w:t>
      </w:r>
      <w:r>
        <w:rPr>
          <w:spacing w:val="-2"/>
        </w:rPr>
        <w:t>北信源</w:t>
      </w:r>
      <w:r>
        <w:rPr>
          <w:rFonts w:ascii="宋体" w:hAnsi="宋体" w:cs="宋体" w:eastAsia="宋体" w:hint="default"/>
          <w:spacing w:val="-2"/>
        </w:rPr>
        <w:t>1</w:t>
      </w:r>
      <w:r>
        <w:rPr>
          <w:rFonts w:ascii="宋体" w:hAnsi="宋体" w:cs="宋体" w:eastAsia="宋体" w:hint="default"/>
          <w:spacing w:val="15"/>
        </w:rPr>
        <w:t> </w:t>
      </w:r>
      <w:r>
        <w:rPr/>
        <w:t>号集合 计划所能购买和持有的标的股票数量上限约为</w:t>
      </w:r>
      <w:r>
        <w:rPr>
          <w:rFonts w:ascii="宋体" w:hAnsi="宋体" w:cs="宋体" w:eastAsia="宋体" w:hint="default"/>
        </w:rPr>
        <w:t>291.26</w:t>
      </w:r>
      <w:r>
        <w:rPr>
          <w:rFonts w:ascii="宋体" w:hAnsi="宋体" w:cs="宋体" w:eastAsia="宋体" w:hint="default"/>
          <w:spacing w:val="1"/>
        </w:rPr>
        <w:t> </w:t>
      </w:r>
      <w:r>
        <w:rPr/>
        <w:t>万股，占公司现有股本总额的</w:t>
      </w:r>
      <w:r>
        <w:rPr>
          <w:rFonts w:ascii="宋体" w:hAnsi="宋体" w:cs="宋体" w:eastAsia="宋体" w:hint="default"/>
        </w:rPr>
        <w:t>1.09%</w:t>
      </w:r>
      <w:r>
        <w:rPr/>
        <w:t>。</w:t>
      </w:r>
    </w:p>
    <w:p>
      <w:pPr>
        <w:pStyle w:val="BodyText"/>
        <w:spacing w:line="316" w:lineRule="auto" w:before="19"/>
        <w:ind w:right="149" w:firstLine="274"/>
        <w:jc w:val="both"/>
      </w:pPr>
      <w:r>
        <w:rPr>
          <w:spacing w:val="-2"/>
        </w:rPr>
        <w:t>（</w:t>
      </w:r>
      <w:r>
        <w:rPr>
          <w:rFonts w:ascii="宋体" w:hAnsi="宋体" w:cs="宋体" w:eastAsia="宋体" w:hint="default"/>
          <w:spacing w:val="-2"/>
        </w:rPr>
        <w:t>5</w:t>
      </w:r>
      <w:r>
        <w:rPr>
          <w:spacing w:val="-2"/>
        </w:rPr>
        <w:t>）存续期限：核心人员持股计划的存续期为</w:t>
      </w:r>
      <w:r>
        <w:rPr>
          <w:rFonts w:ascii="宋体" w:hAnsi="宋体" w:cs="宋体" w:eastAsia="宋体" w:hint="default"/>
          <w:spacing w:val="-2"/>
        </w:rPr>
        <w:t>24</w:t>
      </w:r>
      <w:r>
        <w:rPr>
          <w:spacing w:val="-2"/>
        </w:rPr>
        <w:t>个月，自公司股东大会审议通过本核心人员持股计划之日起算，本核心</w:t>
      </w:r>
      <w:r>
        <w:rPr/>
        <w:t> 人员持股计划的存续期届满后自行终止。其中，前</w:t>
      </w:r>
      <w:r>
        <w:rPr>
          <w:rFonts w:ascii="宋体" w:hAnsi="宋体" w:cs="宋体" w:eastAsia="宋体" w:hint="default"/>
        </w:rPr>
        <w:t>12</w:t>
      </w:r>
      <w:r>
        <w:rPr/>
        <w:t>个月为锁定期，锁定期满后鑫众</w:t>
      </w:r>
      <w:r>
        <w:rPr>
          <w:rFonts w:ascii="宋体" w:hAnsi="宋体" w:cs="宋体" w:eastAsia="宋体" w:hint="default"/>
        </w:rPr>
        <w:t>-</w:t>
      </w:r>
      <w:r>
        <w:rPr/>
        <w:t>北信源</w:t>
      </w:r>
      <w:r>
        <w:rPr>
          <w:rFonts w:ascii="宋体" w:hAnsi="宋体" w:cs="宋体" w:eastAsia="宋体" w:hint="default"/>
        </w:rPr>
        <w:t>1 </w:t>
      </w:r>
      <w:r>
        <w:rPr/>
        <w:t>号集合计划将根据核心人员 持股计划的安排和当时市场的情况决定是否卖出股票。</w:t>
      </w:r>
    </w:p>
    <w:p>
      <w:pPr>
        <w:pStyle w:val="BodyText"/>
        <w:spacing w:line="316" w:lineRule="auto" w:before="19"/>
        <w:ind w:right="152" w:firstLine="274"/>
        <w:jc w:val="both"/>
      </w:pPr>
      <w:r>
        <w:rPr>
          <w:spacing w:val="-2"/>
        </w:rPr>
        <w:t>（</w:t>
      </w:r>
      <w:r>
        <w:rPr>
          <w:rFonts w:ascii="宋体" w:hAnsi="宋体" w:cs="宋体" w:eastAsia="宋体" w:hint="default"/>
          <w:spacing w:val="-2"/>
        </w:rPr>
        <w:t>6</w:t>
      </w:r>
      <w:r>
        <w:rPr>
          <w:spacing w:val="-2"/>
        </w:rPr>
        <w:t>）管理模式：本次核心人员持股计划委托资产由资产管理机构管理。公司委托兴证资管为本核心人员持股计划全部委</w:t>
      </w:r>
      <w:r>
        <w:rPr/>
        <w:t> 托资产的受托管理机构。</w:t>
      </w:r>
    </w:p>
    <w:p>
      <w:pPr>
        <w:pStyle w:val="BodyText"/>
        <w:spacing w:line="240" w:lineRule="auto" w:before="19"/>
        <w:ind w:left="515" w:right="3012"/>
        <w:jc w:val="left"/>
      </w:pPr>
      <w:r>
        <w:rPr>
          <w:rFonts w:ascii="宋体" w:hAnsi="宋体" w:cs="宋体" w:eastAsia="宋体" w:hint="default"/>
        </w:rPr>
        <w:t>2</w:t>
      </w:r>
      <w:r>
        <w:rPr/>
        <w:t>、核心人员持股计划已履行的决策程序和批准情况</w:t>
      </w:r>
    </w:p>
    <w:p>
      <w:pPr>
        <w:pStyle w:val="BodyText"/>
        <w:spacing w:line="316" w:lineRule="auto" w:before="76"/>
        <w:ind w:right="159" w:firstLine="274"/>
        <w:jc w:val="both"/>
      </w:pPr>
      <w:r>
        <w:rPr/>
        <w:t>（</w:t>
      </w:r>
      <w:r>
        <w:rPr>
          <w:rFonts w:ascii="宋体" w:hAnsi="宋体" w:cs="宋体" w:eastAsia="宋体" w:hint="default"/>
        </w:rPr>
        <w:t>1</w:t>
      </w:r>
      <w:r>
        <w:rPr/>
        <w:t>）公司于</w:t>
      </w:r>
      <w:r>
        <w:rPr>
          <w:rFonts w:ascii="宋体" w:hAnsi="宋体" w:cs="宋体" w:eastAsia="宋体" w:hint="default"/>
        </w:rPr>
        <w:t>2015 </w:t>
      </w:r>
      <w:r>
        <w:rPr/>
        <w:t>年</w:t>
      </w:r>
      <w:r>
        <w:rPr>
          <w:rFonts w:ascii="宋体" w:hAnsi="宋体" w:cs="宋体" w:eastAsia="宋体" w:hint="default"/>
        </w:rPr>
        <w:t>6</w:t>
      </w:r>
      <w:r>
        <w:rPr/>
        <w:t>月</w:t>
      </w:r>
      <w:r>
        <w:rPr>
          <w:rFonts w:ascii="宋体" w:hAnsi="宋体" w:cs="宋体" w:eastAsia="宋体" w:hint="default"/>
        </w:rPr>
        <w:t>14</w:t>
      </w:r>
      <w:r>
        <w:rPr/>
        <w:t>日召开</w:t>
      </w:r>
      <w:r>
        <w:rPr>
          <w:rFonts w:ascii="宋体" w:hAnsi="宋体" w:cs="宋体" w:eastAsia="宋体" w:hint="default"/>
        </w:rPr>
        <w:t>2015</w:t>
      </w:r>
      <w:r>
        <w:rPr>
          <w:rFonts w:ascii="宋体" w:hAnsi="宋体" w:cs="宋体" w:eastAsia="宋体" w:hint="default"/>
          <w:spacing w:val="-10"/>
        </w:rPr>
        <w:t> </w:t>
      </w:r>
      <w:r>
        <w:rPr/>
        <w:t>年第一次职工代表大会，就拟实施核心人员持股计划事宜充分征求了员工意见， 符合《指导意见》的规定。</w:t>
      </w:r>
    </w:p>
    <w:p>
      <w:pPr>
        <w:pStyle w:val="BodyText"/>
        <w:spacing w:line="316" w:lineRule="auto" w:before="19"/>
        <w:ind w:right="151" w:firstLine="274"/>
        <w:jc w:val="both"/>
      </w:pPr>
      <w:r>
        <w:rPr>
          <w:spacing w:val="-4"/>
        </w:rPr>
        <w:t>（</w:t>
      </w:r>
      <w:r>
        <w:rPr>
          <w:rFonts w:ascii="宋体" w:hAnsi="宋体" w:cs="宋体" w:eastAsia="宋体" w:hint="default"/>
          <w:spacing w:val="-4"/>
        </w:rPr>
        <w:t>2</w:t>
      </w:r>
      <w:r>
        <w:rPr>
          <w:spacing w:val="-4"/>
        </w:rPr>
        <w:t>）公司于</w:t>
      </w:r>
      <w:r>
        <w:rPr>
          <w:rFonts w:ascii="宋体" w:hAnsi="宋体" w:cs="宋体" w:eastAsia="宋体" w:hint="default"/>
          <w:spacing w:val="-4"/>
        </w:rPr>
        <w:t>2015</w:t>
      </w:r>
      <w:r>
        <w:rPr>
          <w:rFonts w:ascii="宋体" w:hAnsi="宋体" w:cs="宋体" w:eastAsia="宋体" w:hint="default"/>
          <w:spacing w:val="-45"/>
        </w:rPr>
        <w:t> </w:t>
      </w:r>
      <w:r>
        <w:rPr/>
        <w:t>年</w:t>
      </w:r>
      <w:r>
        <w:rPr>
          <w:rFonts w:ascii="宋体" w:hAnsi="宋体" w:cs="宋体" w:eastAsia="宋体" w:hint="default"/>
        </w:rPr>
        <w:t>6</w:t>
      </w:r>
      <w:r>
        <w:rPr/>
        <w:t>月</w:t>
      </w:r>
      <w:r>
        <w:rPr>
          <w:rFonts w:ascii="宋体" w:hAnsi="宋体" w:cs="宋体" w:eastAsia="宋体" w:hint="default"/>
        </w:rPr>
        <w:t>19</w:t>
      </w:r>
      <w:r>
        <w:rPr/>
        <w:t>日召开第二届董事会第十一次会议，审议通过了《关于北京北信源软件股份有限公司第一期核 </w:t>
      </w:r>
      <w:r>
        <w:rPr>
          <w:spacing w:val="-2"/>
        </w:rPr>
        <w:t>心人员持股计划（草案）及其摘要的议案》等议案，并同意将上述议案提交股东大会表决。在董事会审议上述议案时，关联</w:t>
      </w:r>
    </w:p>
    <w:p>
      <w:pPr>
        <w:spacing w:after="0" w:line="316" w:lineRule="auto"/>
        <w:jc w:val="both"/>
        <w:sectPr>
          <w:pgSz w:w="11910" w:h="16840"/>
          <w:pgMar w:header="781" w:footer="979" w:top="1080" w:bottom="1160" w:left="980" w:right="980"/>
        </w:sectPr>
      </w:pPr>
    </w:p>
    <w:p>
      <w:pPr>
        <w:spacing w:line="240" w:lineRule="auto" w:before="10"/>
        <w:rPr>
          <w:rFonts w:ascii="宋体" w:hAnsi="宋体" w:cs="宋体" w:eastAsia="宋体" w:hint="default"/>
          <w:sz w:val="23"/>
          <w:szCs w:val="23"/>
        </w:rPr>
      </w:pPr>
    </w:p>
    <w:p>
      <w:pPr>
        <w:pStyle w:val="BodyText"/>
        <w:spacing w:line="316" w:lineRule="auto" w:before="44"/>
        <w:ind w:right="193"/>
        <w:jc w:val="both"/>
      </w:pPr>
      <w:r>
        <w:rPr>
          <w:spacing w:val="-2"/>
        </w:rPr>
        <w:t>董事履行了回避表决的程序。独立董事在会上就本次核心人员持股计划事项发表了独立意见，均认为其有利于进一步完善公</w:t>
      </w:r>
      <w:r>
        <w:rPr>
          <w:spacing w:val="-64"/>
        </w:rPr>
        <w:t> </w:t>
      </w:r>
      <w:r>
        <w:rPr>
          <w:spacing w:val="-64"/>
        </w:rPr>
      </w:r>
      <w:r>
        <w:rPr/>
        <w:t>司的法人治理结构，促进</w:t>
      </w:r>
      <w:r>
        <w:rPr>
          <w:spacing w:val="1"/>
        </w:rPr>
        <w:t> </w:t>
      </w:r>
      <w:r>
        <w:rPr/>
        <w:t>公司健康持续的长远发展，不存在损害公司及全体股东利益的情形，亦不存在摊派、强行分配等</w:t>
      </w:r>
      <w:r>
        <w:rPr/>
        <w:t> 方式强制员工参加本核心人员持股计划的情形。上述程序符合《指导意见》的规定。</w:t>
      </w:r>
    </w:p>
    <w:p>
      <w:pPr>
        <w:pStyle w:val="BodyText"/>
        <w:spacing w:line="316" w:lineRule="auto" w:before="19"/>
        <w:ind w:right="191" w:firstLine="274"/>
        <w:jc w:val="both"/>
      </w:pPr>
      <w:r>
        <w:rPr>
          <w:spacing w:val="-4"/>
        </w:rPr>
        <w:t>（</w:t>
      </w:r>
      <w:r>
        <w:rPr>
          <w:rFonts w:ascii="宋体" w:hAnsi="宋体" w:cs="宋体" w:eastAsia="宋体" w:hint="default"/>
          <w:spacing w:val="-4"/>
        </w:rPr>
        <w:t>3</w:t>
      </w:r>
      <w:r>
        <w:rPr>
          <w:spacing w:val="-4"/>
        </w:rPr>
        <w:t>）公司于</w:t>
      </w:r>
      <w:r>
        <w:rPr>
          <w:rFonts w:ascii="宋体" w:hAnsi="宋体" w:cs="宋体" w:eastAsia="宋体" w:hint="default"/>
          <w:spacing w:val="-4"/>
        </w:rPr>
        <w:t>2015</w:t>
      </w:r>
      <w:r>
        <w:rPr>
          <w:rFonts w:ascii="宋体" w:hAnsi="宋体" w:cs="宋体" w:eastAsia="宋体" w:hint="default"/>
          <w:spacing w:val="-45"/>
        </w:rPr>
        <w:t> </w:t>
      </w:r>
      <w:r>
        <w:rPr/>
        <w:t>年</w:t>
      </w:r>
      <w:r>
        <w:rPr>
          <w:rFonts w:ascii="宋体" w:hAnsi="宋体" w:cs="宋体" w:eastAsia="宋体" w:hint="default"/>
        </w:rPr>
        <w:t>6</w:t>
      </w:r>
      <w:r>
        <w:rPr/>
        <w:t>月</w:t>
      </w:r>
      <w:r>
        <w:rPr>
          <w:rFonts w:ascii="宋体" w:hAnsi="宋体" w:cs="宋体" w:eastAsia="宋体" w:hint="default"/>
        </w:rPr>
        <w:t>19</w:t>
      </w:r>
      <w:r>
        <w:rPr/>
        <w:t>日召开第二届监事会第十一次会议，审议通过了《关于北京北信源软件股份有限公司第一期核 </w:t>
      </w:r>
      <w:r>
        <w:rPr>
          <w:spacing w:val="-2"/>
        </w:rPr>
        <w:t>心人员持股计划（草案）及其摘要的议案》等议案，并同意将上述议案提交股东大会表决。在监事会审议上述议案时，关联</w:t>
      </w:r>
      <w:r>
        <w:rPr>
          <w:spacing w:val="-66"/>
        </w:rPr>
        <w:t> </w:t>
      </w:r>
      <w:r>
        <w:rPr>
          <w:spacing w:val="-66"/>
        </w:rPr>
      </w:r>
      <w:r>
        <w:rPr>
          <w:spacing w:val="-2"/>
        </w:rPr>
        <w:t>监事履行了回避表决的程序。监事在会上就核心人员持股计划事项发表了审核意见，均认为本次核心人员持股计划的制定旨</w:t>
      </w:r>
      <w:r>
        <w:rPr>
          <w:spacing w:val="-64"/>
        </w:rPr>
        <w:t> </w:t>
      </w:r>
      <w:r>
        <w:rPr>
          <w:spacing w:val="-64"/>
        </w:rPr>
      </w:r>
      <w:r>
        <w:rPr>
          <w:spacing w:val="-2"/>
        </w:rPr>
        <w:t>在进一步提升公司治理水平，有效地将公司股东利益、公司利益和员工个人利益相结合，共同促进公司的长远健康发展，不</w:t>
      </w:r>
      <w:r>
        <w:rPr>
          <w:spacing w:val="-64"/>
        </w:rPr>
        <w:t> </w:t>
      </w:r>
      <w:r>
        <w:rPr>
          <w:spacing w:val="-64"/>
        </w:rPr>
      </w:r>
      <w:r>
        <w:rPr>
          <w:spacing w:val="-2"/>
        </w:rPr>
        <w:t>存在损害公司及全体股东利益的情形，亦不存在摊派、强行分配等方式强制员工参加此次核心人员持股计划的情形。上述程</w:t>
      </w:r>
      <w:r>
        <w:rPr>
          <w:spacing w:val="-65"/>
        </w:rPr>
        <w:t> </w:t>
      </w:r>
      <w:r>
        <w:rPr>
          <w:spacing w:val="-65"/>
        </w:rPr>
      </w:r>
      <w:r>
        <w:rPr/>
        <w:t>序符合《指导意见》的规定。</w:t>
      </w:r>
    </w:p>
    <w:p>
      <w:pPr>
        <w:pStyle w:val="BodyText"/>
        <w:spacing w:line="316" w:lineRule="auto" w:before="19"/>
        <w:ind w:right="102" w:firstLine="274"/>
        <w:jc w:val="both"/>
      </w:pPr>
      <w:r>
        <w:rPr>
          <w:spacing w:val="-2"/>
        </w:rPr>
        <w:t>（</w:t>
      </w:r>
      <w:r>
        <w:rPr>
          <w:rFonts w:ascii="宋体" w:hAnsi="宋体" w:cs="宋体" w:eastAsia="宋体" w:hint="default"/>
          <w:spacing w:val="-2"/>
        </w:rPr>
        <w:t>4</w:t>
      </w: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19</w:t>
      </w:r>
      <w:r>
        <w:rPr>
          <w:spacing w:val="-2"/>
        </w:rPr>
        <w:t>日在其章程规定的信息披露媒体公告上述董事会决议、《核心人员持股计划（草案）》及摘要、</w:t>
      </w:r>
      <w:r>
        <w:rPr/>
        <w:t> 独立董事和监事会意见、《资产管理合同》，公告内容及公告时间均符合《指导意见》的规定。</w:t>
      </w:r>
    </w:p>
    <w:p>
      <w:pPr>
        <w:pStyle w:val="BodyText"/>
        <w:spacing w:line="240" w:lineRule="auto" w:before="19"/>
        <w:ind w:left="426" w:right="102"/>
        <w:jc w:val="left"/>
      </w:pPr>
      <w:r>
        <w:rPr/>
        <w:t>（</w:t>
      </w:r>
      <w:r>
        <w:rPr>
          <w:rFonts w:ascii="宋体" w:hAnsi="宋体" w:cs="宋体" w:eastAsia="宋体" w:hint="default"/>
        </w:rPr>
        <w:t>5</w:t>
      </w:r>
      <w:r>
        <w:rPr/>
        <w:t>）公司已聘请本所对本次核心人员持股计划出具法律意见书，符合《指导意见》的规定。</w:t>
      </w:r>
    </w:p>
    <w:p>
      <w:pPr>
        <w:pStyle w:val="BodyText"/>
        <w:spacing w:line="316" w:lineRule="auto" w:before="76"/>
        <w:ind w:right="174" w:firstLine="274"/>
        <w:jc w:val="both"/>
      </w:pPr>
      <w:r>
        <w:rPr>
          <w:spacing w:val="-2"/>
        </w:rPr>
        <w:t>（</w:t>
      </w:r>
      <w:r>
        <w:rPr>
          <w:rFonts w:ascii="宋体" w:hAnsi="宋体" w:cs="宋体" w:eastAsia="宋体" w:hint="default"/>
          <w:spacing w:val="-2"/>
        </w:rPr>
        <w:t>6</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6</w:t>
      </w:r>
      <w:r>
        <w:rPr>
          <w:spacing w:val="-2"/>
        </w:rPr>
        <w:t>日，公司召开了</w:t>
      </w:r>
      <w:r>
        <w:rPr>
          <w:rFonts w:ascii="宋体" w:hAnsi="宋体" w:cs="宋体" w:eastAsia="宋体" w:hint="default"/>
          <w:spacing w:val="-2"/>
        </w:rPr>
        <w:t>2015</w:t>
      </w:r>
      <w:r>
        <w:rPr>
          <w:spacing w:val="-2"/>
        </w:rPr>
        <w:t>年第一次临时股东大会审议通过《关于北京北信源软件股份有限公司第一期核心人</w:t>
      </w:r>
      <w:r>
        <w:rPr/>
        <w:t> </w:t>
      </w:r>
      <w:r>
        <w:rPr>
          <w:spacing w:val="-9"/>
        </w:rPr>
        <w:t>员持股计划（草案）及其摘要的议案》，具体内容详见刊登于中国证监会指定信息披露网站巨潮资讯网（</w:t>
      </w:r>
      <w:hyperlink r:id="rId13">
        <w:r>
          <w:rPr>
            <w:rFonts w:ascii="宋体" w:hAnsi="宋体" w:cs="宋体" w:eastAsia="宋体" w:hint="default"/>
            <w:spacing w:val="-9"/>
          </w:rPr>
          <w:t>www.cninfo.com.cn</w:t>
        </w:r>
      </w:hyperlink>
      <w:r>
        <w:rPr>
          <w:spacing w:val="-9"/>
        </w:rPr>
        <w:t>）。</w:t>
      </w:r>
      <w:r>
        <w:rPr>
          <w:spacing w:val="-74"/>
        </w:rPr>
        <w:t> </w:t>
      </w:r>
      <w:r>
        <w:rPr>
          <w:spacing w:val="-2"/>
        </w:rPr>
        <w:t>公司分别于</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9</w:t>
      </w:r>
      <w:r>
        <w:rPr>
          <w:spacing w:val="-2"/>
        </w:rPr>
        <w:t>日、</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9</w:t>
      </w:r>
      <w:r>
        <w:rPr>
          <w:spacing w:val="-2"/>
        </w:rPr>
        <w:t>日、</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9</w:t>
      </w:r>
      <w:r>
        <w:rPr>
          <w:spacing w:val="-2"/>
        </w:rPr>
        <w:t>日在其指定的信息披露媒体巨潮资讯网</w:t>
      </w:r>
      <w:hyperlink r:id="rId17">
        <w:r>
          <w:rPr>
            <w:rFonts w:ascii="宋体" w:hAnsi="宋体" w:cs="宋体" w:eastAsia="宋体" w:hint="default"/>
            <w:spacing w:val="-2"/>
          </w:rPr>
          <w:t>www.cninfo.com.cn</w:t>
        </w:r>
        <w:r>
          <w:rPr>
            <w:spacing w:val="-2"/>
          </w:rPr>
          <w:t>公告了</w:t>
        </w:r>
      </w:hyperlink>
      <w:r>
        <w:rPr>
          <w:spacing w:val="-43"/>
        </w:rPr>
        <w:t> </w:t>
      </w:r>
      <w:r>
        <w:rPr>
          <w:spacing w:val="-43"/>
        </w:rPr>
      </w:r>
      <w:r>
        <w:rPr>
          <w:spacing w:val="-2"/>
        </w:rPr>
        <w:t>第一期核心人员持股计划实施进展的公告，截至目前公司第一期核心人员持股计划已完成股票购买，具体内容详见刊登于中</w:t>
      </w:r>
      <w:r>
        <w:rPr>
          <w:spacing w:val="-64"/>
        </w:rPr>
        <w:t> </w:t>
      </w:r>
      <w:r>
        <w:rPr>
          <w:spacing w:val="-64"/>
        </w:rPr>
      </w:r>
      <w:r>
        <w:rPr/>
        <w:t>国证监会指定信息披露网站巨潮资讯网（</w:t>
      </w:r>
      <w:hyperlink r:id="rId13">
        <w:r>
          <w:rPr>
            <w:rFonts w:ascii="宋体" w:hAnsi="宋体" w:cs="宋体" w:eastAsia="宋体" w:hint="default"/>
          </w:rPr>
          <w:t>www.cninfo.com.cn</w:t>
        </w:r>
      </w:hyperlink>
      <w:r>
        <w:rPr/>
        <w:t>）。</w:t>
      </w:r>
    </w:p>
    <w:p>
      <w:pPr>
        <w:pStyle w:val="BodyText"/>
        <w:spacing w:line="316" w:lineRule="auto" w:before="19"/>
        <w:ind w:left="515" w:right="191"/>
        <w:jc w:val="left"/>
      </w:pPr>
      <w:r>
        <w:rPr>
          <w:rFonts w:ascii="宋体" w:hAnsi="宋体" w:cs="宋体" w:eastAsia="宋体" w:hint="default"/>
        </w:rPr>
        <w:t>3</w:t>
      </w:r>
      <w:r>
        <w:rPr/>
        <w:t>、第一期核心人员持股计划股票购买情况 </w:t>
      </w:r>
      <w:r>
        <w:rPr>
          <w:spacing w:val="-2"/>
        </w:rPr>
        <w:t>公司实施第一期核心人员持股计划，并委托兴证证券资产管理有限公司设立“兴证资管鑫众</w:t>
      </w:r>
      <w:r>
        <w:rPr>
          <w:rFonts w:ascii="宋体" w:hAnsi="宋体" w:cs="宋体" w:eastAsia="宋体" w:hint="default"/>
          <w:spacing w:val="-2"/>
        </w:rPr>
        <w:t>-</w:t>
      </w:r>
      <w:r>
        <w:rPr>
          <w:spacing w:val="-2"/>
        </w:rPr>
        <w:t>北信源</w:t>
      </w:r>
      <w:r>
        <w:rPr>
          <w:rFonts w:ascii="宋体" w:hAnsi="宋体" w:cs="宋体" w:eastAsia="宋体" w:hint="default"/>
          <w:spacing w:val="-2"/>
        </w:rPr>
        <w:t>1</w:t>
      </w:r>
      <w:r>
        <w:rPr>
          <w:spacing w:val="-2"/>
        </w:rPr>
        <w:t>号集合资产管理计</w:t>
      </w:r>
    </w:p>
    <w:p>
      <w:pPr>
        <w:pStyle w:val="BodyText"/>
        <w:spacing w:line="319" w:lineRule="auto" w:before="19"/>
        <w:ind w:right="184"/>
        <w:jc w:val="left"/>
      </w:pPr>
      <w:r>
        <w:rPr>
          <w:spacing w:val="-2"/>
        </w:rPr>
        <w:t>划”，通过二级市场购买、大宗交易等法律法规许可的方式获得公司股票并持有。截至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5</w:t>
      </w:r>
      <w:r>
        <w:rPr>
          <w:spacing w:val="-2"/>
        </w:rPr>
        <w:t>日，本员工持股计划通过</w:t>
      </w:r>
      <w:r>
        <w:rPr>
          <w:spacing w:val="-59"/>
        </w:rPr>
        <w:t> </w:t>
      </w:r>
      <w:r>
        <w:rPr>
          <w:spacing w:val="-59"/>
        </w:rPr>
      </w:r>
      <w:r>
        <w:rPr/>
        <w:t>二级市场购买方式共买入北信源股票</w:t>
      </w:r>
      <w:r>
        <w:rPr>
          <w:rFonts w:ascii="宋体" w:hAnsi="宋体" w:cs="宋体" w:eastAsia="宋体" w:hint="default"/>
        </w:rPr>
        <w:t>3,877,491</w:t>
      </w:r>
      <w:r>
        <w:rPr/>
        <w:t>股，占公司总股本</w:t>
      </w:r>
      <w:r>
        <w:rPr>
          <w:rFonts w:ascii="宋体" w:hAnsi="宋体" w:cs="宋体" w:eastAsia="宋体" w:hint="default"/>
        </w:rPr>
        <w:t>1.43%</w:t>
      </w:r>
      <w:r>
        <w:rPr/>
        <w:t>，成交金额为人民币</w:t>
      </w:r>
      <w:r>
        <w:rPr>
          <w:rFonts w:ascii="宋体" w:hAnsi="宋体" w:cs="宋体" w:eastAsia="宋体" w:hint="default"/>
        </w:rPr>
        <w:t>167,087,724.66</w:t>
      </w:r>
      <w:r>
        <w:rPr/>
        <w:t>元，成交均价 </w:t>
      </w:r>
      <w:r>
        <w:rPr>
          <w:rFonts w:ascii="宋体" w:hAnsi="宋体" w:cs="宋体" w:eastAsia="宋体" w:hint="default"/>
        </w:rPr>
        <w:t>43.0917</w:t>
      </w:r>
      <w:r>
        <w:rPr/>
        <w:t>元。截至本公告披露日，公司第一期核心人员持股计划已完成股票购买，本员工持股计划所购买的股票锁定期即：</w:t>
      </w:r>
    </w:p>
    <w:p>
      <w:pPr>
        <w:pStyle w:val="BodyText"/>
        <w:spacing w:line="240" w:lineRule="auto" w:before="17"/>
        <w:ind w:right="102"/>
        <w:jc w:val="left"/>
      </w:pP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6</w:t>
      </w:r>
      <w:r>
        <w:rPr/>
        <w:t>日至</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5</w:t>
      </w:r>
      <w:r>
        <w:rPr/>
        <w:t>日。</w:t>
      </w:r>
    </w:p>
    <w:p>
      <w:pPr>
        <w:pStyle w:val="BodyText"/>
        <w:spacing w:line="316" w:lineRule="auto" w:before="76"/>
        <w:ind w:left="515" w:right="3331"/>
        <w:jc w:val="left"/>
      </w:pPr>
      <w:r>
        <w:rPr>
          <w:rFonts w:ascii="宋体" w:hAnsi="宋体" w:cs="宋体" w:eastAsia="宋体" w:hint="default"/>
        </w:rPr>
        <w:t>4</w:t>
      </w:r>
      <w:r>
        <w:rPr/>
        <w:t>、第一期核心人员持股计划对公司经营能力和财务状况的影响 公司本次第一期核心人员持股计划对公司的财务状况和经营成果不产生影响。</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2"/>
        <w:spacing w:line="240" w:lineRule="auto"/>
        <w:ind w:right="102"/>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5494"/>
        <w:jc w:val="left"/>
      </w:pPr>
      <w:r>
        <w:rPr/>
        <w:t>□ 适用 √</w:t>
      </w:r>
      <w:r>
        <w:rPr>
          <w:spacing w:val="3"/>
        </w:rPr>
        <w:t> </w:t>
      </w:r>
      <w:r>
        <w:rPr/>
        <w:t>不适用</w:t>
      </w:r>
      <w:r>
        <w:rPr/>
        <w:t> 公司报告期未发生与日常经营相关的关联交易。</w:t>
      </w:r>
    </w:p>
    <w:p>
      <w:pPr>
        <w:spacing w:line="240" w:lineRule="auto" w:before="0"/>
        <w:rPr>
          <w:rFonts w:ascii="宋体" w:hAnsi="宋体" w:cs="宋体" w:eastAsia="宋体" w:hint="default"/>
          <w:sz w:val="15"/>
          <w:szCs w:val="15"/>
        </w:rPr>
      </w:pPr>
    </w:p>
    <w:p>
      <w:pPr>
        <w:pStyle w:val="Heading3"/>
        <w:spacing w:line="240" w:lineRule="auto"/>
        <w:ind w:right="10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5494"/>
        <w:jc w:val="left"/>
      </w:pPr>
      <w:r>
        <w:rPr/>
        <w:t>□ 适用 √</w:t>
      </w:r>
      <w:r>
        <w:rPr>
          <w:spacing w:val="3"/>
        </w:rPr>
        <w:t> </w:t>
      </w:r>
      <w:r>
        <w:rPr/>
        <w:t>不适用</w:t>
      </w:r>
      <w:r>
        <w:rPr/>
        <w:t> 公司报告期未发生资产或股权收购、出售的关联交易。</w:t>
      </w:r>
    </w:p>
    <w:p>
      <w:pPr>
        <w:spacing w:line="240" w:lineRule="auto" w:before="3"/>
        <w:rPr>
          <w:rFonts w:ascii="宋体" w:hAnsi="宋体" w:cs="宋体" w:eastAsia="宋体" w:hint="default"/>
          <w:sz w:val="15"/>
          <w:szCs w:val="15"/>
        </w:rPr>
      </w:pPr>
    </w:p>
    <w:p>
      <w:pPr>
        <w:pStyle w:val="Heading3"/>
        <w:spacing w:line="240" w:lineRule="auto"/>
        <w:ind w:right="10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214"/>
        <w:jc w:val="left"/>
      </w:pPr>
      <w:r>
        <w:rPr/>
        <w:t>□ 适用 √</w:t>
      </w:r>
      <w:r>
        <w:rPr>
          <w:spacing w:val="3"/>
        </w:rPr>
        <w:t> </w:t>
      </w:r>
      <w:r>
        <w:rPr/>
        <w:t>不适用</w:t>
      </w:r>
      <w:r>
        <w:rPr/>
        <w:t> 公司报告期未发生共同对外投资的关联交易。</w:t>
      </w:r>
    </w:p>
    <w:p>
      <w:pPr>
        <w:spacing w:after="0" w:line="360"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14"/>
        <w:jc w:val="left"/>
      </w:pPr>
      <w:r>
        <w:rPr/>
        <w:t>□ 适用 √</w:t>
      </w:r>
      <w:r>
        <w:rPr>
          <w:spacing w:val="3"/>
        </w:rPr>
        <w:t> </w:t>
      </w:r>
      <w:r>
        <w:rPr/>
        <w:t>不适用</w:t>
      </w:r>
      <w:r>
        <w:rPr/>
        <w:t> 公司报告期不存在关联债权债务往来。</w:t>
      </w:r>
    </w:p>
    <w:p>
      <w:pPr>
        <w:spacing w:line="240" w:lineRule="auto" w:before="5"/>
        <w:rPr>
          <w:rFonts w:ascii="宋体" w:hAnsi="宋体" w:cs="宋体" w:eastAsia="宋体" w:hint="default"/>
          <w:sz w:val="15"/>
          <w:szCs w:val="15"/>
        </w:rPr>
      </w:pPr>
    </w:p>
    <w:p>
      <w:pPr>
        <w:pStyle w:val="Heading3"/>
        <w:spacing w:line="240" w:lineRule="auto"/>
        <w:ind w:right="301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074"/>
        <w:jc w:val="left"/>
      </w:pPr>
      <w:r>
        <w:rPr/>
        <w:t>□ 适用 √</w:t>
      </w:r>
      <w:r>
        <w:rPr>
          <w:spacing w:val="3"/>
        </w:rPr>
        <w:t> </w:t>
      </w:r>
      <w:r>
        <w:rPr/>
        <w:t>不适用</w:t>
      </w:r>
      <w:r>
        <w:rPr/>
        <w:t> 公司报告期无其他重大关联交易。</w:t>
      </w:r>
    </w:p>
    <w:p>
      <w:pPr>
        <w:spacing w:line="240" w:lineRule="auto" w:before="9"/>
        <w:rPr>
          <w:rFonts w:ascii="宋体" w:hAnsi="宋体" w:cs="宋体" w:eastAsia="宋体" w:hint="default"/>
          <w:sz w:val="12"/>
          <w:szCs w:val="12"/>
        </w:rPr>
      </w:pPr>
    </w:p>
    <w:p>
      <w:pPr>
        <w:pStyle w:val="Heading2"/>
        <w:spacing w:line="240" w:lineRule="auto"/>
        <w:ind w:right="3012"/>
        <w:jc w:val="left"/>
        <w:rPr>
          <w:b w:val="0"/>
          <w:bCs w:val="0"/>
        </w:rPr>
      </w:pPr>
      <w:r>
        <w:rPr/>
        <w:t>十六、重大合同及其履行情况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434"/>
        <w:jc w:val="left"/>
      </w:pPr>
      <w:r>
        <w:rPr/>
        <w:t>□ 适用 √</w:t>
      </w:r>
      <w:r>
        <w:rPr>
          <w:spacing w:val="3"/>
        </w:rPr>
        <w:t> </w:t>
      </w:r>
      <w:r>
        <w:rPr/>
        <w:t>不适用</w:t>
      </w:r>
      <w:r>
        <w:rPr/>
        <w:t> 公司报告期不存在托管情况。</w:t>
      </w:r>
    </w:p>
    <w:p>
      <w:pPr>
        <w:spacing w:line="240" w:lineRule="auto" w:before="0"/>
        <w:rPr>
          <w:rFonts w:ascii="宋体" w:hAnsi="宋体" w:cs="宋体" w:eastAsia="宋体" w:hint="default"/>
          <w:sz w:val="15"/>
          <w:szCs w:val="15"/>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434"/>
        <w:jc w:val="left"/>
      </w:pPr>
      <w:r>
        <w:rPr/>
        <w:t>□ 适用 √</w:t>
      </w:r>
      <w:r>
        <w:rPr>
          <w:spacing w:val="3"/>
        </w:rPr>
        <w:t> </w:t>
      </w:r>
      <w:r>
        <w:rPr/>
        <w:t>不适用</w:t>
      </w:r>
      <w:r>
        <w:rPr/>
        <w:t> 公司报告期不存在承包情况。</w:t>
      </w:r>
    </w:p>
    <w:p>
      <w:pPr>
        <w:spacing w:line="240" w:lineRule="auto" w:before="3"/>
        <w:rPr>
          <w:rFonts w:ascii="宋体" w:hAnsi="宋体" w:cs="宋体" w:eastAsia="宋体" w:hint="default"/>
          <w:sz w:val="15"/>
          <w:szCs w:val="15"/>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7434"/>
        <w:jc w:val="left"/>
      </w:pPr>
      <w:r>
        <w:rPr/>
        <w:t>□ 适用 √</w:t>
      </w:r>
      <w:r>
        <w:rPr>
          <w:spacing w:val="3"/>
        </w:rPr>
        <w:t> </w:t>
      </w:r>
      <w:r>
        <w:rPr/>
        <w:t>不适用</w:t>
      </w:r>
      <w:r>
        <w:rPr/>
        <w:t> 公司报告期不存在租赁情况。</w:t>
      </w:r>
    </w:p>
    <w:p>
      <w:pPr>
        <w:spacing w:line="240" w:lineRule="auto" w:before="3"/>
        <w:rPr>
          <w:rFonts w:ascii="宋体" w:hAnsi="宋体" w:cs="宋体" w:eastAsia="宋体" w:hint="default"/>
          <w:sz w:val="15"/>
          <w:szCs w:val="15"/>
        </w:rPr>
      </w:pPr>
    </w:p>
    <w:p>
      <w:pPr>
        <w:pStyle w:val="Heading3"/>
        <w:spacing w:line="240" w:lineRule="auto"/>
        <w:ind w:right="301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354"/>
        <w:jc w:val="left"/>
      </w:pPr>
      <w:r>
        <w:rPr/>
        <w:t>□ 适用 √</w:t>
      </w:r>
      <w:r>
        <w:rPr>
          <w:spacing w:val="3"/>
        </w:rPr>
        <w:t> </w:t>
      </w:r>
      <w:r>
        <w:rPr/>
        <w:t>不适用</w:t>
      </w:r>
      <w:r>
        <w:rPr/>
        <w:t> 公司报告期不存在担保情况。</w:t>
      </w:r>
    </w:p>
    <w:p>
      <w:pPr>
        <w:spacing w:line="240" w:lineRule="auto" w:before="5"/>
        <w:rPr>
          <w:rFonts w:ascii="宋体" w:hAnsi="宋体" w:cs="宋体" w:eastAsia="宋体" w:hint="default"/>
          <w:sz w:val="15"/>
          <w:szCs w:val="15"/>
        </w:rPr>
      </w:pPr>
    </w:p>
    <w:p>
      <w:pPr>
        <w:pStyle w:val="Heading3"/>
        <w:spacing w:line="240" w:lineRule="auto"/>
        <w:ind w:right="301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7434"/>
        <w:jc w:val="left"/>
      </w:pPr>
      <w:r>
        <w:rPr/>
        <w:t>□ 适用 √</w:t>
      </w:r>
      <w:r>
        <w:rPr>
          <w:spacing w:val="3"/>
        </w:rPr>
        <w:t> </w:t>
      </w:r>
      <w:r>
        <w:rPr/>
        <w:t>不适用</w:t>
      </w:r>
      <w:r>
        <w:rPr/>
        <w:t> 公司报告期不存在委托理财。</w:t>
      </w:r>
    </w:p>
    <w:p>
      <w:pPr>
        <w:spacing w:line="240" w:lineRule="auto" w:before="3"/>
        <w:rPr>
          <w:rFonts w:ascii="宋体" w:hAnsi="宋体" w:cs="宋体" w:eastAsia="宋体" w:hint="default"/>
          <w:sz w:val="15"/>
          <w:szCs w:val="15"/>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after="0" w:line="240" w:lineRule="auto"/>
        <w:jc w:val="left"/>
        <w:sectPr>
          <w:pgSz w:w="11910" w:h="16840"/>
          <w:pgMar w:header="781" w:footer="979" w:top="1080" w:bottom="1160" w:left="980" w:right="980"/>
        </w:sectPr>
      </w:pPr>
    </w:p>
    <w:p>
      <w:pPr>
        <w:spacing w:line="240" w:lineRule="auto" w:before="10"/>
        <w:rPr>
          <w:rFonts w:ascii="宋体" w:hAnsi="宋体" w:cs="宋体" w:eastAsia="宋体" w:hint="default"/>
          <w:sz w:val="23"/>
          <w:szCs w:val="23"/>
        </w:rPr>
      </w:pPr>
    </w:p>
    <w:p>
      <w:pPr>
        <w:pStyle w:val="BodyText"/>
        <w:spacing w:line="240" w:lineRule="auto" w:before="44"/>
        <w:ind w:right="0"/>
        <w:jc w:val="both"/>
      </w:pPr>
      <w:r>
        <w:rPr/>
        <w:t>公司报告期不存在委托贷款。</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074"/>
        <w:jc w:val="left"/>
      </w:pPr>
      <w:r>
        <w:rPr/>
        <w:t>□ 适用 √</w:t>
      </w:r>
      <w:r>
        <w:rPr>
          <w:spacing w:val="3"/>
        </w:rPr>
        <w:t> </w:t>
      </w:r>
      <w:r>
        <w:rPr/>
        <w:t>不适用</w:t>
      </w:r>
      <w:r>
        <w:rPr/>
        <w:t> 公司报告期不存在其他重大合同。</w:t>
      </w:r>
    </w:p>
    <w:p>
      <w:pPr>
        <w:spacing w:line="240" w:lineRule="auto" w:before="9"/>
        <w:rPr>
          <w:rFonts w:ascii="宋体" w:hAnsi="宋体" w:cs="宋体" w:eastAsia="宋体" w:hint="default"/>
          <w:sz w:val="12"/>
          <w:szCs w:val="12"/>
        </w:rPr>
      </w:pPr>
    </w:p>
    <w:p>
      <w:pPr>
        <w:pStyle w:val="Heading2"/>
        <w:spacing w:line="240" w:lineRule="auto"/>
        <w:ind w:right="0"/>
        <w:jc w:val="both"/>
        <w:rPr>
          <w:b w:val="0"/>
          <w:bCs w:val="0"/>
        </w:rPr>
      </w:pPr>
      <w:r>
        <w:rPr/>
        <w:t>十七、其他重大事项的说明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left="604" w:right="142" w:hanging="452"/>
        <w:jc w:val="left"/>
      </w:pPr>
      <w:r>
        <w:rPr/>
        <w:t>√ 适用 □</w:t>
      </w:r>
      <w:r>
        <w:rPr>
          <w:spacing w:val="3"/>
        </w:rPr>
        <w:t> </w:t>
      </w:r>
      <w:r>
        <w:rPr/>
        <w:t>不适用</w:t>
      </w:r>
      <w:r>
        <w:rPr/>
        <w:t> </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22</w:t>
      </w:r>
      <w:r>
        <w:rPr/>
        <w:t>日，公司发布了《关于发行股份及支付现金购买资产事项获得中国证券监督管理委员会正式批复的公</w:t>
      </w:r>
    </w:p>
    <w:p>
      <w:pPr>
        <w:pStyle w:val="BodyText"/>
        <w:spacing w:line="316" w:lineRule="auto"/>
        <w:ind w:right="152"/>
        <w:jc w:val="both"/>
      </w:pPr>
      <w:r>
        <w:rPr/>
        <w:t>告》，</w:t>
      </w:r>
      <w:r>
        <w:rPr>
          <w:spacing w:val="-4"/>
        </w:rPr>
        <w:t> </w:t>
      </w:r>
      <w:r>
        <w:rPr>
          <w:rFonts w:ascii="宋体" w:hAnsi="宋体" w:cs="宋体" w:eastAsia="宋体" w:hint="default"/>
          <w:color w:val="252525"/>
        </w:rPr>
        <w:t>2015</w:t>
      </w:r>
      <w:r>
        <w:rPr>
          <w:color w:val="252525"/>
        </w:rPr>
        <w:t>年</w:t>
      </w:r>
      <w:r>
        <w:rPr>
          <w:rFonts w:ascii="宋体" w:hAnsi="宋体" w:cs="宋体" w:eastAsia="宋体" w:hint="default"/>
          <w:color w:val="252525"/>
        </w:rPr>
        <w:t>9</w:t>
      </w:r>
      <w:r>
        <w:rPr>
          <w:color w:val="252525"/>
        </w:rPr>
        <w:t>月</w:t>
      </w:r>
      <w:r>
        <w:rPr>
          <w:rFonts w:ascii="宋体" w:hAnsi="宋体" w:cs="宋体" w:eastAsia="宋体" w:hint="default"/>
          <w:color w:val="252525"/>
        </w:rPr>
        <w:t>19</w:t>
      </w:r>
      <w:r>
        <w:rPr>
          <w:color w:val="252525"/>
        </w:rPr>
        <w:t>日，公司发布了《关于发行股份及支付现金购买资产之标的资产过户完成的公告》，于</w:t>
      </w:r>
      <w:r>
        <w:rPr>
          <w:rFonts w:ascii="宋体" w:hAnsi="宋体" w:cs="宋体" w:eastAsia="宋体" w:hint="default"/>
          <w:color w:val="252525"/>
        </w:rPr>
        <w:t>2015</w:t>
      </w:r>
      <w:r>
        <w:rPr>
          <w:color w:val="252525"/>
        </w:rPr>
        <w:t>年</w:t>
      </w:r>
      <w:r>
        <w:rPr>
          <w:rFonts w:ascii="宋体" w:hAnsi="宋体" w:cs="宋体" w:eastAsia="宋体" w:hint="default"/>
          <w:color w:val="252525"/>
        </w:rPr>
        <w:t>10</w:t>
      </w:r>
      <w:r>
        <w:rPr>
          <w:color w:val="252525"/>
        </w:rPr>
        <w:t>月</w:t>
      </w:r>
      <w:r>
        <w:rPr>
          <w:rFonts w:ascii="宋体" w:hAnsi="宋体" w:cs="宋体" w:eastAsia="宋体" w:hint="default"/>
          <w:color w:val="252525"/>
        </w:rPr>
        <w:t>9</w:t>
      </w:r>
      <w:r>
        <w:rPr>
          <w:color w:val="252525"/>
        </w:rPr>
        <w:t>日 </w:t>
      </w:r>
      <w:r>
        <w:rPr>
          <w:color w:val="252525"/>
          <w:spacing w:val="-5"/>
        </w:rPr>
        <w:t>发布了《发行股份及支付现金购买资产实施情况暨新增股份上市公告书》，具体内容详见中国证监会指定的信息披露网站（巨</w:t>
      </w:r>
      <w:r>
        <w:rPr>
          <w:color w:val="252525"/>
          <w:spacing w:val="-78"/>
        </w:rPr>
        <w:t> </w:t>
      </w:r>
      <w:r>
        <w:rPr>
          <w:color w:val="252525"/>
          <w:spacing w:val="-78"/>
        </w:rPr>
      </w:r>
      <w:r>
        <w:rPr>
          <w:color w:val="252525"/>
        </w:rPr>
        <w:t>潮资讯网</w:t>
      </w:r>
      <w:r>
        <w:rPr>
          <w:rFonts w:ascii="宋体" w:hAnsi="宋体" w:cs="宋体" w:eastAsia="宋体" w:hint="default"/>
          <w:color w:val="252525"/>
        </w:rPr>
        <w:t>:</w:t>
      </w:r>
      <w:hyperlink r:id="rId13">
        <w:r>
          <w:rPr>
            <w:rFonts w:ascii="宋体" w:hAnsi="宋体" w:cs="宋体" w:eastAsia="宋体" w:hint="default"/>
            <w:color w:val="252525"/>
          </w:rPr>
          <w:t>http://www.cninfo.com.cn</w:t>
        </w:r>
      </w:hyperlink>
      <w:r>
        <w:rPr>
          <w:color w:val="252525"/>
        </w:rPr>
        <w:t>）上刊登的公告。</w:t>
      </w:r>
      <w:r>
        <w:rPr/>
      </w:r>
    </w:p>
    <w:p>
      <w:pPr>
        <w:pStyle w:val="BodyText"/>
        <w:spacing w:line="240" w:lineRule="auto" w:before="19"/>
        <w:ind w:left="604" w:right="0"/>
        <w:jc w:val="left"/>
      </w:pPr>
      <w:r>
        <w:rPr>
          <w:rFonts w:ascii="宋体" w:hAnsi="宋体" w:cs="宋体" w:eastAsia="宋体" w:hint="default"/>
          <w:color w:val="252525"/>
          <w:spacing w:val="1"/>
        </w:rPr>
        <w:t>2</w:t>
      </w:r>
      <w:r>
        <w:rPr>
          <w:color w:val="252525"/>
          <w:spacing w:val="-84"/>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5 </w:t>
      </w:r>
      <w:r>
        <w:rPr/>
        <w:t>年</w:t>
      </w:r>
      <w:r>
        <w:rPr>
          <w:rFonts w:ascii="宋体" w:hAnsi="宋体" w:cs="宋体" w:eastAsia="宋体" w:hint="default"/>
        </w:rPr>
        <w:t>6 </w:t>
      </w:r>
      <w:r>
        <w:rPr/>
        <w:t>月</w:t>
      </w:r>
      <w:r>
        <w:rPr>
          <w:rFonts w:ascii="宋体" w:hAnsi="宋体" w:cs="宋体" w:eastAsia="宋体" w:hint="default"/>
          <w:spacing w:val="-2"/>
        </w:rPr>
        <w:t>1</w:t>
      </w:r>
      <w:r>
        <w:rPr>
          <w:rFonts w:ascii="宋体" w:hAnsi="宋体" w:cs="宋体" w:eastAsia="宋体" w:hint="default"/>
        </w:rPr>
        <w:t>9</w:t>
      </w:r>
      <w:r>
        <w:rPr>
          <w:rFonts w:ascii="宋体" w:hAnsi="宋体" w:cs="宋体" w:eastAsia="宋体" w:hint="default"/>
          <w:spacing w:val="2"/>
        </w:rPr>
        <w:t> </w:t>
      </w:r>
      <w:r>
        <w:rPr/>
        <w:t>日公</w:t>
      </w:r>
      <w:r>
        <w:rPr>
          <w:spacing w:val="-3"/>
        </w:rPr>
        <w:t>司</w:t>
      </w:r>
      <w:r>
        <w:rPr/>
        <w:t>召开第二届董事会第十一次会议和</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5</w:t>
      </w:r>
      <w:r>
        <w:rPr/>
        <w:t>年</w:t>
      </w:r>
      <w:r>
        <w:rPr>
          <w:rFonts w:ascii="宋体" w:hAnsi="宋体" w:cs="宋体" w:eastAsia="宋体" w:hint="default"/>
          <w:spacing w:val="1"/>
        </w:rPr>
        <w:t>7</w:t>
      </w:r>
      <w:r>
        <w:rPr>
          <w:spacing w:val="-3"/>
        </w:rPr>
        <w:t>月</w:t>
      </w:r>
      <w:r>
        <w:rPr>
          <w:rFonts w:ascii="宋体" w:hAnsi="宋体" w:cs="宋体" w:eastAsia="宋体" w:hint="default"/>
          <w:spacing w:val="1"/>
        </w:rPr>
        <w:t>6</w:t>
      </w:r>
      <w:r>
        <w:rPr/>
        <w:t>日召开了</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5</w:t>
      </w:r>
      <w:r>
        <w:rPr/>
        <w:t>年第一次临时股东大会审议通过</w:t>
      </w:r>
    </w:p>
    <w:p>
      <w:pPr>
        <w:pStyle w:val="BodyText"/>
        <w:spacing w:line="316" w:lineRule="auto" w:before="76"/>
        <w:ind w:right="152"/>
        <w:jc w:val="both"/>
      </w:pPr>
      <w:r>
        <w:rPr>
          <w:spacing w:val="-2"/>
        </w:rPr>
        <w:t>《关于北京北信源软件股份有限公司第一期核心人员持股计划（草案）及其摘要的议案》，截止报告期末，公司第一期核心</w:t>
      </w:r>
      <w:r>
        <w:rPr>
          <w:spacing w:val="-65"/>
        </w:rPr>
        <w:t> </w:t>
      </w:r>
      <w:r>
        <w:rPr>
          <w:spacing w:val="-65"/>
        </w:rPr>
      </w:r>
      <w:r>
        <w:rPr/>
        <w:t>人员持股计划已完成股票购买，具体内容详见中国证监会指定的信息披露网站（巨潮资讯网</w:t>
      </w:r>
      <w:r>
        <w:rPr>
          <w:rFonts w:ascii="宋体" w:hAnsi="宋体" w:cs="宋体" w:eastAsia="宋体" w:hint="default"/>
        </w:rPr>
        <w:t>:</w:t>
      </w:r>
      <w:hyperlink r:id="rId13">
        <w:r>
          <w:rPr>
            <w:rFonts w:ascii="宋体" w:hAnsi="宋体" w:cs="宋体" w:eastAsia="宋体" w:hint="default"/>
          </w:rPr>
          <w:t>http://www.cninfo.com.cn</w:t>
        </w:r>
      </w:hyperlink>
      <w:r>
        <w:rPr/>
        <w:t>） 上刊登的公告。</w:t>
      </w:r>
    </w:p>
    <w:p>
      <w:pPr>
        <w:pStyle w:val="BodyText"/>
        <w:spacing w:line="319" w:lineRule="auto" w:before="19"/>
        <w:ind w:right="151" w:firstLine="454"/>
        <w:jc w:val="both"/>
      </w:pPr>
      <w:r>
        <w:rPr>
          <w:rFonts w:ascii="宋体" w:hAnsi="宋体" w:cs="宋体" w:eastAsia="宋体" w:hint="default"/>
          <w:color w:val="252525"/>
        </w:rPr>
        <w:t>3</w:t>
      </w:r>
      <w:r>
        <w:rPr>
          <w:color w:val="252525"/>
        </w:rPr>
        <w:t>、</w:t>
      </w:r>
      <w:r>
        <w:rPr>
          <w:rFonts w:ascii="宋体" w:hAnsi="宋体" w:cs="宋体" w:eastAsia="宋体" w:hint="default"/>
          <w:color w:val="252525"/>
        </w:rPr>
        <w:t>2015</w:t>
      </w:r>
      <w:r>
        <w:rPr>
          <w:color w:val="252525"/>
        </w:rPr>
        <w:t>年</w:t>
      </w:r>
      <w:r>
        <w:rPr>
          <w:rFonts w:ascii="宋体" w:hAnsi="宋体" w:cs="宋体" w:eastAsia="宋体" w:hint="default"/>
          <w:color w:val="252525"/>
        </w:rPr>
        <w:t>9</w:t>
      </w:r>
      <w:r>
        <w:rPr>
          <w:color w:val="252525"/>
        </w:rPr>
        <w:t>月</w:t>
      </w:r>
      <w:r>
        <w:rPr>
          <w:rFonts w:ascii="宋体" w:hAnsi="宋体" w:cs="宋体" w:eastAsia="宋体" w:hint="default"/>
          <w:color w:val="252525"/>
        </w:rPr>
        <w:t>21</w:t>
      </w:r>
      <w:r>
        <w:rPr>
          <w:color w:val="252525"/>
        </w:rPr>
        <w:t>日公司召开了第二届董事会第十三次会议和</w:t>
      </w:r>
      <w:r>
        <w:rPr>
          <w:rFonts w:ascii="宋体" w:hAnsi="宋体" w:cs="宋体" w:eastAsia="宋体" w:hint="default"/>
          <w:color w:val="252525"/>
        </w:rPr>
        <w:t>2015</w:t>
      </w:r>
      <w:r>
        <w:rPr>
          <w:color w:val="252525"/>
        </w:rPr>
        <w:t>年</w:t>
      </w:r>
      <w:r>
        <w:rPr>
          <w:rFonts w:ascii="宋体" w:hAnsi="宋体" w:cs="宋体" w:eastAsia="宋体" w:hint="default"/>
          <w:color w:val="252525"/>
        </w:rPr>
        <w:t>7</w:t>
      </w:r>
      <w:r>
        <w:rPr>
          <w:color w:val="252525"/>
        </w:rPr>
        <w:t>月</w:t>
      </w:r>
      <w:r>
        <w:rPr>
          <w:rFonts w:ascii="宋体" w:hAnsi="宋体" w:cs="宋体" w:eastAsia="宋体" w:hint="default"/>
          <w:color w:val="252525"/>
        </w:rPr>
        <w:t>6</w:t>
      </w:r>
      <w:r>
        <w:rPr>
          <w:color w:val="252525"/>
        </w:rPr>
        <w:t>日召开了</w:t>
      </w:r>
      <w:r>
        <w:rPr>
          <w:rFonts w:ascii="宋体" w:hAnsi="宋体" w:cs="宋体" w:eastAsia="宋体" w:hint="default"/>
          <w:color w:val="252525"/>
        </w:rPr>
        <w:t>2015</w:t>
      </w:r>
      <w:r>
        <w:rPr>
          <w:color w:val="252525"/>
        </w:rPr>
        <w:t>年第二次临时股东大会审议通过 </w:t>
      </w:r>
      <w:r>
        <w:rPr>
          <w:color w:val="252525"/>
          <w:spacing w:val="-2"/>
        </w:rPr>
        <w:t>了非公开发行股票相关议案，中国证监会创业板发行审核委员会于</w:t>
      </w:r>
      <w:r>
        <w:rPr>
          <w:rFonts w:ascii="宋体" w:hAnsi="宋体" w:cs="宋体" w:eastAsia="宋体" w:hint="default"/>
          <w:color w:val="252525"/>
          <w:spacing w:val="-2"/>
        </w:rPr>
        <w:t>2016</w:t>
      </w:r>
      <w:r>
        <w:rPr>
          <w:color w:val="252525"/>
          <w:spacing w:val="-2"/>
        </w:rPr>
        <w:t>年</w:t>
      </w:r>
      <w:r>
        <w:rPr>
          <w:rFonts w:ascii="宋体" w:hAnsi="宋体" w:cs="宋体" w:eastAsia="宋体" w:hint="default"/>
          <w:color w:val="252525"/>
          <w:spacing w:val="-2"/>
        </w:rPr>
        <w:t>3</w:t>
      </w:r>
      <w:r>
        <w:rPr>
          <w:color w:val="252525"/>
          <w:spacing w:val="-2"/>
        </w:rPr>
        <w:t>月</w:t>
      </w:r>
      <w:r>
        <w:rPr>
          <w:rFonts w:ascii="宋体" w:hAnsi="宋体" w:cs="宋体" w:eastAsia="宋体" w:hint="default"/>
          <w:color w:val="252525"/>
          <w:spacing w:val="-2"/>
        </w:rPr>
        <w:t>2</w:t>
      </w:r>
      <w:r>
        <w:rPr>
          <w:color w:val="252525"/>
          <w:spacing w:val="-2"/>
        </w:rPr>
        <w:t>日对公司创业板非公开发行股票的申请进行了</w:t>
      </w:r>
      <w:r>
        <w:rPr>
          <w:color w:val="252525"/>
          <w:spacing w:val="-61"/>
        </w:rPr>
        <w:t> </w:t>
      </w:r>
      <w:r>
        <w:rPr>
          <w:color w:val="252525"/>
          <w:spacing w:val="-61"/>
        </w:rPr>
      </w:r>
      <w:r>
        <w:rPr>
          <w:color w:val="252525"/>
          <w:spacing w:val="-2"/>
        </w:rPr>
        <w:t>审核。根据审核结果，公司本次非公开发行股票的申请获得审核通过，截至本报告披露日，公司尚未收到中国证监会的书面</w:t>
      </w:r>
      <w:r>
        <w:rPr>
          <w:color w:val="252525"/>
          <w:spacing w:val="-64"/>
        </w:rPr>
        <w:t> </w:t>
      </w:r>
      <w:r>
        <w:rPr>
          <w:color w:val="252525"/>
          <w:spacing w:val="-64"/>
        </w:rPr>
      </w:r>
      <w:r>
        <w:rPr>
          <w:color w:val="252525"/>
        </w:rPr>
        <w:t>核准文件。</w:t>
      </w:r>
      <w:r>
        <w:rPr/>
        <w:t>具体内容详见中国证监会指定的信息披露网站（巨潮资讯网</w:t>
      </w:r>
      <w:r>
        <w:rPr>
          <w:rFonts w:ascii="宋体" w:hAnsi="宋体" w:cs="宋体" w:eastAsia="宋体" w:hint="default"/>
        </w:rPr>
        <w:t>:</w:t>
      </w:r>
      <w:hyperlink r:id="rId13">
        <w:r>
          <w:rPr>
            <w:rFonts w:ascii="宋体" w:hAnsi="宋体" w:cs="宋体" w:eastAsia="宋体" w:hint="default"/>
          </w:rPr>
          <w:t>http://www.cninfo.com.cn</w:t>
        </w:r>
      </w:hyperlink>
      <w:r>
        <w:rPr/>
        <w:t>）上刊登的公告。</w:t>
      </w:r>
    </w:p>
    <w:p>
      <w:pPr>
        <w:spacing w:line="240" w:lineRule="auto" w:before="11"/>
        <w:rPr>
          <w:rFonts w:ascii="宋体" w:hAnsi="宋体" w:cs="宋体" w:eastAsia="宋体" w:hint="default"/>
          <w:sz w:val="14"/>
          <w:szCs w:val="14"/>
        </w:rPr>
      </w:pPr>
    </w:p>
    <w:p>
      <w:pPr>
        <w:pStyle w:val="Heading2"/>
        <w:spacing w:line="240" w:lineRule="auto"/>
        <w:ind w:right="0"/>
        <w:jc w:val="both"/>
        <w:rPr>
          <w:b w:val="0"/>
          <w:bCs w:val="0"/>
        </w:rPr>
      </w:pPr>
      <w:r>
        <w:rPr/>
        <w:t>十八、公司子公司重大事项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 适用 √</w:t>
      </w:r>
      <w:r>
        <w:rPr>
          <w:spacing w:val="3"/>
        </w:rPr>
        <w:t> </w:t>
      </w:r>
      <w:r>
        <w:rPr/>
        <w:t>不适用</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十九、社会责任情况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t>□ 适用 √</w:t>
      </w:r>
      <w:r>
        <w:rPr>
          <w:spacing w:val="3"/>
        </w:rPr>
        <w:t> </w:t>
      </w:r>
      <w:r>
        <w:rPr/>
        <w:t>不适用</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二十、公司债券相关情况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113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81" w:footer="979"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456" w:lineRule="exact"/>
        <w:ind w:left="2964" w:right="102"/>
        <w:jc w:val="left"/>
        <w:rPr>
          <w:b w:val="0"/>
          <w:bCs w:val="0"/>
        </w:rPr>
      </w:pPr>
      <w:bookmarkStart w:name="_TOC_250005" w:id="4"/>
      <w:r>
        <w:rPr/>
        <w:t>第六节 </w:t>
      </w:r>
      <w:r>
        <w:rPr>
          <w:spacing w:val="11"/>
        </w:rPr>
        <w:t> </w:t>
      </w:r>
      <w:r>
        <w:rPr/>
        <w:t>股份变动及股东情况</w:t>
      </w:r>
      <w:bookmarkEnd w:id="4"/>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102"/>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10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052"/>
        <w:gridCol w:w="1047"/>
        <w:gridCol w:w="686"/>
        <w:gridCol w:w="864"/>
        <w:gridCol w:w="596"/>
        <w:gridCol w:w="626"/>
        <w:gridCol w:w="1046"/>
        <w:gridCol w:w="1047"/>
        <w:gridCol w:w="1046"/>
        <w:gridCol w:w="686"/>
      </w:tblGrid>
      <w:tr>
        <w:trPr>
          <w:trHeight w:val="403" w:hRule="exact"/>
        </w:trPr>
        <w:tc>
          <w:tcPr>
            <w:tcW w:w="2052" w:type="dxa"/>
            <w:vMerge w:val="restart"/>
            <w:tcBorders>
              <w:top w:val="single" w:sz="4" w:space="0" w:color="000000"/>
              <w:left w:val="single" w:sz="4" w:space="0" w:color="000000"/>
              <w:right w:val="single" w:sz="4" w:space="0" w:color="000000"/>
            </w:tcBorders>
            <w:shd w:val="clear" w:color="auto" w:fill="D2D2D2"/>
          </w:tcPr>
          <w:p>
            <w:pPr/>
          </w:p>
        </w:tc>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052" w:type="dxa"/>
            <w:vMerge/>
            <w:tcBorders>
              <w:left w:val="single" w:sz="4" w:space="0" w:color="000000"/>
              <w:bottom w:val="single" w:sz="4" w:space="0" w:color="000000"/>
              <w:right w:val="single" w:sz="4" w:space="0" w:color="000000"/>
            </w:tcBorders>
            <w:shd w:val="clear" w:color="auto" w:fill="D2D2D2"/>
          </w:tcPr>
          <w:p>
            <w:pP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141,055,800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宋体" w:hAnsi="宋体" w:cs="宋体" w:eastAsia="宋体" w:hint="default"/>
                <w:sz w:val="18"/>
                <w:szCs w:val="18"/>
              </w:rPr>
            </w:pPr>
            <w:r>
              <w:rPr>
                <w:rFonts w:ascii="宋体"/>
                <w:sz w:val="18"/>
              </w:rPr>
              <w:t>52.87%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3,426,124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-37,605,730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-34,179,606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106,876,194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39.55%</w:t>
            </w:r>
          </w:p>
        </w:tc>
      </w:tr>
      <w:tr>
        <w:trPr>
          <w:trHeight w:val="4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center"/>
              <w:rPr>
                <w:rFonts w:ascii="宋体" w:hAnsi="宋体" w:cs="宋体" w:eastAsia="宋体" w:hint="default"/>
                <w:sz w:val="18"/>
                <w:szCs w:val="18"/>
              </w:rPr>
            </w:pPr>
            <w:r>
              <w:rPr>
                <w:rFonts w:ascii="宋体"/>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center"/>
              <w:rPr>
                <w:rFonts w:ascii="宋体" w:hAnsi="宋体" w:cs="宋体" w:eastAsia="宋体" w:hint="default"/>
                <w:sz w:val="18"/>
                <w:szCs w:val="18"/>
              </w:rPr>
            </w:pPr>
            <w:r>
              <w:rPr>
                <w:rFonts w:ascii="宋体"/>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141,055,800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宋体" w:hAnsi="宋体" w:cs="宋体" w:eastAsia="宋体" w:hint="default"/>
                <w:sz w:val="18"/>
                <w:szCs w:val="18"/>
              </w:rPr>
            </w:pPr>
            <w:r>
              <w:rPr>
                <w:rFonts w:ascii="宋体"/>
                <w:sz w:val="18"/>
              </w:rPr>
              <w:t>52.87%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3,426,124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-37,605,730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-34,179,606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106,876,194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39.55%</w:t>
            </w:r>
          </w:p>
        </w:tc>
      </w:tr>
      <w:tr>
        <w:trPr>
          <w:trHeight w:val="403"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center"/>
              <w:rPr>
                <w:rFonts w:ascii="宋体" w:hAnsi="宋体" w:cs="宋体" w:eastAsia="宋体" w:hint="default"/>
                <w:sz w:val="18"/>
                <w:szCs w:val="18"/>
              </w:rPr>
            </w:pPr>
            <w:r>
              <w:rPr>
                <w:rFonts w:ascii="宋体"/>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141,055,800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宋体" w:hAnsi="宋体" w:cs="宋体" w:eastAsia="宋体" w:hint="default"/>
                <w:sz w:val="18"/>
                <w:szCs w:val="18"/>
              </w:rPr>
            </w:pPr>
            <w:r>
              <w:rPr>
                <w:rFonts w:ascii="宋体"/>
                <w:sz w:val="18"/>
              </w:rPr>
              <w:t>52.87%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3,426,124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-37,605,730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-34,179,606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106,876,194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39.55%</w:t>
            </w:r>
          </w:p>
        </w:tc>
      </w:tr>
      <w:tr>
        <w:trPr>
          <w:trHeight w:val="404"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center"/>
              <w:rPr>
                <w:rFonts w:ascii="宋体" w:hAnsi="宋体" w:cs="宋体" w:eastAsia="宋体" w:hint="default"/>
                <w:sz w:val="18"/>
                <w:szCs w:val="18"/>
              </w:rPr>
            </w:pPr>
            <w:r>
              <w:rPr>
                <w:rFonts w:ascii="宋体"/>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center"/>
              <w:rPr>
                <w:rFonts w:ascii="宋体" w:hAnsi="宋体" w:cs="宋体" w:eastAsia="宋体" w:hint="default"/>
                <w:sz w:val="18"/>
                <w:szCs w:val="18"/>
              </w:rPr>
            </w:pPr>
            <w:r>
              <w:rPr>
                <w:rFonts w:ascii="宋体"/>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center"/>
              <w:rPr>
                <w:rFonts w:ascii="宋体" w:hAnsi="宋体" w:cs="宋体" w:eastAsia="宋体" w:hint="default"/>
                <w:sz w:val="18"/>
                <w:szCs w:val="18"/>
              </w:rPr>
            </w:pPr>
            <w:r>
              <w:rPr>
                <w:rFonts w:ascii="宋体"/>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125,744,200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宋体" w:hAnsi="宋体" w:cs="宋体" w:eastAsia="宋体" w:hint="default"/>
                <w:sz w:val="18"/>
                <w:szCs w:val="18"/>
              </w:rPr>
            </w:pPr>
            <w:r>
              <w:rPr>
                <w:rFonts w:ascii="宋体"/>
                <w:sz w:val="18"/>
              </w:rPr>
              <w:t>47.13%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37,605,730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37,605,730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163,349,930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60.45%</w:t>
            </w:r>
          </w:p>
        </w:tc>
      </w:tr>
      <w:tr>
        <w:trPr>
          <w:trHeight w:val="403"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100,334,682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宋体" w:hAnsi="宋体" w:cs="宋体" w:eastAsia="宋体" w:hint="default"/>
                <w:sz w:val="18"/>
                <w:szCs w:val="18"/>
              </w:rPr>
            </w:pPr>
            <w:r>
              <w:rPr>
                <w:rFonts w:ascii="宋体"/>
                <w:sz w:val="18"/>
              </w:rPr>
              <w:t>37.61%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-7,129,865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-7,129,865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93,204,817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34.49%</w:t>
            </w:r>
          </w:p>
        </w:tc>
      </w:tr>
      <w:tr>
        <w:trPr>
          <w:trHeight w:val="4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1,858,780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center"/>
              <w:rPr>
                <w:rFonts w:ascii="宋体" w:hAnsi="宋体" w:cs="宋体" w:eastAsia="宋体" w:hint="default"/>
                <w:sz w:val="18"/>
                <w:szCs w:val="18"/>
              </w:rPr>
            </w:pPr>
            <w:r>
              <w:rPr>
                <w:rFonts w:ascii="宋体"/>
                <w:sz w:val="18"/>
              </w:rPr>
              <w:t>0.70%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-663,442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-663,442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1,195,338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0.44%</w:t>
            </w:r>
          </w:p>
        </w:tc>
      </w:tr>
      <w:tr>
        <w:trPr>
          <w:trHeight w:val="403"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center"/>
              <w:rPr>
                <w:rFonts w:ascii="宋体" w:hAnsi="宋体" w:cs="宋体" w:eastAsia="宋体" w:hint="default"/>
                <w:sz w:val="18"/>
                <w:szCs w:val="18"/>
              </w:rPr>
            </w:pPr>
            <w:r>
              <w:rPr>
                <w:rFonts w:ascii="宋体"/>
                <w:sz w:val="18"/>
              </w:rPr>
              <w:t>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23,550,738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3" w:right="0"/>
              <w:jc w:val="center"/>
              <w:rPr>
                <w:rFonts w:ascii="宋体" w:hAnsi="宋体" w:cs="宋体" w:eastAsia="宋体" w:hint="default"/>
                <w:sz w:val="18"/>
                <w:szCs w:val="18"/>
              </w:rPr>
            </w:pPr>
            <w:r>
              <w:rPr>
                <w:rFonts w:ascii="宋体"/>
                <w:sz w:val="18"/>
              </w:rPr>
              <w:t>8.82%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45,399,037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45,399,037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68,949,775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25.52%</w:t>
            </w:r>
          </w:p>
        </w:tc>
      </w:tr>
      <w:tr>
        <w:trPr>
          <w:trHeight w:val="404"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266,800,000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sz w:val="18"/>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3,426,124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3,426,124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270,226,124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49"/>
        <w:ind w:right="0"/>
        <w:jc w:val="both"/>
      </w:pPr>
      <w:r>
        <w:rPr/>
        <w:t>股份变动的原因</w:t>
      </w:r>
    </w:p>
    <w:p>
      <w:pPr>
        <w:pStyle w:val="BodyText"/>
        <w:spacing w:line="360" w:lineRule="auto" w:before="115"/>
        <w:ind w:left="515" w:right="102" w:hanging="363"/>
        <w:jc w:val="left"/>
      </w:pPr>
      <w:r>
        <w:rPr/>
        <w:t>√ 适用 □</w:t>
      </w:r>
      <w:r>
        <w:rPr>
          <w:spacing w:val="3"/>
        </w:rPr>
        <w:t> </w:t>
      </w:r>
      <w:r>
        <w:rPr/>
        <w:t>不适用</w:t>
      </w:r>
      <w:r>
        <w:rPr/>
        <w:t> </w:t>
      </w:r>
      <w:r>
        <w:rPr>
          <w:rFonts w:ascii="宋体" w:hAnsi="宋体" w:cs="宋体" w:eastAsia="宋体" w:hint="default"/>
          <w:spacing w:val="-2"/>
        </w:rPr>
        <w:t>1</w:t>
      </w:r>
      <w:r>
        <w:rPr>
          <w:spacing w:val="-2"/>
        </w:rPr>
        <w:t>、经证监会《关于核准北京北信源软件股份有限公司向田秋桂等发行股份购买资产的批复》（证监许可</w:t>
      </w:r>
      <w:r>
        <w:rPr>
          <w:rFonts w:ascii="宋体" w:hAnsi="宋体" w:cs="宋体" w:eastAsia="宋体" w:hint="default"/>
          <w:spacing w:val="-2"/>
        </w:rPr>
        <w:t>[2015]1719</w:t>
      </w:r>
      <w:r>
        <w:rPr>
          <w:spacing w:val="-2"/>
        </w:rPr>
        <w:t>号）</w:t>
      </w:r>
    </w:p>
    <w:p>
      <w:pPr>
        <w:pStyle w:val="BodyText"/>
        <w:spacing w:line="222" w:lineRule="exact"/>
        <w:ind w:right="0"/>
        <w:jc w:val="both"/>
      </w:pPr>
      <w:r>
        <w:rPr>
          <w:spacing w:val="-3"/>
        </w:rPr>
        <w:t>核准，北京北信源软件股份有限公司以</w:t>
      </w:r>
      <w:r>
        <w:rPr>
          <w:rFonts w:ascii="宋体" w:hAnsi="宋体" w:cs="宋体" w:eastAsia="宋体" w:hint="default"/>
          <w:spacing w:val="-3"/>
        </w:rPr>
        <w:t>23.35</w:t>
      </w:r>
      <w:r>
        <w:rPr>
          <w:spacing w:val="-3"/>
        </w:rPr>
        <w:t>元</w:t>
      </w:r>
      <w:r>
        <w:rPr>
          <w:rFonts w:ascii="宋体" w:hAnsi="宋体" w:cs="宋体" w:eastAsia="宋体" w:hint="default"/>
          <w:spacing w:val="-3"/>
        </w:rPr>
        <w:t>/</w:t>
      </w:r>
      <w:r>
        <w:rPr>
          <w:spacing w:val="-3"/>
        </w:rPr>
        <w:t>股非公开发行</w:t>
      </w:r>
      <w:r>
        <w:rPr>
          <w:rFonts w:ascii="宋体" w:hAnsi="宋体" w:cs="宋体" w:eastAsia="宋体" w:hint="default"/>
          <w:spacing w:val="-3"/>
        </w:rPr>
        <w:t>1,520,857</w:t>
      </w:r>
      <w:r>
        <w:rPr>
          <w:spacing w:val="-3"/>
        </w:rPr>
        <w:t>股、</w:t>
      </w:r>
      <w:r>
        <w:rPr>
          <w:rFonts w:ascii="宋体" w:hAnsi="宋体" w:cs="宋体" w:eastAsia="宋体" w:hint="default"/>
          <w:spacing w:val="-3"/>
        </w:rPr>
        <w:t>1,490,021</w:t>
      </w:r>
      <w:r>
        <w:rPr>
          <w:spacing w:val="-3"/>
        </w:rPr>
        <w:t>股、</w:t>
      </w:r>
      <w:r>
        <w:rPr>
          <w:rFonts w:ascii="宋体" w:hAnsi="宋体" w:cs="宋体" w:eastAsia="宋体" w:hint="default"/>
          <w:spacing w:val="-3"/>
        </w:rPr>
        <w:t>415,246</w:t>
      </w:r>
      <w:r>
        <w:rPr>
          <w:spacing w:val="-3"/>
        </w:rPr>
        <w:t>股人民币普通股（</w:t>
      </w:r>
      <w:r>
        <w:rPr>
          <w:rFonts w:ascii="宋体" w:hAnsi="宋体" w:cs="宋体" w:eastAsia="宋体" w:hint="default"/>
          <w:spacing w:val="-3"/>
        </w:rPr>
        <w:t>A</w:t>
      </w:r>
      <w:r>
        <w:rPr>
          <w:spacing w:val="-3"/>
        </w:rPr>
        <w:t>股），</w:t>
      </w:r>
    </w:p>
    <w:p>
      <w:pPr>
        <w:pStyle w:val="BodyText"/>
        <w:spacing w:line="316" w:lineRule="auto" w:before="76"/>
        <w:ind w:right="190"/>
        <w:jc w:val="both"/>
      </w:pPr>
      <w:r>
        <w:rPr>
          <w:spacing w:val="-3"/>
        </w:rPr>
        <w:t>同时支付现金对价</w:t>
      </w:r>
      <w:r>
        <w:rPr>
          <w:rFonts w:ascii="宋体" w:hAnsi="宋体" w:cs="宋体" w:eastAsia="宋体" w:hint="default"/>
          <w:spacing w:val="-3"/>
        </w:rPr>
        <w:t>2000</w:t>
      </w:r>
      <w:r>
        <w:rPr>
          <w:spacing w:val="-3"/>
        </w:rPr>
        <w:t>万元，分别向自然人田秋桂、马永清、王俊锋发行股份购买其三人共同持有的中软华泰</w:t>
      </w:r>
      <w:r>
        <w:rPr>
          <w:rFonts w:ascii="宋体" w:hAnsi="宋体" w:cs="宋体" w:eastAsia="宋体" w:hint="default"/>
          <w:spacing w:val="-3"/>
        </w:rPr>
        <w:t>100%</w:t>
      </w:r>
      <w:r>
        <w:rPr>
          <w:spacing w:val="-3"/>
        </w:rPr>
        <w:t>股权。</w:t>
      </w:r>
      <w:r>
        <w:rPr>
          <w:spacing w:val="-15"/>
        </w:rPr>
        <w:t> </w:t>
      </w:r>
      <w:r>
        <w:rPr/>
        <w:t>公</w:t>
      </w:r>
      <w:r>
        <w:rPr>
          <w:spacing w:val="-81"/>
        </w:rPr>
        <w:t> </w:t>
      </w:r>
      <w:r>
        <w:rPr>
          <w:spacing w:val="-81"/>
        </w:rPr>
      </w:r>
      <w:r>
        <w:rPr/>
        <w:t>司非公开发行股票</w:t>
      </w:r>
      <w:r>
        <w:rPr>
          <w:rFonts w:ascii="宋体" w:hAnsi="宋体" w:cs="宋体" w:eastAsia="宋体" w:hint="default"/>
        </w:rPr>
        <w:t>3,426,124</w:t>
      </w:r>
      <w:r>
        <w:rPr/>
        <w:t>股仅涉及以发行股票形式购买自然人田秋桂、马永清、王俊锋所持有的中软华泰</w:t>
      </w:r>
      <w:r>
        <w:rPr>
          <w:rFonts w:ascii="宋体" w:hAnsi="宋体" w:cs="宋体" w:eastAsia="宋体" w:hint="default"/>
        </w:rPr>
        <w:t>100%</w:t>
      </w:r>
      <w:r>
        <w:rPr/>
        <w:t>股权，未</w:t>
      </w:r>
      <w:r>
        <w:rPr>
          <w:spacing w:val="-86"/>
        </w:rPr>
        <w:t> </w:t>
      </w:r>
      <w:r>
        <w:rPr>
          <w:spacing w:val="-86"/>
        </w:rPr>
      </w:r>
      <w:r>
        <w:rPr>
          <w:spacing w:val="-3"/>
        </w:rPr>
        <w:t>涉及募集资金的实际流入，不存在资金到账时间及资金在专项账户的存放情况；因发行股份公司股份总数由原来</w:t>
      </w:r>
      <w:r>
        <w:rPr>
          <w:rFonts w:ascii="宋体" w:hAnsi="宋体" w:cs="宋体" w:eastAsia="宋体" w:hint="default"/>
          <w:spacing w:val="-3"/>
        </w:rPr>
        <w:t>266,800,000</w:t>
      </w:r>
      <w:r>
        <w:rPr>
          <w:rFonts w:ascii="宋体" w:hAnsi="宋体" w:cs="宋体" w:eastAsia="宋体" w:hint="default"/>
          <w:spacing w:val="-84"/>
        </w:rPr>
        <w:t> </w:t>
      </w:r>
      <w:r>
        <w:rPr>
          <w:rFonts w:ascii="宋体" w:hAnsi="宋体" w:cs="宋体" w:eastAsia="宋体" w:hint="default"/>
          <w:spacing w:val="-84"/>
        </w:rPr>
      </w:r>
      <w:r>
        <w:rPr/>
        <w:t>股变成</w:t>
      </w:r>
      <w:r>
        <w:rPr>
          <w:rFonts w:ascii="宋体" w:hAnsi="宋体" w:cs="宋体" w:eastAsia="宋体" w:hint="default"/>
        </w:rPr>
        <w:t>270,226,124</w:t>
      </w:r>
      <w:r>
        <w:rPr/>
        <w:t>股。</w:t>
      </w:r>
    </w:p>
    <w:p>
      <w:pPr>
        <w:pStyle w:val="BodyText"/>
        <w:spacing w:line="319" w:lineRule="auto" w:before="19"/>
        <w:ind w:right="182" w:firstLine="362"/>
        <w:jc w:val="left"/>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29</w:t>
      </w:r>
      <w:r>
        <w:rPr/>
        <w:t>日，公司首次公开发行股票解除限售股份数量为</w:t>
      </w:r>
      <w:r>
        <w:rPr>
          <w:rFonts w:ascii="宋体" w:hAnsi="宋体" w:cs="宋体" w:eastAsia="宋体" w:hint="default"/>
        </w:rPr>
        <w:t>141,055,800</w:t>
      </w:r>
      <w:r>
        <w:rPr/>
        <w:t>股，占公司总股本</w:t>
      </w:r>
      <w:r>
        <w:rPr>
          <w:rFonts w:ascii="宋体" w:hAnsi="宋体" w:cs="宋体" w:eastAsia="宋体" w:hint="default"/>
        </w:rPr>
        <w:t>52.87%</w:t>
      </w:r>
      <w:r>
        <w:rPr/>
        <w:t>，解除限售后实 际可上市流通的股份数量为</w:t>
      </w:r>
      <w:r>
        <w:rPr>
          <w:rFonts w:ascii="宋体" w:hAnsi="宋体" w:cs="宋体" w:eastAsia="宋体" w:hint="default"/>
        </w:rPr>
        <w:t>37,647,350</w:t>
      </w:r>
      <w:r>
        <w:rPr/>
        <w:t>股，占公司股本总额的</w:t>
      </w:r>
      <w:r>
        <w:rPr>
          <w:rFonts w:ascii="宋体" w:hAnsi="宋体" w:cs="宋体" w:eastAsia="宋体" w:hint="default"/>
        </w:rPr>
        <w:t>14.11%</w:t>
      </w:r>
      <w:r>
        <w:rPr/>
        <w:t>。</w:t>
      </w:r>
    </w:p>
    <w:p>
      <w:pPr>
        <w:pStyle w:val="BodyText"/>
        <w:spacing w:line="240" w:lineRule="auto" w:before="58"/>
        <w:ind w:right="0"/>
        <w:jc w:val="both"/>
      </w:pPr>
      <w:r>
        <w:rPr/>
        <w:t>股份变动的批准情况</w:t>
      </w:r>
    </w:p>
    <w:p>
      <w:pPr>
        <w:spacing w:after="0" w:line="240" w:lineRule="auto"/>
        <w:jc w:val="both"/>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60" w:lineRule="auto" w:before="44"/>
        <w:ind w:left="604" w:right="102" w:hanging="452"/>
        <w:jc w:val="left"/>
      </w:pPr>
      <w:r>
        <w:rPr/>
        <w:t>√ 适用 □</w:t>
      </w:r>
      <w:r>
        <w:rPr>
          <w:spacing w:val="3"/>
        </w:rPr>
        <w:t> </w:t>
      </w:r>
      <w:r>
        <w:rPr/>
        <w:t>不适用</w:t>
      </w:r>
      <w:r>
        <w:rPr/>
        <w:t> </w:t>
      </w:r>
      <w:r>
        <w:rPr>
          <w:rFonts w:ascii="宋体" w:hAnsi="宋体" w:cs="宋体" w:eastAsia="宋体" w:hint="default"/>
          <w:spacing w:val="-2"/>
        </w:rPr>
        <w:t>1</w:t>
      </w:r>
      <w:r>
        <w:rPr>
          <w:spacing w:val="-2"/>
        </w:rPr>
        <w:t>、公司发行股份及支付现金购买资产事项已获得中国证监会正式批复，公司分别向自然人田秋桂、马永清、王俊锋合</w:t>
      </w:r>
    </w:p>
    <w:p>
      <w:pPr>
        <w:pStyle w:val="BodyText"/>
        <w:spacing w:line="222" w:lineRule="exact"/>
        <w:ind w:right="94"/>
        <w:jc w:val="left"/>
      </w:pPr>
      <w:r>
        <w:rPr>
          <w:spacing w:val="-3"/>
        </w:rPr>
        <w:t>计发行</w:t>
      </w:r>
      <w:r>
        <w:rPr>
          <w:rFonts w:ascii="宋体" w:hAnsi="宋体" w:cs="宋体" w:eastAsia="宋体" w:hint="default"/>
          <w:spacing w:val="-3"/>
        </w:rPr>
        <w:t>3,426,124</w:t>
      </w:r>
      <w:r>
        <w:rPr>
          <w:spacing w:val="-3"/>
        </w:rPr>
        <w:t>股股份，具体内容详见公司披露于中国证监会指定的创业板信息披露网站（</w:t>
      </w:r>
      <w:hyperlink r:id="rId13">
        <w:r>
          <w:rPr>
            <w:rFonts w:ascii="宋体" w:hAnsi="宋体" w:cs="宋体" w:eastAsia="宋体" w:hint="default"/>
            <w:color w:val="6C6C6C"/>
            <w:spacing w:val="-3"/>
          </w:rPr>
          <w:t>www.cninfo.com.cn</w:t>
        </w:r>
      </w:hyperlink>
      <w:r>
        <w:rPr>
          <w:spacing w:val="-3"/>
        </w:rPr>
        <w:t>）相关公告。</w:t>
      </w:r>
    </w:p>
    <w:p>
      <w:pPr>
        <w:pStyle w:val="BodyText"/>
        <w:spacing w:line="316" w:lineRule="auto" w:before="76"/>
        <w:ind w:right="190" w:firstLine="451"/>
        <w:jc w:val="both"/>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25</w:t>
      </w:r>
      <w:r>
        <w:rPr/>
        <w:t>日，公司原始股东林皓等</w:t>
      </w:r>
      <w:r>
        <w:rPr>
          <w:rFonts w:ascii="宋体" w:hAnsi="宋体" w:cs="宋体" w:eastAsia="宋体" w:hint="default"/>
        </w:rPr>
        <w:t>21</w:t>
      </w:r>
      <w:r>
        <w:rPr/>
        <w:t>名自然人股东持有的首次公开发行股票的限售股份锁定承诺到期，可上市 </w:t>
      </w:r>
      <w:r>
        <w:rPr>
          <w:spacing w:val="-2"/>
        </w:rPr>
        <w:t>流通。公司向深交所、中国证券登记结算有限责任公司深圳分公司提交了股份上市流通的申请，本次限售股份可上市流通日</w:t>
      </w:r>
      <w:r>
        <w:rPr>
          <w:spacing w:val="-66"/>
        </w:rPr>
        <w:t> </w:t>
      </w:r>
      <w:r>
        <w:rPr>
          <w:spacing w:val="-66"/>
        </w:rPr>
      </w:r>
      <w:r>
        <w:rPr>
          <w:spacing w:val="-4"/>
        </w:rPr>
        <w:t>为</w:t>
      </w:r>
      <w:r>
        <w:rPr>
          <w:rFonts w:ascii="宋体" w:hAnsi="宋体" w:cs="宋体" w:eastAsia="宋体" w:hint="default"/>
          <w:spacing w:val="-4"/>
        </w:rPr>
        <w:t>2015</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29</w:t>
      </w:r>
      <w:r>
        <w:rPr>
          <w:spacing w:val="-4"/>
        </w:rPr>
        <w:t>日，本次解除限售股份数量为</w:t>
      </w:r>
      <w:r>
        <w:rPr>
          <w:rFonts w:ascii="宋体" w:hAnsi="宋体" w:cs="宋体" w:eastAsia="宋体" w:hint="default"/>
          <w:spacing w:val="-4"/>
        </w:rPr>
        <w:t>141,055,800</w:t>
      </w:r>
      <w:r>
        <w:rPr>
          <w:spacing w:val="-4"/>
        </w:rPr>
        <w:t>股，占公司总股本</w:t>
      </w:r>
      <w:r>
        <w:rPr>
          <w:rFonts w:ascii="宋体" w:hAnsi="宋体" w:cs="宋体" w:eastAsia="宋体" w:hint="default"/>
          <w:spacing w:val="-4"/>
        </w:rPr>
        <w:t>52.87%</w:t>
      </w:r>
      <w:r>
        <w:rPr>
          <w:spacing w:val="-4"/>
        </w:rPr>
        <w:t>，实际可上市流通的股份数量为</w:t>
      </w:r>
      <w:r>
        <w:rPr>
          <w:rFonts w:ascii="宋体" w:hAnsi="宋体" w:cs="宋体" w:eastAsia="宋体" w:hint="default"/>
          <w:spacing w:val="-4"/>
        </w:rPr>
        <w:t>37,647,350</w:t>
      </w:r>
      <w:r>
        <w:rPr>
          <w:rFonts w:ascii="宋体" w:hAnsi="宋体" w:cs="宋体" w:eastAsia="宋体" w:hint="default"/>
          <w:spacing w:val="-79"/>
        </w:rPr>
        <w:t> </w:t>
      </w:r>
      <w:r>
        <w:rPr>
          <w:rFonts w:ascii="宋体" w:hAnsi="宋体" w:cs="宋体" w:eastAsia="宋体" w:hint="default"/>
          <w:spacing w:val="-79"/>
        </w:rPr>
      </w:r>
      <w:r>
        <w:rPr/>
        <w:t>股，占公司总股本</w:t>
      </w:r>
      <w:r>
        <w:rPr>
          <w:rFonts w:ascii="宋体" w:hAnsi="宋体" w:cs="宋体" w:eastAsia="宋体" w:hint="default"/>
        </w:rPr>
        <w:t>14.11%</w:t>
      </w:r>
      <w:r>
        <w:rPr/>
        <w:t>。</w:t>
      </w:r>
    </w:p>
    <w:p>
      <w:pPr>
        <w:pStyle w:val="BodyText"/>
        <w:spacing w:line="240" w:lineRule="auto" w:before="59"/>
        <w:ind w:right="102"/>
        <w:jc w:val="left"/>
      </w:pPr>
      <w:r>
        <w:rPr/>
        <w:t>股份变动的过户情况</w:t>
      </w:r>
    </w:p>
    <w:p>
      <w:pPr>
        <w:pStyle w:val="BodyText"/>
        <w:spacing w:line="360" w:lineRule="auto" w:before="115"/>
        <w:ind w:left="513" w:right="102" w:hanging="361"/>
        <w:jc w:val="left"/>
      </w:pPr>
      <w:r>
        <w:rPr/>
        <w:t>√ 适用 □</w:t>
      </w:r>
      <w:r>
        <w:rPr>
          <w:spacing w:val="3"/>
        </w:rPr>
        <w:t> </w:t>
      </w:r>
      <w:r>
        <w:rPr/>
        <w:t>不适用</w:t>
      </w:r>
      <w:r>
        <w:rPr/>
        <w:t> </w:t>
      </w:r>
      <w:r>
        <w:rPr>
          <w:spacing w:val="-2"/>
        </w:rPr>
        <w:t>经证监会《关于核准北京北信源软件股份有限公司向田秋桂等发行股份购买资产的批复》（证监许可</w:t>
      </w:r>
      <w:r>
        <w:rPr>
          <w:rFonts w:ascii="宋体" w:hAnsi="宋体" w:cs="宋体" w:eastAsia="宋体" w:hint="default"/>
          <w:spacing w:val="-2"/>
        </w:rPr>
        <w:t>[2015]1719</w:t>
      </w:r>
      <w:r>
        <w:rPr>
          <w:spacing w:val="-2"/>
        </w:rPr>
        <w:t>号）核</w:t>
      </w:r>
    </w:p>
    <w:p>
      <w:pPr>
        <w:pStyle w:val="BodyText"/>
        <w:spacing w:line="223" w:lineRule="exact"/>
        <w:ind w:right="0"/>
        <w:jc w:val="left"/>
      </w:pPr>
      <w:r>
        <w:rPr/>
        <w:t>准，公司分别向自然人田秋桂、马永清、王俊锋合计发行</w:t>
      </w:r>
      <w:r>
        <w:rPr>
          <w:rFonts w:ascii="宋体" w:hAnsi="宋体" w:cs="宋体" w:eastAsia="宋体" w:hint="default"/>
        </w:rPr>
        <w:t>3,426,124</w:t>
      </w:r>
      <w:r>
        <w:rPr/>
        <w:t>股股份，截至</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14</w:t>
      </w:r>
      <w:r>
        <w:rPr/>
        <w:t>日，中软华泰股东由自然人田</w:t>
      </w:r>
    </w:p>
    <w:p>
      <w:pPr>
        <w:pStyle w:val="BodyText"/>
        <w:spacing w:line="316" w:lineRule="auto" w:before="76"/>
        <w:ind w:right="191"/>
        <w:jc w:val="both"/>
      </w:pPr>
      <w:r>
        <w:rPr>
          <w:spacing w:val="-2"/>
        </w:rPr>
        <w:t>秋桂、马永清、王俊锋变更为北京北信源软件股份有限公司，该事项在北京市工商行政管理局海淀分局办理了工商变更登记</w:t>
      </w:r>
      <w:r>
        <w:rPr>
          <w:spacing w:val="-66"/>
        </w:rPr>
        <w:t> </w:t>
      </w:r>
      <w:r>
        <w:rPr>
          <w:spacing w:val="-66"/>
        </w:rPr>
      </w:r>
      <w:r>
        <w:rPr>
          <w:spacing w:val="-2"/>
        </w:rPr>
        <w:t>手续。本次发行股份及支付现金购买资产的过户手续已经完成，公司已合法拥有中软华泰</w:t>
      </w:r>
      <w:r>
        <w:rPr>
          <w:rFonts w:ascii="宋体" w:hAnsi="宋体" w:cs="宋体" w:eastAsia="宋体" w:hint="default"/>
          <w:spacing w:val="-2"/>
        </w:rPr>
        <w:t>100%</w:t>
      </w:r>
      <w:r>
        <w:rPr>
          <w:spacing w:val="-2"/>
        </w:rPr>
        <w:t>的股权，公司变更后的注册资</w:t>
      </w:r>
      <w:r>
        <w:rPr>
          <w:spacing w:val="-63"/>
        </w:rPr>
        <w:t> </w:t>
      </w:r>
      <w:r>
        <w:rPr>
          <w:spacing w:val="-63"/>
        </w:rPr>
      </w:r>
      <w:r>
        <w:rPr/>
        <w:t>本为人民币</w:t>
      </w:r>
      <w:r>
        <w:rPr>
          <w:rFonts w:ascii="宋体" w:hAnsi="宋体" w:cs="宋体" w:eastAsia="宋体" w:hint="default"/>
        </w:rPr>
        <w:t>27,022.6124</w:t>
      </w:r>
      <w:r>
        <w:rPr/>
        <w:t>万元，新增股份已于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15</w:t>
      </w:r>
      <w:r>
        <w:rPr/>
        <w:t>日上市，公司总股本变更为</w:t>
      </w:r>
      <w:r>
        <w:rPr>
          <w:rFonts w:ascii="宋体" w:hAnsi="宋体" w:cs="宋体" w:eastAsia="宋体" w:hint="default"/>
        </w:rPr>
        <w:t>270,226,124</w:t>
      </w:r>
      <w:r>
        <w:rPr/>
        <w:t>股。</w:t>
      </w:r>
    </w:p>
    <w:p>
      <w:pPr>
        <w:pStyle w:val="BodyText"/>
        <w:spacing w:line="240" w:lineRule="auto" w:before="59"/>
        <w:ind w:right="102"/>
        <w:jc w:val="left"/>
      </w:pPr>
      <w:r>
        <w:rPr/>
        <w:t>股份变动对最近一年和最近一期基本每股收益和稀释每股收益、归属于公司普通股股东的每股净资产等财务指标的影响</w:t>
      </w:r>
    </w:p>
    <w:p>
      <w:pPr>
        <w:pStyle w:val="BodyText"/>
        <w:spacing w:line="360" w:lineRule="auto" w:before="115"/>
        <w:ind w:left="513" w:right="102" w:hanging="361"/>
        <w:jc w:val="left"/>
      </w:pPr>
      <w:r>
        <w:rPr/>
        <w:t>√ 适用 □</w:t>
      </w:r>
      <w:r>
        <w:rPr>
          <w:spacing w:val="3"/>
        </w:rPr>
        <w:t> </w:t>
      </w:r>
      <w:r>
        <w:rPr/>
        <w:t>不适用</w:t>
      </w:r>
      <w:r>
        <w:rPr/>
        <w:t> </w:t>
      </w:r>
      <w:r>
        <w:rPr>
          <w:spacing w:val="-2"/>
        </w:rPr>
        <w:t>报告期内，公司总股本由</w:t>
      </w:r>
      <w:r>
        <w:rPr>
          <w:rFonts w:ascii="宋体" w:hAnsi="宋体" w:cs="宋体" w:eastAsia="宋体" w:hint="default"/>
          <w:spacing w:val="-2"/>
        </w:rPr>
        <w:t>266,800,000</w:t>
      </w:r>
      <w:r>
        <w:rPr>
          <w:spacing w:val="-2"/>
        </w:rPr>
        <w:t>股变更为</w:t>
      </w:r>
      <w:r>
        <w:rPr>
          <w:rFonts w:ascii="宋体" w:hAnsi="宋体" w:cs="宋体" w:eastAsia="宋体" w:hint="default"/>
          <w:spacing w:val="-2"/>
        </w:rPr>
        <w:t>270,226,124</w:t>
      </w:r>
      <w:r>
        <w:rPr>
          <w:spacing w:val="-2"/>
        </w:rPr>
        <w:t>股，股份变动对最近一年和最近一期的每股收益和稀释每股</w:t>
      </w:r>
    </w:p>
    <w:p>
      <w:pPr>
        <w:pStyle w:val="BodyText"/>
        <w:spacing w:line="222" w:lineRule="exact"/>
        <w:ind w:right="102"/>
        <w:jc w:val="left"/>
      </w:pPr>
      <w:r>
        <w:rPr/>
        <w:t>收益、归属于普通股股东的每股净资产影响如下：</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314"/>
        <w:gridCol w:w="2417"/>
        <w:gridCol w:w="2465"/>
        <w:gridCol w:w="2463"/>
      </w:tblGrid>
      <w:tr>
        <w:trPr>
          <w:trHeight w:val="427" w:hRule="exact"/>
        </w:trPr>
        <w:tc>
          <w:tcPr>
            <w:tcW w:w="2314" w:type="dxa"/>
            <w:tcBorders>
              <w:top w:val="single" w:sz="6" w:space="0" w:color="000000"/>
              <w:left w:val="single" w:sz="6" w:space="0" w:color="000000"/>
              <w:bottom w:val="single" w:sz="6" w:space="0" w:color="000000"/>
              <w:right w:val="single" w:sz="6" w:space="0" w:color="000000"/>
            </w:tcBorders>
          </w:tcPr>
          <w:p>
            <w:pP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425"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75" w:right="0"/>
              <w:jc w:val="left"/>
              <w:rPr>
                <w:rFonts w:ascii="宋体" w:hAnsi="宋体" w:cs="宋体" w:eastAsia="宋体" w:hint="default"/>
                <w:sz w:val="18"/>
                <w:szCs w:val="18"/>
              </w:rPr>
            </w:pPr>
            <w:r>
              <w:rPr>
                <w:rFonts w:ascii="宋体" w:hAnsi="宋体" w:cs="宋体" w:eastAsia="宋体" w:hint="default"/>
                <w:sz w:val="18"/>
                <w:szCs w:val="18"/>
              </w:rPr>
              <w:t>基本每股收益（元）</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 w:right="0"/>
              <w:jc w:val="center"/>
              <w:rPr>
                <w:rFonts w:ascii="宋体" w:hAnsi="宋体" w:cs="宋体" w:eastAsia="宋体" w:hint="default"/>
                <w:sz w:val="18"/>
                <w:szCs w:val="18"/>
              </w:rPr>
            </w:pPr>
            <w:r>
              <w:rPr>
                <w:rFonts w:ascii="宋体"/>
                <w:sz w:val="18"/>
              </w:rPr>
              <w:t>0.260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0.250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4%</w:t>
            </w:r>
          </w:p>
        </w:tc>
      </w:tr>
      <w:tr>
        <w:trPr>
          <w:trHeight w:val="427"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0"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宋体" w:hAnsi="宋体" w:cs="宋体" w:eastAsia="宋体" w:hint="default"/>
                <w:sz w:val="18"/>
                <w:szCs w:val="18"/>
              </w:rPr>
            </w:pPr>
            <w:r>
              <w:rPr>
                <w:rFonts w:ascii="宋体"/>
                <w:sz w:val="18"/>
              </w:rPr>
              <w:t>0.260</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sz w:val="18"/>
              </w:rPr>
              <w:t>0.250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4%</w:t>
            </w:r>
          </w:p>
        </w:tc>
      </w:tr>
      <w:tr>
        <w:trPr>
          <w:trHeight w:val="660"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04" w:right="69" w:hanging="135"/>
              <w:jc w:val="left"/>
              <w:rPr>
                <w:rFonts w:ascii="宋体" w:hAnsi="宋体" w:cs="宋体" w:eastAsia="宋体" w:hint="default"/>
                <w:sz w:val="18"/>
                <w:szCs w:val="18"/>
              </w:rPr>
            </w:pPr>
            <w:r>
              <w:rPr>
                <w:rFonts w:ascii="宋体" w:hAnsi="宋体" w:cs="宋体" w:eastAsia="宋体" w:hint="default"/>
                <w:sz w:val="18"/>
                <w:szCs w:val="18"/>
              </w:rPr>
              <w:t>归属于上市公司普通股股东 的每股净资产（元</w:t>
            </w:r>
            <w:r>
              <w:rPr>
                <w:rFonts w:ascii="宋体" w:hAnsi="宋体" w:cs="宋体" w:eastAsia="宋体" w:hint="default"/>
                <w:sz w:val="18"/>
                <w:szCs w:val="18"/>
              </w:rPr>
              <w:t>/</w:t>
            </w:r>
            <w:r>
              <w:rPr>
                <w:rFonts w:ascii="宋体" w:hAnsi="宋体" w:cs="宋体" w:eastAsia="宋体" w:hint="default"/>
                <w:sz w:val="18"/>
                <w:szCs w:val="18"/>
              </w:rPr>
              <w:t>股）</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3.10</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2.63</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14.45%</w:t>
            </w:r>
          </w:p>
        </w:tc>
      </w:tr>
    </w:tbl>
    <w:p>
      <w:pPr>
        <w:spacing w:line="240" w:lineRule="auto" w:before="2"/>
        <w:rPr>
          <w:rFonts w:ascii="宋体" w:hAnsi="宋体" w:cs="宋体" w:eastAsia="宋体" w:hint="default"/>
          <w:sz w:val="24"/>
          <w:szCs w:val="24"/>
        </w:rPr>
      </w:pPr>
    </w:p>
    <w:p>
      <w:pPr>
        <w:pStyle w:val="BodyText"/>
        <w:spacing w:line="240" w:lineRule="auto" w:before="44"/>
        <w:ind w:right="102"/>
        <w:jc w:val="left"/>
      </w:pPr>
      <w:r>
        <w:rPr/>
        <w:t>公司认为必要或证券监管机构要求披露的其他内容</w:t>
      </w:r>
    </w:p>
    <w:p>
      <w:pPr>
        <w:pStyle w:val="BodyText"/>
        <w:spacing w:line="240" w:lineRule="auto" w:before="117"/>
        <w:ind w:right="102"/>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10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102"/>
        <w:jc w:val="left"/>
      </w:pPr>
      <w:r>
        <w:rPr/>
        <w:t>√ 适用 □</w:t>
      </w:r>
      <w:r>
        <w:rPr>
          <w:spacing w:val="3"/>
        </w:rPr>
        <w:t> </w:t>
      </w:r>
      <w:r>
        <w:rPr/>
        <w:t>不适用</w:t>
      </w:r>
    </w:p>
    <w:p>
      <w:pPr>
        <w:pStyle w:val="BodyText"/>
        <w:spacing w:line="240" w:lineRule="auto" w:before="117"/>
        <w:ind w:left="0" w:right="191"/>
        <w:jc w:val="right"/>
      </w:pPr>
      <w:r>
        <w:rPr/>
        <w:t>单位：股</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98"/>
        <w:gridCol w:w="1366"/>
        <w:gridCol w:w="1368"/>
        <w:gridCol w:w="1366"/>
        <w:gridCol w:w="1368"/>
        <w:gridCol w:w="1369"/>
        <w:gridCol w:w="1363"/>
      </w:tblGrid>
      <w:tr>
        <w:trPr>
          <w:trHeight w:val="714" w:hRule="exact"/>
        </w:trPr>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8"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254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sz w:val="18"/>
              </w:rPr>
              <w:t>130,500,000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34" w:right="0"/>
              <w:jc w:val="left"/>
              <w:rPr>
                <w:rFonts w:ascii="宋体" w:hAnsi="宋体" w:cs="宋体" w:eastAsia="宋体" w:hint="default"/>
                <w:sz w:val="18"/>
                <w:szCs w:val="18"/>
              </w:rPr>
            </w:pPr>
            <w:r>
              <w:rPr>
                <w:rFonts w:ascii="宋体"/>
                <w:sz w:val="18"/>
              </w:rPr>
              <w:t>32,625,000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36" w:right="0"/>
              <w:jc w:val="left"/>
              <w:rPr>
                <w:rFonts w:ascii="宋体" w:hAnsi="宋体" w:cs="宋体" w:eastAsia="宋体" w:hint="default"/>
                <w:sz w:val="18"/>
                <w:szCs w:val="18"/>
              </w:rPr>
            </w:pPr>
            <w:r>
              <w:rPr>
                <w:rFonts w:ascii="宋体"/>
                <w:sz w:val="18"/>
              </w:rPr>
              <w:t>97,875,000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首次公开发行股 票解除限售日期 为</w:t>
            </w:r>
            <w:r>
              <w:rPr>
                <w:rFonts w:ascii="宋体" w:hAnsi="宋体" w:cs="宋体" w:eastAsia="宋体" w:hint="default"/>
                <w:spacing w:val="-64"/>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29</w:t>
            </w:r>
            <w:r>
              <w:rPr>
                <w:rFonts w:ascii="宋体" w:hAnsi="宋体" w:cs="宋体" w:eastAsia="宋体" w:hint="default"/>
                <w:spacing w:val="1"/>
                <w:sz w:val="18"/>
                <w:szCs w:val="18"/>
              </w:rPr>
              <w:t> </w:t>
            </w:r>
            <w:r>
              <w:rPr>
                <w:rFonts w:ascii="宋体" w:hAnsi="宋体" w:cs="宋体" w:eastAsia="宋体" w:hint="default"/>
                <w:sz w:val="18"/>
                <w:szCs w:val="18"/>
              </w:rPr>
              <w:t>日，之后按高管 股份解除限售的 相关规定，在任 职期间每年转让 的公司股份不超</w:t>
            </w:r>
          </w:p>
        </w:tc>
      </w:tr>
    </w:tbl>
    <w:p>
      <w:pPr>
        <w:spacing w:after="0" w:line="316" w:lineRule="auto"/>
        <w:jc w:val="both"/>
        <w:rPr>
          <w:rFonts w:ascii="宋体" w:hAnsi="宋体" w:cs="宋体" w:eastAsia="宋体" w:hint="default"/>
          <w:sz w:val="18"/>
          <w:szCs w:val="18"/>
        </w:rPr>
        <w:sectPr>
          <w:pgSz w:w="11910" w:h="16840"/>
          <w:pgMar w:header="781" w:footer="979" w:top="108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498"/>
        <w:gridCol w:w="1366"/>
        <w:gridCol w:w="1368"/>
        <w:gridCol w:w="1366"/>
        <w:gridCol w:w="1368"/>
        <w:gridCol w:w="1369"/>
        <w:gridCol w:w="1363"/>
      </w:tblGrid>
      <w:tr>
        <w:trPr>
          <w:trHeight w:val="675"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7"/>
              <w:jc w:val="left"/>
              <w:rPr>
                <w:rFonts w:ascii="宋体" w:hAnsi="宋体" w:cs="宋体" w:eastAsia="宋体" w:hint="default"/>
                <w:sz w:val="18"/>
                <w:szCs w:val="18"/>
              </w:rPr>
            </w:pPr>
            <w:r>
              <w:rPr>
                <w:rFonts w:ascii="宋体" w:hAnsi="宋体" w:cs="宋体" w:eastAsia="宋体" w:hint="default"/>
                <w:sz w:val="18"/>
                <w:szCs w:val="18"/>
              </w:rPr>
              <w:t>过其持有公司股 份总数的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383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宋体" w:hAnsi="宋体" w:cs="宋体" w:eastAsia="宋体" w:hint="default"/>
                <w:sz w:val="18"/>
                <w:szCs w:val="18"/>
              </w:rPr>
            </w:pPr>
            <w:r>
              <w:rPr>
                <w:rFonts w:ascii="宋体"/>
                <w:spacing w:val="-1"/>
                <w:sz w:val="18"/>
              </w:rPr>
              <w:t>4,222,200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1"/>
              <w:jc w:val="right"/>
              <w:rPr>
                <w:rFonts w:ascii="宋体" w:hAnsi="宋体" w:cs="宋体" w:eastAsia="宋体" w:hint="default"/>
                <w:sz w:val="18"/>
                <w:szCs w:val="18"/>
              </w:rPr>
            </w:pPr>
            <w:r>
              <w:rPr>
                <w:rFonts w:ascii="宋体"/>
                <w:spacing w:val="-1"/>
                <w:sz w:val="18"/>
              </w:rPr>
              <w:t>1,055,550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宋体" w:hAnsi="宋体" w:cs="宋体" w:eastAsia="宋体" w:hint="default"/>
                <w:sz w:val="18"/>
                <w:szCs w:val="18"/>
              </w:rPr>
            </w:pPr>
            <w:r>
              <w:rPr>
                <w:rFonts w:ascii="宋体"/>
                <w:spacing w:val="-1"/>
                <w:sz w:val="18"/>
              </w:rPr>
              <w:t>3,166,650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类高管锁定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首次公开发行股 票解除限售日期 为</w:t>
            </w:r>
            <w:r>
              <w:rPr>
                <w:rFonts w:ascii="宋体" w:hAnsi="宋体" w:cs="宋体" w:eastAsia="宋体" w:hint="default"/>
                <w:spacing w:val="-64"/>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29</w:t>
            </w:r>
            <w:r>
              <w:rPr>
                <w:rFonts w:ascii="宋体" w:hAnsi="宋体" w:cs="宋体" w:eastAsia="宋体" w:hint="default"/>
                <w:spacing w:val="1"/>
                <w:sz w:val="18"/>
                <w:szCs w:val="18"/>
              </w:rPr>
              <w:t> </w:t>
            </w:r>
            <w:r>
              <w:rPr>
                <w:rFonts w:ascii="宋体" w:hAnsi="宋体" w:cs="宋体" w:eastAsia="宋体" w:hint="default"/>
                <w:sz w:val="18"/>
                <w:szCs w:val="18"/>
              </w:rPr>
              <w:t>日，之后按高管 股份解除限售的 相关规定和承 诺</w:t>
            </w:r>
            <w:r>
              <w:rPr>
                <w:rFonts w:ascii="宋体" w:hAnsi="宋体" w:cs="宋体" w:eastAsia="宋体" w:hint="default"/>
                <w:sz w:val="18"/>
                <w:szCs w:val="18"/>
              </w:rPr>
              <w:t>,</w:t>
            </w:r>
            <w:r>
              <w:rPr>
                <w:rFonts w:ascii="宋体" w:hAnsi="宋体" w:cs="宋体" w:eastAsia="宋体" w:hint="default"/>
                <w:sz w:val="18"/>
                <w:szCs w:val="18"/>
              </w:rPr>
              <w:t>在王晓娜女 士任职期间，其 每年转让的公司 股份不超过其所 持有公司股份总 数的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321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966,600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241,650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724,950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首次公开发行股 票解除限售日期 为</w:t>
            </w:r>
            <w:r>
              <w:rPr>
                <w:rFonts w:ascii="宋体" w:hAnsi="宋体" w:cs="宋体" w:eastAsia="宋体" w:hint="default"/>
                <w:spacing w:val="-64"/>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29</w:t>
            </w:r>
            <w:r>
              <w:rPr>
                <w:rFonts w:ascii="宋体" w:hAnsi="宋体" w:cs="宋体" w:eastAsia="宋体" w:hint="default"/>
                <w:spacing w:val="1"/>
                <w:sz w:val="18"/>
                <w:szCs w:val="18"/>
              </w:rPr>
              <w:t> </w:t>
            </w:r>
            <w:r>
              <w:rPr>
                <w:rFonts w:ascii="宋体" w:hAnsi="宋体" w:cs="宋体" w:eastAsia="宋体" w:hint="default"/>
                <w:sz w:val="18"/>
                <w:szCs w:val="18"/>
              </w:rPr>
              <w:t>日，之后按高管 股份解除限售的 相关规定，在任 职期间每年转让 的公司股份不超 过其持有公司股 份总数的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320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首次公开发行股 票解除限售日期 为</w:t>
            </w:r>
            <w:r>
              <w:rPr>
                <w:rFonts w:ascii="宋体" w:hAnsi="宋体" w:cs="宋体" w:eastAsia="宋体" w:hint="default"/>
                <w:spacing w:val="-64"/>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29</w:t>
            </w:r>
            <w:r>
              <w:rPr>
                <w:rFonts w:ascii="宋体" w:hAnsi="宋体" w:cs="宋体" w:eastAsia="宋体" w:hint="default"/>
                <w:spacing w:val="1"/>
                <w:sz w:val="18"/>
                <w:szCs w:val="18"/>
              </w:rPr>
              <w:t> </w:t>
            </w:r>
            <w:r>
              <w:rPr>
                <w:rFonts w:ascii="宋体" w:hAnsi="宋体" w:cs="宋体" w:eastAsia="宋体" w:hint="default"/>
                <w:sz w:val="18"/>
                <w:szCs w:val="18"/>
              </w:rPr>
              <w:t>日，之后按高管 股份解除限售的 相关规定，在任 职期间每年转让 的公司股份不超 过其持有公司股 份总数的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285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533,400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133,350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400,050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首次公开发行股 票解除限售日期 为</w:t>
            </w:r>
            <w:r>
              <w:rPr>
                <w:rFonts w:ascii="宋体" w:hAnsi="宋体" w:cs="宋体" w:eastAsia="宋体" w:hint="default"/>
                <w:spacing w:val="-64"/>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29</w:t>
            </w:r>
            <w:r>
              <w:rPr>
                <w:rFonts w:ascii="宋体" w:hAnsi="宋体" w:cs="宋体" w:eastAsia="宋体" w:hint="default"/>
                <w:spacing w:val="1"/>
                <w:sz w:val="18"/>
                <w:szCs w:val="18"/>
              </w:rPr>
              <w:t> </w:t>
            </w:r>
            <w:r>
              <w:rPr>
                <w:rFonts w:ascii="宋体" w:hAnsi="宋体" w:cs="宋体" w:eastAsia="宋体" w:hint="default"/>
                <w:sz w:val="18"/>
                <w:szCs w:val="18"/>
              </w:rPr>
              <w:t>日，之后按高管 股份解除限售的 相关规定，在任 职期间每年转让 的公司股份不超 过其持有公司股</w:t>
            </w:r>
          </w:p>
        </w:tc>
      </w:tr>
    </w:tbl>
    <w:p>
      <w:pPr>
        <w:spacing w:after="0" w:line="316" w:lineRule="auto"/>
        <w:jc w:val="both"/>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498"/>
        <w:gridCol w:w="1366"/>
        <w:gridCol w:w="1368"/>
        <w:gridCol w:w="1366"/>
        <w:gridCol w:w="1368"/>
        <w:gridCol w:w="1369"/>
        <w:gridCol w:w="1363"/>
      </w:tblGrid>
      <w:tr>
        <w:trPr>
          <w:trHeight w:val="363"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320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马承栋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首次公开发行股 票解除限售日期 为</w:t>
            </w:r>
            <w:r>
              <w:rPr>
                <w:rFonts w:ascii="宋体" w:hAnsi="宋体" w:cs="宋体" w:eastAsia="宋体" w:hint="default"/>
                <w:spacing w:val="-64"/>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29</w:t>
            </w:r>
            <w:r>
              <w:rPr>
                <w:rFonts w:ascii="宋体" w:hAnsi="宋体" w:cs="宋体" w:eastAsia="宋体" w:hint="default"/>
                <w:spacing w:val="1"/>
                <w:sz w:val="18"/>
                <w:szCs w:val="18"/>
              </w:rPr>
              <w:t> </w:t>
            </w:r>
            <w:r>
              <w:rPr>
                <w:rFonts w:ascii="宋体" w:hAnsi="宋体" w:cs="宋体" w:eastAsia="宋体" w:hint="default"/>
                <w:sz w:val="18"/>
                <w:szCs w:val="18"/>
              </w:rPr>
              <w:t>日，之后按高管 股份解除限售的 相关规定，在任 职期间每年转让 的公司股份不超 过其持有公司股 份总数的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3212"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哈连琴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411,200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102,800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308,400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首次公开发行股 票解除限售日期 为</w:t>
            </w:r>
            <w:r>
              <w:rPr>
                <w:rFonts w:ascii="宋体" w:hAnsi="宋体" w:cs="宋体" w:eastAsia="宋体" w:hint="default"/>
                <w:spacing w:val="-64"/>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29</w:t>
            </w:r>
            <w:r>
              <w:rPr>
                <w:rFonts w:ascii="宋体" w:hAnsi="宋体" w:cs="宋体" w:eastAsia="宋体" w:hint="default"/>
                <w:spacing w:val="1"/>
                <w:sz w:val="18"/>
                <w:szCs w:val="18"/>
              </w:rPr>
              <w:t> </w:t>
            </w:r>
            <w:r>
              <w:rPr>
                <w:rFonts w:ascii="宋体" w:hAnsi="宋体" w:cs="宋体" w:eastAsia="宋体" w:hint="default"/>
                <w:sz w:val="18"/>
                <w:szCs w:val="18"/>
              </w:rPr>
              <w:t>日，之后按高管 股份解除限售的 相关规定，在任 职期间每年转让 的公司股份不超 过其持有公司股 份总数的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71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尹子健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333,400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333,400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宋体"/>
                <w:sz w:val="18"/>
              </w:rPr>
              <w:t>375,020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宋体" w:hAnsi="宋体" w:cs="宋体" w:eastAsia="宋体" w:hint="default"/>
                <w:sz w:val="18"/>
                <w:szCs w:val="18"/>
              </w:rPr>
            </w:pPr>
            <w:r>
              <w:rPr>
                <w:rFonts w:ascii="宋体"/>
                <w:sz w:val="18"/>
              </w:rPr>
              <w:t>375,020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按高管股份解除 限售的相关规 定，在任职期间 每年转让的公司 股份不超过其持 有公司股份总数 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410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1,490,021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1,490,021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首发后个人类限 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自本次新增股份 上市之日起，至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个月届满之日 和本人在《业绩 补偿协议》中利 润补偿义务履行 完毕之日中的较 晚日之前，不转 让本人持有的本 次发行取得的上 市公司新增股 份，但按照《业 绩补偿协议》进</w:t>
            </w:r>
          </w:p>
        </w:tc>
      </w:tr>
    </w:tbl>
    <w:p>
      <w:pPr>
        <w:spacing w:after="0" w:line="316"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4.959999pt;margin-top:71.999985pt;width:485.65pt;height:692.0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8"/>
                    <w:gridCol w:w="1366"/>
                    <w:gridCol w:w="1368"/>
                    <w:gridCol w:w="1366"/>
                    <w:gridCol w:w="1368"/>
                    <w:gridCol w:w="1369"/>
                    <w:gridCol w:w="1363"/>
                  </w:tblGrid>
                  <w:tr>
                    <w:trPr>
                      <w:trHeight w:val="4107"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7"/>
                          <w:jc w:val="left"/>
                          <w:rPr>
                            <w:rFonts w:ascii="宋体" w:hAnsi="宋体" w:cs="宋体" w:eastAsia="宋体" w:hint="default"/>
                            <w:sz w:val="18"/>
                            <w:szCs w:val="18"/>
                          </w:rPr>
                        </w:pPr>
                        <w:r>
                          <w:rPr>
                            <w:rFonts w:ascii="宋体" w:hAnsi="宋体" w:cs="宋体" w:eastAsia="宋体" w:hint="default"/>
                            <w:sz w:val="18"/>
                            <w:szCs w:val="18"/>
                          </w:rPr>
                          <w:t>行回购的股份除 外；上述锁定期 满后，如本人在 中软华泰或者上 市公司担任董 事、监事或高级 管理人员的，任 职期间内，本人 每年转让的上市 公司股份不超过 本人持有上市公 司股份总数的 </w:t>
                        </w:r>
                        <w:r>
                          <w:rPr>
                            <w:rFonts w:ascii="宋体" w:hAnsi="宋体" w:cs="宋体" w:eastAsia="宋体" w:hint="default"/>
                            <w:sz w:val="18"/>
                            <w:szCs w:val="18"/>
                          </w:rPr>
                          <w:t>25%</w:t>
                        </w:r>
                      </w:p>
                    </w:tc>
                  </w:tr>
                  <w:tr>
                    <w:trPr>
                      <w:trHeight w:val="972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18"/>
                            <w:szCs w:val="18"/>
                          </w:rPr>
                        </w:pPr>
                        <w:r>
                          <w:rPr>
                            <w:rFonts w:ascii="宋体"/>
                            <w:sz w:val="18"/>
                          </w:rPr>
                          <w:t>1,520,857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25" w:right="0"/>
                          <w:jc w:val="left"/>
                          <w:rPr>
                            <w:rFonts w:ascii="宋体" w:hAnsi="宋体" w:cs="宋体" w:eastAsia="宋体" w:hint="default"/>
                            <w:sz w:val="18"/>
                            <w:szCs w:val="18"/>
                          </w:rPr>
                        </w:pPr>
                        <w:r>
                          <w:rPr>
                            <w:rFonts w:ascii="宋体"/>
                            <w:sz w:val="18"/>
                          </w:rPr>
                          <w:t>1,520,857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首发后个人类限 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自本次新增股份 上市之日起，至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个月届满之日 和本人在《业绩 补偿协议》中利 润补偿义务履行 完毕之日中的较 晚日之前，不转 让本人持有的本 次发行取得的上 市公司新增股 份，但按照《业 绩补偿协议》进 行回购的股份除 外；鉴于本人与 中软华泰另一股 东马永清系一致 行动人，共同控 制中软华泰，在 马永清于中软华 泰或者上市公司 担任董事、监事 或高级管理人员 期间内，本人每 年转让的上市公 司股份不超过本 人持有上市公司 股份总数的</w:t>
                        </w:r>
                        <w:r>
                          <w:rPr>
                            <w:rFonts w:ascii="宋体" w:hAnsi="宋体" w:cs="宋体" w:eastAsia="宋体" w:hint="default"/>
                            <w:spacing w:val="-46"/>
                            <w:sz w:val="18"/>
                            <w:szCs w:val="18"/>
                          </w:rPr>
                          <w:t> </w:t>
                        </w:r>
                        <w:r>
                          <w:rPr>
                            <w:rFonts w:ascii="宋体" w:hAnsi="宋体" w:cs="宋体" w:eastAsia="宋体" w:hint="default"/>
                            <w:sz w:val="18"/>
                            <w:szCs w:val="18"/>
                          </w:rPr>
                          <w:t>25% </w:t>
                        </w:r>
                        <w:r>
                          <w:rPr>
                            <w:rFonts w:ascii="宋体" w:hAnsi="宋体" w:cs="宋体" w:eastAsia="宋体" w:hint="default"/>
                            <w:sz w:val="18"/>
                            <w:szCs w:val="18"/>
                          </w:rPr>
                          <w:t>同时，在陈青松</w:t>
                        </w:r>
                      </w:p>
                      <w:p>
                        <w:pPr>
                          <w:pStyle w:val="TableParagraph"/>
                          <w:spacing w:line="316" w:lineRule="auto" w:before="19"/>
                          <w:ind w:left="24" w:right="67"/>
                          <w:jc w:val="left"/>
                          <w:rPr>
                            <w:rFonts w:ascii="宋体" w:hAnsi="宋体" w:cs="宋体" w:eastAsia="宋体" w:hint="default"/>
                            <w:sz w:val="18"/>
                            <w:szCs w:val="18"/>
                          </w:rPr>
                        </w:pPr>
                        <w:r>
                          <w:rPr>
                            <w:rFonts w:ascii="宋体" w:hAnsi="宋体" w:cs="宋体" w:eastAsia="宋体" w:hint="default"/>
                            <w:sz w:val="18"/>
                            <w:szCs w:val="18"/>
                          </w:rPr>
                          <w:t>（系本人之子） 于中软华泰或者</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BodyText"/>
        <w:spacing w:line="240" w:lineRule="auto" w:before="44"/>
        <w:ind w:left="0" w:right="100"/>
        <w:jc w:val="right"/>
      </w:pPr>
      <w:r>
        <w:rPr/>
        <w:t>；</w:t>
      </w:r>
    </w:p>
    <w:p>
      <w:pPr>
        <w:spacing w:after="0" w:line="240" w:lineRule="auto"/>
        <w:jc w:val="right"/>
        <w:sectPr>
          <w:pgSz w:w="11910" w:h="16840"/>
          <w:pgMar w:header="781" w:footer="979" w:top="108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498"/>
        <w:gridCol w:w="1366"/>
        <w:gridCol w:w="1368"/>
        <w:gridCol w:w="1366"/>
        <w:gridCol w:w="1368"/>
        <w:gridCol w:w="1369"/>
        <w:gridCol w:w="1363"/>
      </w:tblGrid>
      <w:tr>
        <w:trPr>
          <w:trHeight w:val="2547" w:hRule="exact"/>
        </w:trPr>
        <w:tc>
          <w:tcPr>
            <w:tcW w:w="149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7"/>
              <w:jc w:val="left"/>
              <w:rPr>
                <w:rFonts w:ascii="宋体" w:hAnsi="宋体" w:cs="宋体" w:eastAsia="宋体" w:hint="default"/>
                <w:sz w:val="18"/>
                <w:szCs w:val="18"/>
              </w:rPr>
            </w:pPr>
            <w:r>
              <w:rPr>
                <w:rFonts w:ascii="宋体" w:hAnsi="宋体" w:cs="宋体" w:eastAsia="宋体" w:hint="default"/>
                <w:sz w:val="18"/>
                <w:szCs w:val="18"/>
              </w:rPr>
              <w:t>上市公司担任董 事、监事或高级 管理人员期间 内，本人每年转 让的上市公司股 份亦不超过本人 持有上市公司股 份总数的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1961"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415,246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415,246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74"/>
              <w:jc w:val="left"/>
              <w:rPr>
                <w:rFonts w:ascii="宋体" w:hAnsi="宋体" w:cs="宋体" w:eastAsia="宋体" w:hint="default"/>
                <w:sz w:val="18"/>
                <w:szCs w:val="18"/>
              </w:rPr>
            </w:pPr>
            <w:r>
              <w:rPr>
                <w:rFonts w:ascii="宋体" w:hAnsi="宋体" w:cs="宋体" w:eastAsia="宋体" w:hint="default"/>
                <w:sz w:val="18"/>
                <w:szCs w:val="18"/>
              </w:rPr>
              <w:t>首发后个人类限 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自本次新增股份 上市之日起</w:t>
            </w:r>
            <w:r>
              <w:rPr>
                <w:rFonts w:ascii="宋体" w:hAnsi="宋体" w:cs="宋体" w:eastAsia="宋体" w:hint="default"/>
                <w:spacing w:val="-66"/>
                <w:sz w:val="18"/>
                <w:szCs w:val="18"/>
              </w:rPr>
              <w:t> </w:t>
            </w:r>
            <w:r>
              <w:rPr>
                <w:rFonts w:ascii="宋体" w:hAnsi="宋体" w:cs="宋体" w:eastAsia="宋体" w:hint="default"/>
                <w:sz w:val="18"/>
                <w:szCs w:val="18"/>
              </w:rPr>
              <w:t>12</w:t>
            </w:r>
            <w:r>
              <w:rPr>
                <w:rFonts w:ascii="宋体" w:hAnsi="宋体" w:cs="宋体" w:eastAsia="宋体" w:hint="default"/>
                <w:spacing w:val="-65"/>
                <w:sz w:val="18"/>
                <w:szCs w:val="18"/>
              </w:rPr>
              <w:t> </w:t>
            </w:r>
            <w:r>
              <w:rPr>
                <w:rFonts w:ascii="宋体" w:hAnsi="宋体" w:cs="宋体" w:eastAsia="宋体" w:hint="default"/>
                <w:sz w:val="18"/>
                <w:szCs w:val="18"/>
              </w:rPr>
              <w:t>个 月内不转让所持 有的本次发行取 得的上市公司新 增股份</w:t>
            </w:r>
          </w:p>
        </w:tc>
      </w:tr>
      <w:tr>
        <w:trPr>
          <w:trHeight w:val="71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333,400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333,400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王夏娟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333,400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333,400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吴振芳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张伶敏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266,600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266,600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266,600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266,600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255,600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255,600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程志远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233,400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233,400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李敬勋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刘兴安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毕永东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陈华治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200,000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497"/>
        <w:gridCol w:w="1366"/>
        <w:gridCol w:w="1368"/>
        <w:gridCol w:w="1366"/>
        <w:gridCol w:w="1369"/>
        <w:gridCol w:w="1367"/>
        <w:gridCol w:w="1363"/>
      </w:tblGrid>
      <w:tr>
        <w:trPr>
          <w:trHeight w:val="404" w:hRule="exact"/>
        </w:trPr>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sz w:val="18"/>
              </w:rPr>
              <w:t>141,055,800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sz w:val="18"/>
              </w:rPr>
              <w:t>37,980,750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sz w:val="18"/>
              </w:rPr>
              <w:t>3,801,144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5" w:right="0"/>
              <w:jc w:val="left"/>
              <w:rPr>
                <w:rFonts w:ascii="宋体" w:hAnsi="宋体" w:cs="宋体" w:eastAsia="宋体" w:hint="default"/>
                <w:sz w:val="18"/>
                <w:szCs w:val="18"/>
              </w:rPr>
            </w:pPr>
            <w:r>
              <w:rPr>
                <w:rFonts w:ascii="宋体"/>
                <w:sz w:val="18"/>
              </w:rPr>
              <w:t>106,876,194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367" w:lineRule="exact"/>
        <w:ind w:right="3012"/>
        <w:jc w:val="left"/>
        <w:rPr>
          <w:b w:val="0"/>
          <w:bCs w:val="0"/>
        </w:rPr>
      </w:pPr>
      <w:r>
        <w:rPr/>
        <w:t>二、证券发行与上市情况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left="513" w:right="0" w:hanging="361"/>
        <w:jc w:val="left"/>
      </w:pPr>
      <w:r>
        <w:rPr/>
        <w:t>√ 适用 □</w:t>
      </w:r>
      <w:r>
        <w:rPr>
          <w:spacing w:val="3"/>
        </w:rPr>
        <w:t> </w:t>
      </w:r>
      <w:r>
        <w:rPr/>
        <w:t>不适用</w:t>
      </w:r>
      <w:r>
        <w:rPr/>
        <w:t> </w:t>
      </w:r>
      <w:r>
        <w:rPr>
          <w:spacing w:val="-2"/>
        </w:rPr>
        <w:t>经证监会《关于核准北京北信源软件股份有限公司向田秋桂等发行股份购买资产的批复》（证监许可</w:t>
      </w:r>
      <w:r>
        <w:rPr>
          <w:rFonts w:ascii="宋体" w:hAnsi="宋体" w:cs="宋体" w:eastAsia="宋体" w:hint="default"/>
          <w:spacing w:val="-2"/>
        </w:rPr>
        <w:t>[2015]1719</w:t>
      </w:r>
      <w:r>
        <w:rPr>
          <w:spacing w:val="-2"/>
        </w:rPr>
        <w:t>号）核</w:t>
      </w:r>
    </w:p>
    <w:p>
      <w:pPr>
        <w:pStyle w:val="BodyText"/>
        <w:spacing w:line="222" w:lineRule="exact"/>
        <w:ind w:right="0"/>
        <w:jc w:val="left"/>
      </w:pPr>
      <w:r>
        <w:rPr/>
        <w:t>准，公司分别向自然人田秋桂、马永清、王俊锋合计发行</w:t>
      </w:r>
      <w:r>
        <w:rPr>
          <w:rFonts w:ascii="宋体" w:hAnsi="宋体" w:cs="宋体" w:eastAsia="宋体" w:hint="default"/>
        </w:rPr>
        <w:t>3,426,124</w:t>
      </w:r>
      <w:r>
        <w:rPr/>
        <w:t>股股份，发行后公司总股本变更为</w:t>
      </w:r>
      <w:r>
        <w:rPr>
          <w:rFonts w:ascii="宋体" w:hAnsi="宋体" w:cs="宋体" w:eastAsia="宋体" w:hint="default"/>
        </w:rPr>
        <w:t>27,022.6124</w:t>
      </w:r>
      <w:r>
        <w:rPr/>
        <w:t>股。</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5"/>
        <w:rPr>
          <w:rFonts w:ascii="宋体" w:hAnsi="宋体" w:cs="宋体" w:eastAsia="宋体" w:hint="default"/>
          <w:sz w:val="19"/>
          <w:szCs w:val="19"/>
        </w:rPr>
      </w:pPr>
    </w:p>
    <w:p>
      <w:pPr>
        <w:pStyle w:val="Heading2"/>
        <w:spacing w:line="240" w:lineRule="auto"/>
        <w:ind w:right="3012"/>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84"/>
        <w:gridCol w:w="101"/>
        <w:gridCol w:w="572"/>
        <w:gridCol w:w="692"/>
        <w:gridCol w:w="685"/>
        <w:gridCol w:w="1075"/>
        <w:gridCol w:w="403"/>
        <w:gridCol w:w="552"/>
        <w:gridCol w:w="955"/>
        <w:gridCol w:w="101"/>
        <w:gridCol w:w="857"/>
        <w:gridCol w:w="202"/>
        <w:gridCol w:w="985"/>
        <w:gridCol w:w="230"/>
        <w:gridCol w:w="1003"/>
      </w:tblGrid>
      <w:tr>
        <w:trPr>
          <w:trHeight w:val="1968"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8"/>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0" w:right="0"/>
              <w:jc w:val="left"/>
              <w:rPr>
                <w:rFonts w:ascii="宋体" w:hAnsi="宋体" w:cs="宋体" w:eastAsia="宋体" w:hint="default"/>
                <w:sz w:val="18"/>
                <w:szCs w:val="18"/>
              </w:rPr>
            </w:pPr>
            <w:r>
              <w:rPr>
                <w:rFonts w:ascii="宋体"/>
                <w:sz w:val="18"/>
              </w:rPr>
              <w:t>13,545</w:t>
            </w:r>
          </w:p>
        </w:tc>
        <w:tc>
          <w:tcPr>
            <w:tcW w:w="13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8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4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07" w:right="0"/>
              <w:jc w:val="left"/>
              <w:rPr>
                <w:rFonts w:ascii="宋体" w:hAnsi="宋体" w:cs="宋体" w:eastAsia="宋体" w:hint="default"/>
                <w:sz w:val="18"/>
                <w:szCs w:val="18"/>
              </w:rPr>
            </w:pPr>
            <w:r>
              <w:rPr>
                <w:rFonts w:ascii="宋体"/>
                <w:sz w:val="18"/>
              </w:rPr>
              <w:t>28,406</w:t>
            </w:r>
          </w:p>
        </w:tc>
        <w:tc>
          <w:tcPr>
            <w:tcW w:w="160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4"/>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9</w:t>
            </w:r>
            <w:r>
              <w:rPr>
                <w:rFonts w:ascii="宋体" w:hAnsi="宋体" w:cs="宋体" w:eastAsia="宋体" w:hint="default"/>
                <w:sz w:val="18"/>
                <w:szCs w:val="18"/>
              </w:rPr>
              <w:t>）</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宋体" w:hAnsi="宋体" w:cs="宋体" w:eastAsia="宋体" w:hint="default"/>
                <w:sz w:val="18"/>
                <w:szCs w:val="18"/>
              </w:rPr>
            </w:pPr>
            <w:r>
              <w:rPr>
                <w:rFonts w:ascii="宋体"/>
                <w:sz w:val="18"/>
              </w:rPr>
              <w:t>0</w:t>
            </w:r>
          </w:p>
        </w:tc>
        <w:tc>
          <w:tcPr>
            <w:tcW w:w="12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5"/>
                <w:sz w:val="18"/>
                <w:szCs w:val="18"/>
              </w:rPr>
              <w:t>数（如有）（参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宋体" w:hAnsi="宋体" w:cs="宋体" w:eastAsia="宋体" w:hint="default"/>
                <w:sz w:val="18"/>
                <w:szCs w:val="18"/>
              </w:rPr>
            </w:pPr>
            <w:r>
              <w:rPr>
                <w:rFonts w:ascii="宋体"/>
                <w:sz w:val="18"/>
              </w:rPr>
              <w:t>0</w:t>
            </w:r>
          </w:p>
        </w:tc>
      </w:tr>
      <w:tr>
        <w:trPr>
          <w:trHeight w:val="396" w:hRule="exact"/>
        </w:trPr>
        <w:tc>
          <w:tcPr>
            <w:tcW w:w="969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57"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404" w:hRule="exact"/>
        </w:trPr>
        <w:tc>
          <w:tcPr>
            <w:tcW w:w="1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2"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8" w:right="6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4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85" w:type="dxa"/>
            <w:gridSpan w:val="2"/>
            <w:vMerge/>
            <w:tcBorders>
              <w:left w:val="single" w:sz="4" w:space="0" w:color="000000"/>
              <w:bottom w:val="single" w:sz="4" w:space="0" w:color="000000"/>
              <w:right w:val="single" w:sz="4" w:space="0" w:color="000000"/>
            </w:tcBorders>
            <w:shd w:val="clear" w:color="auto" w:fill="D2D2D2"/>
          </w:tcPr>
          <w:p>
            <w:pPr/>
          </w:p>
        </w:tc>
        <w:tc>
          <w:tcPr>
            <w:tcW w:w="1265" w:type="dxa"/>
            <w:gridSpan w:val="2"/>
            <w:vMerge/>
            <w:tcBorders>
              <w:left w:val="single" w:sz="4" w:space="0" w:color="000000"/>
              <w:bottom w:val="single" w:sz="4" w:space="0" w:color="000000"/>
              <w:right w:val="single" w:sz="4" w:space="0" w:color="000000"/>
            </w:tcBorders>
            <w:shd w:val="clear" w:color="auto" w:fill="D2D2D2"/>
          </w:tcPr>
          <w:p>
            <w:pPr/>
          </w:p>
        </w:tc>
        <w:tc>
          <w:tcPr>
            <w:tcW w:w="685"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56" w:type="dxa"/>
            <w:gridSpan w:val="2"/>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58" w:type="dxa"/>
            <w:gridSpan w:val="2"/>
            <w:vMerge/>
            <w:tcBorders>
              <w:left w:val="single" w:sz="4" w:space="0" w:color="000000"/>
              <w:bottom w:val="single" w:sz="4" w:space="0" w:color="000000"/>
              <w:right w:val="single" w:sz="4" w:space="0" w:color="000000"/>
            </w:tcBorders>
            <w:shd w:val="clear" w:color="auto" w:fill="D2D2D2"/>
          </w:tcPr>
          <w:p>
            <w:pPr/>
          </w:p>
        </w:tc>
        <w:tc>
          <w:tcPr>
            <w:tcW w:w="1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宋体" w:hAnsi="宋体" w:cs="宋体" w:eastAsia="宋体" w:hint="default"/>
                <w:sz w:val="18"/>
                <w:szCs w:val="18"/>
              </w:rPr>
            </w:pPr>
            <w:r>
              <w:rPr>
                <w:rFonts w:ascii="宋体"/>
                <w:spacing w:val="-1"/>
                <w:sz w:val="18"/>
              </w:rPr>
              <w:t>48.29%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130,500,000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97,875,000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32,625,000</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9" w:right="0"/>
              <w:jc w:val="left"/>
              <w:rPr>
                <w:rFonts w:ascii="宋体" w:hAnsi="宋体" w:cs="宋体" w:eastAsia="宋体" w:hint="default"/>
                <w:sz w:val="18"/>
                <w:szCs w:val="18"/>
              </w:rPr>
            </w:pPr>
            <w:r>
              <w:rPr>
                <w:rFonts w:ascii="宋体"/>
                <w:sz w:val="18"/>
              </w:rPr>
              <w:t>73,680,000</w:t>
            </w:r>
          </w:p>
        </w:tc>
      </w:tr>
      <w:tr>
        <w:trPr>
          <w:trHeight w:val="715"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全国社保基金四 一五组合</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1.96%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5,287,266</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5,287,266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5,287,266</w:t>
            </w: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123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宋体" w:hAnsi="宋体" w:cs="宋体" w:eastAsia="宋体" w:hint="default"/>
                <w:sz w:val="18"/>
                <w:szCs w:val="18"/>
              </w:rPr>
            </w:pPr>
            <w:r>
              <w:rPr>
                <w:rFonts w:ascii="宋体"/>
                <w:sz w:val="18"/>
              </w:rPr>
              <w:t>1.56%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4,222,200</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3,166,650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1,055,550</w:t>
            </w: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1234" w:type="dxa"/>
            <w:gridSpan w:val="2"/>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兴证证券资管</w:t>
            </w:r>
            <w:r>
              <w:rPr>
                <w:rFonts w:ascii="宋体" w:hAnsi="宋体" w:cs="宋体" w:eastAsia="宋体" w:hint="default"/>
                <w:sz w:val="18"/>
                <w:szCs w:val="18"/>
              </w:rPr>
              <w:t>- </w:t>
            </w:r>
            <w:r>
              <w:rPr>
                <w:rFonts w:ascii="宋体" w:hAnsi="宋体" w:cs="宋体" w:eastAsia="宋体" w:hint="default"/>
                <w:sz w:val="18"/>
                <w:szCs w:val="18"/>
              </w:rPr>
              <w:t>浦发银行</w:t>
            </w:r>
            <w:r>
              <w:rPr>
                <w:rFonts w:ascii="宋体" w:hAnsi="宋体" w:cs="宋体" w:eastAsia="宋体" w:hint="default"/>
                <w:sz w:val="18"/>
                <w:szCs w:val="18"/>
              </w:rPr>
              <w:t>-</w:t>
            </w:r>
            <w:r>
              <w:rPr>
                <w:rFonts w:ascii="宋体" w:hAnsi="宋体" w:cs="宋体" w:eastAsia="宋体" w:hint="default"/>
                <w:sz w:val="18"/>
                <w:szCs w:val="18"/>
              </w:rPr>
              <w:t>兴证 资管鑫众</w:t>
            </w:r>
            <w:r>
              <w:rPr>
                <w:rFonts w:ascii="宋体" w:hAnsi="宋体" w:cs="宋体" w:eastAsia="宋体" w:hint="default"/>
                <w:sz w:val="18"/>
                <w:szCs w:val="18"/>
              </w:rPr>
              <w:t>-</w:t>
            </w:r>
            <w:r>
              <w:rPr>
                <w:rFonts w:ascii="宋体" w:hAnsi="宋体" w:cs="宋体" w:eastAsia="宋体" w:hint="default"/>
                <w:sz w:val="18"/>
                <w:szCs w:val="18"/>
              </w:rPr>
              <w:t>北信 源</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号集合资产 管理计划</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z w:val="18"/>
              </w:rPr>
              <w:t>1.29%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3,485,991</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3,485,991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3,485,991</w:t>
            </w: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123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0"/>
        <w:rPr>
          <w:rFonts w:ascii="宋体" w:hAnsi="宋体" w:cs="宋体" w:eastAsia="宋体" w:hint="default"/>
          <w:sz w:val="20"/>
          <w:szCs w:val="20"/>
        </w:rPr>
      </w:pPr>
      <w:r>
        <w:rPr/>
        <w:pict>
          <v:shape style="position:absolute;margin-left:54.959999pt;margin-top:71.999985pt;width:485.65pt;height:690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5"/>
                    <w:gridCol w:w="1265"/>
                    <w:gridCol w:w="713"/>
                    <w:gridCol w:w="1046"/>
                    <w:gridCol w:w="956"/>
                    <w:gridCol w:w="955"/>
                    <w:gridCol w:w="958"/>
                    <w:gridCol w:w="1186"/>
                    <w:gridCol w:w="1234"/>
                  </w:tblGrid>
                  <w:tr>
                    <w:trPr>
                      <w:trHeight w:val="71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浙江天越创业投 资有限公司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3,070,471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-5,432,858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3,070,471</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中国建设银行股 份有限公司</w:t>
                        </w:r>
                        <w:r>
                          <w:rPr>
                            <w:rFonts w:ascii="宋体" w:hAnsi="宋体" w:cs="宋体" w:eastAsia="宋体" w:hint="default"/>
                            <w:sz w:val="18"/>
                            <w:szCs w:val="18"/>
                          </w:rPr>
                          <w:t>-</w:t>
                        </w:r>
                        <w:r>
                          <w:rPr>
                            <w:rFonts w:ascii="宋体" w:hAnsi="宋体" w:cs="宋体" w:eastAsia="宋体" w:hint="default"/>
                            <w:sz w:val="18"/>
                            <w:szCs w:val="18"/>
                          </w:rPr>
                          <w:t>易 方达创新驱动灵 活配置混合型证 券投资基金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2,742,276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sz w:val="18"/>
                          </w:rPr>
                          <w:t>2,742,276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2,742,276</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中国工商银行股 份有限公司</w:t>
                        </w:r>
                        <w:r>
                          <w:rPr>
                            <w:rFonts w:ascii="宋体" w:hAnsi="宋体" w:cs="宋体" w:eastAsia="宋体" w:hint="default"/>
                            <w:sz w:val="18"/>
                            <w:szCs w:val="18"/>
                          </w:rPr>
                          <w:t>-</w:t>
                        </w:r>
                        <w:r>
                          <w:rPr>
                            <w:rFonts w:ascii="宋体" w:hAnsi="宋体" w:cs="宋体" w:eastAsia="宋体" w:hint="default"/>
                            <w:sz w:val="18"/>
                            <w:szCs w:val="18"/>
                          </w:rPr>
                          <w:t>广 发行业领先混合 型证券投资基金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2,643,283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4"/>
                          <w:jc w:val="center"/>
                          <w:rPr>
                            <w:rFonts w:ascii="宋体" w:hAnsi="宋体" w:cs="宋体" w:eastAsia="宋体" w:hint="default"/>
                            <w:sz w:val="18"/>
                            <w:szCs w:val="18"/>
                          </w:rPr>
                        </w:pPr>
                        <w:r>
                          <w:rPr>
                            <w:rFonts w:ascii="宋体"/>
                            <w:sz w:val="18"/>
                          </w:rPr>
                          <w:t>2,643,283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2,643,283</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太平人寿保险有 限公司－分红－ 团险分红</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0.86%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pacing w:val="-1"/>
                            <w:sz w:val="18"/>
                          </w:rPr>
                          <w:t>2,319,848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4"/>
                          <w:jc w:val="center"/>
                          <w:rPr>
                            <w:rFonts w:ascii="宋体" w:hAnsi="宋体" w:cs="宋体" w:eastAsia="宋体" w:hint="default"/>
                            <w:sz w:val="18"/>
                            <w:szCs w:val="18"/>
                          </w:rPr>
                        </w:pPr>
                        <w:r>
                          <w:rPr>
                            <w:rFonts w:ascii="宋体"/>
                            <w:sz w:val="18"/>
                          </w:rPr>
                          <w:t>2,319,848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2,319,848</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both"/>
                          <w:rPr>
                            <w:rFonts w:ascii="宋体" w:hAnsi="宋体" w:cs="宋体" w:eastAsia="宋体" w:hint="default"/>
                            <w:sz w:val="18"/>
                            <w:szCs w:val="18"/>
                          </w:rPr>
                        </w:pPr>
                        <w:r>
                          <w:rPr>
                            <w:rFonts w:ascii="宋体" w:hAnsi="宋体" w:cs="宋体" w:eastAsia="宋体" w:hint="default"/>
                            <w:sz w:val="18"/>
                            <w:szCs w:val="18"/>
                          </w:rPr>
                          <w:t>中国工商银行－ 诺安平衡证券投 资基金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1,999,972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center"/>
                          <w:rPr>
                            <w:rFonts w:ascii="宋体" w:hAnsi="宋体" w:cs="宋体" w:eastAsia="宋体" w:hint="default"/>
                            <w:sz w:val="18"/>
                            <w:szCs w:val="18"/>
                          </w:rPr>
                        </w:pPr>
                        <w:r>
                          <w:rPr>
                            <w:rFonts w:ascii="宋体"/>
                            <w:sz w:val="18"/>
                          </w:rPr>
                          <w:t>1,099,972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1,999,972</w:t>
                        </w:r>
                      </w:p>
                    </w:tc>
                    <w:tc>
                      <w:tcPr>
                        <w:tcW w:w="11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1,520,857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宋体"/>
                            <w:sz w:val="18"/>
                          </w:rPr>
                          <w:t>1,520,857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1,520,857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1,100,000</w:t>
                        </w:r>
                      </w:p>
                    </w:tc>
                  </w:tr>
                  <w:tr>
                    <w:trPr>
                      <w:trHeight w:val="1025" w:hRule="exact"/>
                    </w:trPr>
                    <w:tc>
                      <w:tcPr>
                        <w:tcW w:w="26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名股东的情况</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713"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46" w:type="dxa"/>
                        <w:tcBorders>
                          <w:top w:val="single" w:sz="4" w:space="0" w:color="000000"/>
                          <w:left w:val="nil" w:sz="6" w:space="0" w:color="auto"/>
                          <w:bottom w:val="single" w:sz="4" w:space="0" w:color="000000"/>
                          <w:right w:val="nil" w:sz="6" w:space="0" w:color="auto"/>
                        </w:tcBorders>
                      </w:tcPr>
                      <w:p>
                        <w:pPr/>
                      </w:p>
                    </w:tc>
                    <w:tc>
                      <w:tcPr>
                        <w:tcW w:w="956" w:type="dxa"/>
                        <w:tcBorders>
                          <w:top w:val="single" w:sz="4" w:space="0" w:color="000000"/>
                          <w:left w:val="nil" w:sz="6" w:space="0" w:color="auto"/>
                          <w:bottom w:val="single" w:sz="4" w:space="0" w:color="000000"/>
                          <w:right w:val="nil" w:sz="6" w:space="0" w:color="auto"/>
                        </w:tcBorders>
                      </w:tcPr>
                      <w:p>
                        <w:pPr/>
                      </w:p>
                    </w:tc>
                    <w:tc>
                      <w:tcPr>
                        <w:tcW w:w="955"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1186" w:type="dxa"/>
                        <w:tcBorders>
                          <w:top w:val="single" w:sz="4" w:space="0" w:color="000000"/>
                          <w:left w:val="nil" w:sz="6" w:space="0" w:color="auto"/>
                          <w:bottom w:val="single" w:sz="4" w:space="0" w:color="000000"/>
                          <w:right w:val="nil" w:sz="6" w:space="0" w:color="auto"/>
                        </w:tcBorders>
                      </w:tcPr>
                      <w:p>
                        <w:pPr/>
                      </w:p>
                    </w:tc>
                    <w:tc>
                      <w:tcPr>
                        <w:tcW w:w="1234" w:type="dxa"/>
                        <w:tcBorders>
                          <w:top w:val="single" w:sz="4" w:space="0" w:color="000000"/>
                          <w:left w:val="nil" w:sz="6" w:space="0" w:color="auto"/>
                          <w:bottom w:val="single" w:sz="4" w:space="0" w:color="000000"/>
                          <w:right w:val="single" w:sz="4" w:space="0" w:color="000000"/>
                        </w:tcBorders>
                      </w:tcPr>
                      <w:p>
                        <w:pPr/>
                      </w:p>
                    </w:tc>
                  </w:tr>
                  <w:tr>
                    <w:trPr>
                      <w:trHeight w:val="163" w:hRule="exact"/>
                    </w:trPr>
                    <w:tc>
                      <w:tcPr>
                        <w:tcW w:w="265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48" w:type="dxa"/>
                        <w:gridSpan w:val="7"/>
                        <w:vMerge w:val="restart"/>
                        <w:tcBorders>
                          <w:top w:val="single" w:sz="4" w:space="0" w:color="000000"/>
                          <w:left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pacing w:val="-4"/>
                            <w:sz w:val="18"/>
                            <w:szCs w:val="18"/>
                          </w:rPr>
                          <w:t>本公司发起人股东之间不存在关联系，也不属于《上市收购管理办法》规定的一致行动人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1"/>
                            <w:sz w:val="18"/>
                            <w:szCs w:val="18"/>
                          </w:rPr>
                          <w:t>未知其他股东之间是否存在关联关系，也未知是否属于《上市收购管理办法》规定的一致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行动人。</w:t>
                        </w:r>
                      </w:p>
                    </w:tc>
                  </w:tr>
                  <w:tr>
                    <w:trPr>
                      <w:trHeight w:val="703" w:hRule="exact"/>
                    </w:trPr>
                    <w:tc>
                      <w:tcPr>
                        <w:tcW w:w="265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048" w:type="dxa"/>
                        <w:gridSpan w:val="7"/>
                        <w:vMerge/>
                        <w:tcBorders>
                          <w:left w:val="single" w:sz="4" w:space="0" w:color="000000"/>
                          <w:right w:val="single" w:sz="4" w:space="0" w:color="000000"/>
                        </w:tcBorders>
                      </w:tcPr>
                      <w:p>
                        <w:pPr/>
                      </w:p>
                    </w:tc>
                  </w:tr>
                  <w:tr>
                    <w:trPr>
                      <w:trHeight w:val="161" w:hRule="exact"/>
                    </w:trPr>
                    <w:tc>
                      <w:tcPr>
                        <w:tcW w:w="265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48" w:type="dxa"/>
                        <w:gridSpan w:val="7"/>
                        <w:vMerge/>
                        <w:tcBorders>
                          <w:left w:val="single" w:sz="4" w:space="0" w:color="000000"/>
                          <w:bottom w:val="single" w:sz="4" w:space="0" w:color="000000"/>
                          <w:right w:val="single" w:sz="4" w:space="0" w:color="000000"/>
                        </w:tcBorders>
                      </w:tcPr>
                      <w:p>
                        <w:pPr/>
                      </w:p>
                    </w:tc>
                  </w:tr>
                  <w:tr>
                    <w:trPr>
                      <w:trHeight w:val="402" w:hRule="exact"/>
                    </w:trPr>
                    <w:tc>
                      <w:tcPr>
                        <w:tcW w:w="969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205" w:hRule="exact"/>
                    </w:trPr>
                    <w:tc>
                      <w:tcPr>
                        <w:tcW w:w="265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62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4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65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2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20"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50" w:type="dxa"/>
                        <w:gridSpan w:val="2"/>
                        <w:vMerge/>
                        <w:tcBorders>
                          <w:left w:val="single" w:sz="4" w:space="0" w:color="000000"/>
                          <w:bottom w:val="nil" w:sz="6" w:space="0" w:color="auto"/>
                          <w:right w:val="single" w:sz="4" w:space="0" w:color="000000"/>
                        </w:tcBorders>
                        <w:shd w:val="clear" w:color="auto" w:fill="D2D2D2"/>
                      </w:tcPr>
                      <w:p>
                        <w:pPr/>
                      </w:p>
                    </w:tc>
                    <w:tc>
                      <w:tcPr>
                        <w:tcW w:w="4628" w:type="dxa"/>
                        <w:gridSpan w:val="5"/>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65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62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3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46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32,625,000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32,625,000</w:t>
                        </w:r>
                      </w:p>
                    </w:tc>
                  </w:tr>
                  <w:tr>
                    <w:trPr>
                      <w:trHeight w:val="401" w:hRule="exact"/>
                    </w:trPr>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全国社保基金四一五组合</w:t>
                        </w:r>
                      </w:p>
                    </w:tc>
                    <w:tc>
                      <w:tcPr>
                        <w:tcW w:w="46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5,287,266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5,287,266</w:t>
                        </w:r>
                      </w:p>
                    </w:tc>
                  </w:tr>
                  <w:tr>
                    <w:trPr>
                      <w:trHeight w:val="1027" w:hRule="exact"/>
                    </w:trPr>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3"/>
                          <w:jc w:val="both"/>
                          <w:rPr>
                            <w:rFonts w:ascii="宋体" w:hAnsi="宋体" w:cs="宋体" w:eastAsia="宋体" w:hint="default"/>
                            <w:sz w:val="18"/>
                            <w:szCs w:val="18"/>
                          </w:rPr>
                        </w:pPr>
                        <w:r>
                          <w:rPr>
                            <w:rFonts w:ascii="宋体" w:hAnsi="宋体" w:cs="宋体" w:eastAsia="宋体" w:hint="default"/>
                            <w:sz w:val="18"/>
                            <w:szCs w:val="18"/>
                          </w:rPr>
                          <w:t>兴证证券资管－浦发银行－兴证 资管鑫众－北信源</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号集合资产 管理计划</w:t>
                        </w:r>
                      </w:p>
                    </w:tc>
                    <w:tc>
                      <w:tcPr>
                        <w:tcW w:w="46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3,485,991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3,485,991</w:t>
                        </w:r>
                      </w:p>
                    </w:tc>
                  </w:tr>
                  <w:tr>
                    <w:trPr>
                      <w:trHeight w:val="401" w:hRule="exact"/>
                    </w:trPr>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浙江天越创业投资有限公司</w:t>
                        </w:r>
                      </w:p>
                    </w:tc>
                    <w:tc>
                      <w:tcPr>
                        <w:tcW w:w="46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3,070,471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3,070,471</w:t>
                        </w:r>
                      </w:p>
                    </w:tc>
                  </w:tr>
                  <w:tr>
                    <w:trPr>
                      <w:trHeight w:val="1027" w:hRule="exact"/>
                    </w:trPr>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中国建设银行股份有限公司－易 方达创新驱动灵活配置混合型证 券投资基金</w:t>
                        </w:r>
                      </w:p>
                    </w:tc>
                    <w:tc>
                      <w:tcPr>
                        <w:tcW w:w="46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2,742,276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2,742,276</w:t>
                        </w:r>
                      </w:p>
                    </w:tc>
                  </w:tr>
                  <w:tr>
                    <w:trPr>
                      <w:trHeight w:val="713" w:hRule="exact"/>
                    </w:trPr>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中国工商银行股份有限公司－广 发行业领先混合型证券投资基金</w:t>
                        </w:r>
                      </w:p>
                    </w:tc>
                    <w:tc>
                      <w:tcPr>
                        <w:tcW w:w="46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2,643,283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2,643,283</w:t>
                        </w:r>
                      </w:p>
                    </w:tc>
                  </w:tr>
                  <w:tr>
                    <w:trPr>
                      <w:trHeight w:val="403" w:hRule="exact"/>
                    </w:trPr>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太平人寿保险有限公司－分红－</w:t>
                        </w:r>
                      </w:p>
                    </w:tc>
                    <w:tc>
                      <w:tcPr>
                        <w:tcW w:w="46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2,319,848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2,319,848</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312" w:lineRule="exact"/>
        <w:ind w:left="278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51.8pt;height:15.6pt;mso-position-horizontal-relative:char;mso-position-vertical-relative:line" coordorigin="0,0" coordsize="7036,312">
            <v:group style="position:absolute;left:0;top:0;width:7036;height:312" coordorigin="0,0" coordsize="7036,312">
              <v:shape style="position:absolute;left:0;top:0;width:7036;height:312" coordorigin="0,0" coordsize="7036,312" path="m0,312l7036,312,703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12"/>
        <w:rPr>
          <w:rFonts w:ascii="宋体" w:hAnsi="宋体" w:cs="宋体" w:eastAsia="宋体" w:hint="default"/>
          <w:sz w:val="29"/>
          <w:szCs w:val="29"/>
        </w:rPr>
      </w:pPr>
    </w:p>
    <w:p>
      <w:pPr>
        <w:spacing w:line="312" w:lineRule="exact"/>
        <w:ind w:left="278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51.8pt;height:15.6pt;mso-position-horizontal-relative:char;mso-position-vertical-relative:line" coordorigin="0,0" coordsize="7036,312">
            <v:group style="position:absolute;left:0;top:0;width:7036;height:312" coordorigin="0,0" coordsize="7036,312">
              <v:shape style="position:absolute;left:0;top:0;width:7036;height:312" coordorigin="0,0" coordsize="7036,312" path="m0,312l7036,312,7036,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40" w:lineRule="auto" w:before="61"/>
        <w:ind w:left="0" w:right="104"/>
        <w:jc w:val="right"/>
      </w:pPr>
      <w:r>
        <w:rPr/>
        <w:pict>
          <v:shape style="position:absolute;margin-left:154.817001pt;margin-top:-50.78228pt;width:385.05pt;height:50.8pt;mso-position-horizontal-relative:page;mso-position-vertical-relative:paragraph;z-index:-7545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（如有）</w:t>
                  </w:r>
                </w:p>
              </w:txbxContent>
            </v:textbox>
            <w10:wrap type="none"/>
          </v:shape>
        </w:pict>
      </w:r>
      <w:r>
        <w:rPr/>
        <w:t>；</w:t>
      </w:r>
    </w:p>
    <w:p>
      <w:pPr>
        <w:spacing w:after="0" w:line="240" w:lineRule="auto"/>
        <w:jc w:val="right"/>
        <w:sectPr>
          <w:pgSz w:w="11910" w:h="16840"/>
          <w:pgMar w:header="781" w:footer="979" w:top="108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04"/>
        <w:jc w:val="right"/>
      </w:pPr>
      <w:r>
        <w:rPr/>
        <w:pict>
          <v:shape style="position:absolute;margin-left:54.959999pt;margin-top:-135.908279pt;width:485.65pt;height:228.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0"/>
                    <w:gridCol w:w="4628"/>
                    <w:gridCol w:w="1186"/>
                    <w:gridCol w:w="1234"/>
                  </w:tblGrid>
                  <w:tr>
                    <w:trPr>
                      <w:trHeight w:val="36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团险分红</w:t>
                        </w:r>
                      </w:p>
                    </w:tc>
                    <w:tc>
                      <w:tcPr>
                        <w:tcW w:w="462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中国工商银行－诺安平衡证券投 资基金</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1,999,972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1,999,972</w:t>
                        </w:r>
                      </w:p>
                    </w:tc>
                  </w:tr>
                  <w:tr>
                    <w:trPr>
                      <w:trHeight w:val="1027"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中国建设银行股份有限公司－华 宝兴业服务优选混合型证券投资 基金</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1,491,645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1,491,645</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孙燕琪</w:t>
                        </w:r>
                      </w:p>
                    </w:tc>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1,470,000</w:t>
                        </w:r>
                      </w:p>
                    </w:tc>
                  </w:tr>
                  <w:tr>
                    <w:trPr>
                      <w:trHeight w:val="1340"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名无限售流通股股东之间，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名无限售流通股股东和</w:t>
                        </w:r>
                      </w:p>
                      <w:p>
                        <w:pPr>
                          <w:pStyle w:val="TableParagraph"/>
                          <w:spacing w:line="319" w:lineRule="auto" w:before="76"/>
                          <w:ind w:left="24"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6"/>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名股东之间关联关系或一致 行动的说明</w:t>
                        </w:r>
                      </w:p>
                    </w:tc>
                    <w:tc>
                      <w:tcPr>
                        <w:tcW w:w="70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pacing w:val="-4"/>
                            <w:sz w:val="18"/>
                            <w:szCs w:val="18"/>
                          </w:rPr>
                          <w:t>本公司发起人股东之间不存在关联系，也不属于《上市收购管理办法》规定的一致行动人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1"/>
                            <w:sz w:val="18"/>
                            <w:szCs w:val="18"/>
                          </w:rPr>
                          <w:t>未知其他股东之间是否存在关联关系，也未知是否属于《上市收购管理办法》规定的一致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行动人。</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宋体" w:hAnsi="宋体" w:cs="宋体" w:eastAsia="宋体" w:hint="default"/>
                            <w:spacing w:val="1"/>
                            <w:sz w:val="18"/>
                            <w:szCs w:val="18"/>
                          </w:rPr>
                          <w:t>5</w:t>
                        </w:r>
                        <w:r>
                          <w:rPr>
                            <w:rFonts w:ascii="宋体" w:hAnsi="宋体" w:cs="宋体" w:eastAsia="宋体" w:hint="default"/>
                            <w:sz w:val="18"/>
                            <w:szCs w:val="18"/>
                          </w:rPr>
                          <w:t>）</w:t>
                        </w:r>
                      </w:p>
                    </w:tc>
                    <w:tc>
                      <w:tcPr>
                        <w:tcW w:w="70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44"/>
        <w:ind w:right="102"/>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7"/>
        <w:ind w:right="102"/>
        <w:jc w:val="left"/>
      </w:pPr>
      <w:r>
        <w:rPr/>
        <w:t>□ 是 √</w:t>
      </w:r>
      <w:r>
        <w:rPr>
          <w:spacing w:val="3"/>
        </w:rPr>
        <w:t> </w:t>
      </w:r>
      <w:r>
        <w:rPr/>
        <w:t>否</w:t>
      </w:r>
    </w:p>
    <w:p>
      <w:pPr>
        <w:pStyle w:val="BodyText"/>
        <w:spacing w:line="240" w:lineRule="auto" w:before="115"/>
        <w:ind w:right="102"/>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7"/>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1"/>
        <w:rPr>
          <w:rFonts w:ascii="宋体" w:hAnsi="宋体" w:cs="宋体" w:eastAsia="宋体" w:hint="default"/>
          <w:sz w:val="22"/>
          <w:szCs w:val="22"/>
        </w:rPr>
      </w:pPr>
    </w:p>
    <w:p>
      <w:pPr>
        <w:pStyle w:val="Heading3"/>
        <w:spacing w:line="240" w:lineRule="auto"/>
        <w:ind w:right="10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654"/>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林皓</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1"/>
                <w:sz w:val="18"/>
                <w:szCs w:val="18"/>
              </w:rPr>
              <w:t>林皓先生，中国籍无境外永久居留权，现任公司董事长兼总经理，作为资深信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息安全技术专家，林皓先生荣获“</w:t>
            </w:r>
            <w:r>
              <w:rPr>
                <w:rFonts w:ascii="宋体" w:hAnsi="宋体" w:cs="宋体" w:eastAsia="宋体" w:hint="default"/>
                <w:sz w:val="18"/>
                <w:szCs w:val="18"/>
              </w:rPr>
              <w:t>2015</w:t>
            </w:r>
            <w:r>
              <w:rPr>
                <w:rFonts w:ascii="宋体" w:hAnsi="宋体" w:cs="宋体" w:eastAsia="宋体" w:hint="default"/>
                <w:spacing w:val="-38"/>
                <w:sz w:val="18"/>
                <w:szCs w:val="18"/>
              </w:rPr>
              <w:t> </w:t>
            </w:r>
            <w:r>
              <w:rPr>
                <w:rFonts w:ascii="宋体" w:hAnsi="宋体" w:cs="宋体" w:eastAsia="宋体" w:hint="default"/>
                <w:spacing w:val="-9"/>
                <w:sz w:val="18"/>
                <w:szCs w:val="18"/>
              </w:rPr>
              <w:t>中国信息化领军人物”。</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02"/>
        <w:jc w:val="left"/>
      </w:pPr>
      <w:r>
        <w:rPr/>
        <w:t>控股股东报告期内变更</w:t>
      </w:r>
    </w:p>
    <w:p>
      <w:pPr>
        <w:pStyle w:val="BodyText"/>
        <w:spacing w:line="360" w:lineRule="auto" w:before="115"/>
        <w:ind w:right="7114"/>
        <w:jc w:val="left"/>
      </w:pPr>
      <w:r>
        <w:rPr/>
        <w:t>□ 适用 √</w:t>
      </w:r>
      <w:r>
        <w:rPr>
          <w:spacing w:val="3"/>
        </w:rPr>
        <w:t> </w:t>
      </w:r>
      <w:r>
        <w:rPr/>
        <w:t>不适用</w:t>
      </w:r>
      <w:r>
        <w:rPr/>
        <w:t> 公司报告期控股股东未发生变更。</w:t>
      </w:r>
    </w:p>
    <w:p>
      <w:pPr>
        <w:spacing w:line="240" w:lineRule="auto" w:before="0"/>
        <w:rPr>
          <w:rFonts w:ascii="宋体" w:hAnsi="宋体" w:cs="宋体" w:eastAsia="宋体" w:hint="default"/>
          <w:sz w:val="15"/>
          <w:szCs w:val="15"/>
        </w:rPr>
      </w:pPr>
    </w:p>
    <w:p>
      <w:pPr>
        <w:pStyle w:val="Heading3"/>
        <w:spacing w:line="240" w:lineRule="auto"/>
        <w:ind w:right="10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47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7"/>
        <w:gridCol w:w="2122"/>
        <w:gridCol w:w="4121"/>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林皓</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林皓先生，中国籍无境外永久居留权，现任公司董事长兼总经理，作为资深信 息安全技术专家，林皓先生荣获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中国信息化领军人物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314" w:lineRule="auto"/>
        <w:jc w:val="left"/>
        <w:rPr>
          <w:rFonts w:ascii="宋体" w:hAnsi="宋体" w:cs="宋体" w:eastAsia="宋体" w:hint="default"/>
          <w:sz w:val="18"/>
          <w:szCs w:val="18"/>
        </w:rPr>
        <w:sectPr>
          <w:pgSz w:w="11910" w:h="16840"/>
          <w:pgMar w:header="781" w:footer="979" w:top="1080" w:bottom="1160" w:left="980" w:right="940"/>
        </w:sectPr>
      </w:pPr>
    </w:p>
    <w:p>
      <w:pPr>
        <w:spacing w:line="240" w:lineRule="auto" w:before="7"/>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326"/>
        <w:gridCol w:w="6243"/>
      </w:tblGrid>
      <w:tr>
        <w:trPr>
          <w:trHeight w:val="298" w:hRule="exact"/>
        </w:trPr>
        <w:tc>
          <w:tcPr>
            <w:tcW w:w="3326" w:type="dxa"/>
            <w:tcBorders>
              <w:top w:val="single" w:sz="6" w:space="0" w:color="000000"/>
              <w:left w:val="nil" w:sz="6" w:space="0" w:color="auto"/>
              <w:bottom w:val="single" w:sz="4" w:space="0" w:color="000000"/>
              <w:right w:val="nil" w:sz="6" w:space="0" w:color="auto"/>
            </w:tcBorders>
          </w:tcPr>
          <w:p>
            <w:pPr/>
          </w:p>
        </w:tc>
        <w:tc>
          <w:tcPr>
            <w:tcW w:w="6243"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112" w:right="5774"/>
        <w:jc w:val="left"/>
      </w:pPr>
      <w:r>
        <w:rPr/>
        <w:t>实际控制人报告期内变更</w:t>
      </w:r>
    </w:p>
    <w:p>
      <w:pPr>
        <w:pStyle w:val="BodyText"/>
        <w:spacing w:line="357" w:lineRule="auto" w:before="115"/>
        <w:ind w:left="112" w:right="5774"/>
        <w:jc w:val="left"/>
      </w:pPr>
      <w:r>
        <w:rPr/>
        <w:t>□ 适用 √</w:t>
      </w:r>
      <w:r>
        <w:rPr>
          <w:spacing w:val="3"/>
        </w:rPr>
        <w:t> </w:t>
      </w:r>
      <w:r>
        <w:rPr/>
        <w:t>不适用</w:t>
      </w:r>
      <w:r>
        <w:rPr/>
        <w:t> 公司报告期实际控制人未发生变更。 公司与实际控制人之间的产权及控制关系的方框图</w:t>
      </w:r>
    </w:p>
    <w:p>
      <w:pPr>
        <w:spacing w:line="240" w:lineRule="auto" w:before="12"/>
        <w:rPr>
          <w:rFonts w:ascii="宋体" w:hAnsi="宋体" w:cs="宋体" w:eastAsia="宋体" w:hint="default"/>
          <w:sz w:val="19"/>
          <w:szCs w:val="19"/>
        </w:rPr>
      </w:pPr>
    </w:p>
    <w:p>
      <w:pPr>
        <w:spacing w:line="555" w:lineRule="exact"/>
        <w:ind w:left="2010"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20pt;height:27.75pt;mso-position-horizontal-relative:char;mso-position-vertical-relative:line" type="#_x0000_t202" filled="false" stroked="true" strokeweight=".75pt" strokecolor="#000000">
            <w10:anchorlock/>
            <v:textbox inset="0,0,0,0">
              <w:txbxContent>
                <w:p>
                  <w:pPr>
                    <w:pStyle w:val="BodyText"/>
                    <w:spacing w:line="240" w:lineRule="auto" w:before="118"/>
                    <w:ind w:left="0" w:right="108"/>
                    <w:jc w:val="center"/>
                  </w:pPr>
                  <w:r>
                    <w:rPr/>
                    <w:t>林 </w:t>
                  </w:r>
                  <w:r>
                    <w:rPr>
                      <w:spacing w:val="2"/>
                    </w:rPr>
                    <w:t> </w:t>
                  </w:r>
                  <w:r>
                    <w:rPr/>
                    <w:t>皓</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3265" w:right="5774"/>
        <w:jc w:val="left"/>
        <w:rPr>
          <w:rFonts w:ascii="宋体" w:hAnsi="宋体" w:cs="宋体" w:eastAsia="宋体" w:hint="default"/>
        </w:rPr>
      </w:pPr>
      <w:r>
        <w:rPr/>
        <w:pict>
          <v:group style="position:absolute;margin-left:205.589996pt;margin-top:-19.958269pt;width:6pt;height:42.75pt;mso-position-horizontal-relative:page;mso-position-vertical-relative:paragraph;z-index:-754456" coordorigin="4112,-399" coordsize="120,855">
            <v:shape style="position:absolute;left:4112;top:-399;width:120;height:855" coordorigin="4112,-399" coordsize="120,855" path="m4162,336l4112,336,4172,456,4222,356,4162,356,4162,336xe" filled="true" fillcolor="#000000" stroked="false">
              <v:path arrowok="t"/>
              <v:fill type="solid"/>
            </v:shape>
            <v:shape style="position:absolute;left:4112;top:-399;width:120;height:855" coordorigin="4112,-399" coordsize="120,855" path="m4182,336l4162,336,4162,356,4182,356,4182,336xe" filled="true" fillcolor="#000000" stroked="false">
              <v:path arrowok="t"/>
              <v:fill type="solid"/>
            </v:shape>
            <v:shape style="position:absolute;left:4112;top:-399;width:120;height:855" coordorigin="4112,-399" coordsize="120,855" path="m4232,336l4182,336,4182,356,4222,356,4232,336xe" filled="true" fillcolor="#000000" stroked="false">
              <v:path arrowok="t"/>
              <v:fill type="solid"/>
            </v:shape>
            <v:shape style="position:absolute;left:4112;top:-399;width:120;height:855" coordorigin="4112,-399" coordsize="120,855" path="m4180,-399l4160,-399,4162,336,4182,336,4180,-399xe" filled="true" fillcolor="#000000" stroked="false">
              <v:path arrowok="t"/>
              <v:fill type="solid"/>
            </v:shape>
            <w10:wrap type="none"/>
          </v:group>
        </w:pict>
      </w:r>
      <w:r>
        <w:rPr>
          <w:rFonts w:ascii="宋体"/>
        </w:rPr>
        <w:t>48.29%</w:t>
      </w:r>
    </w:p>
    <w:p>
      <w:pPr>
        <w:spacing w:line="240" w:lineRule="auto" w:before="9"/>
        <w:rPr>
          <w:rFonts w:ascii="宋体" w:hAnsi="宋体" w:cs="宋体" w:eastAsia="宋体" w:hint="default"/>
          <w:sz w:val="23"/>
          <w:szCs w:val="23"/>
        </w:rPr>
      </w:pPr>
    </w:p>
    <w:p>
      <w:pPr>
        <w:spacing w:line="525" w:lineRule="exact"/>
        <w:ind w:left="1410"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76.25pt;height:26.25pt;mso-position-horizontal-relative:char;mso-position-vertical-relative:line" type="#_x0000_t202" filled="false" stroked="true" strokeweight=".75pt" strokecolor="#000000">
            <w10:anchorlock/>
            <v:textbox inset="0,0,0,0">
              <w:txbxContent>
                <w:p>
                  <w:pPr>
                    <w:pStyle w:val="BodyText"/>
                    <w:spacing w:line="240" w:lineRule="auto" w:before="121"/>
                    <w:ind w:left="596" w:right="0"/>
                    <w:jc w:val="left"/>
                  </w:pPr>
                  <w:r>
                    <w:rPr/>
                    <w:t>北京北信源软件股份有限公司</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BodyText"/>
        <w:spacing w:line="240" w:lineRule="auto"/>
        <w:ind w:left="112" w:right="0"/>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left="112" w:right="5774"/>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left="112" w:right="5774"/>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12" w:right="5774"/>
        <w:jc w:val="left"/>
      </w:pPr>
      <w:r>
        <w:rPr/>
        <w:t>□ 适用 √</w:t>
      </w:r>
      <w:r>
        <w:rPr>
          <w:spacing w:val="3"/>
        </w:rPr>
        <w:t> </w:t>
      </w:r>
      <w:r>
        <w:rPr/>
        <w:t>不适用</w:t>
      </w:r>
    </w:p>
    <w:p>
      <w:pPr>
        <w:spacing w:line="240" w:lineRule="auto" w:before="2"/>
        <w:rPr>
          <w:rFonts w:ascii="宋体" w:hAnsi="宋体" w:cs="宋体" w:eastAsia="宋体" w:hint="default"/>
          <w:sz w:val="22"/>
          <w:szCs w:val="22"/>
        </w:rPr>
      </w:pPr>
    </w:p>
    <w:p>
      <w:pPr>
        <w:pStyle w:val="Heading3"/>
        <w:spacing w:line="240" w:lineRule="auto"/>
        <w:ind w:left="112"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112" w:right="5774"/>
        <w:jc w:val="left"/>
      </w:pPr>
      <w:r>
        <w:rPr/>
        <w:t>□ 适用 √</w:t>
      </w:r>
      <w:r>
        <w:rPr>
          <w:spacing w:val="3"/>
        </w:rPr>
        <w:t> </w:t>
      </w:r>
      <w:r>
        <w:rPr/>
        <w:t>不适用</w:t>
      </w:r>
    </w:p>
    <w:p>
      <w:pPr>
        <w:spacing w:after="0" w:line="240" w:lineRule="auto"/>
        <w:jc w:val="left"/>
        <w:sectPr>
          <w:pgSz w:w="11910" w:h="16840"/>
          <w:pgMar w:header="781" w:footer="979" w:top="1080" w:bottom="1160" w:left="1020" w:right="1020"/>
        </w:sectPr>
      </w:pPr>
    </w:p>
    <w:p>
      <w:pPr>
        <w:spacing w:line="240" w:lineRule="auto" w:before="7"/>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68"/>
        <w:ind w:left="3285" w:right="3012"/>
        <w:jc w:val="left"/>
        <w:rPr>
          <w:b w:val="0"/>
          <w:bCs w:val="0"/>
        </w:rPr>
      </w:pPr>
      <w:bookmarkStart w:name="_TOC_250004" w:id="5"/>
      <w:r>
        <w:rPr/>
        <w:t>第七节 </w:t>
      </w:r>
      <w:r>
        <w:rPr>
          <w:spacing w:val="8"/>
        </w:rPr>
        <w:t> </w:t>
      </w:r>
      <w:r>
        <w:rPr/>
        <w:t>优先股相关情况</w:t>
      </w:r>
      <w:bookmarkEnd w:id="5"/>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57" w:lineRule="auto" w:before="44"/>
        <w:ind w:right="7614"/>
        <w:jc w:val="left"/>
      </w:pPr>
      <w:r>
        <w:rPr/>
        <w:t>□ 适用 √</w:t>
      </w:r>
      <w:r>
        <w:rPr>
          <w:spacing w:val="3"/>
        </w:rPr>
        <w:t> </w:t>
      </w:r>
      <w:r>
        <w:rPr/>
        <w:t>不适用</w:t>
      </w:r>
      <w:r>
        <w:rPr/>
        <w:t> 报告期公司不存在优先股。</w:t>
      </w:r>
    </w:p>
    <w:p>
      <w:pPr>
        <w:spacing w:after="0" w:line="357" w:lineRule="auto"/>
        <w:jc w:val="left"/>
        <w:sectPr>
          <w:pgSz w:w="11910" w:h="16840"/>
          <w:pgMar w:header="781" w:footer="979"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456" w:lineRule="exact"/>
        <w:ind w:left="1679" w:right="0"/>
        <w:jc w:val="left"/>
        <w:rPr>
          <w:b w:val="0"/>
          <w:bCs w:val="0"/>
        </w:rPr>
      </w:pPr>
      <w:bookmarkStart w:name="_TOC_250003" w:id="6"/>
      <w:r>
        <w:rPr/>
        <w:t>第八节 </w:t>
      </w:r>
      <w:r>
        <w:rPr>
          <w:spacing w:val="18"/>
        </w:rPr>
        <w:t> </w:t>
      </w:r>
      <w:r>
        <w:rPr/>
        <w:t>董事、监事、高级管理人员和员工情况</w:t>
      </w:r>
      <w:bookmarkEnd w:id="6"/>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3012"/>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19" w:type="dxa"/>
        <w:tblLayout w:type="fixed"/>
        <w:tblCellMar>
          <w:top w:w="0" w:type="dxa"/>
          <w:left w:w="0" w:type="dxa"/>
          <w:bottom w:w="0" w:type="dxa"/>
          <w:right w:w="0" w:type="dxa"/>
        </w:tblCellMar>
        <w:tblLook w:val="01E0"/>
      </w:tblPr>
      <w:tblGrid>
        <w:gridCol w:w="759"/>
        <w:gridCol w:w="758"/>
        <w:gridCol w:w="758"/>
        <w:gridCol w:w="759"/>
        <w:gridCol w:w="761"/>
        <w:gridCol w:w="758"/>
        <w:gridCol w:w="764"/>
        <w:gridCol w:w="1046"/>
        <w:gridCol w:w="761"/>
        <w:gridCol w:w="764"/>
        <w:gridCol w:w="761"/>
        <w:gridCol w:w="1049"/>
      </w:tblGrid>
      <w:tr>
        <w:trPr>
          <w:trHeight w:val="1339" w:hRule="exact"/>
        </w:trPr>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85" w:right="10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105" w:right="10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0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6"/>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0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林皓</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董事长 兼总经 理</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130,500,000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130,500,000</w:t>
            </w:r>
          </w:p>
        </w:tc>
      </w:tr>
      <w:tr>
        <w:trPr>
          <w:trHeight w:val="1027"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杨杰</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董事兼 副总经 理</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52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600,000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600,000</w:t>
            </w: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胡建斌</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45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125,007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375,020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500,027</w:t>
            </w:r>
          </w:p>
        </w:tc>
      </w:tr>
      <w:tr>
        <w:trPr>
          <w:trHeight w:val="1028"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高曦</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董事兼 副总经 理</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39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533,400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533,400</w:t>
            </w: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赵战生</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85" w:right="101"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77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1027"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李涛</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85" w:right="101"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55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杨成铭</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85" w:right="101"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54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1027"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王晓娜</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85" w:right="101"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41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杨维</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85" w:right="101" w:hanging="180"/>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42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966,600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966,600</w:t>
            </w:r>
          </w:p>
        </w:tc>
      </w:tr>
      <w:tr>
        <w:trPr>
          <w:trHeight w:val="1340"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李旭</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副总经 理兼董 事会秘 书</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sz w:val="18"/>
              </w:rPr>
              <w:t>32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80"/>
        </w:sectPr>
      </w:pPr>
    </w:p>
    <w:p>
      <w:pPr>
        <w:spacing w:line="240" w:lineRule="auto" w:before="16"/>
        <w:rPr>
          <w:rFonts w:ascii="Microsoft JhengHei" w:hAnsi="Microsoft JhengHei" w:cs="Microsoft JhengHei" w:eastAsia="Microsoft JhengHei" w:hint="default"/>
          <w:b/>
          <w:bCs/>
          <w:sz w:val="19"/>
          <w:szCs w:val="19"/>
        </w:rPr>
      </w:pPr>
    </w:p>
    <w:tbl>
      <w:tblPr>
        <w:tblW w:w="0" w:type="auto"/>
        <w:jc w:val="left"/>
        <w:tblInd w:w="119" w:type="dxa"/>
        <w:tblLayout w:type="fixed"/>
        <w:tblCellMar>
          <w:top w:w="0" w:type="dxa"/>
          <w:left w:w="0" w:type="dxa"/>
          <w:bottom w:w="0" w:type="dxa"/>
          <w:right w:w="0" w:type="dxa"/>
        </w:tblCellMar>
        <w:tblLook w:val="01E0"/>
      </w:tblPr>
      <w:tblGrid>
        <w:gridCol w:w="759"/>
        <w:gridCol w:w="758"/>
        <w:gridCol w:w="758"/>
        <w:gridCol w:w="759"/>
        <w:gridCol w:w="761"/>
        <w:gridCol w:w="758"/>
        <w:gridCol w:w="764"/>
        <w:gridCol w:w="1046"/>
        <w:gridCol w:w="761"/>
        <w:gridCol w:w="764"/>
        <w:gridCol w:w="761"/>
        <w:gridCol w:w="1049"/>
      </w:tblGrid>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马承栋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194" w:right="101" w:hanging="89"/>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38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200,000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200,000</w:t>
            </w:r>
          </w:p>
        </w:tc>
      </w:tr>
      <w:tr>
        <w:trPr>
          <w:trHeight w:val="1027"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哈连琴</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52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411,200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411,200</w:t>
            </w: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钟力</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46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1028"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姚颐</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314" w:lineRule="auto"/>
              <w:ind w:left="285" w:right="101"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沈剑飞</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85" w:right="101" w:hanging="180"/>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51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1027"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康伟</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40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尹子健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33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333,400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133,400</w:t>
            </w:r>
          </w:p>
        </w:tc>
      </w:tr>
      <w:tr>
        <w:trPr>
          <w:trHeight w:val="1339"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任佳伟</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1"/>
              <w:jc w:val="center"/>
              <w:rPr>
                <w:rFonts w:ascii="宋体" w:hAnsi="宋体" w:cs="宋体" w:eastAsia="宋体" w:hint="default"/>
                <w:sz w:val="18"/>
                <w:szCs w:val="18"/>
              </w:rPr>
            </w:pPr>
            <w:r>
              <w:rPr>
                <w:rFonts w:ascii="宋体" w:hAnsi="宋体" w:cs="宋体" w:eastAsia="宋体" w:hint="default"/>
                <w:sz w:val="18"/>
                <w:szCs w:val="18"/>
              </w:rPr>
              <w:t>副总经 理兼董 事会秘 书</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sz w:val="18"/>
              </w:rPr>
              <w:t>33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4" w:right="0"/>
              <w:jc w:val="center"/>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1025" w:hRule="exact"/>
        </w:trPr>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李旭</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85" w:right="101" w:hanging="180"/>
              <w:jc w:val="left"/>
              <w:rPr>
                <w:rFonts w:ascii="宋体" w:hAnsi="宋体" w:cs="宋体" w:eastAsia="宋体" w:hint="default"/>
                <w:sz w:val="18"/>
                <w:szCs w:val="18"/>
              </w:rPr>
            </w:pPr>
            <w:r>
              <w:rPr>
                <w:rFonts w:ascii="宋体" w:hAnsi="宋体" w:cs="宋体" w:eastAsia="宋体" w:hint="default"/>
                <w:sz w:val="18"/>
                <w:szCs w:val="18"/>
              </w:rPr>
              <w:t>职工监 事</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32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404" w:hRule="exact"/>
        </w:trPr>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133,669,607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375,020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133,844,627</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3012"/>
        <w:jc w:val="left"/>
        <w:rPr>
          <w:b w:val="0"/>
          <w:bCs w:val="0"/>
        </w:rPr>
      </w:pPr>
      <w:r>
        <w:rPr/>
        <w:t>二、公司董事、监事、高级管理人员变动情况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19" w:type="dxa"/>
        <w:tblLayout w:type="fixed"/>
        <w:tblCellMar>
          <w:top w:w="0" w:type="dxa"/>
          <w:left w:w="0" w:type="dxa"/>
          <w:bottom w:w="0" w:type="dxa"/>
          <w:right w:w="0" w:type="dxa"/>
        </w:tblCellMar>
        <w:tblLook w:val="01E0"/>
      </w:tblPr>
      <w:tblGrid>
        <w:gridCol w:w="1349"/>
        <w:gridCol w:w="1349"/>
        <w:gridCol w:w="1347"/>
        <w:gridCol w:w="1798"/>
        <w:gridCol w:w="3855"/>
      </w:tblGrid>
      <w:tr>
        <w:trPr>
          <w:trHeight w:val="401" w:hRule="exact"/>
        </w:trPr>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姚颐</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申请辞去独立董事职务</w:t>
            </w: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沈剑飞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申请辞去独立董事职务</w:t>
            </w:r>
          </w:p>
        </w:tc>
      </w:tr>
      <w:tr>
        <w:trPr>
          <w:trHeight w:val="40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康伟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申请辞去董事职务</w:t>
            </w: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尹子健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申请辞去董事兼总经理助理职务</w:t>
            </w:r>
          </w:p>
        </w:tc>
      </w:tr>
      <w:tr>
        <w:trPr>
          <w:trHeight w:val="716"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任佳伟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98" w:right="38"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申请辞去副总经理、董事会秘书职务</w:t>
            </w:r>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80"/>
        </w:sectPr>
      </w:pPr>
    </w:p>
    <w:p>
      <w:pPr>
        <w:spacing w:line="240" w:lineRule="auto" w:before="16"/>
        <w:rPr>
          <w:rFonts w:ascii="Microsoft JhengHei" w:hAnsi="Microsoft JhengHei" w:cs="Microsoft JhengHei" w:eastAsia="Microsoft JhengHei" w:hint="default"/>
          <w:b/>
          <w:bCs/>
          <w:sz w:val="19"/>
          <w:szCs w:val="19"/>
        </w:rPr>
      </w:pPr>
    </w:p>
    <w:tbl>
      <w:tblPr>
        <w:tblW w:w="0" w:type="auto"/>
        <w:jc w:val="left"/>
        <w:tblInd w:w="119" w:type="dxa"/>
        <w:tblLayout w:type="fixed"/>
        <w:tblCellMar>
          <w:top w:w="0" w:type="dxa"/>
          <w:left w:w="0" w:type="dxa"/>
          <w:bottom w:w="0" w:type="dxa"/>
          <w:right w:w="0" w:type="dxa"/>
        </w:tblCellMar>
        <w:tblLook w:val="01E0"/>
      </w:tblPr>
      <w:tblGrid>
        <w:gridCol w:w="1349"/>
        <w:gridCol w:w="1349"/>
        <w:gridCol w:w="1347"/>
        <w:gridCol w:w="1798"/>
        <w:gridCol w:w="3855"/>
      </w:tblGrid>
      <w:tr>
        <w:trPr>
          <w:trHeight w:val="404"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李旭</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sz w:val="18"/>
                <w:szCs w:val="18"/>
              </w:rPr>
              <w:t>申请辞去职工代表监事职务</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3012"/>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506" w:lineRule="auto"/>
        <w:ind w:left="510" w:right="2755" w:hanging="359"/>
        <w:jc w:val="left"/>
        <w:rPr>
          <w:rFonts w:ascii="Microsoft JhengHei" w:hAnsi="Microsoft JhengHei" w:cs="Microsoft JhengHei" w:eastAsia="Microsoft JhengHei" w:hint="default"/>
        </w:rPr>
      </w:pPr>
      <w:r>
        <w:rPr/>
        <w:t>公司现任董事、监事、高级管理人员专业背景、主要工作经历以及目前在公司的主要职责 </w:t>
      </w:r>
      <w:r>
        <w:rPr>
          <w:rFonts w:ascii="Trebuchet MS" w:hAnsi="Trebuchet MS" w:cs="Trebuchet MS" w:eastAsia="Trebuchet MS" w:hint="default"/>
          <w:b/>
          <w:bCs/>
        </w:rPr>
        <w:t>1</w:t>
      </w:r>
      <w:r>
        <w:rPr>
          <w:rFonts w:ascii="Microsoft JhengHei" w:hAnsi="Microsoft JhengHei" w:cs="Microsoft JhengHei" w:eastAsia="Microsoft JhengHei" w:hint="default"/>
          <w:b/>
          <w:bCs/>
        </w:rPr>
        <w:t>、现任董事情况</w:t>
      </w:r>
      <w:r>
        <w:rPr>
          <w:rFonts w:ascii="Microsoft JhengHei" w:hAnsi="Microsoft JhengHei" w:cs="Microsoft JhengHei" w:eastAsia="Microsoft JhengHei" w:hint="default"/>
        </w:rPr>
      </w:r>
    </w:p>
    <w:p>
      <w:pPr>
        <w:pStyle w:val="BodyText"/>
        <w:spacing w:line="316" w:lineRule="auto" w:before="28"/>
        <w:ind w:right="149" w:firstLine="362"/>
        <w:jc w:val="both"/>
      </w:pPr>
      <w:r>
        <w:rPr>
          <w:spacing w:val="-2"/>
        </w:rPr>
        <w:t>林皓，中国国籍，无境外永久居留权，</w:t>
      </w:r>
      <w:r>
        <w:rPr>
          <w:rFonts w:ascii="宋体" w:hAnsi="宋体" w:cs="宋体" w:eastAsia="宋体" w:hint="default"/>
          <w:spacing w:val="-2"/>
        </w:rPr>
        <w:t>1966</w:t>
      </w:r>
      <w:r>
        <w:rPr>
          <w:spacing w:val="-2"/>
        </w:rPr>
        <w:t>年生，本科。</w:t>
      </w:r>
      <w:r>
        <w:rPr>
          <w:rFonts w:ascii="宋体" w:hAnsi="宋体" w:cs="宋体" w:eastAsia="宋体" w:hint="default"/>
          <w:spacing w:val="-2"/>
        </w:rPr>
        <w:t>1996</w:t>
      </w:r>
      <w:r>
        <w:rPr>
          <w:spacing w:val="-2"/>
        </w:rPr>
        <w:t>年创建北信源有限以来，历任董事长兼总经理。现任公司</w:t>
      </w:r>
      <w:r>
        <w:rPr/>
        <w:t> 董事长兼总经理及神州信源、上海北信源执行董事，北信源（马来西亚）董事。</w:t>
      </w:r>
    </w:p>
    <w:p>
      <w:pPr>
        <w:pStyle w:val="BodyText"/>
        <w:spacing w:line="319" w:lineRule="auto" w:before="19"/>
        <w:ind w:right="151" w:firstLine="362"/>
        <w:jc w:val="both"/>
      </w:pPr>
      <w:r>
        <w:rPr>
          <w:spacing w:val="-2"/>
        </w:rPr>
        <w:t>杨杰，中国国籍，无境外永久居留权，</w:t>
      </w:r>
      <w:r>
        <w:rPr>
          <w:rFonts w:ascii="宋体" w:hAnsi="宋体" w:cs="宋体" w:eastAsia="宋体" w:hint="default"/>
          <w:spacing w:val="-2"/>
        </w:rPr>
        <w:t>1964</w:t>
      </w:r>
      <w:r>
        <w:rPr>
          <w:spacing w:val="-2"/>
        </w:rPr>
        <w:t>年生，硕士。曾任南京中山工贸总公司驻俄罗斯莫斯科办事处负责人、恒生</w:t>
      </w:r>
      <w:r>
        <w:rPr/>
        <w:t> 电子股份有限公司深圳分公司总经理，城商</w:t>
      </w:r>
      <w:r>
        <w:rPr>
          <w:rFonts w:ascii="宋体" w:hAnsi="宋体" w:cs="宋体" w:eastAsia="宋体" w:hint="default"/>
        </w:rPr>
        <w:t>/</w:t>
      </w:r>
      <w:r>
        <w:rPr/>
        <w:t>农信部总经理，深圳奥尊金融信息技术有限公司副总经理，北信源有限董事、</w:t>
      </w:r>
      <w:r>
        <w:rPr>
          <w:spacing w:val="-83"/>
        </w:rPr>
        <w:t> </w:t>
      </w:r>
      <w:r>
        <w:rPr>
          <w:spacing w:val="-83"/>
        </w:rPr>
      </w:r>
      <w:r>
        <w:rPr/>
        <w:t>副总经理；现任公司董事、副总经理，深圳金城保密技术有限公司董事。</w:t>
      </w:r>
    </w:p>
    <w:p>
      <w:pPr>
        <w:pStyle w:val="BodyText"/>
        <w:spacing w:line="316" w:lineRule="auto" w:before="17"/>
        <w:ind w:right="154" w:firstLine="391"/>
        <w:jc w:val="both"/>
      </w:pPr>
      <w:r>
        <w:rPr/>
        <w:t>高曦，中国国籍，无境外永久居留权，</w:t>
      </w:r>
      <w:r>
        <w:rPr>
          <w:rFonts w:ascii="宋体" w:hAnsi="宋体" w:cs="宋体" w:eastAsia="宋体" w:hint="default"/>
        </w:rPr>
        <w:t>1977</w:t>
      </w:r>
      <w:r>
        <w:rPr/>
        <w:t>年生，本科。曾任唐山燕山电器有限公司软件开发员，北信源有限董事、 副总经理；现任本公司董事、副总经理、研发总监，北信源（马来西亚）董事。</w:t>
      </w:r>
    </w:p>
    <w:p>
      <w:pPr>
        <w:pStyle w:val="BodyText"/>
        <w:spacing w:line="316" w:lineRule="auto" w:before="19"/>
        <w:ind w:right="151" w:firstLine="391"/>
        <w:jc w:val="both"/>
      </w:pPr>
      <w:r>
        <w:rPr/>
        <w:t>胡建斌，中国国籍，无境外永久居留权，</w:t>
      </w:r>
      <w:r>
        <w:rPr>
          <w:rFonts w:ascii="宋体" w:hAnsi="宋体" w:cs="宋体" w:eastAsia="宋体" w:hint="default"/>
        </w:rPr>
        <w:t>1971</w:t>
      </w:r>
      <w:r>
        <w:rPr/>
        <w:t>年生，软件工程博士。先后主持国家自然科学基金、科技部国际合作重 大专项、军口</w:t>
      </w:r>
      <w:r>
        <w:rPr>
          <w:rFonts w:ascii="宋体" w:hAnsi="宋体" w:cs="宋体" w:eastAsia="宋体" w:hint="default"/>
        </w:rPr>
        <w:t>863</w:t>
      </w:r>
      <w:r>
        <w:rPr/>
        <w:t>、总装预研等</w:t>
      </w:r>
      <w:r>
        <w:rPr>
          <w:rFonts w:ascii="宋体" w:hAnsi="宋体" w:cs="宋体" w:eastAsia="宋体" w:hint="default"/>
        </w:rPr>
        <w:t>20</w:t>
      </w:r>
      <w:r>
        <w:rPr/>
        <w:t>余项课题，获得国家科技进步二等奖</w:t>
      </w:r>
      <w:r>
        <w:rPr>
          <w:rFonts w:ascii="宋体" w:hAnsi="宋体" w:cs="宋体" w:eastAsia="宋体" w:hint="default"/>
        </w:rPr>
        <w:t>1</w:t>
      </w:r>
      <w:r>
        <w:rPr/>
        <w:t>项、军队科技进步奖</w:t>
      </w:r>
      <w:r>
        <w:rPr>
          <w:rFonts w:ascii="宋体" w:hAnsi="宋体" w:cs="宋体" w:eastAsia="宋体" w:hint="default"/>
        </w:rPr>
        <w:t>5</w:t>
      </w:r>
      <w:r>
        <w:rPr/>
        <w:t>项，发表</w:t>
      </w:r>
      <w:r>
        <w:rPr>
          <w:rFonts w:ascii="宋体" w:hAnsi="宋体" w:cs="宋体" w:eastAsia="宋体" w:hint="default"/>
        </w:rPr>
        <w:t>SCI/EI</w:t>
      </w:r>
      <w:r>
        <w:rPr/>
        <w:t>检索学术论文</w:t>
      </w:r>
      <w:r>
        <w:rPr>
          <w:spacing w:val="-85"/>
        </w:rPr>
        <w:t> </w:t>
      </w:r>
      <w:r>
        <w:rPr>
          <w:rFonts w:ascii="宋体" w:hAnsi="宋体" w:cs="宋体" w:eastAsia="宋体" w:hint="default"/>
        </w:rPr>
        <w:t>60</w:t>
      </w:r>
      <w:r>
        <w:rPr/>
        <w:t>余篇，拥有发明专利</w:t>
      </w:r>
      <w:r>
        <w:rPr>
          <w:rFonts w:ascii="宋体" w:hAnsi="宋体" w:cs="宋体" w:eastAsia="宋体" w:hint="default"/>
        </w:rPr>
        <w:t>2</w:t>
      </w:r>
      <w:r>
        <w:rPr/>
        <w:t>项。现任北京大学网络和软件安全保障教育部重点实验室副主任、公司董事。</w:t>
      </w:r>
    </w:p>
    <w:p>
      <w:pPr>
        <w:pStyle w:val="BodyText"/>
        <w:spacing w:line="319" w:lineRule="auto" w:before="19"/>
        <w:ind w:right="153" w:firstLine="300"/>
        <w:jc w:val="both"/>
      </w:pPr>
      <w:r>
        <w:rPr>
          <w:spacing w:val="-1"/>
        </w:rPr>
        <w:t>赵战生，中国国籍，无境外永久居留权，</w:t>
      </w:r>
      <w:r>
        <w:rPr>
          <w:rFonts w:ascii="宋体" w:hAnsi="宋体" w:cs="宋体" w:eastAsia="宋体" w:hint="default"/>
          <w:spacing w:val="-1"/>
        </w:rPr>
        <w:t>1939</w:t>
      </w:r>
      <w:r>
        <w:rPr>
          <w:spacing w:val="-1"/>
        </w:rPr>
        <w:t>年生，教授。曾任中国科学院研究生院无线电教研室副主任，中国科学院</w:t>
      </w:r>
      <w:r>
        <w:rPr/>
        <w:t> </w:t>
      </w:r>
      <w:r>
        <w:rPr>
          <w:rFonts w:ascii="宋体" w:hAnsi="宋体" w:cs="宋体" w:eastAsia="宋体" w:hint="default"/>
        </w:rPr>
        <w:t>DCS</w:t>
      </w:r>
      <w:r>
        <w:rPr/>
        <w:t>中心副主任，信息安全国家重点筹建组组长，信息安全国家重点实验室主任，第二届国家信息化咨询委员会委员；现任</w:t>
      </w:r>
      <w:r>
        <w:rPr>
          <w:spacing w:val="-85"/>
        </w:rPr>
        <w:t> </w:t>
      </w:r>
      <w:r>
        <w:rPr>
          <w:spacing w:val="-85"/>
        </w:rPr>
      </w:r>
      <w:r>
        <w:rPr/>
        <w:t>本公司独立董事，全国信息安全技术标准化委员会委员、</w:t>
      </w:r>
      <w:r>
        <w:rPr>
          <w:rFonts w:ascii="宋体" w:hAnsi="宋体" w:cs="宋体" w:eastAsia="宋体" w:hint="default"/>
        </w:rPr>
        <w:t>WG7</w:t>
      </w:r>
      <w:r>
        <w:rPr>
          <w:rFonts w:ascii="宋体" w:hAnsi="宋体" w:cs="宋体" w:eastAsia="宋体" w:hint="default"/>
          <w:spacing w:val="-15"/>
        </w:rPr>
        <w:t> </w:t>
      </w:r>
      <w:r>
        <w:rPr>
          <w:spacing w:val="-3"/>
        </w:rPr>
        <w:t>副组长，中国密码学会理事，计算机安全专业委员会委员，信</w:t>
      </w:r>
      <w:r>
        <w:rPr>
          <w:spacing w:val="-17"/>
        </w:rPr>
        <w:t> </w:t>
      </w:r>
      <w:r>
        <w:rPr/>
        <w:t>息协会信息安全专业委员会委员。</w:t>
      </w:r>
    </w:p>
    <w:p>
      <w:pPr>
        <w:pStyle w:val="BodyText"/>
        <w:spacing w:line="316" w:lineRule="auto" w:before="17"/>
        <w:ind w:right="151" w:firstLine="389"/>
        <w:jc w:val="both"/>
      </w:pPr>
      <w:r>
        <w:rPr/>
        <w:t>杨成铭，中国国籍，无境外永久居留权，</w:t>
      </w:r>
      <w:r>
        <w:rPr>
          <w:rFonts w:ascii="宋体" w:hAnsi="宋体" w:cs="宋体" w:eastAsia="宋体" w:hint="default"/>
        </w:rPr>
        <w:t>1962</w:t>
      </w:r>
      <w:r>
        <w:rPr/>
        <w:t>年生，法学博士、博士后，法学教授。曾任北京理工大学法律系书记、 副主任；现任本公司独立董事，北京理工大学法学院国际法研究所所长、人权法研究中心主任。</w:t>
      </w:r>
    </w:p>
    <w:p>
      <w:pPr>
        <w:pStyle w:val="BodyText"/>
        <w:spacing w:line="316" w:lineRule="auto" w:before="19"/>
        <w:ind w:right="151" w:firstLine="389"/>
        <w:jc w:val="both"/>
      </w:pPr>
      <w:r>
        <w:rPr/>
        <w:t>李涛，中国国籍，无境外永久居留权，</w:t>
      </w:r>
      <w:r>
        <w:rPr>
          <w:rFonts w:ascii="宋体" w:hAnsi="宋体" w:cs="宋体" w:eastAsia="宋体" w:hint="default"/>
        </w:rPr>
        <w:t>1961</w:t>
      </w:r>
      <w:r>
        <w:rPr/>
        <w:t>年生，博士。华北电力大学经济管理学院会计学教授、河南平高电气股份 有限公司独立董事，现任本公司独立董事。</w:t>
      </w:r>
    </w:p>
    <w:p>
      <w:pPr>
        <w:pStyle w:val="BodyText"/>
        <w:spacing w:line="624" w:lineRule="exact" w:before="42"/>
        <w:ind w:left="513" w:right="143" w:hanging="60"/>
        <w:jc w:val="left"/>
      </w:pPr>
      <w:r>
        <w:rPr>
          <w:rFonts w:ascii="Trebuchet MS" w:hAnsi="Trebuchet MS" w:cs="Trebuchet MS" w:eastAsia="Trebuchet MS" w:hint="default"/>
          <w:b/>
          <w:bCs/>
        </w:rPr>
        <w:t>2</w:t>
      </w:r>
      <w:r>
        <w:rPr>
          <w:rFonts w:ascii="Microsoft JhengHei" w:hAnsi="Microsoft JhengHei" w:cs="Microsoft JhengHei" w:eastAsia="Microsoft JhengHei" w:hint="default"/>
          <w:b/>
          <w:bCs/>
        </w:rPr>
        <w:t>、现任监事情况 </w:t>
      </w:r>
      <w:r>
        <w:rPr/>
        <w:t>马承栋先生，中国国籍，无境外永久居留权，</w:t>
      </w:r>
      <w:r>
        <w:rPr>
          <w:rFonts w:ascii="宋体" w:hAnsi="宋体" w:cs="宋体" w:eastAsia="宋体" w:hint="default"/>
        </w:rPr>
        <w:t>1978</w:t>
      </w:r>
      <w:r>
        <w:rPr/>
        <w:t>年</w:t>
      </w:r>
      <w:r>
        <w:rPr>
          <w:rFonts w:ascii="宋体" w:hAnsi="宋体" w:cs="宋体" w:eastAsia="宋体" w:hint="default"/>
        </w:rPr>
        <w:t>4</w:t>
      </w:r>
      <w:r>
        <w:rPr/>
        <w:t>月出生，大专，工业设计方向。曾任北信源有限市场部经理；现</w:t>
      </w:r>
    </w:p>
    <w:p>
      <w:pPr>
        <w:pStyle w:val="BodyText"/>
        <w:spacing w:line="213" w:lineRule="exact"/>
        <w:ind w:right="3012"/>
        <w:jc w:val="left"/>
      </w:pPr>
      <w:r>
        <w:rPr/>
        <w:t>任公司市场部总监、监事会主席。</w:t>
      </w:r>
    </w:p>
    <w:p>
      <w:pPr>
        <w:pStyle w:val="BodyText"/>
        <w:spacing w:line="319" w:lineRule="auto" w:before="76"/>
        <w:ind w:right="152" w:firstLine="360"/>
        <w:jc w:val="both"/>
      </w:pPr>
      <w:r>
        <w:rPr>
          <w:spacing w:val="-2"/>
        </w:rPr>
        <w:t>哈连琴女士，中国国籍，无境外永久居留权，</w:t>
      </w:r>
      <w:r>
        <w:rPr>
          <w:rFonts w:ascii="宋体" w:hAnsi="宋体" w:cs="宋体" w:eastAsia="宋体" w:hint="default"/>
          <w:spacing w:val="-2"/>
        </w:rPr>
        <w:t>1964</w:t>
      </w:r>
      <w:r>
        <w:rPr>
          <w:spacing w:val="-2"/>
        </w:rPr>
        <w:t>年生，工商管理硕士。曾任北方熊猫电子有限公司财务岗位，北信源</w:t>
      </w:r>
      <w:r>
        <w:rPr/>
        <w:t> 有限财务部经理；现任本公司监事、内审部经理。</w:t>
      </w:r>
    </w:p>
    <w:p>
      <w:pPr>
        <w:pStyle w:val="BodyText"/>
        <w:spacing w:line="316" w:lineRule="auto" w:before="17"/>
        <w:ind w:right="149" w:firstLine="360"/>
        <w:jc w:val="both"/>
      </w:pPr>
      <w:r>
        <w:rPr>
          <w:spacing w:val="-1"/>
        </w:rPr>
        <w:t>钟力先生</w:t>
      </w:r>
      <w:r>
        <w:rPr>
          <w:rFonts w:ascii="宋体" w:hAnsi="宋体" w:cs="宋体" w:eastAsia="宋体" w:hint="default"/>
          <w:spacing w:val="-1"/>
        </w:rPr>
        <w:t>,</w:t>
      </w:r>
      <w:r>
        <w:rPr>
          <w:rFonts w:ascii="宋体" w:hAnsi="宋体" w:cs="宋体" w:eastAsia="宋体" w:hint="default"/>
          <w:spacing w:val="17"/>
        </w:rPr>
        <w:t> </w:t>
      </w:r>
      <w:r>
        <w:rPr>
          <w:spacing w:val="-2"/>
        </w:rPr>
        <w:t>中国国籍，无境外永久居留权，</w:t>
      </w:r>
      <w:r>
        <w:rPr>
          <w:rFonts w:ascii="宋体" w:hAnsi="宋体" w:cs="宋体" w:eastAsia="宋体" w:hint="default"/>
          <w:spacing w:val="-2"/>
        </w:rPr>
        <w:t>1970</w:t>
      </w:r>
      <w:r>
        <w:rPr>
          <w:spacing w:val="-2"/>
        </w:rPr>
        <w:t>年</w:t>
      </w:r>
      <w:r>
        <w:rPr>
          <w:rFonts w:ascii="宋体" w:hAnsi="宋体" w:cs="宋体" w:eastAsia="宋体" w:hint="default"/>
          <w:spacing w:val="-2"/>
        </w:rPr>
        <w:t>4</w:t>
      </w:r>
      <w:r>
        <w:rPr>
          <w:spacing w:val="-2"/>
        </w:rPr>
        <w:t>月出生</w:t>
      </w:r>
      <w:r>
        <w:rPr>
          <w:rFonts w:ascii="宋体" w:hAnsi="宋体" w:cs="宋体" w:eastAsia="宋体" w:hint="default"/>
          <w:spacing w:val="-2"/>
        </w:rPr>
        <w:t>,</w:t>
      </w:r>
      <w:r>
        <w:rPr>
          <w:spacing w:val="-2"/>
        </w:rPr>
        <w:t>系统工程博士学位。曾任解放军信息安全测评认证中心工程</w:t>
      </w:r>
      <w:r>
        <w:rPr/>
        <w:t> 师、高级工程师和网络安全实验室主任；现任本公司职工代表监事、核心技术发展中心总经理。</w:t>
      </w:r>
    </w:p>
    <w:p>
      <w:pPr>
        <w:spacing w:line="240" w:lineRule="auto" w:before="12"/>
        <w:rPr>
          <w:rFonts w:ascii="宋体" w:hAnsi="宋体" w:cs="宋体" w:eastAsia="宋体" w:hint="default"/>
          <w:sz w:val="20"/>
          <w:szCs w:val="20"/>
        </w:rPr>
      </w:pPr>
    </w:p>
    <w:p>
      <w:pPr>
        <w:pStyle w:val="Heading4"/>
        <w:spacing w:line="240" w:lineRule="auto"/>
        <w:ind w:left="513" w:right="3012"/>
        <w:jc w:val="left"/>
        <w:rPr>
          <w:b w:val="0"/>
          <w:bCs w:val="0"/>
        </w:rPr>
      </w:pPr>
      <w:r>
        <w:rPr>
          <w:rFonts w:ascii="Trebuchet MS" w:hAnsi="Trebuchet MS" w:cs="Trebuchet MS" w:eastAsia="Trebuchet MS" w:hint="default"/>
        </w:rPr>
        <w:t>3</w:t>
      </w:r>
      <w:r>
        <w:rPr/>
        <w:t>、公司现任</w:t>
      </w:r>
      <w:r>
        <w:rPr>
          <w:rFonts w:ascii="Trebuchet MS" w:hAnsi="Trebuchet MS" w:cs="Trebuchet MS" w:eastAsia="Trebuchet MS" w:hint="default"/>
        </w:rPr>
        <w:t>6</w:t>
      </w:r>
      <w:r>
        <w:rPr/>
        <w:t>名高级管理人员</w:t>
      </w:r>
      <w:r>
        <w:rPr>
          <w:b w:val="0"/>
          <w:bCs w:val="0"/>
        </w:rPr>
      </w:r>
    </w:p>
    <w:p>
      <w:pPr>
        <w:spacing w:line="240" w:lineRule="auto" w:before="2"/>
        <w:rPr>
          <w:rFonts w:ascii="Microsoft JhengHei" w:hAnsi="Microsoft JhengHei" w:cs="Microsoft JhengHei" w:eastAsia="Microsoft JhengHei" w:hint="default"/>
          <w:b/>
          <w:bCs/>
          <w:sz w:val="21"/>
          <w:szCs w:val="21"/>
        </w:rPr>
      </w:pPr>
    </w:p>
    <w:p>
      <w:pPr>
        <w:pStyle w:val="BodyText"/>
        <w:spacing w:line="316" w:lineRule="auto"/>
        <w:ind w:left="544" w:right="4702"/>
        <w:jc w:val="left"/>
      </w:pPr>
      <w:r>
        <w:rPr/>
        <w:t>林皓先生，现任公司总经理，简历参见董事会成员介绍。 杨杰先生，现任公司副总经理，简历参见董事会成员介绍。 高曦先生，现任公司副总经理，简历参见董事会成员介绍。</w:t>
      </w:r>
    </w:p>
    <w:p>
      <w:pPr>
        <w:pStyle w:val="BodyText"/>
        <w:spacing w:line="319" w:lineRule="auto" w:before="19"/>
        <w:ind w:right="152" w:firstLine="391"/>
        <w:jc w:val="both"/>
      </w:pPr>
      <w:r>
        <w:rPr>
          <w:spacing w:val="-1"/>
        </w:rPr>
        <w:t>王晓娜女士，中国国籍，无境外永久居留权，</w:t>
      </w:r>
      <w:r>
        <w:rPr>
          <w:rFonts w:ascii="宋体" w:hAnsi="宋体" w:cs="宋体" w:eastAsia="宋体" w:hint="default"/>
          <w:spacing w:val="-1"/>
        </w:rPr>
        <w:t>1975</w:t>
      </w:r>
      <w:r>
        <w:rPr>
          <w:spacing w:val="-1"/>
        </w:rPr>
        <w:t>年</w:t>
      </w:r>
      <w:r>
        <w:rPr>
          <w:rFonts w:ascii="宋体" w:hAnsi="宋体" w:cs="宋体" w:eastAsia="宋体" w:hint="default"/>
          <w:spacing w:val="-1"/>
        </w:rPr>
        <w:t>2</w:t>
      </w:r>
      <w:r>
        <w:rPr>
          <w:spacing w:val="-1"/>
        </w:rPr>
        <w:t>月出生，硕士，曾任北信源有限现任公司副总经理，现任公司副</w:t>
      </w:r>
      <w:r>
        <w:rPr/>
        <w:t> 总经理。</w:t>
      </w:r>
    </w:p>
    <w:p>
      <w:pPr>
        <w:pStyle w:val="BodyText"/>
        <w:spacing w:line="316" w:lineRule="auto" w:before="17"/>
        <w:ind w:right="152" w:firstLine="391"/>
        <w:jc w:val="both"/>
      </w:pPr>
      <w:r>
        <w:rPr>
          <w:spacing w:val="-1"/>
        </w:rPr>
        <w:t>杨维先生，中国国籍，无境外永久居留权，</w:t>
      </w:r>
      <w:r>
        <w:rPr>
          <w:rFonts w:ascii="宋体" w:hAnsi="宋体" w:cs="宋体" w:eastAsia="宋体" w:hint="default"/>
          <w:spacing w:val="-1"/>
        </w:rPr>
        <w:t>1974</w:t>
      </w:r>
      <w:r>
        <w:rPr>
          <w:spacing w:val="-1"/>
        </w:rPr>
        <w:t>年</w:t>
      </w:r>
      <w:r>
        <w:rPr>
          <w:rFonts w:ascii="宋体" w:hAnsi="宋体" w:cs="宋体" w:eastAsia="宋体" w:hint="default"/>
          <w:spacing w:val="-1"/>
        </w:rPr>
        <w:t>5</w:t>
      </w:r>
      <w:r>
        <w:rPr>
          <w:spacing w:val="-1"/>
        </w:rPr>
        <w:t>月出生，硕士。历任北京市人民政府电子工业办公室人事教育处科</w:t>
      </w:r>
      <w:r>
        <w:rPr/>
        <w:t> 员，北京松下电子部品有限公司副课长，北信源有限副总经理；现任公司副总经理，深圳金城保密技术有限公司监事。</w:t>
      </w:r>
    </w:p>
    <w:p>
      <w:pPr>
        <w:spacing w:after="0" w:line="316" w:lineRule="auto"/>
        <w:jc w:val="both"/>
        <w:sectPr>
          <w:pgSz w:w="11910" w:h="16840"/>
          <w:pgMar w:header="781" w:footer="979" w:top="1080" w:bottom="1160" w:left="980" w:right="980"/>
        </w:sectPr>
      </w:pPr>
    </w:p>
    <w:p>
      <w:pPr>
        <w:spacing w:line="240" w:lineRule="auto" w:before="10"/>
        <w:rPr>
          <w:rFonts w:ascii="宋体" w:hAnsi="宋体" w:cs="宋体" w:eastAsia="宋体" w:hint="default"/>
          <w:sz w:val="23"/>
          <w:szCs w:val="23"/>
        </w:rPr>
      </w:pPr>
    </w:p>
    <w:p>
      <w:pPr>
        <w:pStyle w:val="BodyText"/>
        <w:spacing w:line="316" w:lineRule="auto" w:before="44"/>
        <w:ind w:right="0" w:firstLine="391"/>
        <w:jc w:val="left"/>
      </w:pPr>
      <w:r>
        <w:rPr/>
        <w:t>李旭女士，中国国籍，无境外永久居留权，</w:t>
      </w:r>
      <w:r>
        <w:rPr>
          <w:rFonts w:ascii="宋体" w:hAnsi="宋体" w:cs="宋体" w:eastAsia="宋体" w:hint="default"/>
        </w:rPr>
        <w:t>1984</w:t>
      </w:r>
      <w:r>
        <w:rPr/>
        <w:t>年</w:t>
      </w:r>
      <w:r>
        <w:rPr>
          <w:rFonts w:ascii="宋体" w:hAnsi="宋体" w:cs="宋体" w:eastAsia="宋体" w:hint="default"/>
        </w:rPr>
        <w:t>12</w:t>
      </w:r>
      <w:r>
        <w:rPr/>
        <w:t>月出生，法学本科。曾任公司副总裁助理、董事长助理、证券事 务代表；现任公司工会主席、副总经理、董事会秘书及北信源（马来西亚）董事。</w:t>
      </w:r>
    </w:p>
    <w:p>
      <w:pPr>
        <w:pStyle w:val="BodyText"/>
        <w:spacing w:line="240" w:lineRule="auto" w:before="59"/>
        <w:ind w:right="3012"/>
        <w:jc w:val="left"/>
      </w:pPr>
      <w:r>
        <w:rPr/>
        <w:t>在股东单位任职情况</w:t>
      </w:r>
    </w:p>
    <w:p>
      <w:pPr>
        <w:pStyle w:val="BodyText"/>
        <w:spacing w:line="360" w:lineRule="auto" w:before="115"/>
        <w:ind w:right="8154"/>
        <w:jc w:val="left"/>
      </w:pPr>
      <w:r>
        <w:rPr/>
        <w:t>□ 适用 √</w:t>
      </w:r>
      <w:r>
        <w:rPr>
          <w:spacing w:val="3"/>
        </w:rPr>
        <w:t> </w:t>
      </w:r>
      <w:r>
        <w:rPr/>
        <w:t>不适用</w:t>
      </w:r>
      <w:r>
        <w:rPr/>
        <w:t> 在其他单位任职情况</w:t>
      </w:r>
    </w:p>
    <w:p>
      <w:pPr>
        <w:pStyle w:val="BodyText"/>
        <w:spacing w:line="240" w:lineRule="auto" w:before="27"/>
        <w:ind w:right="3012"/>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23"/>
        <w:gridCol w:w="2977"/>
        <w:gridCol w:w="1419"/>
        <w:gridCol w:w="1699"/>
        <w:gridCol w:w="1186"/>
        <w:gridCol w:w="1394"/>
      </w:tblGrid>
      <w:tr>
        <w:trPr>
          <w:trHeight w:val="715"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8" w:right="53"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60"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赵战生</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全国信息安全技术标准化委员会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23" w:right="94" w:hanging="428"/>
              <w:jc w:val="left"/>
              <w:rPr>
                <w:rFonts w:ascii="宋体" w:hAnsi="宋体" w:cs="宋体" w:eastAsia="宋体" w:hint="default"/>
                <w:sz w:val="18"/>
                <w:szCs w:val="18"/>
              </w:rPr>
            </w:pPr>
            <w:r>
              <w:rPr>
                <w:rFonts w:ascii="宋体" w:hAnsi="宋体" w:cs="宋体" w:eastAsia="宋体" w:hint="default"/>
                <w:sz w:val="18"/>
                <w:szCs w:val="18"/>
              </w:rPr>
              <w:t>委员、</w:t>
            </w:r>
            <w:r>
              <w:rPr>
                <w:rFonts w:ascii="宋体" w:hAnsi="宋体" w:cs="宋体" w:eastAsia="宋体" w:hint="default"/>
                <w:sz w:val="18"/>
                <w:szCs w:val="18"/>
              </w:rPr>
              <w:t>WG7</w:t>
            </w:r>
            <w:r>
              <w:rPr>
                <w:rFonts w:ascii="宋体" w:hAnsi="宋体" w:cs="宋体" w:eastAsia="宋体" w:hint="default"/>
                <w:spacing w:val="-45"/>
                <w:sz w:val="18"/>
                <w:szCs w:val="18"/>
              </w:rPr>
              <w:t> </w:t>
            </w:r>
            <w:r>
              <w:rPr>
                <w:rFonts w:ascii="宋体" w:hAnsi="宋体" w:cs="宋体" w:eastAsia="宋体" w:hint="default"/>
                <w:sz w:val="18"/>
                <w:szCs w:val="18"/>
              </w:rPr>
              <w:t>副组 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赵战生</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中国密码学会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赵战生</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计算机安全专业委员会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赵战生</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信息协会信息安全专业委员会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杨成铭</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北京理工大学法学院国际法研究所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杨成铭</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北京理工大学法学院人权法研究中心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主任</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华北电力大学经济管理学院会计学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河南平高电气股份有限公司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深圳金城保密技术有限公司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深圳金城保密技术有限公司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3012"/>
        <w:jc w:val="left"/>
      </w:pPr>
      <w:r>
        <w:rPr/>
        <w:t>公司现任及报告期内离任董事、监事和高级管理人员近三年证券监管机构处罚的情况</w:t>
      </w:r>
    </w:p>
    <w:p>
      <w:pPr>
        <w:pStyle w:val="BodyText"/>
        <w:spacing w:line="240" w:lineRule="auto" w:before="115"/>
        <w:ind w:right="3012"/>
        <w:jc w:val="left"/>
      </w:pPr>
      <w:r>
        <w:rPr/>
        <w:t>□ 适用 √</w:t>
      </w:r>
      <w:r>
        <w:rPr>
          <w:spacing w:val="3"/>
        </w:rPr>
        <w:t> </w:t>
      </w:r>
      <w:r>
        <w:rPr/>
        <w:t>不适用</w:t>
      </w:r>
    </w:p>
    <w:p>
      <w:pPr>
        <w:spacing w:line="240" w:lineRule="auto" w:before="5"/>
        <w:rPr>
          <w:rFonts w:ascii="宋体" w:hAnsi="宋体" w:cs="宋体" w:eastAsia="宋体" w:hint="default"/>
          <w:sz w:val="19"/>
          <w:szCs w:val="19"/>
        </w:rPr>
      </w:pPr>
    </w:p>
    <w:p>
      <w:pPr>
        <w:pStyle w:val="Heading2"/>
        <w:spacing w:line="240" w:lineRule="auto"/>
        <w:ind w:right="3012"/>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3012"/>
        <w:jc w:val="left"/>
      </w:pPr>
      <w:r>
        <w:rPr/>
        <w:t>董事、监事、高级管理人员报酬的决策程序、确定依据、实际支付情况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319" w:lineRule="auto"/>
        <w:ind w:right="144"/>
        <w:jc w:val="left"/>
      </w:pPr>
      <w:r>
        <w:rPr>
          <w:rFonts w:ascii="宋体" w:hAnsi="宋体" w:cs="宋体" w:eastAsia="宋体" w:hint="default"/>
        </w:rPr>
        <w:t>1</w:t>
      </w:r>
      <w:r>
        <w:rPr/>
        <w:t>、董事、监事、高级管理人员报酬的决策程序：公司董事、监事报酬由股东大会决定，高级管理人员报酬由董事会决定； </w:t>
      </w:r>
      <w:r>
        <w:rPr>
          <w:spacing w:val="-2"/>
        </w:rPr>
        <w:t>在公司担任职务的董事、监事、高级管理人员报酬由公司根据担任的职务支付，董事、监事不另外支付津贴。独立董事津贴</w:t>
      </w:r>
      <w:r>
        <w:rPr>
          <w:spacing w:val="-67"/>
        </w:rPr>
        <w:t> </w:t>
      </w:r>
      <w:r>
        <w:rPr>
          <w:spacing w:val="-67"/>
        </w:rPr>
      </w:r>
      <w:r>
        <w:rPr/>
        <w:t>根据股东大会所通过的决议来进行支付。 </w:t>
      </w:r>
      <w:r>
        <w:rPr>
          <w:rFonts w:ascii="宋体" w:hAnsi="宋体" w:cs="宋体" w:eastAsia="宋体" w:hint="default"/>
        </w:rPr>
        <w:t>2</w:t>
      </w:r>
      <w:r>
        <w:rPr/>
        <w:t>、董事、监事、高级管理人员报酬确定依据：依据公司盈利水平及各董事、监事、高级管理人员的分工及履行情况确定。</w:t>
      </w:r>
    </w:p>
    <w:p>
      <w:pPr>
        <w:pStyle w:val="BodyText"/>
        <w:spacing w:line="360" w:lineRule="auto" w:before="17"/>
        <w:ind w:right="684"/>
        <w:jc w:val="left"/>
      </w:pPr>
      <w:r>
        <w:rPr>
          <w:rFonts w:ascii="宋体" w:hAnsi="宋体" w:cs="宋体" w:eastAsia="宋体" w:hint="default"/>
        </w:rPr>
        <w:t>3</w:t>
      </w:r>
      <w:r>
        <w:rPr/>
        <w:t>、董事、监事和高级管理人员报酬的实际支付情况：公司</w:t>
      </w:r>
      <w:r>
        <w:rPr>
          <w:rFonts w:ascii="宋体" w:hAnsi="宋体" w:cs="宋体" w:eastAsia="宋体" w:hint="default"/>
        </w:rPr>
        <w:t>2015</w:t>
      </w:r>
      <w:r>
        <w:rPr/>
        <w:t>年董事、监事、高级管理人员实际支付</w:t>
      </w:r>
      <w:r>
        <w:rPr>
          <w:rFonts w:ascii="宋体" w:hAnsi="宋体" w:cs="宋体" w:eastAsia="宋体" w:hint="default"/>
        </w:rPr>
        <w:t>251.57</w:t>
      </w:r>
      <w:r>
        <w:rPr/>
        <w:t>万元。</w:t>
      </w:r>
      <w:r>
        <w:rPr>
          <w:spacing w:val="-86"/>
        </w:rPr>
        <w:t> </w:t>
      </w:r>
      <w:r>
        <w:rPr/>
        <w:t>公司报告期内董事、监事和高级管理人员报酬情况</w:t>
      </w:r>
    </w:p>
    <w:p>
      <w:pPr>
        <w:pStyle w:val="BodyText"/>
        <w:spacing w:line="240" w:lineRule="auto" w:before="2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713"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5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林皓</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50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24.24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董事兼副总经理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27.87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董事兼副总经理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33.15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胡建斌</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46.32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赵战生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77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杨成铭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李涛</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马承栋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38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12.09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哈连琴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19.48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钟力</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46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15.04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王晓娜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12.25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17" w:right="56"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32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15.82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尹子健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97" w:right="56" w:hanging="540"/>
              <w:jc w:val="left"/>
              <w:rPr>
                <w:rFonts w:ascii="宋体" w:hAnsi="宋体" w:cs="宋体" w:eastAsia="宋体" w:hint="default"/>
                <w:sz w:val="18"/>
                <w:szCs w:val="18"/>
              </w:rPr>
            </w:pPr>
            <w:r>
              <w:rPr>
                <w:rFonts w:ascii="宋体" w:hAnsi="宋体" w:cs="宋体" w:eastAsia="宋体" w:hint="default"/>
                <w:sz w:val="18"/>
                <w:szCs w:val="18"/>
              </w:rPr>
              <w:t>董事兼总经理助 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33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0.58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康伟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沈剑飞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2.29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姚颐</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任佳伟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417" w:right="56" w:hanging="36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33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14.61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251.57</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7" w:right="0"/>
              <w:jc w:val="left"/>
              <w:rPr>
                <w:rFonts w:ascii="宋体" w:hAnsi="宋体" w:cs="宋体" w:eastAsia="宋体" w:hint="default"/>
                <w:sz w:val="18"/>
                <w:szCs w:val="18"/>
              </w:rPr>
            </w:pPr>
            <w:r>
              <w:rPr>
                <w:rFonts w:ascii="宋体"/>
                <w:sz w:val="18"/>
              </w:rPr>
              <w:t>--</w:t>
            </w:r>
          </w:p>
        </w:tc>
      </w:tr>
    </w:tbl>
    <w:p>
      <w:pPr>
        <w:pStyle w:val="BodyText"/>
        <w:spacing w:line="240" w:lineRule="auto" w:before="49"/>
        <w:ind w:right="3012"/>
        <w:jc w:val="left"/>
      </w:pPr>
      <w:r>
        <w:rPr/>
        <w:t>公司董事、监事、高级管理人员报告期内被授予的股权激励情况</w:t>
      </w:r>
    </w:p>
    <w:p>
      <w:pPr>
        <w:pStyle w:val="BodyText"/>
        <w:spacing w:line="240" w:lineRule="auto" w:before="115"/>
        <w:ind w:right="3012"/>
        <w:jc w:val="left"/>
      </w:pPr>
      <w:r>
        <w:rPr/>
        <w:t>□ 适用 √</w:t>
      </w:r>
      <w:r>
        <w:rPr>
          <w:spacing w:val="3"/>
        </w:rPr>
        <w:t> </w:t>
      </w:r>
      <w:r>
        <w:rPr/>
        <w:t>不适用</w:t>
      </w:r>
    </w:p>
    <w:p>
      <w:pPr>
        <w:spacing w:line="240" w:lineRule="auto" w:before="5"/>
        <w:rPr>
          <w:rFonts w:ascii="宋体" w:hAnsi="宋体" w:cs="宋体" w:eastAsia="宋体" w:hint="default"/>
          <w:sz w:val="19"/>
          <w:szCs w:val="19"/>
        </w:rPr>
      </w:pPr>
    </w:p>
    <w:p>
      <w:pPr>
        <w:pStyle w:val="Heading2"/>
        <w:spacing w:line="240" w:lineRule="auto"/>
        <w:ind w:right="3012"/>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785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254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1,039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1,039</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13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193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692</w:t>
            </w:r>
          </w:p>
        </w:tc>
      </w:tr>
    </w:tbl>
    <w:p>
      <w:pPr>
        <w:spacing w:after="0" w:line="240" w:lineRule="auto"/>
        <w:jc w:val="right"/>
        <w:rPr>
          <w:rFonts w:ascii="宋体" w:hAnsi="宋体" w:cs="宋体" w:eastAsia="宋体" w:hint="default"/>
          <w:sz w:val="18"/>
          <w:szCs w:val="18"/>
        </w:rPr>
        <w:sectPr>
          <w:pgSz w:w="11910" w:h="16840"/>
          <w:pgMar w:header="781" w:footer="979" w:top="1080" w:bottom="1160" w:left="980" w:right="980"/>
        </w:sectPr>
      </w:pPr>
    </w:p>
    <w:p>
      <w:pPr>
        <w:spacing w:line="240" w:lineRule="auto" w:before="16"/>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z w:val="18"/>
              </w:rPr>
              <w:t>117</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1,039</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673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280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z w:val="18"/>
              </w:rPr>
              <w:t>16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1,039</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02"/>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90" w:firstLine="360"/>
        <w:jc w:val="both"/>
      </w:pPr>
      <w:r>
        <w:rPr>
          <w:spacing w:val="-2"/>
        </w:rPr>
        <w:t>公司根据国家有关劳动法规和政策，结合公司实际情况，采取“竞争性、公平性、业绩导向”的薪酬原则，使公司薪酬</w:t>
      </w:r>
      <w:r>
        <w:rPr/>
        <w:t> </w:t>
      </w:r>
      <w:r>
        <w:rPr>
          <w:spacing w:val="-2"/>
        </w:rPr>
        <w:t>政策服务于公司发展战略。公司整体薪酬水平以市场为导向，以公司经营效益和财务支付能力为前提，员工个人薪酬以员工</w:t>
      </w:r>
      <w:r>
        <w:rPr>
          <w:spacing w:val="-63"/>
        </w:rPr>
        <w:t> </w:t>
      </w:r>
      <w:r>
        <w:rPr>
          <w:spacing w:val="-63"/>
        </w:rPr>
      </w:r>
      <w:r>
        <w:rPr/>
        <w:t>个人的工作能力、工作业绩为依据，把提高工作效率作为目标等。</w:t>
      </w:r>
    </w:p>
    <w:p>
      <w:pPr>
        <w:spacing w:line="240" w:lineRule="auto" w:before="9"/>
        <w:rPr>
          <w:rFonts w:ascii="宋体" w:hAnsi="宋体" w:cs="宋体" w:eastAsia="宋体" w:hint="default"/>
          <w:sz w:val="17"/>
          <w:szCs w:val="17"/>
        </w:rPr>
      </w:pPr>
    </w:p>
    <w:p>
      <w:pPr>
        <w:pStyle w:val="Heading3"/>
        <w:spacing w:line="240" w:lineRule="auto"/>
        <w:ind w:right="10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10" w:firstLine="360"/>
        <w:jc w:val="both"/>
      </w:pPr>
      <w:r>
        <w:rPr>
          <w:rFonts w:ascii="宋体" w:hAnsi="宋体" w:cs="宋体" w:eastAsia="宋体" w:hint="default"/>
          <w:spacing w:val="-2"/>
        </w:rPr>
        <w:t>2015</w:t>
      </w:r>
      <w:r>
        <w:rPr>
          <w:spacing w:val="-2"/>
        </w:rPr>
        <w:t>年公司培训教育工作紧密围绕公司人才战略开展，根据培训需求调查结果，制定年度培训计划并认真落实。培训教</w:t>
      </w:r>
      <w:r>
        <w:rPr/>
        <w:t> </w:t>
      </w:r>
      <w:r>
        <w:rPr>
          <w:spacing w:val="-2"/>
        </w:rPr>
        <w:t>育工作取得了新的进展。公司建立了员工培训机制，并根据经营的需要、员工业务、管理素质提升的需求等，采取内部培训</w:t>
      </w:r>
      <w:r>
        <w:rPr>
          <w:spacing w:val="-67"/>
        </w:rPr>
        <w:t> </w:t>
      </w:r>
      <w:r>
        <w:rPr>
          <w:spacing w:val="-67"/>
        </w:rPr>
      </w:r>
      <w:r>
        <w:rPr/>
        <w:t>与外派培训相结合的方式，制定培训计划，提升团队素质，以保证既定经营目标的实现以及企业、员工的双向可持续发展。</w:t>
      </w:r>
    </w:p>
    <w:p>
      <w:pPr>
        <w:spacing w:line="240" w:lineRule="auto" w:before="9"/>
        <w:rPr>
          <w:rFonts w:ascii="宋体" w:hAnsi="宋体" w:cs="宋体" w:eastAsia="宋体" w:hint="default"/>
          <w:sz w:val="17"/>
          <w:szCs w:val="17"/>
        </w:rPr>
      </w:pPr>
    </w:p>
    <w:p>
      <w:pPr>
        <w:pStyle w:val="Heading3"/>
        <w:spacing w:line="240" w:lineRule="auto"/>
        <w:ind w:right="10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2"/>
        <w:jc w:val="left"/>
      </w:pPr>
      <w:r>
        <w:rPr/>
        <w:t>□ 适用 √</w:t>
      </w:r>
      <w:r>
        <w:rPr>
          <w:spacing w:val="3"/>
        </w:rPr>
        <w:t> </w:t>
      </w:r>
      <w:r>
        <w:rPr/>
        <w:t>不适用</w:t>
      </w:r>
    </w:p>
    <w:p>
      <w:pPr>
        <w:spacing w:after="0" w:line="240" w:lineRule="auto"/>
        <w:jc w:val="left"/>
        <w:sectPr>
          <w:pgSz w:w="11910" w:h="16840"/>
          <w:pgMar w:header="781" w:footer="979" w:top="108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456" w:lineRule="exact"/>
        <w:ind w:right="3465"/>
        <w:jc w:val="center"/>
        <w:rPr>
          <w:b w:val="0"/>
          <w:bCs w:val="0"/>
        </w:rPr>
      </w:pPr>
      <w:bookmarkStart w:name="_TOC_250002" w:id="7"/>
      <w:r>
        <w:rPr/>
        <w:t>第九节 </w:t>
      </w:r>
      <w:r>
        <w:rPr>
          <w:spacing w:val="9"/>
        </w:rPr>
        <w:t> </w:t>
      </w:r>
      <w:r>
        <w:rPr/>
        <w:t>公司治理</w:t>
      </w:r>
      <w:bookmarkEnd w:id="7"/>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90" w:firstLine="360"/>
        <w:jc w:val="both"/>
      </w:pPr>
      <w:r>
        <w:rPr>
          <w:spacing w:val="-2"/>
        </w:rPr>
        <w:t>报告期内，公司严格按照《公司法》、《证券法》、《上市公司治理准则》、《深圳证券交易所股票上市规则》、《深</w:t>
      </w:r>
      <w:r>
        <w:rPr/>
        <w:t> </w:t>
      </w:r>
      <w:r>
        <w:rPr>
          <w:spacing w:val="-2"/>
        </w:rPr>
        <w:t>圳证券交易所创业板上市公司规范运作指引》及中国证监会有关法律法规的要求，不断完善公司法人治理结构、建立健全公</w:t>
      </w:r>
      <w:r>
        <w:rPr>
          <w:spacing w:val="-63"/>
        </w:rPr>
        <w:t> </w:t>
      </w:r>
      <w:r>
        <w:rPr>
          <w:spacing w:val="-63"/>
        </w:rPr>
      </w:r>
      <w:r>
        <w:rPr>
          <w:spacing w:val="-2"/>
        </w:rPr>
        <w:t>司内部控制体系，加强信息披露，积极开展投资者关系管理工作，持续深入开展公司治理活动，以进一步规范公司运作，提</w:t>
      </w:r>
      <w:r>
        <w:rPr>
          <w:spacing w:val="-66"/>
        </w:rPr>
        <w:t> </w:t>
      </w:r>
      <w:r>
        <w:rPr>
          <w:spacing w:val="-66"/>
        </w:rPr>
      </w:r>
      <w:r>
        <w:rPr/>
        <w:t>高公司治理水平。</w:t>
      </w:r>
    </w:p>
    <w:p>
      <w:pPr>
        <w:pStyle w:val="BodyText"/>
        <w:spacing w:line="316" w:lineRule="auto" w:before="19"/>
        <w:ind w:left="513" w:right="102"/>
        <w:jc w:val="left"/>
      </w:pPr>
      <w:r>
        <w:rPr>
          <w:rFonts w:ascii="宋体" w:hAnsi="宋体" w:cs="宋体" w:eastAsia="宋体" w:hint="default"/>
        </w:rPr>
        <w:t>1</w:t>
      </w:r>
      <w:r>
        <w:rPr/>
        <w:t>、关于股东与股东大会 </w:t>
      </w:r>
      <w:r>
        <w:rPr>
          <w:spacing w:val="-2"/>
        </w:rPr>
        <w:t>公司严格按照《公司法》、《上市公司股东大会规则》、《公司章程》和《股东大会议事规则》等规定和要求召集和召</w:t>
      </w:r>
    </w:p>
    <w:p>
      <w:pPr>
        <w:pStyle w:val="BodyText"/>
        <w:spacing w:line="316" w:lineRule="auto" w:before="19"/>
        <w:ind w:right="102"/>
        <w:jc w:val="left"/>
      </w:pPr>
      <w:r>
        <w:rPr>
          <w:spacing w:val="-2"/>
        </w:rPr>
        <w:t>开股东大会，并聘请见证律师对股东大会的合法性出具法律意见书，能够确保全体股东特别是中小股东享有平等地位，充分</w:t>
      </w:r>
      <w:r>
        <w:rPr>
          <w:spacing w:val="-63"/>
        </w:rPr>
        <w:t> </w:t>
      </w:r>
      <w:r>
        <w:rPr>
          <w:spacing w:val="-63"/>
        </w:rPr>
      </w:r>
      <w:r>
        <w:rPr>
          <w:spacing w:val="-4"/>
        </w:rPr>
        <w:t>行使股东权利。报告期内，公司股东大会均由董事会召集召开，出席股东大会的人员资格及股东大会的召开和表决程序合法。</w:t>
      </w:r>
    </w:p>
    <w:p>
      <w:pPr>
        <w:pStyle w:val="BodyText"/>
        <w:spacing w:line="316" w:lineRule="auto" w:before="19"/>
        <w:ind w:left="453" w:right="102" w:firstLine="62"/>
        <w:jc w:val="left"/>
      </w:pPr>
      <w:r>
        <w:rPr>
          <w:rFonts w:ascii="宋体" w:hAnsi="宋体" w:cs="宋体" w:eastAsia="宋体" w:hint="default"/>
        </w:rPr>
        <w:t>2</w:t>
      </w:r>
      <w:r>
        <w:rPr/>
        <w:t>、关于董事与董事会 </w:t>
      </w:r>
      <w:r>
        <w:rPr>
          <w:spacing w:val="-3"/>
        </w:rPr>
        <w:t>公司依法规范董事会运作，确保公司董事会的人数及人员构成符合法律法规和《公司章程》的要求，保证董事会的召集、</w:t>
      </w:r>
    </w:p>
    <w:p>
      <w:pPr>
        <w:pStyle w:val="BodyText"/>
        <w:spacing w:line="316" w:lineRule="auto" w:before="19"/>
        <w:ind w:right="102"/>
        <w:jc w:val="left"/>
      </w:pPr>
      <w:r>
        <w:rPr>
          <w:spacing w:val="-2"/>
        </w:rPr>
        <w:t>召开和表决程序合法有效，保障全体董事特别是独立董事发挥专业作用。报告期内公司董事能严格按照《公司法》和《公司</w:t>
      </w:r>
      <w:r>
        <w:rPr>
          <w:spacing w:val="-65"/>
        </w:rPr>
        <w:t> </w:t>
      </w:r>
      <w:r>
        <w:rPr>
          <w:spacing w:val="-65"/>
        </w:rPr>
      </w:r>
      <w:r>
        <w:rPr/>
        <w:t>章程》的规定，积极参与公司经营决策活动，履行其职责和义务，并参加证券监管机构组织的相关培训。</w:t>
      </w:r>
    </w:p>
    <w:p>
      <w:pPr>
        <w:pStyle w:val="BodyText"/>
        <w:spacing w:line="316" w:lineRule="auto" w:before="19"/>
        <w:ind w:left="515" w:right="102"/>
        <w:jc w:val="left"/>
      </w:pPr>
      <w:r>
        <w:rPr>
          <w:rFonts w:ascii="宋体" w:hAnsi="宋体" w:cs="宋体" w:eastAsia="宋体" w:hint="default"/>
        </w:rPr>
        <w:t>3</w:t>
      </w:r>
      <w:r>
        <w:rPr/>
        <w:t>、关于监事和监事会 </w:t>
      </w:r>
      <w:r>
        <w:rPr>
          <w:spacing w:val="-2"/>
        </w:rPr>
        <w:t>公司依法规范监事会的运作，确保公司监事会的人数及人员构成符合法律法规和《公司章程》的要求，保证监事会的召</w:t>
      </w:r>
    </w:p>
    <w:p>
      <w:pPr>
        <w:pStyle w:val="BodyText"/>
        <w:spacing w:line="319" w:lineRule="auto" w:before="19"/>
        <w:ind w:right="190"/>
        <w:jc w:val="both"/>
      </w:pPr>
      <w:r>
        <w:rPr>
          <w:spacing w:val="-2"/>
        </w:rPr>
        <w:t>集、召开和表决程序合法有效。报告期内公司监事严格按照《公司法》和《公司章程》、《监事会议事规则》的规定，认真</w:t>
      </w:r>
      <w:r>
        <w:rPr>
          <w:spacing w:val="-68"/>
        </w:rPr>
        <w:t> </w:t>
      </w:r>
      <w:r>
        <w:rPr>
          <w:spacing w:val="-68"/>
        </w:rPr>
      </w:r>
      <w:r>
        <w:rPr>
          <w:spacing w:val="-2"/>
        </w:rPr>
        <w:t>履行职责，诚信、勤勉、尽责地对公司重大事项、财务状况、生产经营等各个方面进行监督，以及对公司董事、高级管理人</w:t>
      </w:r>
      <w:r>
        <w:rPr>
          <w:spacing w:val="-72"/>
        </w:rPr>
        <w:t> </w:t>
      </w:r>
      <w:r>
        <w:rPr>
          <w:spacing w:val="-72"/>
        </w:rPr>
      </w:r>
      <w:r>
        <w:rPr/>
        <w:t>员履行职责的合法、合规性进行有效监督，维护公司及股东的合法权益。</w:t>
      </w:r>
    </w:p>
    <w:p>
      <w:pPr>
        <w:pStyle w:val="BodyText"/>
        <w:spacing w:line="316" w:lineRule="auto" w:before="17"/>
        <w:ind w:left="513" w:right="102" w:firstLine="2"/>
        <w:jc w:val="left"/>
      </w:pPr>
      <w:r>
        <w:rPr>
          <w:rFonts w:ascii="宋体" w:hAnsi="宋体" w:cs="宋体" w:eastAsia="宋体" w:hint="default"/>
        </w:rPr>
        <w:t>4</w:t>
      </w:r>
      <w:r>
        <w:rPr/>
        <w:t>、关于绩效评价与激励约束机制 </w:t>
      </w:r>
      <w:r>
        <w:rPr>
          <w:spacing w:val="-2"/>
        </w:rPr>
        <w:t>公司建立了公正透明的董事、监事和经理人员的绩效评价标准和程序，强化公司高管勤勉尽责意识，充分进行约束与激</w:t>
      </w:r>
    </w:p>
    <w:p>
      <w:pPr>
        <w:pStyle w:val="BodyText"/>
        <w:spacing w:line="316" w:lineRule="auto" w:before="19"/>
        <w:ind w:left="453" w:right="94" w:hanging="301"/>
        <w:jc w:val="left"/>
      </w:pPr>
      <w:r>
        <w:rPr/>
        <w:t>励，提升公司工作效率及经营效益；公司董事、监事及高级管理人员的聘任及薪酬情况公开、透明，符合法律法规的规定。 </w:t>
      </w:r>
      <w:r>
        <w:rPr>
          <w:rFonts w:ascii="宋体" w:hAnsi="宋体" w:cs="宋体" w:eastAsia="宋体" w:hint="default"/>
        </w:rPr>
        <w:t>5</w:t>
      </w:r>
      <w:r>
        <w:rPr/>
        <w:t>、关于信息披露与透明度 公司根据《深圳证券交易所股票上市规则》、《公司章程》、《公司信息披露管理办法》等规定，认真履行信息披露义</w:t>
      </w:r>
    </w:p>
    <w:p>
      <w:pPr>
        <w:pStyle w:val="BodyText"/>
        <w:spacing w:line="316" w:lineRule="auto" w:before="19"/>
        <w:ind w:right="192"/>
        <w:jc w:val="both"/>
      </w:pPr>
      <w:r>
        <w:rPr>
          <w:spacing w:val="-2"/>
        </w:rPr>
        <w:t>务，真实、准确、及时、完整地披露信息，确保公司所有股东公平的获得公司相关信息。公司指定《证券时报》《中国证券</w:t>
      </w:r>
      <w:r>
        <w:rPr>
          <w:spacing w:val="-68"/>
        </w:rPr>
        <w:t> </w:t>
      </w:r>
      <w:r>
        <w:rPr>
          <w:spacing w:val="-68"/>
        </w:rPr>
      </w:r>
      <w:r>
        <w:rPr>
          <w:spacing w:val="-2"/>
        </w:rPr>
        <w:t>报》和巨潮资讯网</w:t>
      </w:r>
      <w:hyperlink r:id="rId18">
        <w:r>
          <w:rPr>
            <w:rFonts w:ascii="宋体" w:hAnsi="宋体" w:cs="宋体" w:eastAsia="宋体" w:hint="default"/>
            <w:spacing w:val="-2"/>
          </w:rPr>
          <w:t>http://www.cninfo.com.cn</w:t>
        </w:r>
        <w:r>
          <w:rPr>
            <w:spacing w:val="-2"/>
          </w:rPr>
          <w:t>为公司信息披露的报纸和网站</w:t>
        </w:r>
      </w:hyperlink>
      <w:r>
        <w:rPr>
          <w:spacing w:val="-2"/>
        </w:rPr>
        <w:t>，同时还努力通过不同的方式加强投资者的沟通</w:t>
      </w:r>
      <w:r>
        <w:rPr>
          <w:spacing w:val="-50"/>
        </w:rPr>
        <w:t> </w:t>
      </w:r>
      <w:r>
        <w:rPr>
          <w:spacing w:val="-50"/>
        </w:rPr>
      </w:r>
      <w:r>
        <w:rPr/>
        <w:t>与互动，具体方式有：投资者来访接待、参观、网站的建设，对外的电话专线以保持与投资者的良好沟通和透明度。</w:t>
      </w:r>
    </w:p>
    <w:p>
      <w:pPr>
        <w:pStyle w:val="BodyText"/>
        <w:spacing w:line="240" w:lineRule="auto" w:before="60"/>
        <w:ind w:right="0"/>
        <w:jc w:val="both"/>
      </w:pPr>
      <w:r>
        <w:rPr/>
        <w:t>公司治理的实际状况与中国证监会发布的有关上市公司治理的规范性文件是否存在重大差异</w:t>
      </w:r>
    </w:p>
    <w:p>
      <w:pPr>
        <w:pStyle w:val="BodyText"/>
        <w:spacing w:line="360" w:lineRule="auto" w:before="115"/>
        <w:ind w:right="2614"/>
        <w:jc w:val="left"/>
      </w:pPr>
      <w:r>
        <w:rPr/>
        <w:t>□ 是 √</w:t>
      </w:r>
      <w:r>
        <w:rPr>
          <w:spacing w:val="3"/>
        </w:rPr>
        <w:t> </w:t>
      </w:r>
      <w:r>
        <w:rPr/>
        <w:t>否</w:t>
      </w:r>
      <w:r>
        <w:rPr/>
        <w:t> 公司治理的实际状况与中国证监会发布的有关上市公司治理的规范性文件不存在重大差异。</w:t>
      </w:r>
    </w:p>
    <w:p>
      <w:pPr>
        <w:spacing w:line="240" w:lineRule="auto" w:before="7"/>
        <w:rPr>
          <w:rFonts w:ascii="宋体" w:hAnsi="宋体" w:cs="宋体" w:eastAsia="宋体" w:hint="default"/>
          <w:sz w:val="12"/>
          <w:szCs w:val="12"/>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不适用</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t>□ 适用 √</w:t>
      </w:r>
      <w:r>
        <w:rPr>
          <w:spacing w:val="3"/>
        </w:rPr>
        <w:t> </w:t>
      </w:r>
      <w:r>
        <w:rPr/>
        <w:t>不适用</w:t>
      </w:r>
    </w:p>
    <w:p>
      <w:pPr>
        <w:spacing w:after="0" w:line="240" w:lineRule="auto"/>
        <w:jc w:val="both"/>
        <w:sectPr>
          <w:pgSz w:w="11910" w:h="16840"/>
          <w:pgMar w:header="781" w:footer="979" w:top="1080" w:bottom="1160" w:left="980" w:right="940"/>
        </w:sectPr>
      </w:pPr>
    </w:p>
    <w:p>
      <w:pPr>
        <w:spacing w:line="240" w:lineRule="auto" w:before="8"/>
        <w:rPr>
          <w:rFonts w:ascii="宋体" w:hAnsi="宋体" w:cs="宋体" w:eastAsia="宋体" w:hint="default"/>
          <w:sz w:val="21"/>
          <w:szCs w:val="21"/>
        </w:rPr>
      </w:pPr>
    </w:p>
    <w:p>
      <w:pPr>
        <w:pStyle w:val="Heading2"/>
        <w:spacing w:line="367" w:lineRule="exact"/>
        <w:ind w:right="3012"/>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1731"/>
        <w:gridCol w:w="1227"/>
        <w:gridCol w:w="1478"/>
        <w:gridCol w:w="1476"/>
        <w:gridCol w:w="1478"/>
        <w:gridCol w:w="2307"/>
      </w:tblGrid>
      <w:tr>
        <w:trPr>
          <w:trHeight w:val="403"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年度股东大会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sz w:val="18"/>
              </w:rPr>
              <w:t>0.11%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15</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05</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15</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hyperlink r:id="rId13">
              <w:r>
                <w:rPr>
                  <w:rFonts w:ascii="宋体"/>
                  <w:sz w:val="18"/>
                </w:rPr>
                <w:t>http://www.cninfo.com.cn/</w:t>
              </w:r>
            </w:hyperlink>
          </w:p>
        </w:tc>
      </w:tr>
      <w:tr>
        <w:trPr>
          <w:trHeight w:val="715"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70" w:right="24" w:hanging="745"/>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年第一次临时股 东</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 w:right="0"/>
              <w:jc w:val="center"/>
              <w:rPr>
                <w:rFonts w:ascii="宋体" w:hAnsi="宋体" w:cs="宋体" w:eastAsia="宋体" w:hint="default"/>
                <w:sz w:val="18"/>
                <w:szCs w:val="18"/>
              </w:rPr>
            </w:pPr>
            <w:r>
              <w:rPr>
                <w:rFonts w:ascii="宋体"/>
                <w:sz w:val="18"/>
              </w:rPr>
              <w:t>0.01%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07</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06</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hyperlink r:id="rId13">
              <w:r>
                <w:rPr>
                  <w:rFonts w:ascii="宋体"/>
                  <w:sz w:val="18"/>
                </w:rPr>
                <w:t>http://www.cninfo.com.cn/</w:t>
              </w:r>
            </w:hyperlink>
          </w:p>
        </w:tc>
      </w:tr>
      <w:tr>
        <w:trPr>
          <w:trHeight w:val="713"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770" w:right="24" w:hanging="745"/>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年第二次临时股 东</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 w:right="0"/>
              <w:jc w:val="center"/>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8"/>
                <w:sz w:val="18"/>
                <w:szCs w:val="18"/>
              </w:rPr>
              <w:t> </w:t>
            </w:r>
            <w:r>
              <w:rPr>
                <w:rFonts w:ascii="宋体" w:hAnsi="宋体" w:cs="宋体" w:eastAsia="宋体" w:hint="default"/>
                <w:sz w:val="18"/>
                <w:szCs w:val="18"/>
              </w:rPr>
              <w:t>日</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hyperlink r:id="rId13">
              <w:r>
                <w:rPr>
                  <w:rFonts w:ascii="宋体"/>
                  <w:sz w:val="18"/>
                </w:rPr>
                <w:t>http://www.cninfo.com.cn/</w:t>
              </w:r>
            </w:hyperlink>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301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3"/>
        <w:rPr>
          <w:rFonts w:ascii="宋体" w:hAnsi="宋体" w:cs="宋体" w:eastAsia="宋体" w:hint="default"/>
          <w:sz w:val="19"/>
          <w:szCs w:val="19"/>
        </w:rPr>
      </w:pPr>
    </w:p>
    <w:p>
      <w:pPr>
        <w:pStyle w:val="Heading2"/>
        <w:spacing w:line="240" w:lineRule="auto"/>
        <w:ind w:right="3012"/>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1647"/>
        <w:gridCol w:w="1342"/>
        <w:gridCol w:w="1342"/>
        <w:gridCol w:w="1342"/>
        <w:gridCol w:w="1342"/>
        <w:gridCol w:w="1342"/>
        <w:gridCol w:w="1342"/>
      </w:tblGrid>
      <w:tr>
        <w:trPr>
          <w:trHeight w:val="401"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6"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5" w:right="3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87" w:right="34"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4" w:right="35"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赵战生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李涛</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杨成铭</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7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r>
    </w:tbl>
    <w:p>
      <w:pPr>
        <w:pStyle w:val="BodyText"/>
        <w:spacing w:line="357" w:lineRule="auto" w:before="49"/>
        <w:ind w:right="7074"/>
        <w:jc w:val="left"/>
      </w:pPr>
      <w:r>
        <w:rPr/>
        <w:t>连续两次未亲自出席董事会的说明 不适用</w:t>
      </w:r>
    </w:p>
    <w:p>
      <w:pPr>
        <w:spacing w:line="240" w:lineRule="auto" w:before="5"/>
        <w:rPr>
          <w:rFonts w:ascii="宋体" w:hAnsi="宋体" w:cs="宋体" w:eastAsia="宋体" w:hint="default"/>
          <w:sz w:val="15"/>
          <w:szCs w:val="15"/>
        </w:rPr>
      </w:pPr>
    </w:p>
    <w:p>
      <w:pPr>
        <w:pStyle w:val="Heading3"/>
        <w:spacing w:line="240" w:lineRule="auto"/>
        <w:ind w:right="301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独立董事对公司有关事项是否提出异议</w:t>
      </w:r>
    </w:p>
    <w:p>
      <w:pPr>
        <w:pStyle w:val="BodyText"/>
        <w:spacing w:line="357" w:lineRule="auto" w:before="117"/>
        <w:ind w:right="5994"/>
        <w:jc w:val="left"/>
      </w:pPr>
      <w:r>
        <w:rPr/>
        <w:t>□ 是 √</w:t>
      </w:r>
      <w:r>
        <w:rPr>
          <w:spacing w:val="3"/>
        </w:rPr>
        <w:t> </w:t>
      </w:r>
      <w:r>
        <w:rPr/>
        <w:t>否</w:t>
      </w:r>
      <w:r>
        <w:rPr/>
        <w:t> 报告期内独立董事对公司有关事项未提出异议。</w:t>
      </w:r>
    </w:p>
    <w:p>
      <w:pPr>
        <w:spacing w:line="240" w:lineRule="auto" w:before="5"/>
        <w:rPr>
          <w:rFonts w:ascii="宋体" w:hAnsi="宋体" w:cs="宋体" w:eastAsia="宋体" w:hint="default"/>
          <w:sz w:val="15"/>
          <w:szCs w:val="15"/>
        </w:rPr>
      </w:pPr>
    </w:p>
    <w:p>
      <w:pPr>
        <w:pStyle w:val="Heading3"/>
        <w:spacing w:line="240" w:lineRule="auto"/>
        <w:ind w:right="301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独立董事对公司有关建议是否被采纳</w:t>
      </w:r>
    </w:p>
    <w:p>
      <w:pPr>
        <w:pStyle w:val="BodyText"/>
        <w:spacing w:line="360" w:lineRule="auto" w:before="115"/>
        <w:ind w:right="5814"/>
        <w:jc w:val="left"/>
      </w:pPr>
      <w:r>
        <w:rPr/>
        <w:t>√ 是 □</w:t>
      </w:r>
      <w:r>
        <w:rPr>
          <w:spacing w:val="3"/>
        </w:rPr>
        <w:t> </w:t>
      </w:r>
      <w:r>
        <w:rPr/>
        <w:t>否</w:t>
      </w:r>
      <w:r>
        <w:rPr/>
        <w:t> 独立董事对公司有关建议被采纳或未被采纳的说明</w:t>
      </w:r>
    </w:p>
    <w:p>
      <w:pPr>
        <w:pStyle w:val="BodyText"/>
        <w:spacing w:line="240" w:lineRule="auto" w:before="27"/>
        <w:ind w:left="532" w:right="0"/>
        <w:jc w:val="left"/>
      </w:pPr>
      <w:r>
        <w:rPr/>
        <w:t>报告期内，公司独立董事恪尽职守、廉洁自律、忠实勤勉、依法严格履行了职责，独立、客观的发表意见。定期了解</w:t>
      </w:r>
    </w:p>
    <w:p>
      <w:pPr>
        <w:spacing w:after="0" w:line="240" w:lineRule="auto"/>
        <w:jc w:val="left"/>
        <w:sectPr>
          <w:pgSz w:w="11910" w:h="16840"/>
          <w:pgMar w:header="781" w:footer="979" w:top="1080" w:bottom="1160" w:left="980" w:right="980"/>
        </w:sectPr>
      </w:pPr>
    </w:p>
    <w:p>
      <w:pPr>
        <w:spacing w:line="240" w:lineRule="auto" w:before="10"/>
        <w:rPr>
          <w:rFonts w:ascii="宋体" w:hAnsi="宋体" w:cs="宋体" w:eastAsia="宋体" w:hint="default"/>
          <w:sz w:val="23"/>
          <w:szCs w:val="23"/>
        </w:rPr>
      </w:pPr>
    </w:p>
    <w:p>
      <w:pPr>
        <w:pStyle w:val="BodyText"/>
        <w:spacing w:line="316" w:lineRule="auto" w:before="44"/>
        <w:ind w:right="190"/>
        <w:jc w:val="both"/>
      </w:pPr>
      <w:r>
        <w:rPr>
          <w:spacing w:val="-2"/>
        </w:rPr>
        <w:t>和听取公司经营情况的汇报，对公司的重大决策提供专业性意见，对公司重大经营活动进行了有效监督，保证了公司决策的</w:t>
      </w:r>
      <w:r>
        <w:rPr>
          <w:spacing w:val="-63"/>
        </w:rPr>
        <w:t> </w:t>
      </w:r>
      <w:r>
        <w:rPr>
          <w:spacing w:val="-63"/>
        </w:rPr>
      </w:r>
      <w:r>
        <w:rPr>
          <w:spacing w:val="-2"/>
        </w:rPr>
        <w:t>科学性。对公司发生的重大事项进行审核并发表了独立意见。为完善公司监督机制，维护公司和全体股东的合法权益发挥了</w:t>
      </w:r>
      <w:r>
        <w:rPr>
          <w:spacing w:val="-66"/>
        </w:rPr>
        <w:t> </w:t>
      </w:r>
      <w:r>
        <w:rPr>
          <w:spacing w:val="-66"/>
        </w:rPr>
      </w:r>
      <w:r>
        <w:rPr/>
        <w:t>应有的作用。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left="513" w:right="102"/>
        <w:jc w:val="left"/>
      </w:pPr>
      <w:r>
        <w:rPr/>
        <w:t>公司董事会下设审计委员会、战略与发展委员会、提名委员会及薪酬与考核委员会四个专门委员会。 </w:t>
      </w:r>
      <w:r>
        <w:rPr>
          <w:rFonts w:ascii="宋体" w:hAnsi="宋体" w:cs="宋体" w:eastAsia="宋体" w:hint="default"/>
        </w:rPr>
        <w:t>1</w:t>
      </w:r>
      <w:r>
        <w:rPr/>
        <w:t>、董事会审计委员会 </w:t>
      </w:r>
      <w:r>
        <w:rPr>
          <w:spacing w:val="-2"/>
        </w:rPr>
        <w:t>报告期内，公司审计委员会严格按照《审计委员会工作细则》的相关要求，对公司全年生产经营情况和重大事项进展情</w:t>
      </w:r>
    </w:p>
    <w:p>
      <w:pPr>
        <w:pStyle w:val="BodyText"/>
        <w:spacing w:line="319" w:lineRule="auto" w:before="19"/>
        <w:ind w:right="102"/>
        <w:jc w:val="left"/>
      </w:pPr>
      <w:r>
        <w:rPr>
          <w:spacing w:val="-2"/>
        </w:rPr>
        <w:t>况的进行了监控，对年度审计工作进行安排，并就审计过程中发现的问题与相关人员进行有效沟通切实履行了审计委员会工</w:t>
      </w:r>
      <w:r>
        <w:rPr>
          <w:spacing w:val="-64"/>
        </w:rPr>
        <w:t> </w:t>
      </w:r>
      <w:r>
        <w:rPr>
          <w:spacing w:val="-64"/>
        </w:rPr>
      </w:r>
      <w:r>
        <w:rPr/>
        <w:t>作职责。</w:t>
      </w:r>
    </w:p>
    <w:p>
      <w:pPr>
        <w:pStyle w:val="BodyText"/>
        <w:spacing w:line="360" w:lineRule="auto" w:before="17"/>
        <w:ind w:left="513" w:right="93"/>
        <w:jc w:val="left"/>
      </w:pPr>
      <w:r>
        <w:rPr>
          <w:rFonts w:ascii="宋体" w:hAnsi="宋体" w:cs="宋体" w:eastAsia="宋体" w:hint="default"/>
        </w:rPr>
        <w:t>2</w:t>
      </w:r>
      <w:r>
        <w:rPr/>
        <w:t>、董事会战略发展委员会 报告期内，董事会战略委员会严格按照《战略发展委员会工作细则》的相关要求，积极开展相关工作，认真履行职责。</w:t>
      </w:r>
    </w:p>
    <w:p>
      <w:pPr>
        <w:pStyle w:val="BodyText"/>
        <w:spacing w:line="222" w:lineRule="exact"/>
        <w:ind w:right="0"/>
        <w:jc w:val="both"/>
      </w:pPr>
      <w:r>
        <w:rPr/>
        <w:t>董事会战略委员会委员对公司中长期发展战略和重大投资决策与公司管理层保持日常沟通，了解公司运营情况，实地考察公</w:t>
      </w:r>
    </w:p>
    <w:p>
      <w:pPr>
        <w:pStyle w:val="BodyText"/>
        <w:spacing w:line="316" w:lineRule="auto" w:before="76"/>
        <w:ind w:right="102"/>
        <w:jc w:val="left"/>
      </w:pPr>
      <w:r>
        <w:rPr>
          <w:spacing w:val="-2"/>
        </w:rPr>
        <w:t>司基本面。报告期内公司战略发展委员会严格按照就公司中长期战略规划及对外投资，对其他影响公司发展的重大事项进行</w:t>
      </w:r>
      <w:r>
        <w:rPr>
          <w:spacing w:val="-62"/>
        </w:rPr>
        <w:t> </w:t>
      </w:r>
      <w:r>
        <w:rPr>
          <w:spacing w:val="-62"/>
        </w:rPr>
      </w:r>
      <w:r>
        <w:rPr/>
        <w:t>研究并提出建议，进一步提高公司战略决策的合理性和科学性。</w:t>
      </w:r>
    </w:p>
    <w:p>
      <w:pPr>
        <w:pStyle w:val="BodyText"/>
        <w:spacing w:line="316" w:lineRule="auto" w:before="59"/>
        <w:ind w:left="515" w:right="102" w:hanging="3"/>
        <w:jc w:val="left"/>
      </w:pPr>
      <w:r>
        <w:rPr>
          <w:rFonts w:ascii="宋体" w:hAnsi="宋体" w:cs="宋体" w:eastAsia="宋体" w:hint="default"/>
        </w:rPr>
        <w:t>3</w:t>
      </w:r>
      <w:r>
        <w:rPr/>
        <w:t>、董事会提名委员会 </w:t>
      </w:r>
      <w:r>
        <w:rPr>
          <w:spacing w:val="-2"/>
        </w:rPr>
        <w:t>报告期内，董事会提名委员会依照相关法规及《公司章程》及《董事会提名委员会议事规则》的规定，积极履行了职责</w:t>
      </w:r>
    </w:p>
    <w:p>
      <w:pPr>
        <w:pStyle w:val="BodyText"/>
        <w:spacing w:line="316" w:lineRule="auto" w:before="19"/>
        <w:ind w:left="513" w:right="5494" w:hanging="361"/>
        <w:jc w:val="left"/>
      </w:pPr>
      <w:r>
        <w:rPr/>
        <w:t>对公司董事、高级管理人员的选聘上发挥积极的作用。 </w:t>
      </w:r>
      <w:r>
        <w:rPr>
          <w:rFonts w:ascii="宋体" w:hAnsi="宋体" w:cs="宋体" w:eastAsia="宋体" w:hint="default"/>
        </w:rPr>
        <w:t>4</w:t>
      </w:r>
      <w:r>
        <w:rPr/>
        <w:t>、董事会薪酬与考核委员会</w:t>
      </w:r>
    </w:p>
    <w:p>
      <w:pPr>
        <w:pStyle w:val="BodyText"/>
        <w:spacing w:line="316" w:lineRule="auto" w:before="19"/>
        <w:ind w:right="190" w:firstLine="362"/>
        <w:jc w:val="both"/>
      </w:pPr>
      <w:r>
        <w:rPr>
          <w:spacing w:val="-2"/>
        </w:rPr>
        <w:t>报告期内，公司薪酬与考核委员会按照其工作细则的相关要求，对公司董事和高级管理人员进行考核，根据公司各个董</w:t>
      </w:r>
      <w:r>
        <w:rPr/>
        <w:t> </w:t>
      </w:r>
      <w:r>
        <w:rPr>
          <w:spacing w:val="-2"/>
        </w:rPr>
        <w:t>事和高级管理人员所负责的工作范围、重要程度等因素，对考核和评价标准提出建议，促进公司在规范运作的基础上，进一</w:t>
      </w:r>
      <w:r>
        <w:rPr>
          <w:spacing w:val="-64"/>
        </w:rPr>
        <w:t> </w:t>
      </w:r>
      <w:r>
        <w:rPr>
          <w:spacing w:val="-64"/>
        </w:rPr>
      </w:r>
      <w:r>
        <w:rPr/>
        <w:t>步提高在薪酬考核方面的科学性。</w:t>
      </w:r>
    </w:p>
    <w:p>
      <w:pPr>
        <w:spacing w:line="240" w:lineRule="auto" w:before="0"/>
        <w:rPr>
          <w:rFonts w:ascii="宋体" w:hAnsi="宋体" w:cs="宋体" w:eastAsia="宋体" w:hint="default"/>
          <w:sz w:val="15"/>
          <w:szCs w:val="15"/>
        </w:rPr>
      </w:pPr>
    </w:p>
    <w:p>
      <w:pPr>
        <w:pStyle w:val="Heading2"/>
        <w:spacing w:line="240" w:lineRule="auto"/>
        <w:ind w:right="0"/>
        <w:jc w:val="both"/>
        <w:rPr>
          <w:b w:val="0"/>
          <w:bCs w:val="0"/>
        </w:rPr>
      </w:pPr>
      <w:r>
        <w:rPr/>
        <w:t>七、监事会工作情况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both"/>
      </w:pPr>
      <w:r>
        <w:rPr/>
        <w:t>监事会在报告期内的监督活动是否发现公司存在风险</w:t>
      </w:r>
    </w:p>
    <w:p>
      <w:pPr>
        <w:pStyle w:val="BodyText"/>
        <w:spacing w:line="357" w:lineRule="auto" w:before="117"/>
        <w:ind w:right="6394"/>
        <w:jc w:val="left"/>
      </w:pPr>
      <w:r>
        <w:rPr/>
        <w:t>□ 是 √</w:t>
      </w:r>
      <w:r>
        <w:rPr>
          <w:spacing w:val="3"/>
        </w:rPr>
        <w:t> </w:t>
      </w:r>
      <w:r>
        <w:rPr/>
        <w:t>否</w:t>
      </w:r>
      <w:r>
        <w:rPr/>
        <w:t> 公司监事会对报告期内的监督事项无异议。</w:t>
      </w:r>
    </w:p>
    <w:p>
      <w:pPr>
        <w:spacing w:line="240" w:lineRule="auto" w:before="9"/>
        <w:rPr>
          <w:rFonts w:ascii="宋体" w:hAnsi="宋体" w:cs="宋体" w:eastAsia="宋体" w:hint="default"/>
          <w:sz w:val="12"/>
          <w:szCs w:val="12"/>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94" w:firstLine="360"/>
        <w:jc w:val="left"/>
      </w:pPr>
      <w:r>
        <w:rPr>
          <w:spacing w:val="-2"/>
        </w:rPr>
        <w:t>根据《公司薪酬与考核委员会实施细则》规定，公司高级管理人员的报酬由董事会薪酬与考核委员会提出方案，经公司</w:t>
      </w:r>
      <w:r>
        <w:rPr/>
        <w:t> </w:t>
      </w:r>
      <w:r>
        <w:rPr>
          <w:spacing w:val="-2"/>
        </w:rPr>
        <w:t>董事会审议批准执行。目前，公司高级管理人员以基本薪资和绩效考核的形式获得薪酬。报告期内，公司高级管理人员能够</w:t>
      </w:r>
      <w:r>
        <w:rPr>
          <w:spacing w:val="-64"/>
        </w:rPr>
        <w:t> </w:t>
      </w:r>
      <w:r>
        <w:rPr>
          <w:spacing w:val="-64"/>
        </w:rPr>
      </w:r>
      <w:r>
        <w:rPr/>
        <w:t>认真履行职责，积极落实公司股东大会和董事会相关决议，在董事会的正确指导下积极调整经营思路，不断加强内部管理， 较好地完成了本年度的各项任务。公司各项考评及激励机制、相关奖励制度执行情况良好，起到了应有的激励和约束作用。</w:t>
      </w:r>
    </w:p>
    <w:p>
      <w:pPr>
        <w:spacing w:line="240" w:lineRule="auto" w:before="0"/>
        <w:rPr>
          <w:rFonts w:ascii="宋体" w:hAnsi="宋体" w:cs="宋体" w:eastAsia="宋体" w:hint="default"/>
          <w:sz w:val="15"/>
          <w:szCs w:val="15"/>
        </w:rPr>
      </w:pPr>
    </w:p>
    <w:p>
      <w:pPr>
        <w:pStyle w:val="Heading2"/>
        <w:spacing w:line="240" w:lineRule="auto"/>
        <w:ind w:right="0"/>
        <w:jc w:val="both"/>
        <w:rPr>
          <w:b w:val="0"/>
          <w:bCs w:val="0"/>
        </w:rPr>
      </w:pPr>
      <w:r>
        <w:rPr/>
        <w:t>九、内部控制评价报告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 是 √</w:t>
      </w:r>
      <w:r>
        <w:rPr>
          <w:spacing w:val="3"/>
        </w:rPr>
        <w:t> </w:t>
      </w:r>
      <w:r>
        <w:rPr/>
        <w:t>否</w:t>
      </w:r>
    </w:p>
    <w:p>
      <w:pPr>
        <w:spacing w:after="0" w:line="240" w:lineRule="auto"/>
        <w:jc w:val="both"/>
        <w:sectPr>
          <w:pgSz w:w="11910" w:h="16840"/>
          <w:pgMar w:header="781" w:footer="979" w:top="1080" w:bottom="1160" w:left="980" w:right="94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5"/>
                <w:sz w:val="18"/>
                <w:szCs w:val="18"/>
              </w:rPr>
              <w:t>巨潮资讯网（</w:t>
            </w:r>
            <w:hyperlink r:id="rId13">
              <w:r>
                <w:rPr>
                  <w:rFonts w:ascii="宋体" w:hAnsi="宋体" w:cs="宋体" w:eastAsia="宋体" w:hint="default"/>
                  <w:spacing w:val="-5"/>
                  <w:sz w:val="18"/>
                  <w:szCs w:val="18"/>
                </w:rPr>
                <w:t>www.cninfo.com.cn</w:t>
              </w:r>
            </w:hyperlink>
            <w:r>
              <w:rPr>
                <w:rFonts w:ascii="宋体" w:hAnsi="宋体" w:cs="宋体" w:eastAsia="宋体" w:hint="default"/>
                <w:spacing w:val="-5"/>
                <w:sz w:val="18"/>
                <w:szCs w:val="18"/>
              </w:rPr>
              <w:t>）《北京北信源软件股份有限公司</w:t>
            </w:r>
            <w:r>
              <w:rPr>
                <w:rFonts w:ascii="宋体" w:hAnsi="宋体" w:cs="宋体" w:eastAsia="宋体" w:hint="default"/>
                <w:spacing w:val="-34"/>
                <w:sz w:val="18"/>
                <w:szCs w:val="18"/>
              </w:rPr>
              <w:t> </w:t>
            </w:r>
            <w:r>
              <w:rPr>
                <w:rFonts w:ascii="宋体" w:hAnsi="宋体" w:cs="宋体" w:eastAsia="宋体" w:hint="default"/>
                <w:sz w:val="18"/>
                <w:szCs w:val="18"/>
              </w:rPr>
              <w:t>2015</w:t>
            </w:r>
            <w:r>
              <w:rPr>
                <w:rFonts w:ascii="宋体" w:hAnsi="宋体" w:cs="宋体" w:eastAsia="宋体" w:hint="default"/>
                <w:spacing w:val="-33"/>
                <w:sz w:val="18"/>
                <w:szCs w:val="18"/>
              </w:rPr>
              <w:t> </w:t>
            </w:r>
            <w:r>
              <w:rPr>
                <w:rFonts w:ascii="宋体" w:hAnsi="宋体" w:cs="宋体" w:eastAsia="宋体" w:hint="default"/>
                <w:spacing w:val="-1"/>
                <w:sz w:val="18"/>
                <w:szCs w:val="18"/>
              </w:rPr>
              <w:t>年度内部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控制自我评价报告》</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4" w:space="0" w:color="000000"/>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7"/>
              <w:jc w:val="both"/>
              <w:rPr>
                <w:rFonts w:ascii="宋体" w:hAnsi="宋体" w:cs="宋体" w:eastAsia="宋体" w:hint="default"/>
                <w:sz w:val="18"/>
                <w:szCs w:val="18"/>
              </w:rPr>
            </w:pPr>
            <w:r>
              <w:rPr>
                <w:rFonts w:ascii="宋体" w:hAnsi="宋体" w:cs="宋体" w:eastAsia="宋体" w:hint="default"/>
                <w:sz w:val="18"/>
                <w:szCs w:val="18"/>
              </w:rPr>
              <w:t>重大缺陷：控制环境失效；董事、监事和 高级管理人员滥用职权及舞弊；</w:t>
            </w:r>
            <w:r>
              <w:rPr>
                <w:rFonts w:ascii="宋体" w:hAnsi="宋体" w:cs="宋体" w:eastAsia="宋体" w:hint="default"/>
                <w:spacing w:val="-61"/>
                <w:sz w:val="18"/>
                <w:szCs w:val="18"/>
              </w:rPr>
              <w:t> </w:t>
            </w:r>
            <w:r>
              <w:rPr>
                <w:rFonts w:ascii="宋体" w:hAnsi="宋体" w:cs="宋体" w:eastAsia="宋体" w:hint="default"/>
                <w:sz w:val="18"/>
                <w:szCs w:val="18"/>
              </w:rPr>
              <w:t>内部控制</w:t>
            </w:r>
            <w:r>
              <w:rPr>
                <w:rFonts w:ascii="宋体" w:hAnsi="宋体" w:cs="宋体" w:eastAsia="宋体" w:hint="default"/>
                <w:sz w:val="18"/>
                <w:szCs w:val="18"/>
              </w:rPr>
              <w:t> 在运行过程中未能发现当期财务报告存在 重大错报；企业审计委员会和内部审计机 构对内部控制的监督无效。重要缺陷：未 依照公认会计准则选择和应用会计政策； 未建立反舞弊程序和控制措施；对于非常 规或特殊交易的账务处理没有建立相应的 控制机制或没有实施且没有相应的补偿性 控制；对于期末财务报告过程的控制存在 一项或多项缺陷且不能合理保证编制的财 </w:t>
            </w:r>
            <w:r>
              <w:rPr>
                <w:rFonts w:ascii="宋体" w:hAnsi="宋体" w:cs="宋体" w:eastAsia="宋体" w:hint="default"/>
                <w:spacing w:val="-3"/>
                <w:sz w:val="18"/>
                <w:szCs w:val="18"/>
              </w:rPr>
              <w:t>务报表达到真实、完整、准确的目标。</w:t>
            </w:r>
            <w:r>
              <w:rPr>
                <w:rFonts w:ascii="宋体" w:hAnsi="宋体" w:cs="宋体" w:eastAsia="宋体" w:hint="default"/>
                <w:spacing w:val="-13"/>
                <w:sz w:val="18"/>
                <w:szCs w:val="18"/>
              </w:rPr>
              <w:t> </w:t>
            </w:r>
            <w:r>
              <w:rPr>
                <w:rFonts w:ascii="宋体" w:hAnsi="宋体" w:cs="宋体" w:eastAsia="宋体" w:hint="default"/>
                <w:sz w:val="18"/>
                <w:szCs w:val="18"/>
              </w:rPr>
              <w:t>一</w:t>
            </w:r>
            <w:r>
              <w:rPr>
                <w:rFonts w:ascii="宋体" w:hAnsi="宋体" w:cs="宋体" w:eastAsia="宋体" w:hint="default"/>
                <w:sz w:val="18"/>
                <w:szCs w:val="18"/>
              </w:rPr>
              <w:t> 般缺陷：不构成重大缺陷或重要缺陷的其 他内部控制缺陷。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44"/>
              <w:jc w:val="left"/>
              <w:rPr>
                <w:rFonts w:ascii="宋体" w:hAnsi="宋体" w:cs="宋体" w:eastAsia="宋体" w:hint="default"/>
                <w:sz w:val="18"/>
                <w:szCs w:val="18"/>
              </w:rPr>
            </w:pPr>
            <w:r>
              <w:rPr>
                <w:rFonts w:ascii="宋体" w:hAnsi="宋体" w:cs="宋体" w:eastAsia="宋体" w:hint="default"/>
                <w:sz w:val="18"/>
                <w:szCs w:val="18"/>
              </w:rPr>
              <w:t>重大缺陷的认定标准</w:t>
            </w:r>
            <w:r>
              <w:rPr>
                <w:rFonts w:ascii="宋体" w:hAnsi="宋体" w:cs="宋体" w:eastAsia="宋体" w:hint="default"/>
                <w:spacing w:val="1"/>
                <w:sz w:val="18"/>
                <w:szCs w:val="18"/>
              </w:rPr>
              <w:t> </w:t>
            </w:r>
            <w:r>
              <w:rPr>
                <w:rFonts w:ascii="宋体" w:hAnsi="宋体" w:cs="宋体" w:eastAsia="宋体" w:hint="default"/>
                <w:sz w:val="18"/>
                <w:szCs w:val="18"/>
              </w:rPr>
              <w:t>：严重违反法律</w:t>
            </w:r>
            <w:r>
              <w:rPr>
                <w:rFonts w:ascii="宋体" w:hAnsi="宋体" w:cs="宋体" w:eastAsia="宋体" w:hint="default"/>
                <w:sz w:val="18"/>
                <w:szCs w:val="18"/>
              </w:rPr>
              <w:t> </w:t>
            </w:r>
            <w:r>
              <w:rPr>
                <w:rFonts w:ascii="宋体" w:hAnsi="宋体" w:cs="宋体" w:eastAsia="宋体" w:hint="default"/>
                <w:spacing w:val="-5"/>
                <w:sz w:val="18"/>
                <w:szCs w:val="18"/>
              </w:rPr>
              <w:t>法规；决策程序导致重大失误</w:t>
            </w:r>
            <w:r>
              <w:rPr>
                <w:rFonts w:ascii="宋体" w:hAnsi="宋体" w:cs="宋体" w:eastAsia="宋体" w:hint="default"/>
                <w:spacing w:val="-5"/>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持续经</w:t>
            </w:r>
            <w:r>
              <w:rPr>
                <w:rFonts w:ascii="宋体" w:hAnsi="宋体" w:cs="宋体" w:eastAsia="宋体" w:hint="default"/>
                <w:spacing w:val="-88"/>
                <w:sz w:val="18"/>
                <w:szCs w:val="18"/>
              </w:rPr>
              <w:t> </w:t>
            </w:r>
            <w:r>
              <w:rPr>
                <w:rFonts w:ascii="宋体" w:hAnsi="宋体" w:cs="宋体" w:eastAsia="宋体" w:hint="default"/>
                <w:spacing w:val="-4"/>
                <w:sz w:val="18"/>
                <w:szCs w:val="18"/>
              </w:rPr>
              <w:t>营受到挑战；重要业务缺乏制度控制或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系统性失效</w:t>
            </w:r>
            <w:r>
              <w:rPr>
                <w:rFonts w:ascii="宋体" w:hAnsi="宋体" w:cs="宋体" w:eastAsia="宋体" w:hint="default"/>
                <w:sz w:val="18"/>
                <w:szCs w:val="18"/>
              </w:rPr>
              <w:t>,</w:t>
            </w:r>
            <w:r>
              <w:rPr>
                <w:rFonts w:ascii="宋体" w:hAnsi="宋体" w:cs="宋体" w:eastAsia="宋体" w:hint="default"/>
                <w:sz w:val="18"/>
                <w:szCs w:val="18"/>
              </w:rPr>
              <w:t>且缺乏有效的补偿性控 </w:t>
            </w:r>
            <w:r>
              <w:rPr>
                <w:rFonts w:ascii="宋体" w:hAnsi="宋体" w:cs="宋体" w:eastAsia="宋体" w:hint="default"/>
                <w:spacing w:val="-4"/>
                <w:sz w:val="18"/>
                <w:szCs w:val="18"/>
              </w:rPr>
              <w:t>制；中高级管理人员和关键岗位研发人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员流失严重；内部控制评价的结果特别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是重大缺陷未得到整改；其他对公司产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生重大负面影响的情形。重要缺陷的认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定标准：决策程序导致出现一般性失 </w:t>
            </w:r>
            <w:r>
              <w:rPr>
                <w:rFonts w:ascii="宋体" w:hAnsi="宋体" w:cs="宋体" w:eastAsia="宋体" w:hint="default"/>
                <w:spacing w:val="-4"/>
                <w:sz w:val="18"/>
                <w:szCs w:val="18"/>
              </w:rPr>
              <w:t>误；重要业务制度或系统存在缺陷；关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 一般缺陷的认定标准：</w:t>
            </w:r>
            <w:r>
              <w:rPr>
                <w:rFonts w:ascii="宋体" w:hAnsi="宋体" w:cs="宋体" w:eastAsia="宋体" w:hint="default"/>
                <w:spacing w:val="1"/>
                <w:sz w:val="18"/>
                <w:szCs w:val="18"/>
              </w:rPr>
              <w:t> </w:t>
            </w:r>
            <w:r>
              <w:rPr>
                <w:rFonts w:ascii="宋体" w:hAnsi="宋体" w:cs="宋体" w:eastAsia="宋体" w:hint="default"/>
                <w:sz w:val="18"/>
                <w:szCs w:val="18"/>
              </w:rPr>
              <w:t>决策程序效率</w:t>
            </w:r>
            <w:r>
              <w:rPr>
                <w:rFonts w:ascii="宋体" w:hAnsi="宋体" w:cs="宋体" w:eastAsia="宋体" w:hint="default"/>
                <w:sz w:val="18"/>
                <w:szCs w:val="18"/>
              </w:rPr>
              <w:t> 不高；一般业务制度或系统存在缺陷； </w:t>
            </w:r>
            <w:r>
              <w:rPr>
                <w:rFonts w:ascii="宋体" w:hAnsi="宋体" w:cs="宋体" w:eastAsia="宋体" w:hint="default"/>
                <w:spacing w:val="-4"/>
                <w:sz w:val="18"/>
                <w:szCs w:val="18"/>
              </w:rPr>
              <w:t>一般岗位业务人员流失严重；一般缺陷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未得到整改。</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50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03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65"/>
                <w:sz w:val="18"/>
                <w:szCs w:val="18"/>
              </w:rPr>
              <w:t> </w:t>
            </w:r>
            <w:r>
              <w:rPr>
                <w:rFonts w:ascii="宋体" w:hAnsi="宋体" w:cs="宋体" w:eastAsia="宋体" w:hint="default"/>
                <w:sz w:val="18"/>
                <w:szCs w:val="18"/>
              </w:rPr>
              <w:t>5%</w:t>
            </w:r>
            <w:r>
              <w:rPr>
                <w:rFonts w:ascii="宋体" w:hAnsi="宋体" w:cs="宋体" w:eastAsia="宋体" w:hint="default"/>
                <w:sz w:val="18"/>
                <w:szCs w:val="18"/>
              </w:rPr>
              <w:t>作为利润表整体重 要性水平的衡量指标，以净资产的</w:t>
            </w:r>
            <w:r>
              <w:rPr>
                <w:rFonts w:ascii="宋体" w:hAnsi="宋体" w:cs="宋体" w:eastAsia="宋体" w:hint="default"/>
                <w:spacing w:val="-57"/>
                <w:sz w:val="18"/>
                <w:szCs w:val="18"/>
              </w:rPr>
              <w:t> </w:t>
            </w:r>
            <w:r>
              <w:rPr>
                <w:rFonts w:ascii="宋体" w:hAnsi="宋体" w:cs="宋体" w:eastAsia="宋体" w:hint="default"/>
                <w:sz w:val="18"/>
                <w:szCs w:val="18"/>
              </w:rPr>
              <w:t>5%</w:t>
            </w:r>
            <w:r>
              <w:rPr>
                <w:rFonts w:ascii="宋体" w:hAnsi="宋体" w:cs="宋体" w:eastAsia="宋体" w:hint="default"/>
                <w:sz w:val="18"/>
                <w:szCs w:val="18"/>
              </w:rPr>
              <w:t>作为 资产负债表整体重要性水平的衡量指标： 当利润表项目潜在错报金额大于或等于利 润总额的</w:t>
            </w:r>
            <w:r>
              <w:rPr>
                <w:rFonts w:ascii="宋体" w:hAnsi="宋体" w:cs="宋体" w:eastAsia="宋体" w:hint="default"/>
                <w:spacing w:val="-60"/>
                <w:sz w:val="18"/>
                <w:szCs w:val="18"/>
              </w:rPr>
              <w:t> </w:t>
            </w:r>
            <w:r>
              <w:rPr>
                <w:rFonts w:ascii="宋体" w:hAnsi="宋体" w:cs="宋体" w:eastAsia="宋体" w:hint="default"/>
                <w:sz w:val="18"/>
                <w:szCs w:val="18"/>
              </w:rPr>
              <w:t>5%</w:t>
            </w:r>
            <w:r>
              <w:rPr>
                <w:rFonts w:ascii="宋体" w:hAnsi="宋体" w:cs="宋体" w:eastAsia="宋体" w:hint="default"/>
                <w:sz w:val="18"/>
                <w:szCs w:val="18"/>
              </w:rPr>
              <w:t>，或资产负债表项目潜在错报 金额大于或等于净资产的</w:t>
            </w:r>
            <w:r>
              <w:rPr>
                <w:rFonts w:ascii="宋体" w:hAnsi="宋体" w:cs="宋体" w:eastAsia="宋体" w:hint="default"/>
                <w:spacing w:val="-40"/>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时，则认定为</w:t>
            </w:r>
            <w:r>
              <w:rPr>
                <w:rFonts w:ascii="宋体" w:hAnsi="宋体" w:cs="宋体" w:eastAsia="宋体" w:hint="default"/>
                <w:sz w:val="18"/>
                <w:szCs w:val="18"/>
              </w:rPr>
              <w:t> 重大缺陷；</w:t>
            </w:r>
            <w:r>
              <w:rPr>
                <w:rFonts w:ascii="宋体" w:hAnsi="宋体" w:cs="宋体" w:eastAsia="宋体" w:hint="default"/>
                <w:spacing w:val="-64"/>
                <w:sz w:val="18"/>
                <w:szCs w:val="18"/>
              </w:rPr>
              <w:t> </w:t>
            </w:r>
            <w:r>
              <w:rPr>
                <w:rFonts w:ascii="宋体" w:hAnsi="宋体" w:cs="宋体" w:eastAsia="宋体" w:hint="default"/>
                <w:sz w:val="18"/>
                <w:szCs w:val="18"/>
              </w:rPr>
              <w:t>当利润表项目潜在错报金额小</w:t>
            </w:r>
            <w:r>
              <w:rPr>
                <w:rFonts w:ascii="宋体" w:hAnsi="宋体" w:cs="宋体" w:eastAsia="宋体" w:hint="default"/>
                <w:sz w:val="18"/>
                <w:szCs w:val="18"/>
              </w:rPr>
              <w:t> 于利润总额的</w:t>
            </w:r>
            <w:r>
              <w:rPr>
                <w:rFonts w:ascii="宋体" w:hAnsi="宋体" w:cs="宋体" w:eastAsia="宋体" w:hint="default"/>
                <w:spacing w:val="-60"/>
                <w:sz w:val="18"/>
                <w:szCs w:val="18"/>
              </w:rPr>
              <w:t> </w:t>
            </w:r>
            <w:r>
              <w:rPr>
                <w:rFonts w:ascii="宋体" w:hAnsi="宋体" w:cs="宋体" w:eastAsia="宋体" w:hint="default"/>
                <w:sz w:val="18"/>
                <w:szCs w:val="18"/>
              </w:rPr>
              <w:t>5%</w:t>
            </w:r>
            <w:r>
              <w:rPr>
                <w:rFonts w:ascii="宋体" w:hAnsi="宋体" w:cs="宋体" w:eastAsia="宋体" w:hint="default"/>
                <w:sz w:val="18"/>
                <w:szCs w:val="18"/>
              </w:rPr>
              <w:t>，但大于或等于利润总额 的</w:t>
            </w:r>
            <w:r>
              <w:rPr>
                <w:rFonts w:ascii="宋体" w:hAnsi="宋体" w:cs="宋体" w:eastAsia="宋体" w:hint="default"/>
                <w:spacing w:val="-60"/>
                <w:sz w:val="18"/>
                <w:szCs w:val="18"/>
              </w:rPr>
              <w:t> </w:t>
            </w:r>
            <w:r>
              <w:rPr>
                <w:rFonts w:ascii="宋体" w:hAnsi="宋体" w:cs="宋体" w:eastAsia="宋体" w:hint="default"/>
                <w:sz w:val="18"/>
                <w:szCs w:val="18"/>
              </w:rPr>
              <w:t>2%</w:t>
            </w:r>
            <w:r>
              <w:rPr>
                <w:rFonts w:ascii="宋体" w:hAnsi="宋体" w:cs="宋体" w:eastAsia="宋体" w:hint="default"/>
                <w:sz w:val="18"/>
                <w:szCs w:val="18"/>
              </w:rPr>
              <w:t>，或资产负债表项目潜在错报金额小 于净资产的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，但大于或等于净资产的 </w:t>
            </w:r>
            <w:r>
              <w:rPr>
                <w:rFonts w:ascii="宋体" w:hAnsi="宋体" w:cs="宋体" w:eastAsia="宋体" w:hint="default"/>
                <w:sz w:val="18"/>
                <w:szCs w:val="18"/>
              </w:rPr>
              <w:t>2%</w:t>
            </w:r>
            <w:r>
              <w:rPr>
                <w:rFonts w:ascii="宋体" w:hAnsi="宋体" w:cs="宋体" w:eastAsia="宋体" w:hint="default"/>
                <w:sz w:val="18"/>
                <w:szCs w:val="18"/>
              </w:rPr>
              <w:t>， 则认定为重要缺陷；</w:t>
            </w:r>
            <w:r>
              <w:rPr>
                <w:rFonts w:ascii="宋体" w:hAnsi="宋体" w:cs="宋体" w:eastAsia="宋体" w:hint="default"/>
                <w:spacing w:val="-1"/>
                <w:sz w:val="18"/>
                <w:szCs w:val="18"/>
              </w:rPr>
              <w:t> </w:t>
            </w:r>
            <w:r>
              <w:rPr>
                <w:rFonts w:ascii="宋体" w:hAnsi="宋体" w:cs="宋体" w:eastAsia="宋体" w:hint="default"/>
                <w:sz w:val="18"/>
                <w:szCs w:val="18"/>
              </w:rPr>
              <w:t>当利润表项目</w:t>
            </w:r>
            <w:r>
              <w:rPr>
                <w:rFonts w:ascii="宋体" w:hAnsi="宋体" w:cs="宋体" w:eastAsia="宋体" w:hint="default"/>
                <w:sz w:val="18"/>
                <w:szCs w:val="18"/>
              </w:rPr>
              <w:t> 潜在错报金额小于利润总额的</w:t>
            </w:r>
            <w:r>
              <w:rPr>
                <w:rFonts w:ascii="宋体" w:hAnsi="宋体" w:cs="宋体" w:eastAsia="宋体" w:hint="default"/>
                <w:spacing w:val="-42"/>
                <w:sz w:val="18"/>
                <w:szCs w:val="18"/>
              </w:rPr>
              <w:t> </w:t>
            </w:r>
            <w:r>
              <w:rPr>
                <w:rFonts w:ascii="宋体" w:hAnsi="宋体" w:cs="宋体" w:eastAsia="宋体" w:hint="default"/>
                <w:spacing w:val="-3"/>
                <w:sz w:val="18"/>
                <w:szCs w:val="18"/>
              </w:rPr>
              <w:t>2%</w:t>
            </w:r>
            <w:r>
              <w:rPr>
                <w:rFonts w:ascii="宋体" w:hAnsi="宋体" w:cs="宋体" w:eastAsia="宋体" w:hint="default"/>
                <w:spacing w:val="-3"/>
                <w:sz w:val="18"/>
                <w:szCs w:val="18"/>
              </w:rPr>
              <w:t>，资产负</w:t>
            </w:r>
            <w:r>
              <w:rPr>
                <w:rFonts w:ascii="宋体" w:hAnsi="宋体" w:cs="宋体" w:eastAsia="宋体" w:hint="default"/>
                <w:sz w:val="18"/>
                <w:szCs w:val="18"/>
              </w:rPr>
              <w:t> 债表项目潜在错报金额小于净资产的</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时，则认定为一般缺陷。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20"/>
                <w:szCs w:val="20"/>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定量标准与公司确定的财务报告内部 </w:t>
            </w:r>
            <w:r>
              <w:rPr>
                <w:rFonts w:ascii="宋体" w:hAnsi="宋体" w:cs="宋体" w:eastAsia="宋体" w:hint="default"/>
                <w:spacing w:val="-4"/>
                <w:sz w:val="18"/>
                <w:szCs w:val="18"/>
              </w:rPr>
              <w:t>控制定量标准一致，参见所述财务报告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内部控制缺陷认定定量标准。</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036"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16"/>
        <w:rPr>
          <w:rFonts w:ascii="Microsoft JhengHei" w:hAnsi="Microsoft JhengHei" w:cs="Microsoft JhengHei" w:eastAsia="Microsoft JhengHei"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3012"/>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3012"/>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4"/>
                <w:sz w:val="18"/>
                <w:szCs w:val="18"/>
              </w:rPr>
              <w:t>我们认为，北信源公司于</w:t>
            </w:r>
            <w:r>
              <w:rPr>
                <w:rFonts w:ascii="宋体" w:hAnsi="宋体" w:cs="宋体" w:eastAsia="宋体" w:hint="default"/>
                <w:spacing w:val="-42"/>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1"/>
                <w:sz w:val="18"/>
                <w:szCs w:val="18"/>
              </w:rPr>
              <w:t> </w:t>
            </w:r>
            <w:r>
              <w:rPr>
                <w:rFonts w:ascii="宋体" w:hAnsi="宋体" w:cs="宋体" w:eastAsia="宋体" w:hint="default"/>
                <w:spacing w:val="-3"/>
                <w:sz w:val="18"/>
                <w:szCs w:val="18"/>
              </w:rPr>
              <w:t>日在所有重大方面保持了按照财政部颁布的《内部会计控制规范—基本规范（试</w:t>
            </w:r>
            <w:r>
              <w:rPr>
                <w:rFonts w:ascii="宋体" w:hAnsi="宋体" w:cs="宋体" w:eastAsia="宋体" w:hint="default"/>
                <w:sz w:val="18"/>
                <w:szCs w:val="18"/>
              </w:rPr>
              <w:t> </w:t>
            </w:r>
            <w:r>
              <w:rPr>
                <w:rFonts w:ascii="宋体" w:hAnsi="宋体" w:cs="宋体" w:eastAsia="宋体" w:hint="default"/>
                <w:spacing w:val="-4"/>
                <w:sz w:val="18"/>
                <w:szCs w:val="18"/>
              </w:rPr>
              <w:t>行）》的有关规范标准中与财务报表相关的有效的内部控制。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宋体" w:hAnsi="宋体" w:cs="宋体" w:eastAsia="宋体" w:hint="default"/>
                  <w:sz w:val="18"/>
                  <w:szCs w:val="18"/>
                </w:rPr>
                <w:t>www.cninfo.com.cn</w:t>
              </w:r>
            </w:hyperlink>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内部控制鉴证报告</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3012"/>
        <w:jc w:val="left"/>
      </w:pPr>
      <w:r>
        <w:rPr/>
        <w:t>会计师事务所是否出具非标准意见的内部控制鉴证报告</w:t>
      </w:r>
    </w:p>
    <w:p>
      <w:pPr>
        <w:pStyle w:val="BodyText"/>
        <w:spacing w:line="360" w:lineRule="auto" w:before="115"/>
        <w:ind w:right="3654"/>
        <w:jc w:val="left"/>
      </w:pPr>
      <w:r>
        <w:rPr/>
        <w:t>□ 是 √</w:t>
      </w:r>
      <w:r>
        <w:rPr>
          <w:spacing w:val="3"/>
        </w:rPr>
        <w:t> </w:t>
      </w:r>
      <w:r>
        <w:rPr/>
        <w:t>否</w:t>
      </w:r>
      <w:r>
        <w:rPr/>
        <w:t> 会计师事务所出具的内部控制鉴证报告与董事会的自我评价报告意见是否一致</w:t>
      </w:r>
    </w:p>
    <w:p>
      <w:pPr>
        <w:pStyle w:val="BodyText"/>
        <w:spacing w:line="240" w:lineRule="auto" w:before="27"/>
        <w:ind w:right="3012"/>
        <w:jc w:val="left"/>
      </w:pPr>
      <w:r>
        <w:rPr/>
        <w:t>√ 是 □</w:t>
      </w:r>
      <w:r>
        <w:rPr>
          <w:spacing w:val="3"/>
        </w:rPr>
        <w:t> </w:t>
      </w:r>
      <w:r>
        <w:rPr/>
        <w:t>否</w:t>
      </w:r>
    </w:p>
    <w:p>
      <w:pPr>
        <w:spacing w:after="0" w:line="240" w:lineRule="auto"/>
        <w:jc w:val="left"/>
        <w:sectPr>
          <w:pgSz w:w="11910" w:h="16840"/>
          <w:pgMar w:header="781" w:footer="979" w:top="108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1"/>
        <w:spacing w:line="456" w:lineRule="exact"/>
        <w:ind w:right="3465"/>
        <w:jc w:val="center"/>
        <w:rPr>
          <w:b w:val="0"/>
          <w:bCs w:val="0"/>
        </w:rPr>
      </w:pPr>
      <w:bookmarkStart w:name="_TOC_250001" w:id="8"/>
      <w:r>
        <w:rPr/>
        <w:t>第十节 </w:t>
      </w:r>
      <w:r>
        <w:rPr>
          <w:spacing w:val="9"/>
        </w:rPr>
        <w:t> </w:t>
      </w:r>
      <w:r>
        <w:rPr/>
        <w:t>财务报告</w:t>
      </w:r>
      <w:bookmarkEnd w:id="8"/>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102"/>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宋体" w:hAnsi="宋体" w:cs="宋体" w:eastAsia="宋体" w:hint="default"/>
                <w:sz w:val="18"/>
                <w:szCs w:val="18"/>
              </w:rPr>
              <w:t>[2016] 01660123</w:t>
            </w:r>
            <w:r>
              <w:rPr>
                <w:rFonts w:ascii="宋体" w:hAnsi="宋体" w:cs="宋体" w:eastAsia="宋体" w:hint="default"/>
                <w:spacing w:val="-49"/>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荣健、单大信</w:t>
            </w:r>
          </w:p>
        </w:tc>
      </w:tr>
    </w:tbl>
    <w:p>
      <w:pPr>
        <w:pStyle w:val="BodyText"/>
        <w:spacing w:line="240" w:lineRule="auto" w:before="49"/>
        <w:ind w:left="3429" w:right="3467"/>
        <w:jc w:val="center"/>
      </w:pPr>
      <w:r>
        <w:rPr/>
        <w:t>审计报告正文</w:t>
      </w:r>
    </w:p>
    <w:p>
      <w:pPr>
        <w:pStyle w:val="Heading4"/>
        <w:spacing w:line="240" w:lineRule="auto" w:before="57"/>
        <w:ind w:right="102"/>
        <w:jc w:val="left"/>
        <w:rPr>
          <w:b w:val="0"/>
          <w:bCs w:val="0"/>
        </w:rPr>
      </w:pPr>
      <w:r>
        <w:rPr/>
        <w:t>北京北信源软件股份有限公司全体股东：</w:t>
      </w:r>
      <w:r>
        <w:rPr>
          <w:b w:val="0"/>
          <w:bCs w:val="0"/>
        </w:rPr>
      </w:r>
    </w:p>
    <w:p>
      <w:pPr>
        <w:spacing w:line="240" w:lineRule="auto" w:before="10"/>
        <w:rPr>
          <w:rFonts w:ascii="Microsoft JhengHei" w:hAnsi="Microsoft JhengHei" w:cs="Microsoft JhengHei" w:eastAsia="Microsoft JhengHei" w:hint="default"/>
          <w:b/>
          <w:bCs/>
          <w:sz w:val="18"/>
          <w:szCs w:val="18"/>
        </w:rPr>
      </w:pPr>
    </w:p>
    <w:p>
      <w:pPr>
        <w:pStyle w:val="BodyText"/>
        <w:spacing w:line="316" w:lineRule="auto" w:before="44"/>
        <w:ind w:right="102" w:firstLine="360"/>
        <w:jc w:val="left"/>
      </w:pPr>
      <w:r>
        <w:rPr>
          <w:spacing w:val="-2"/>
        </w:rPr>
        <w:t>我们审计了后附的北京北信源软件股份有限公司（以下简称“北信源公司”）的财务报表，包括</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日合并及</w:t>
      </w:r>
      <w:r>
        <w:rPr/>
        <w:t> 公司的资产负债表，</w:t>
      </w:r>
      <w:r>
        <w:rPr>
          <w:rFonts w:ascii="宋体" w:hAnsi="宋体" w:cs="宋体" w:eastAsia="宋体" w:hint="default"/>
        </w:rPr>
        <w:t>2015</w:t>
      </w:r>
      <w:r>
        <w:rPr/>
        <w:t>年度合并及公司的利润表、现金流量表和股东权益变动表以及合并及公司的财务报表附注。</w:t>
      </w:r>
    </w:p>
    <w:p>
      <w:pPr>
        <w:spacing w:line="240" w:lineRule="auto" w:before="12"/>
        <w:rPr>
          <w:rFonts w:ascii="宋体" w:hAnsi="宋体" w:cs="宋体" w:eastAsia="宋体" w:hint="default"/>
          <w:sz w:val="20"/>
          <w:szCs w:val="20"/>
        </w:rPr>
      </w:pPr>
    </w:p>
    <w:p>
      <w:pPr>
        <w:spacing w:line="283" w:lineRule="auto" w:before="0"/>
        <w:ind w:left="513" w:right="183"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一、管理层对财务报表的责任</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z w:val="18"/>
          <w:szCs w:val="18"/>
        </w:rPr>
        <w:t>编制和公允列报财务报表是北信源公司管理层的责任。这种责任包括：（</w:t>
      </w:r>
      <w:r>
        <w:rPr>
          <w:rFonts w:ascii="宋体" w:hAnsi="宋体" w:cs="宋体" w:eastAsia="宋体" w:hint="default"/>
          <w:sz w:val="18"/>
          <w:szCs w:val="18"/>
        </w:rPr>
        <w:t>1</w:t>
      </w:r>
      <w:r>
        <w:rPr>
          <w:rFonts w:ascii="宋体" w:hAnsi="宋体" w:cs="宋体" w:eastAsia="宋体" w:hint="default"/>
          <w:sz w:val="18"/>
          <w:szCs w:val="18"/>
        </w:rPr>
        <w:t>）按照企业会计准则的规定编制财务报表，</w:t>
      </w:r>
    </w:p>
    <w:p>
      <w:pPr>
        <w:pStyle w:val="BodyText"/>
        <w:spacing w:line="240" w:lineRule="auto" w:before="44"/>
        <w:ind w:right="102"/>
        <w:jc w:val="left"/>
      </w:pPr>
      <w:r>
        <w:rPr/>
        <w:t>并使其实现公允反映；（</w:t>
      </w:r>
      <w:r>
        <w:rPr>
          <w:rFonts w:ascii="宋体" w:hAnsi="宋体" w:cs="宋体" w:eastAsia="宋体" w:hint="default"/>
        </w:rPr>
        <w:t>2</w:t>
      </w:r>
      <w:r>
        <w:rPr/>
        <w:t>）设计、执行和维护必要的内部控制，以使财务报表不存在由于舞弊或错误导致的重大错报。</w:t>
      </w:r>
    </w:p>
    <w:p>
      <w:pPr>
        <w:spacing w:line="240" w:lineRule="auto" w:before="4"/>
        <w:rPr>
          <w:rFonts w:ascii="宋体" w:hAnsi="宋体" w:cs="宋体" w:eastAsia="宋体" w:hint="default"/>
          <w:sz w:val="25"/>
          <w:szCs w:val="25"/>
        </w:rPr>
      </w:pPr>
    </w:p>
    <w:p>
      <w:pPr>
        <w:pStyle w:val="BodyText"/>
        <w:spacing w:line="283" w:lineRule="auto"/>
        <w:ind w:left="513" w:right="102"/>
        <w:jc w:val="left"/>
      </w:pPr>
      <w:r>
        <w:rPr>
          <w:rFonts w:ascii="Microsoft JhengHei" w:hAnsi="Microsoft JhengHei" w:cs="Microsoft JhengHei" w:eastAsia="Microsoft JhengHei" w:hint="default"/>
          <w:b/>
          <w:bCs/>
        </w:rPr>
        <w:t>二、注册会计师的责任</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2"/>
        </w:rPr>
        <w:t>我们的责任是在执行审计工作的基础上对财务报表发表审计意见。我们按照中国注册会计师审计准则的规定执行了审计</w:t>
      </w:r>
    </w:p>
    <w:p>
      <w:pPr>
        <w:pStyle w:val="BodyText"/>
        <w:spacing w:line="316" w:lineRule="auto" w:before="44"/>
        <w:ind w:right="102"/>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624" w:lineRule="exact" w:before="42"/>
        <w:ind w:left="513" w:right="3153"/>
        <w:jc w:val="left"/>
        <w:rPr>
          <w:rFonts w:ascii="Microsoft JhengHei" w:hAnsi="Microsoft JhengHei" w:cs="Microsoft JhengHei" w:eastAsia="Microsoft JhengHei" w:hint="default"/>
        </w:rPr>
      </w:pPr>
      <w:r>
        <w:rPr/>
        <w:t>我们相信，我们获取的审计证据是充分、适当的，为发表审计意见提供了基础。 </w:t>
      </w: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rPr>
      </w:r>
    </w:p>
    <w:p>
      <w:pPr>
        <w:pStyle w:val="BodyText"/>
        <w:spacing w:line="213" w:lineRule="exact"/>
        <w:ind w:left="513" w:right="0"/>
        <w:jc w:val="left"/>
        <w:rPr>
          <w:rFonts w:ascii="宋体" w:hAnsi="宋体" w:cs="宋体" w:eastAsia="宋体" w:hint="default"/>
        </w:rPr>
      </w:pPr>
      <w:r>
        <w:rPr/>
        <w:t>我们认为，上述财务报表在所有重大方面按照企业会计准则的规定编制，公允反映了北京北信源软件股份有限公司</w:t>
      </w:r>
      <w:r>
        <w:rPr>
          <w:rFonts w:ascii="宋体" w:hAnsi="宋体" w:cs="宋体" w:eastAsia="宋体" w:hint="default"/>
        </w:rPr>
        <w:t>2015</w:t>
      </w:r>
    </w:p>
    <w:p>
      <w:pPr>
        <w:pStyle w:val="BodyText"/>
        <w:spacing w:line="240" w:lineRule="auto" w:before="76"/>
        <w:ind w:right="102"/>
        <w:jc w:val="left"/>
      </w:pPr>
      <w:r>
        <w:rPr/>
        <w:t>年</w:t>
      </w:r>
      <w:r>
        <w:rPr>
          <w:rFonts w:ascii="宋体" w:hAnsi="宋体" w:cs="宋体" w:eastAsia="宋体" w:hint="default"/>
        </w:rPr>
        <w:t>12</w:t>
      </w:r>
      <w:r>
        <w:rPr/>
        <w:t>月</w:t>
      </w:r>
      <w:r>
        <w:rPr>
          <w:rFonts w:ascii="宋体" w:hAnsi="宋体" w:cs="宋体" w:eastAsia="宋体" w:hint="default"/>
        </w:rPr>
        <w:t>31</w:t>
      </w:r>
      <w:r>
        <w:rPr/>
        <w:t>日合并及公司的财务状况以及</w:t>
      </w:r>
      <w:r>
        <w:rPr>
          <w:rFonts w:ascii="宋体" w:hAnsi="宋体" w:cs="宋体" w:eastAsia="宋体" w:hint="default"/>
        </w:rPr>
        <w:t>2015</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781" w:type="dxa"/>
        <w:tblLayout w:type="fixed"/>
        <w:tblCellMar>
          <w:top w:w="0" w:type="dxa"/>
          <w:left w:w="0" w:type="dxa"/>
          <w:bottom w:w="0" w:type="dxa"/>
          <w:right w:w="0" w:type="dxa"/>
        </w:tblCellMar>
        <w:tblLook w:val="01E0"/>
      </w:tblPr>
      <w:tblGrid>
        <w:gridCol w:w="3636"/>
        <w:gridCol w:w="3516"/>
      </w:tblGrid>
      <w:tr>
        <w:trPr>
          <w:trHeight w:val="257"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180" w:lineRule="exact"/>
              <w:ind w:right="353"/>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516" w:type="dxa"/>
            <w:tcBorders>
              <w:top w:val="nil" w:sz="6" w:space="0" w:color="auto"/>
              <w:left w:val="nil" w:sz="6" w:space="0" w:color="auto"/>
              <w:bottom w:val="nil" w:sz="6" w:space="0" w:color="auto"/>
              <w:right w:val="nil" w:sz="6" w:space="0" w:color="auto"/>
            </w:tcBorders>
          </w:tcPr>
          <w:p>
            <w:pPr>
              <w:pStyle w:val="TableParagraph"/>
              <w:spacing w:line="180" w:lineRule="exact"/>
              <w:ind w:left="555" w:right="0"/>
              <w:jc w:val="lef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
                <w:sz w:val="18"/>
                <w:szCs w:val="18"/>
              </w:rPr>
              <w:t> </w:t>
            </w:r>
            <w:r>
              <w:rPr>
                <w:rFonts w:ascii="宋体" w:hAnsi="宋体" w:cs="宋体" w:eastAsia="宋体" w:hint="default"/>
                <w:sz w:val="18"/>
                <w:szCs w:val="18"/>
              </w:rPr>
              <w:t>荣健</w:t>
            </w:r>
          </w:p>
        </w:tc>
      </w:tr>
      <w:tr>
        <w:trPr>
          <w:trHeight w:val="332"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1"/>
              <w:jc w:val="center"/>
              <w:rPr>
                <w:rFonts w:ascii="宋体" w:hAnsi="宋体" w:cs="宋体" w:eastAsia="宋体" w:hint="default"/>
                <w:sz w:val="18"/>
                <w:szCs w:val="18"/>
              </w:rPr>
            </w:pPr>
            <w:r>
              <w:rPr>
                <w:rFonts w:ascii="宋体" w:hAnsi="宋体" w:cs="宋体" w:eastAsia="宋体" w:hint="default"/>
                <w:sz w:val="18"/>
                <w:szCs w:val="18"/>
              </w:rPr>
              <w:t>中国·北京</w:t>
            </w:r>
          </w:p>
        </w:tc>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55" w:right="0"/>
              <w:jc w:val="lef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
                <w:sz w:val="18"/>
                <w:szCs w:val="18"/>
              </w:rPr>
              <w:t> </w:t>
            </w:r>
            <w:r>
              <w:rPr>
                <w:rFonts w:ascii="宋体" w:hAnsi="宋体" w:cs="宋体" w:eastAsia="宋体" w:hint="default"/>
                <w:sz w:val="18"/>
                <w:szCs w:val="18"/>
              </w:rPr>
              <w:t>单大信</w:t>
            </w:r>
          </w:p>
        </w:tc>
      </w:tr>
      <w:tr>
        <w:trPr>
          <w:trHeight w:val="256" w:hRule="exact"/>
        </w:trPr>
        <w:tc>
          <w:tcPr>
            <w:tcW w:w="3636" w:type="dxa"/>
            <w:tcBorders>
              <w:top w:val="nil" w:sz="6" w:space="0" w:color="auto"/>
              <w:left w:val="nil" w:sz="6" w:space="0" w:color="auto"/>
              <w:bottom w:val="nil" w:sz="6" w:space="0" w:color="auto"/>
              <w:right w:val="nil" w:sz="6" w:space="0" w:color="auto"/>
            </w:tcBorders>
          </w:tcPr>
          <w:p>
            <w:pPr/>
          </w:p>
        </w:tc>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16" w:right="0"/>
              <w:jc w:val="left"/>
              <w:rPr>
                <w:rFonts w:ascii="宋体" w:hAnsi="宋体" w:cs="宋体" w:eastAsia="宋体" w:hint="default"/>
                <w:sz w:val="18"/>
                <w:szCs w:val="18"/>
              </w:rPr>
            </w:pPr>
            <w:r>
              <w:rPr>
                <w:rFonts w:ascii="宋体" w:hAnsi="宋体" w:cs="宋体" w:eastAsia="宋体" w:hint="default"/>
                <w:sz w:val="18"/>
                <w:szCs w:val="18"/>
              </w:rPr>
              <w:t>二〇一六年四月十八日</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2"/>
        <w:spacing w:line="367" w:lineRule="exact"/>
        <w:ind w:right="3012"/>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3012"/>
        <w:jc w:val="left"/>
      </w:pPr>
      <w:r>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81" w:footer="979" w:top="1080" w:bottom="1160" w:left="980" w:right="980"/>
        </w:sectPr>
      </w:pPr>
    </w:p>
    <w:p>
      <w:pPr>
        <w:pStyle w:val="BodyText"/>
        <w:spacing w:line="240" w:lineRule="auto" w:before="44"/>
        <w:ind w:right="-20"/>
        <w:jc w:val="left"/>
      </w:pPr>
      <w:r>
        <w:rPr/>
        <w:t>编制单位：北京北信源软件股份有限公司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80" w:bottom="1160" w:left="980" w:right="980"/>
          <w:cols w:num="3" w:equalWidth="0">
            <w:col w:w="3393" w:space="683"/>
            <w:col w:w="1642" w:space="3202"/>
            <w:col w:w="1030"/>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219,246,614.29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304,505,016.49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1,065,197.00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2,694,850.60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455,803,628.97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359,960,646.14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9,884,033.32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9,952,397.69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7,502,380.18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10,100,188.98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9,997,598.52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10,248,073.02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91,716.29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6,055,592.57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4,390,282.55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709,569,393.67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701,943,171.76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28,179,117.76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54,869,769.80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45,696,096.80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16,059,200.00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59,690,893.26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2,075,438.05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3,488,257.86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9,416,533.82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82,754,563.28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2,485,476.68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2,180,057.33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14,250,589.86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6,464,838.10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13,911,106.00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261,777,868.50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89,744,070.10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971,347,262.17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791,687,241.86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21,764,234.24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18,105,411.20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4,657,941.86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1,658,492.26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535,453.60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92,380,964.60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68,272,983.51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12,842,586.54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2,255,615.15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132,181,180.84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90,292,502.12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133,702,180.84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90,292,502.12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270,226,124.00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266,800,000.00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257,175,084.21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180,601,212.81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-2,035,155.18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-905,934.78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36,418,369.22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30,079,145.19</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275,860,659.08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224,820,316.52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837,645,081.33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701,394,739.74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837,645,081.33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701,394,739.74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971,347,262.17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791,687,241.86</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法定代表人：林皓</w:t>
        <w:tab/>
      </w:r>
      <w:r>
        <w:rPr>
          <w:spacing w:val="-1"/>
        </w:rPr>
        <w:t>主管会计工作负责人：王灿</w:t>
        <w:tab/>
      </w:r>
      <w:r>
        <w:rPr/>
        <w:t>会计机构负责人：李丹</w:t>
      </w:r>
    </w:p>
    <w:p>
      <w:pPr>
        <w:spacing w:line="240" w:lineRule="auto" w:before="2"/>
        <w:rPr>
          <w:rFonts w:ascii="宋体" w:hAnsi="宋体" w:cs="宋体" w:eastAsia="宋体" w:hint="default"/>
          <w:sz w:val="22"/>
          <w:szCs w:val="22"/>
        </w:rPr>
      </w:pPr>
    </w:p>
    <w:p>
      <w:pPr>
        <w:pStyle w:val="Heading3"/>
        <w:spacing w:line="240" w:lineRule="auto"/>
        <w:ind w:right="301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157,154,834.19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225,671,068.91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1,065,197.00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2,694,850.60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445,140,380.35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364,524,896.66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1,686,739.39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3,020,031.49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4,104,676.97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7,535,588.30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4,394,009.25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6,358,406.28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91,716.29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5,034,767.84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4,185,037.55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618,594,953.81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614,081,596.08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27,383,735.00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189,999,995.40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41,966,832.20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34,040,671.14</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16,051,200.00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25,129,467.42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2,075,438.05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3,247,176.55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8,320,674.39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1,475,144.35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983,907.28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10,681,467.54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4,495,536.85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13,911,106.00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315,935,018.46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163,827,333.71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934,529,972.27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777,908,929.79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3,464,292.93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6,010,109.51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2,623,256.95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1,273,386.35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76,397,298.77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62,261,536.16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15,480,223.31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1,851,233.14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97,965,071.96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71,396,265.16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97,965,071.96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71,396,265.16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270,226,124.00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266,800,000.00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257,175,084.21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180,601,212.81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36,418,369.22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30,079,145.19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272,745,322.88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229,032,306.63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836,564,900.31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706,512,664.63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934,529,972.27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777,908,929.79</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301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470,015,347.51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262,733,639.30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470,015,347.51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262,733,639.30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413,500,655.14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198,366,283.42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214,467,388.03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31,705,183.05</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541.51001pt;width:193.15pt;height:19.6pt;mso-position-horizontal-relative:page;mso-position-vertical-relative:page;z-index:-75440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420.909973pt;width:160pt;height:19.6pt;mso-position-horizontal-relative:page;mso-position-vertical-relative:page;z-index:-754384" coordorigin="4220,8418" coordsize="3200,392">
            <v:group style="position:absolute;left:7398;top:8418;width:22;height:392" coordorigin="7398,8418" coordsize="22,392">
              <v:shape style="position:absolute;left:7398;top:8418;width:22;height:392" coordorigin="7398,8418" coordsize="22,392" path="m7398,8809l7420,8809,7420,8418,7398,8418,7398,8809xe" filled="true" fillcolor="#ffffff" stroked="false">
                <v:path arrowok="t"/>
                <v:fill type="solid"/>
              </v:shape>
            </v:group>
            <v:group style="position:absolute;left:4220;top:8418;width:22;height:392" coordorigin="4220,8418" coordsize="22,392">
              <v:shape style="position:absolute;left:4220;top:8418;width:22;height:392" coordorigin="4220,8418" coordsize="22,392" path="m4220,8809l4242,8809,4242,8418,4220,8418,4220,8809xe" filled="true" fillcolor="#ffffff" stroked="false">
                <v:path arrowok="t"/>
                <v:fill type="solid"/>
              </v:shape>
            </v:group>
            <v:group style="position:absolute;left:4242;top:8418;width:3157;height:392" coordorigin="4242,8418" coordsize="3157,392">
              <v:shape style="position:absolute;left:4242;top:8418;width:3157;height:392" coordorigin="4242,8418" coordsize="3157,392" path="m4242,8809l7398,8809,7398,8418,4242,8418,4242,8809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079"/>
        <w:gridCol w:w="1106"/>
        <w:gridCol w:w="2105"/>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4,780,438.64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3,884,966.28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76,014,148.82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66,353,355.81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95,389,430.22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82,034,542.38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-6,004,825.78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-9,111,460.07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28,854,075.21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23,499,695.97</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226,667.00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56,741,359.37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64,367,355.88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21,028,691.87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9,794,709.54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79,793.10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8,940.31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79,793.10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8,940.31</w:t>
            </w:r>
          </w:p>
        </w:tc>
      </w:tr>
      <w:tr>
        <w:trPr>
          <w:trHeight w:val="403"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77,690,258.14</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74,153,125.11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6,970,691.55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6,159,239.57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70,719,566.59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67,993,885.54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70,719,566.59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67,993,885.54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-1,129,220.40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-905,934.78</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-1,129,220.40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-905,934.78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-1,129,220.40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-905,934.78</w:t>
            </w: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-1,129,220.40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-905,934.78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69,590,346.19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67,087,950.76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69,590,346.19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67,087,950.76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0.250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0.250</w:t>
            </w:r>
          </w:p>
        </w:tc>
      </w:tr>
    </w:tbl>
    <w:p>
      <w:pPr>
        <w:pStyle w:val="BodyText"/>
        <w:tabs>
          <w:tab w:pos="3667" w:val="left" w:leader="none"/>
          <w:tab w:pos="7899" w:val="left" w:leader="none"/>
        </w:tabs>
        <w:spacing w:line="621" w:lineRule="auto" w:before="49"/>
        <w:ind w:right="244"/>
        <w:jc w:val="left"/>
      </w:pPr>
      <w:r>
        <w:rPr/>
        <w:t>本期发生同一控制下企业合并的，被合并方在合并前实现的净利润为：元，上期被合并方实现的净利润为：元。 法定代表人：林皓</w:t>
        <w:tab/>
      </w:r>
      <w:r>
        <w:rPr>
          <w:spacing w:val="-1"/>
        </w:rPr>
        <w:t>主管会计工作负责人：王灿</w:t>
        <w:tab/>
      </w:r>
      <w:r>
        <w:rPr/>
        <w:t>会计机构负责人：李丹</w:t>
      </w:r>
    </w:p>
    <w:p>
      <w:pPr>
        <w:pStyle w:val="Heading3"/>
        <w:spacing w:line="240" w:lineRule="auto" w:before="2"/>
        <w:ind w:right="301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244,729,500.85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231,661,836.06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19,194,538.03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15,673,102.40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3,890,024.30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3,654,505.64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67,609,402.64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58,846,688.36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84,536,064.97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71,719,016.54</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-3,776,020.34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-8,173,628.87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26,254,415.11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21,432,575.35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226,667.00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47,247,743.14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68,509,576.64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20,696,161.05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9,541,752.16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8,940.31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45,594.85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8,940.31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67,898,309.34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78,042,388.49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4,506,069.06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6,461,287.70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63,392,240.28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71,581,100.79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63,392,240.28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71,581,100.79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301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436,535,804.33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160,364,787.65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17,444,329.95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6,763,489.44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11,379,444.38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11,837,083.66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465,359,578.66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178,965,360.75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231,134,150.04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5,125,785.59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88,540,756.56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88,988,976.30</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39,932,299.99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33,116,574.74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108,371,794.34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71,061,053.31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467,979,000.93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198,292,389.94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-2,619,422.27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-19,327,029.19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226,667.00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7,050.00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3,123,654.80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5,350,321.80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7,050.00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44,366,905.14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43,395,754.35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29,257,476.19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73,624,381.33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48,395,754.35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-68,274,059.53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-48,388,704.35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-1,129,220.4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-905,934.81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-85,362,702.20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-81,961,668.35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303,892,016.49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385,853,684.84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218,529,314.29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303,892,016.49</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301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177,526,458.88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124,655,339.44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17,334,301.23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6,553,204.16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19,125,735.36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9,355,016.08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213,986,495.47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140,563,559.68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18,683,517.47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8,151,468.28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71,450,444.16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72,962,227.16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37,247,651.57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27,841,383.19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95,603,500.25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56,684,401.80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222,985,113.45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165,639,480.43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-8,998,617.98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-25,075,920.75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226,667.00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7,050.00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2,226,667.00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7,050.00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19,124,848.74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30,384,216.91</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29,383,735.00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48,508,583.74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60,384,216.91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-46,281,916.74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-60,377,166.91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-68,620,534.72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-98,793,087.66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225,058,068.91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323,851,156.57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156,437,534.19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225,058,068.91</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3012"/>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180,601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-905,93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30,079,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224,820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,316.52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701,394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,739.74</w:t>
            </w:r>
          </w:p>
        </w:tc>
      </w:tr>
    </w:tbl>
    <w:p>
      <w:pPr>
        <w:spacing w:after="0" w:line="240" w:lineRule="auto"/>
        <w:jc w:val="lef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180,601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-905,93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30,079,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224,820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,316.52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701,394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,739.74</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3,426,</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124.00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76,573,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871.40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-1,129,2</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20.40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6,339,2</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24.03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51,040,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342.56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136,250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,341.59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-1,129,2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70,719,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566.59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69,590,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346.19</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3,426,</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124.00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76,573,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871.40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79,999,</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995.40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3,426,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124.00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76,573,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79,999,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995.40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6,339,2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-19,679,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224.03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6,339,2</w:t>
            </w:r>
          </w:p>
          <w:p>
            <w:pPr>
              <w:pStyle w:val="TableParagraph"/>
              <w:spacing w:line="240" w:lineRule="auto" w:before="103"/>
              <w:ind w:left="202" w:right="0"/>
              <w:jc w:val="center"/>
              <w:rPr>
                <w:rFonts w:ascii="Times New Roman" w:hAnsi="Times New Roman" w:cs="Times New Roman" w:eastAsia="Times New Roman" w:hint="default"/>
                <w:sz w:val="18"/>
                <w:szCs w:val="18"/>
              </w:rPr>
            </w:pPr>
            <w:r>
              <w:rPr>
                <w:rFonts w:ascii="Times New Roman"/>
                <w:sz w:val="18"/>
              </w:rPr>
              <w:t>24.03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-6,339,2</w:t>
            </w:r>
          </w:p>
          <w:p>
            <w:pPr>
              <w:pStyle w:val="TableParagraph"/>
              <w:spacing w:line="240" w:lineRule="auto" w:before="103"/>
              <w:ind w:left="207" w:right="0"/>
              <w:jc w:val="center"/>
              <w:rPr>
                <w:rFonts w:ascii="Times New Roman" w:hAnsi="Times New Roman" w:cs="Times New Roman" w:eastAsia="Times New Roman" w:hint="default"/>
                <w:sz w:val="18"/>
                <w:szCs w:val="18"/>
              </w:rPr>
            </w:pPr>
            <w:r>
              <w:rPr>
                <w:rFonts w:ascii="Times New Roman"/>
                <w:sz w:val="18"/>
              </w:rPr>
              <w:t>24.03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270,22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6,124.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257,175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,084.21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-2,035,1</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55.18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36,418,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369.22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275,860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,659.08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837,645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,081.33</w:t>
            </w:r>
          </w:p>
        </w:tc>
      </w:tr>
    </w:tbl>
    <w:p>
      <w:pPr>
        <w:pStyle w:val="BodyText"/>
        <w:spacing w:line="240" w:lineRule="auto" w:before="49"/>
        <w:ind w:right="3012"/>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314,001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22,921,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035.11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177,324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,541.06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647,646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,788.98</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314,001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22,921,</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035.11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177,324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,541.06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647,646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,788.98</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-905,93</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7,158,1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47,495,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775.46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53,747,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950.76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-905,93</w:t>
            </w:r>
          </w:p>
          <w:p>
            <w:pPr>
              <w:pStyle w:val="TableParagraph"/>
              <w:spacing w:line="240" w:lineRule="auto" w:before="103"/>
              <w:ind w:left="321" w:right="0"/>
              <w:jc w:val="left"/>
              <w:rPr>
                <w:rFonts w:ascii="Times New Roman" w:hAnsi="Times New Roman" w:cs="Times New Roman" w:eastAsia="Times New Roman" w:hint="default"/>
                <w:sz w:val="18"/>
                <w:szCs w:val="18"/>
              </w:rPr>
            </w:pPr>
            <w:r>
              <w:rPr>
                <w:rFonts w:ascii="Times New Roman"/>
                <w:sz w:val="18"/>
              </w:rPr>
              <w:t>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67,993,</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885.54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67,087,</w:t>
            </w:r>
          </w:p>
          <w:p>
            <w:pPr>
              <w:pStyle w:val="TableParagraph"/>
              <w:spacing w:line="240" w:lineRule="auto" w:before="103"/>
              <w:ind w:left="131" w:right="0"/>
              <w:jc w:val="left"/>
              <w:rPr>
                <w:rFonts w:ascii="Times New Roman" w:hAnsi="Times New Roman" w:cs="Times New Roman" w:eastAsia="Times New Roman" w:hint="default"/>
                <w:sz w:val="18"/>
                <w:szCs w:val="18"/>
              </w:rPr>
            </w:pPr>
            <w:r>
              <w:rPr>
                <w:rFonts w:ascii="Times New Roman"/>
                <w:sz w:val="18"/>
              </w:rPr>
              <w:t>950.76</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7,158,1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-20,498,</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110.08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7,158,1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-7,158,1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10.08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180,601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-905,93</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30,079,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145.19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224,820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,316.52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701,394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,739.74</w:t>
            </w:r>
          </w:p>
        </w:tc>
      </w:tr>
    </w:tbl>
    <w:p>
      <w:pPr>
        <w:spacing w:after="0" w:line="240" w:lineRule="auto"/>
        <w:jc w:val="lef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11"/>
        <w:rPr>
          <w:rFonts w:ascii="Times New Roman" w:hAnsi="Times New Roman" w:cs="Times New Roman" w:eastAsia="Times New Roman" w:hint="default"/>
          <w:sz w:val="25"/>
          <w:szCs w:val="25"/>
        </w:rPr>
      </w:pPr>
    </w:p>
    <w:p>
      <w:pPr>
        <w:pStyle w:val="Heading3"/>
        <w:spacing w:line="335" w:lineRule="exact"/>
        <w:ind w:right="301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3012"/>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266,800,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180,601,2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30,079,14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229,032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,306.63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706,512,6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64.63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266,800,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180,601,2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30,079,14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229,032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,306.63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706,512,6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64.63</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3,426,12</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76,573,87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6,339,224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43,713,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016.25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130,052,2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35.68</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63,392,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240.28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63,392,24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0.28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3,426,12</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76,573,87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79,999,99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5.40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3,426,12</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76,573,87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79,999,99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5.40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6,339,224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-19,679,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224.03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6,339,224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-6,339,2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24.03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270,226,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124.00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257,175,0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84.21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36,418,36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272,745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,322.88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836,564,9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00.31</w:t>
            </w:r>
          </w:p>
        </w:tc>
      </w:tr>
    </w:tbl>
    <w:p>
      <w:pPr>
        <w:pStyle w:val="BodyText"/>
        <w:spacing w:line="240" w:lineRule="auto" w:before="49"/>
        <w:ind w:right="3012"/>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4"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314,001,2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22,921,03</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5.11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177,949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,315.92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648,271,5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63.84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314,001,2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22,921,03</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5.11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177,949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,315.92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648,271,5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63.84</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7,158,110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51,082,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990.71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58,241,10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0.79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71,581,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100.79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71,581,10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0.79</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7,158,110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-20,498,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110.08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7,158,110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-7,158,1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10.08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-13,340,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-133,400,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266,800,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180,601,2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30,079,14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229,032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,306.63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706,512,6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64.63</w:t>
            </w:r>
          </w:p>
        </w:tc>
      </w:tr>
    </w:tbl>
    <w:p>
      <w:pPr>
        <w:spacing w:line="240" w:lineRule="auto" w:before="1"/>
        <w:rPr>
          <w:rFonts w:ascii="宋体" w:hAnsi="宋体" w:cs="宋体" w:eastAsia="宋体" w:hint="default"/>
          <w:sz w:val="18"/>
          <w:szCs w:val="18"/>
        </w:rPr>
      </w:pPr>
    </w:p>
    <w:p>
      <w:pPr>
        <w:pStyle w:val="Heading2"/>
        <w:spacing w:line="367" w:lineRule="exact"/>
        <w:ind w:right="102"/>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90" w:firstLine="360"/>
        <w:jc w:val="both"/>
      </w:pPr>
      <w:r>
        <w:rPr/>
        <w:t>北京北信源软件股份有限公司（以下简称“公司”或“本公司”）前身为北京北信源自动化技术有限公司成立于</w:t>
      </w:r>
      <w:r>
        <w:rPr>
          <w:rFonts w:ascii="宋体" w:hAnsi="宋体" w:cs="宋体" w:eastAsia="宋体" w:hint="default"/>
        </w:rPr>
        <w:t>1996 </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w:t>
      </w:r>
      <w:r>
        <w:rPr>
          <w:rFonts w:ascii="宋体" w:hAnsi="宋体" w:cs="宋体" w:eastAsia="宋体" w:hint="default"/>
          <w:spacing w:val="-2"/>
        </w:rPr>
        <w:t>,</w:t>
      </w:r>
      <w:r>
        <w:rPr>
          <w:spacing w:val="-2"/>
        </w:rPr>
        <w:t>经</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18</w:t>
      </w:r>
      <w:r>
        <w:rPr>
          <w:spacing w:val="-2"/>
        </w:rPr>
        <w:t>日召开的</w:t>
      </w:r>
      <w:r>
        <w:rPr>
          <w:rFonts w:ascii="宋体" w:hAnsi="宋体" w:cs="宋体" w:eastAsia="宋体" w:hint="default"/>
          <w:spacing w:val="-2"/>
        </w:rPr>
        <w:t>2009</w:t>
      </w:r>
      <w:r>
        <w:rPr>
          <w:spacing w:val="-2"/>
        </w:rPr>
        <w:t>年第七次股东会审议通过，本公司以北信源有限截至</w:t>
      </w:r>
      <w:r>
        <w:rPr>
          <w:rFonts w:ascii="宋体" w:hAnsi="宋体" w:cs="宋体" w:eastAsia="宋体" w:hint="default"/>
          <w:spacing w:val="-2"/>
        </w:rPr>
        <w:t>2009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日经审计的净资</w:t>
      </w:r>
      <w:r>
        <w:rPr>
          <w:spacing w:val="-52"/>
        </w:rPr>
        <w:t> </w:t>
      </w:r>
      <w:r>
        <w:rPr>
          <w:spacing w:val="-52"/>
        </w:rPr>
      </w:r>
      <w:r>
        <w:rPr/>
        <w:t>产</w:t>
      </w:r>
      <w:r>
        <w:rPr>
          <w:rFonts w:ascii="宋体" w:hAnsi="宋体" w:cs="宋体" w:eastAsia="宋体" w:hint="default"/>
        </w:rPr>
        <w:t>6,453.88</w:t>
      </w:r>
      <w:r>
        <w:rPr/>
        <w:t>万元为折股基数，按</w:t>
      </w:r>
      <w:r>
        <w:rPr>
          <w:rFonts w:ascii="宋体" w:hAnsi="宋体" w:cs="宋体" w:eastAsia="宋体" w:hint="default"/>
        </w:rPr>
        <w:t>1</w:t>
      </w:r>
      <w:r>
        <w:rPr/>
        <w:t>：</w:t>
      </w:r>
      <w:r>
        <w:rPr>
          <w:rFonts w:ascii="宋体" w:hAnsi="宋体" w:cs="宋体" w:eastAsia="宋体" w:hint="default"/>
        </w:rPr>
        <w:t>0.7747</w:t>
      </w:r>
      <w:r>
        <w:rPr/>
        <w:t>的折股比例折成股本</w:t>
      </w:r>
      <w:r>
        <w:rPr>
          <w:rFonts w:ascii="宋体" w:hAnsi="宋体" w:cs="宋体" w:eastAsia="宋体" w:hint="default"/>
        </w:rPr>
        <w:t>5,000</w:t>
      </w:r>
      <w:r>
        <w:rPr/>
        <w:t>万股，整体变更为股份有限公司。</w:t>
      </w:r>
    </w:p>
    <w:p>
      <w:pPr>
        <w:pStyle w:val="BodyText"/>
        <w:spacing w:line="319" w:lineRule="auto" w:before="19"/>
        <w:ind w:right="94" w:firstLine="360"/>
        <w:jc w:val="left"/>
      </w:pPr>
      <w:r>
        <w:rPr>
          <w:spacing w:val="-2"/>
        </w:rPr>
        <w:t>本公司经中国证券监督管理委员会证监许可</w:t>
      </w:r>
      <w:r>
        <w:rPr>
          <w:rFonts w:ascii="宋体" w:hAnsi="宋体" w:cs="宋体" w:eastAsia="宋体" w:hint="default"/>
          <w:spacing w:val="-2"/>
        </w:rPr>
        <w:t>[2012]1054</w:t>
      </w:r>
      <w:r>
        <w:rPr>
          <w:spacing w:val="-2"/>
        </w:rPr>
        <w:t>号文《关于核准北京北信源软件股份有限公司首次公开发行股票</w:t>
      </w:r>
      <w:r>
        <w:rPr/>
        <w:t> 并在创业板上市的批复》，公司分别于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4</w:t>
      </w:r>
      <w:r>
        <w:rPr/>
        <w:t>日采用网下配售方式向询价对象公开发行人民币普通股（</w:t>
      </w:r>
      <w:r>
        <w:rPr>
          <w:rFonts w:ascii="宋体" w:hAnsi="宋体" w:cs="宋体" w:eastAsia="宋体" w:hint="default"/>
        </w:rPr>
        <w:t>A</w:t>
      </w:r>
      <w:r>
        <w:rPr/>
        <w:t>股）</w:t>
      </w:r>
      <w:r>
        <w:rPr>
          <w:rFonts w:ascii="宋体" w:hAnsi="宋体" w:cs="宋体" w:eastAsia="宋体" w:hint="default"/>
        </w:rPr>
        <w:t>506</w:t>
      </w:r>
      <w:r>
        <w:rPr/>
        <w:t>万股， </w:t>
      </w:r>
      <w:r>
        <w:rPr>
          <w:spacing w:val="-3"/>
        </w:rPr>
        <w:t>于</w:t>
      </w:r>
      <w:r>
        <w:rPr>
          <w:rFonts w:ascii="宋体" w:hAnsi="宋体" w:cs="宋体" w:eastAsia="宋体" w:hint="default"/>
          <w:spacing w:val="-3"/>
        </w:rPr>
        <w:t>2012</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4</w:t>
      </w:r>
      <w:r>
        <w:rPr>
          <w:spacing w:val="-3"/>
        </w:rPr>
        <w:t>日采用网上定价方式公开发行人民币普通股（</w:t>
      </w:r>
      <w:r>
        <w:rPr>
          <w:rFonts w:ascii="宋体" w:hAnsi="宋体" w:cs="宋体" w:eastAsia="宋体" w:hint="default"/>
          <w:spacing w:val="-3"/>
        </w:rPr>
        <w:t>A</w:t>
      </w:r>
      <w:r>
        <w:rPr>
          <w:spacing w:val="-3"/>
        </w:rPr>
        <w:t>股）</w:t>
      </w:r>
      <w:r>
        <w:rPr>
          <w:rFonts w:ascii="宋体" w:hAnsi="宋体" w:cs="宋体" w:eastAsia="宋体" w:hint="default"/>
          <w:spacing w:val="-3"/>
        </w:rPr>
        <w:t>1,164</w:t>
      </w:r>
      <w:r>
        <w:rPr>
          <w:spacing w:val="-3"/>
        </w:rPr>
        <w:t>万股，共计公开发行人民币普通股（</w:t>
      </w:r>
      <w:r>
        <w:rPr>
          <w:rFonts w:ascii="宋体" w:hAnsi="宋体" w:cs="宋体" w:eastAsia="宋体" w:hint="default"/>
          <w:spacing w:val="-3"/>
        </w:rPr>
        <w:t>A</w:t>
      </w:r>
      <w:r>
        <w:rPr>
          <w:spacing w:val="-3"/>
        </w:rPr>
        <w:t>股）</w:t>
      </w:r>
      <w:r>
        <w:rPr>
          <w:rFonts w:ascii="宋体" w:hAnsi="宋体" w:cs="宋体" w:eastAsia="宋体" w:hint="default"/>
          <w:spacing w:val="-3"/>
        </w:rPr>
        <w:t>1,670</w:t>
      </w:r>
      <w:r>
        <w:rPr>
          <w:spacing w:val="-3"/>
        </w:rPr>
        <w:t>万股，</w:t>
      </w:r>
      <w:r>
        <w:rPr>
          <w:spacing w:val="-82"/>
        </w:rPr>
        <w:t> </w:t>
      </w:r>
      <w:r>
        <w:rPr>
          <w:spacing w:val="-82"/>
        </w:rPr>
      </w:r>
      <w:r>
        <w:rPr>
          <w:spacing w:val="-2"/>
        </w:rPr>
        <w:t>收到募集资金净额</w:t>
      </w:r>
      <w:r>
        <w:rPr>
          <w:rFonts w:ascii="宋体" w:hAnsi="宋体" w:cs="宋体" w:eastAsia="宋体" w:hint="default"/>
          <w:spacing w:val="-2"/>
        </w:rPr>
        <w:t>377,008,645.20</w:t>
      </w:r>
      <w:r>
        <w:rPr>
          <w:spacing w:val="-2"/>
        </w:rPr>
        <w:t>元</w:t>
      </w:r>
      <w:r>
        <w:rPr>
          <w:rFonts w:ascii="宋体" w:hAnsi="宋体" w:cs="宋体" w:eastAsia="宋体" w:hint="default"/>
          <w:spacing w:val="-2"/>
        </w:rPr>
        <w:t>,</w:t>
      </w:r>
      <w:r>
        <w:rPr>
          <w:spacing w:val="-2"/>
        </w:rPr>
        <w:t>其中新增注册资本人民币</w:t>
      </w:r>
      <w:r>
        <w:rPr>
          <w:rFonts w:ascii="宋体" w:hAnsi="宋体" w:cs="宋体" w:eastAsia="宋体" w:hint="default"/>
          <w:spacing w:val="-2"/>
        </w:rPr>
        <w:t>16,700,000.00</w:t>
      </w:r>
      <w:r>
        <w:rPr>
          <w:spacing w:val="-2"/>
        </w:rPr>
        <w:t>元，余额计人民币</w:t>
      </w:r>
      <w:r>
        <w:rPr>
          <w:rFonts w:ascii="宋体" w:hAnsi="宋体" w:cs="宋体" w:eastAsia="宋体" w:hint="default"/>
          <w:spacing w:val="-2"/>
        </w:rPr>
        <w:t>360,308,645.20</w:t>
      </w:r>
      <w:r>
        <w:rPr>
          <w:spacing w:val="-2"/>
        </w:rPr>
        <w:t>元转入资本</w:t>
      </w:r>
    </w:p>
    <w:p>
      <w:pPr>
        <w:spacing w:after="0" w:line="319"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left="513" w:right="102" w:hanging="361"/>
        <w:jc w:val="left"/>
      </w:pPr>
      <w:r>
        <w:rPr/>
        <w:t>公积。公司股本增至</w:t>
      </w:r>
      <w:r>
        <w:rPr>
          <w:rFonts w:ascii="宋体" w:hAnsi="宋体" w:cs="宋体" w:eastAsia="宋体" w:hint="default"/>
        </w:rPr>
        <w:t>6670</w:t>
      </w:r>
      <w:r>
        <w:rPr/>
        <w:t>万股。 </w:t>
      </w:r>
      <w:r>
        <w:rPr>
          <w:spacing w:val="-2"/>
        </w:rPr>
        <w:t>根据公司</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31</w:t>
      </w:r>
      <w:r>
        <w:rPr>
          <w:spacing w:val="-2"/>
        </w:rPr>
        <w:t>日召开的</w:t>
      </w:r>
      <w:r>
        <w:rPr>
          <w:rFonts w:ascii="宋体" w:hAnsi="宋体" w:cs="宋体" w:eastAsia="宋体" w:hint="default"/>
          <w:spacing w:val="-2"/>
        </w:rPr>
        <w:t>2012</w:t>
      </w:r>
      <w:r>
        <w:rPr>
          <w:spacing w:val="-2"/>
        </w:rPr>
        <w:t>年度股东大会会议决议，同意公司进行资本公积转增股本，即以总股本</w:t>
      </w:r>
      <w:r>
        <w:rPr>
          <w:rFonts w:ascii="宋体" w:hAnsi="宋体" w:cs="宋体" w:eastAsia="宋体" w:hint="default"/>
          <w:spacing w:val="-2"/>
        </w:rPr>
        <w:t>6,670</w:t>
      </w:r>
      <w:r>
        <w:rPr>
          <w:spacing w:val="-2"/>
        </w:rPr>
        <w:t>万股为</w:t>
      </w:r>
    </w:p>
    <w:p>
      <w:pPr>
        <w:pStyle w:val="BodyText"/>
        <w:spacing w:line="316" w:lineRule="auto" w:before="19"/>
        <w:ind w:right="189"/>
        <w:jc w:val="both"/>
      </w:pPr>
      <w:r>
        <w:rPr/>
        <w:t>基数，每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6,670</w:t>
      </w:r>
      <w:r>
        <w:rPr/>
        <w:t>万股，转增后，注册资本增至人民币</w:t>
      </w:r>
      <w:r>
        <w:rPr>
          <w:rFonts w:ascii="宋体" w:hAnsi="宋体" w:cs="宋体" w:eastAsia="宋体" w:hint="default"/>
        </w:rPr>
        <w:t>13,340</w:t>
      </w:r>
      <w:r>
        <w:rPr/>
        <w:t>万元。上述事项业经中瑞岳华会计师事 </w:t>
      </w:r>
      <w:r>
        <w:rPr>
          <w:spacing w:val="-2"/>
        </w:rPr>
        <w:t>务所中瑞岳华验字</w:t>
      </w:r>
      <w:r>
        <w:rPr>
          <w:rFonts w:ascii="宋体" w:hAnsi="宋体" w:cs="宋体" w:eastAsia="宋体" w:hint="default"/>
          <w:spacing w:val="-2"/>
        </w:rPr>
        <w:t>[2013]</w:t>
      </w:r>
      <w:r>
        <w:rPr>
          <w:spacing w:val="-2"/>
        </w:rPr>
        <w:t>第</w:t>
      </w:r>
      <w:r>
        <w:rPr>
          <w:rFonts w:ascii="宋体" w:hAnsi="宋体" w:cs="宋体" w:eastAsia="宋体" w:hint="default"/>
          <w:spacing w:val="-2"/>
        </w:rPr>
        <w:t>0172</w:t>
      </w:r>
      <w:r>
        <w:rPr>
          <w:spacing w:val="-2"/>
        </w:rPr>
        <w:t>号验资报告验证。本公司已于</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日，取得北京市工商行政管理局换发的《企业法人</w:t>
      </w:r>
      <w:r>
        <w:rPr>
          <w:spacing w:val="-54"/>
        </w:rPr>
        <w:t> </w:t>
      </w:r>
      <w:r>
        <w:rPr>
          <w:spacing w:val="-54"/>
        </w:rPr>
      </w:r>
      <w:r>
        <w:rPr/>
        <w:t>营业执照》，完成了工商变更登记手续。</w:t>
      </w:r>
    </w:p>
    <w:p>
      <w:pPr>
        <w:pStyle w:val="BodyText"/>
        <w:spacing w:line="316" w:lineRule="auto" w:before="19"/>
        <w:ind w:right="102" w:firstLine="360"/>
        <w:jc w:val="left"/>
      </w:pPr>
      <w:r>
        <w:rPr>
          <w:rFonts w:ascii="宋体" w:hAnsi="宋体" w:cs="宋体" w:eastAsia="宋体" w:hint="default"/>
          <w:spacing w:val="-2"/>
        </w:rPr>
        <w:t>2014</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日，经公司</w:t>
      </w:r>
      <w:r>
        <w:rPr>
          <w:rFonts w:ascii="宋体" w:hAnsi="宋体" w:cs="宋体" w:eastAsia="宋体" w:hint="default"/>
          <w:spacing w:val="-2"/>
        </w:rPr>
        <w:t>2013</w:t>
      </w:r>
      <w:r>
        <w:rPr>
          <w:spacing w:val="-2"/>
        </w:rPr>
        <w:t>年度股东大会审议通过以公司总股本</w:t>
      </w:r>
      <w:r>
        <w:rPr>
          <w:rFonts w:ascii="宋体" w:hAnsi="宋体" w:cs="宋体" w:eastAsia="宋体" w:hint="default"/>
          <w:spacing w:val="-2"/>
        </w:rPr>
        <w:t>13,340</w:t>
      </w:r>
      <w:r>
        <w:rPr>
          <w:spacing w:val="-2"/>
        </w:rPr>
        <w:t>万股为基数向全体股东每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股，共计转</w:t>
      </w:r>
      <w:r>
        <w:rPr/>
        <w:t> 增</w:t>
      </w:r>
      <w:r>
        <w:rPr>
          <w:rFonts w:ascii="宋体" w:hAnsi="宋体" w:cs="宋体" w:eastAsia="宋体" w:hint="default"/>
        </w:rPr>
        <w:t>13,340</w:t>
      </w:r>
      <w:r>
        <w:rPr/>
        <w:t>万股，转增后公司总股本增加至</w:t>
      </w:r>
      <w:r>
        <w:rPr>
          <w:rFonts w:ascii="宋体" w:hAnsi="宋体" w:cs="宋体" w:eastAsia="宋体" w:hint="default"/>
        </w:rPr>
        <w:t>26,680</w:t>
      </w:r>
      <w:r>
        <w:rPr/>
        <w:t>万股。</w:t>
      </w:r>
    </w:p>
    <w:p>
      <w:pPr>
        <w:pStyle w:val="BodyText"/>
        <w:spacing w:line="316" w:lineRule="auto" w:before="19"/>
        <w:ind w:right="102" w:firstLine="360"/>
        <w:jc w:val="left"/>
      </w:pP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日，公司取得北京市工商行政管理局颁发的营业执照（注册号：</w:t>
      </w:r>
      <w:r>
        <w:rPr>
          <w:rFonts w:ascii="宋体" w:hAnsi="宋体" w:cs="宋体" w:eastAsia="宋体" w:hint="default"/>
          <w:spacing w:val="-2"/>
        </w:rPr>
        <w:t>110108004645099</w:t>
      </w:r>
      <w:r>
        <w:rPr>
          <w:spacing w:val="-2"/>
        </w:rPr>
        <w:t>），完成了工商变更登记</w:t>
      </w:r>
      <w:r>
        <w:rPr/>
        <w:t> 手续。</w:t>
      </w:r>
    </w:p>
    <w:p>
      <w:pPr>
        <w:pStyle w:val="BodyText"/>
        <w:spacing w:line="319" w:lineRule="auto" w:before="19"/>
        <w:ind w:right="102" w:firstLine="360"/>
        <w:jc w:val="left"/>
      </w:pPr>
      <w:r>
        <w:rPr>
          <w:spacing w:val="-2"/>
        </w:rPr>
        <w:t>根据</w:t>
      </w:r>
      <w:r>
        <w:rPr>
          <w:rFonts w:ascii="宋体" w:hAnsi="宋体" w:cs="宋体" w:eastAsia="宋体" w:hint="default"/>
          <w:spacing w:val="-2"/>
        </w:rPr>
        <w:t>2014</w:t>
      </w:r>
      <w:r>
        <w:rPr>
          <w:spacing w:val="-2"/>
        </w:rPr>
        <w:t>年第三次临时股东大会决议和经证监会《关于核准北京北信源软件股份有限公司向田秋桂等发行股份购买资产</w:t>
      </w:r>
      <w:r>
        <w:rPr/>
        <w:t> </w:t>
      </w:r>
      <w:r>
        <w:rPr>
          <w:spacing w:val="-3"/>
        </w:rPr>
        <w:t>的批复》（证监许可</w:t>
      </w:r>
      <w:r>
        <w:rPr>
          <w:rFonts w:ascii="宋体" w:hAnsi="宋体" w:cs="宋体" w:eastAsia="宋体" w:hint="default"/>
          <w:spacing w:val="-3"/>
        </w:rPr>
        <w:t>[2015]1719</w:t>
      </w:r>
      <w:r>
        <w:rPr>
          <w:spacing w:val="-3"/>
        </w:rPr>
        <w:t>号）核准，北京北信源软件股份有限公司以非公开发行</w:t>
      </w:r>
      <w:r>
        <w:rPr>
          <w:rFonts w:ascii="宋体" w:hAnsi="宋体" w:cs="宋体" w:eastAsia="宋体" w:hint="default"/>
          <w:spacing w:val="-3"/>
        </w:rPr>
        <w:t>1,520,857</w:t>
      </w:r>
      <w:r>
        <w:rPr>
          <w:spacing w:val="-3"/>
        </w:rPr>
        <w:t>股、</w:t>
      </w:r>
      <w:r>
        <w:rPr>
          <w:rFonts w:ascii="宋体" w:hAnsi="宋体" w:cs="宋体" w:eastAsia="宋体" w:hint="default"/>
          <w:spacing w:val="-3"/>
        </w:rPr>
        <w:t>1,490,021</w:t>
      </w:r>
      <w:r>
        <w:rPr>
          <w:spacing w:val="-3"/>
        </w:rPr>
        <w:t>股、</w:t>
      </w:r>
      <w:r>
        <w:rPr>
          <w:rFonts w:ascii="宋体" w:hAnsi="宋体" w:cs="宋体" w:eastAsia="宋体" w:hint="default"/>
          <w:spacing w:val="-3"/>
        </w:rPr>
        <w:t>415,246</w:t>
      </w:r>
      <w:r>
        <w:rPr>
          <w:rFonts w:ascii="宋体" w:hAnsi="宋体" w:cs="宋体" w:eastAsia="宋体" w:hint="default"/>
          <w:spacing w:val="-60"/>
        </w:rPr>
        <w:t> </w:t>
      </w:r>
      <w:r>
        <w:rPr>
          <w:rFonts w:ascii="宋体" w:hAnsi="宋体" w:cs="宋体" w:eastAsia="宋体" w:hint="default"/>
          <w:spacing w:val="-60"/>
        </w:rPr>
      </w:r>
      <w:r>
        <w:rPr>
          <w:spacing w:val="-2"/>
        </w:rPr>
        <w:t>股人民币普通股（</w:t>
      </w:r>
      <w:r>
        <w:rPr>
          <w:rFonts w:ascii="宋体" w:hAnsi="宋体" w:cs="宋体" w:eastAsia="宋体" w:hint="default"/>
          <w:spacing w:val="-2"/>
        </w:rPr>
        <w:t>A</w:t>
      </w:r>
      <w:r>
        <w:rPr>
          <w:spacing w:val="-2"/>
        </w:rPr>
        <w:t>股）为对价，发行股份价格为</w:t>
      </w:r>
      <w:r>
        <w:rPr>
          <w:rFonts w:ascii="宋体" w:hAnsi="宋体" w:cs="宋体" w:eastAsia="宋体" w:hint="default"/>
          <w:spacing w:val="-2"/>
        </w:rPr>
        <w:t>23.35</w:t>
      </w:r>
      <w:r>
        <w:rPr>
          <w:spacing w:val="-2"/>
        </w:rPr>
        <w:t>元</w:t>
      </w:r>
      <w:r>
        <w:rPr>
          <w:rFonts w:ascii="宋体" w:hAnsi="宋体" w:cs="宋体" w:eastAsia="宋体" w:hint="default"/>
          <w:spacing w:val="-2"/>
        </w:rPr>
        <w:t>/</w:t>
      </w:r>
      <w:r>
        <w:rPr>
          <w:spacing w:val="-2"/>
        </w:rPr>
        <w:t>股，同时支付现金对价</w:t>
      </w:r>
      <w:r>
        <w:rPr>
          <w:rFonts w:ascii="宋体" w:hAnsi="宋体" w:cs="宋体" w:eastAsia="宋体" w:hint="default"/>
          <w:spacing w:val="-2"/>
        </w:rPr>
        <w:t>2,000</w:t>
      </w:r>
      <w:r>
        <w:rPr>
          <w:spacing w:val="-2"/>
        </w:rPr>
        <w:t>万元</w:t>
      </w:r>
      <w:r>
        <w:rPr>
          <w:rFonts w:ascii="宋体" w:hAnsi="宋体" w:cs="宋体" w:eastAsia="宋体" w:hint="default"/>
          <w:spacing w:val="-2"/>
        </w:rPr>
        <w:t>,</w:t>
      </w:r>
      <w:r>
        <w:rPr>
          <w:spacing w:val="-2"/>
        </w:rPr>
        <w:t>分别向自然人田秋桂、马永清、</w:t>
      </w:r>
      <w:r>
        <w:rPr>
          <w:spacing w:val="-56"/>
        </w:rPr>
        <w:t> </w:t>
      </w:r>
      <w:r>
        <w:rPr>
          <w:spacing w:val="-56"/>
        </w:rPr>
      </w:r>
      <w:r>
        <w:rPr>
          <w:spacing w:val="18"/>
        </w:rPr>
        <w:t>王俊锋发行股份购买其三人共同持有的北京中软华泰信息技术有限责任公司</w:t>
      </w:r>
      <w:r>
        <w:rPr>
          <w:spacing w:val="-66"/>
        </w:rPr>
        <w:t> </w:t>
      </w:r>
      <w:r>
        <w:rPr>
          <w:rFonts w:ascii="宋体" w:hAnsi="宋体" w:cs="宋体" w:eastAsia="宋体" w:hint="default"/>
        </w:rPr>
        <w:t>100%</w:t>
      </w:r>
      <w:r>
        <w:rPr>
          <w:rFonts w:ascii="宋体" w:hAnsi="宋体" w:cs="宋体" w:eastAsia="宋体" w:hint="default"/>
          <w:spacing w:val="-67"/>
        </w:rPr>
        <w:t> </w:t>
      </w:r>
      <w:r>
        <w:rPr>
          <w:spacing w:val="11"/>
        </w:rPr>
        <w:t>股权</w:t>
      </w:r>
      <w:r>
        <w:rPr>
          <w:rFonts w:ascii="宋体" w:hAnsi="宋体" w:cs="宋体" w:eastAsia="宋体" w:hint="default"/>
          <w:spacing w:val="11"/>
        </w:rPr>
        <w:t>,</w:t>
      </w:r>
      <w:r>
        <w:rPr>
          <w:rFonts w:ascii="宋体" w:hAnsi="宋体" w:cs="宋体" w:eastAsia="宋体" w:hint="default"/>
          <w:spacing w:val="-67"/>
        </w:rPr>
        <w:t> </w:t>
      </w:r>
      <w:r>
        <w:rPr>
          <w:spacing w:val="17"/>
        </w:rPr>
        <w:t>工商变更后公司的总股本</w:t>
      </w:r>
      <w:r>
        <w:rPr>
          <w:spacing w:val="-74"/>
        </w:rPr>
        <w:t> </w:t>
      </w:r>
      <w:r>
        <w:rPr>
          <w:rFonts w:ascii="宋体" w:hAnsi="宋体" w:cs="宋体" w:eastAsia="宋体" w:hint="default"/>
        </w:rPr>
        <w:t>27,022.6124</w:t>
      </w:r>
      <w:r>
        <w:rPr/>
        <w:t>万股。</w:t>
      </w:r>
    </w:p>
    <w:p>
      <w:pPr>
        <w:pStyle w:val="BodyText"/>
        <w:spacing w:line="316" w:lineRule="auto" w:before="17"/>
        <w:ind w:left="513" w:right="4593"/>
        <w:jc w:val="left"/>
      </w:pPr>
      <w:r>
        <w:rPr/>
        <w:t>完成工商变更后公司最新《营业执照》登记的相关信息如下： 名称：北京北信源软件股份有限公司 类型：股份有限公司（上市、自然人投资或控股） 法定代表人：林皓</w:t>
      </w:r>
    </w:p>
    <w:p>
      <w:pPr>
        <w:pStyle w:val="BodyText"/>
        <w:spacing w:line="316" w:lineRule="auto" w:before="19"/>
        <w:ind w:left="513" w:right="3963"/>
        <w:jc w:val="left"/>
      </w:pPr>
      <w:r>
        <w:rPr/>
        <w:t>统一社会信用代码：</w:t>
      </w:r>
      <w:r>
        <w:rPr>
          <w:rFonts w:ascii="宋体" w:hAnsi="宋体" w:cs="宋体" w:eastAsia="宋体" w:hint="default"/>
        </w:rPr>
        <w:t>91110000101967333M </w:t>
      </w:r>
      <w:r>
        <w:rPr/>
        <w:t>住所：北京市海淀区中关村南大街</w:t>
      </w:r>
      <w:r>
        <w:rPr>
          <w:rFonts w:ascii="宋体" w:hAnsi="宋体" w:cs="宋体" w:eastAsia="宋体" w:hint="default"/>
        </w:rPr>
        <w:t>34</w:t>
      </w:r>
      <w:r>
        <w:rPr/>
        <w:t>号中关村科技发展大厦</w:t>
      </w:r>
      <w:r>
        <w:rPr>
          <w:rFonts w:ascii="宋体" w:hAnsi="宋体" w:cs="宋体" w:eastAsia="宋体" w:hint="default"/>
        </w:rPr>
        <w:t>C</w:t>
      </w:r>
      <w:r>
        <w:rPr/>
        <w:t>座</w:t>
      </w:r>
      <w:r>
        <w:rPr>
          <w:rFonts w:ascii="宋体" w:hAnsi="宋体" w:cs="宋体" w:eastAsia="宋体" w:hint="default"/>
        </w:rPr>
        <w:t>1602</w:t>
      </w:r>
      <w:r>
        <w:rPr/>
        <w:t>室</w:t>
      </w:r>
    </w:p>
    <w:p>
      <w:pPr>
        <w:pStyle w:val="BodyText"/>
        <w:spacing w:line="316" w:lineRule="auto" w:before="19"/>
        <w:ind w:right="94" w:firstLine="360"/>
        <w:jc w:val="left"/>
      </w:pPr>
      <w:r>
        <w:rPr/>
        <w:t>经营范围：计算机系统服务；数据处理；基础软件服务；应用软件服务；计算机软硬件及通信设备的研发、技术推广、 </w:t>
      </w:r>
      <w:r>
        <w:rPr>
          <w:spacing w:val="-4"/>
        </w:rPr>
        <w:t>技术转让、技术培训、维修、咨询、服务、销售；计算机软硬件的生产、组装；复制记录媒介（不含出版物）；技术进出口、</w:t>
      </w:r>
      <w:r>
        <w:rPr>
          <w:spacing w:val="-46"/>
        </w:rPr>
        <w:t> </w:t>
      </w:r>
      <w:r>
        <w:rPr>
          <w:spacing w:val="-46"/>
        </w:rPr>
      </w:r>
      <w:r>
        <w:rPr>
          <w:spacing w:val="-2"/>
        </w:rPr>
        <w:t>货物进出口、代理进出口；销售计算机信息系统安全专用产品、经国家密码管理局审批并通过指定检测机构产品质量检测的</w:t>
      </w:r>
      <w:r>
        <w:rPr>
          <w:spacing w:val="-66"/>
        </w:rPr>
        <w:t> </w:t>
      </w:r>
      <w:r>
        <w:rPr>
          <w:spacing w:val="-66"/>
        </w:rPr>
      </w:r>
      <w:r>
        <w:rPr>
          <w:spacing w:val="-2"/>
        </w:rPr>
        <w:t>商用密码产品；经国家密码管理机构批准的商用密码产品的开发；第二类增值电信业务中的信息服务业务（不含固定网电话</w:t>
      </w:r>
      <w:r>
        <w:rPr>
          <w:spacing w:val="-63"/>
        </w:rPr>
        <w:t> </w:t>
      </w:r>
      <w:r>
        <w:rPr>
          <w:spacing w:val="-63"/>
        </w:rPr>
      </w:r>
      <w:r>
        <w:rPr>
          <w:spacing w:val="-2"/>
        </w:rPr>
        <w:t>信息服务）。（第二类增值电信业务中的信息服务业务以及依法须经批准的项目，经相关部门批准后依批准的内容开展经营</w:t>
      </w:r>
      <w:r>
        <w:rPr>
          <w:spacing w:val="-65"/>
        </w:rPr>
        <w:t> </w:t>
      </w:r>
      <w:r>
        <w:rPr>
          <w:spacing w:val="-65"/>
        </w:rPr>
      </w:r>
      <w:r>
        <w:rPr/>
        <w:t>活动。）</w:t>
      </w:r>
    </w:p>
    <w:p>
      <w:pPr>
        <w:pStyle w:val="BodyText"/>
        <w:spacing w:line="316" w:lineRule="auto" w:before="19"/>
        <w:ind w:right="102" w:firstLine="360"/>
        <w:jc w:val="left"/>
      </w:pPr>
      <w:r>
        <w:rPr>
          <w:spacing w:val="-2"/>
        </w:rPr>
        <w:t>公司所处行业为软件行业，是专业从事信息安全的国家级高新技术企业公司，主营业务为信息安全软件产品的研发、生</w:t>
      </w:r>
      <w:r>
        <w:rPr/>
        <w:t> 产、销售及提供技术服务。</w:t>
      </w:r>
    </w:p>
    <w:p>
      <w:pPr>
        <w:pStyle w:val="BodyText"/>
        <w:spacing w:line="316" w:lineRule="auto" w:before="19"/>
        <w:ind w:left="513" w:right="183"/>
        <w:jc w:val="left"/>
      </w:pPr>
      <w:r>
        <w:rPr/>
        <w:t>本财务报表业经本公司董事会于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18</w:t>
      </w:r>
      <w:r>
        <w:rPr/>
        <w:t>日决议批准报出。 报告期内，本公司合并财务报表范围包括江苏神州信源系统工程有限公司、上海北信源信息技术有限公司、北信源</w:t>
      </w:r>
      <w:r>
        <w:rPr>
          <w:rFonts w:ascii="宋体" w:hAnsi="宋体" w:cs="宋体" w:eastAsia="宋体" w:hint="default"/>
        </w:rPr>
        <w:t>(</w:t>
      </w:r>
      <w:r>
        <w:rPr/>
        <w:t>马</w:t>
      </w:r>
    </w:p>
    <w:p>
      <w:pPr>
        <w:pStyle w:val="BodyText"/>
        <w:spacing w:line="316" w:lineRule="auto" w:before="19"/>
        <w:ind w:right="100"/>
        <w:jc w:val="both"/>
      </w:pPr>
      <w:r>
        <w:rPr>
          <w:spacing w:val="-4"/>
        </w:rPr>
        <w:t>来西亚</w:t>
      </w:r>
      <w:r>
        <w:rPr>
          <w:rFonts w:ascii="宋体" w:hAnsi="宋体" w:cs="宋体" w:eastAsia="宋体" w:hint="default"/>
          <w:spacing w:val="-4"/>
        </w:rPr>
        <w:t>)</w:t>
      </w:r>
      <w:r>
        <w:rPr>
          <w:spacing w:val="-4"/>
        </w:rPr>
        <w:t>信息技术公司、北京中软华泰信息技术有限责任公司</w:t>
      </w:r>
      <w:r>
        <w:rPr>
          <w:rFonts w:ascii="宋体" w:hAnsi="宋体" w:cs="宋体" w:eastAsia="宋体" w:hint="default"/>
          <w:spacing w:val="-4"/>
        </w:rPr>
        <w:t>4</w:t>
      </w:r>
      <w:r>
        <w:rPr>
          <w:spacing w:val="-4"/>
        </w:rPr>
        <w:t>家公司，详见本附注九“在其他主体中的权益”。与上年相比，</w:t>
      </w:r>
      <w:r>
        <w:rPr>
          <w:spacing w:val="-40"/>
        </w:rPr>
        <w:t> </w:t>
      </w:r>
      <w:r>
        <w:rPr>
          <w:spacing w:val="-40"/>
        </w:rPr>
      </w:r>
      <w:r>
        <w:rPr/>
        <w:t>本年度财务报表合并范围增加北京中软华泰信息技术有限责任公司</w:t>
      </w:r>
      <w:r>
        <w:rPr>
          <w:rFonts w:ascii="宋体" w:hAnsi="宋体" w:cs="宋体" w:eastAsia="宋体" w:hint="default"/>
        </w:rPr>
        <w:t>1</w:t>
      </w:r>
      <w:r>
        <w:rPr/>
        <w:t>家公司，详见本附注八、“在其他主体中的权益”。</w:t>
      </w:r>
    </w:p>
    <w:p>
      <w:pPr>
        <w:spacing w:line="240" w:lineRule="auto" w:before="1"/>
        <w:rPr>
          <w:rFonts w:ascii="宋体" w:hAnsi="宋体" w:cs="宋体" w:eastAsia="宋体" w:hint="default"/>
          <w:sz w:val="15"/>
          <w:szCs w:val="15"/>
        </w:rPr>
      </w:pPr>
    </w:p>
    <w:p>
      <w:pPr>
        <w:pStyle w:val="Heading2"/>
        <w:spacing w:line="240" w:lineRule="auto"/>
        <w:ind w:right="0"/>
        <w:jc w:val="both"/>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102"/>
        <w:jc w:val="left"/>
      </w:pPr>
      <w:r>
        <w:rPr>
          <w:spacing w:val="-4"/>
        </w:rPr>
        <w:t>本公司财务报表以持续经营假设为基础，根据实际发生的交易和事项，按照财政部发布的《企业会计准则——基本准则》</w:t>
      </w:r>
    </w:p>
    <w:p>
      <w:pPr>
        <w:pStyle w:val="BodyText"/>
        <w:spacing w:line="316" w:lineRule="auto" w:before="76"/>
        <w:ind w:right="192"/>
        <w:jc w:val="both"/>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41</w:t>
      </w:r>
      <w:r>
        <w:rPr/>
        <w:t>项具体会计准则、企业会计准则</w:t>
      </w:r>
      <w:r>
        <w:rPr>
          <w:spacing w:val="-87"/>
        </w:rPr>
        <w:t> </w:t>
      </w:r>
      <w:r>
        <w:rPr>
          <w:spacing w:val="-87"/>
        </w:rPr>
      </w:r>
      <w:r>
        <w:rPr>
          <w:spacing w:val="-2"/>
        </w:rPr>
        <w:t>应用指南、企业会计准则解释及其他相关规定（以下合称“企业会计准则”），以及中国证券监督管理委员会《公开发行证</w:t>
      </w:r>
      <w:r>
        <w:rPr>
          <w:spacing w:val="-70"/>
        </w:rPr>
        <w:t> </w:t>
      </w:r>
      <w:r>
        <w:rPr>
          <w:spacing w:val="-70"/>
        </w:rPr>
      </w:r>
      <w:r>
        <w:rPr/>
        <w:t>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19" w:lineRule="auto" w:before="19"/>
        <w:ind w:right="102" w:firstLine="360"/>
        <w:jc w:val="left"/>
      </w:pPr>
      <w:r>
        <w:rPr>
          <w:spacing w:val="-2"/>
        </w:rPr>
        <w:t>根据企业会计准则的相关规定，本公司会计核算以权责发生制为基础。除某些金融工具和投资性房地产外，本财务报表</w:t>
      </w:r>
      <w:r>
        <w:rPr/>
        <w:t> 均以历史成本为计量基础。资产如果发生减值，则按照相关规定计提相应的减值准备。</w:t>
      </w:r>
    </w:p>
    <w:p>
      <w:pPr>
        <w:spacing w:after="0" w:line="319"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2"/>
          <w:szCs w:val="22"/>
        </w:rPr>
      </w:pPr>
    </w:p>
    <w:p>
      <w:pPr>
        <w:pStyle w:val="Heading3"/>
        <w:spacing w:line="335" w:lineRule="exact"/>
        <w:ind w:right="102"/>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2"/>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5"/>
        <w:rPr>
          <w:rFonts w:ascii="宋体" w:hAnsi="宋体" w:cs="宋体" w:eastAsia="宋体" w:hint="default"/>
          <w:sz w:val="19"/>
          <w:szCs w:val="19"/>
        </w:rPr>
      </w:pPr>
    </w:p>
    <w:p>
      <w:pPr>
        <w:pStyle w:val="Heading2"/>
        <w:spacing w:line="240" w:lineRule="auto"/>
        <w:ind w:right="102"/>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left="513" w:right="102" w:hanging="361"/>
        <w:jc w:val="left"/>
      </w:pPr>
      <w:r>
        <w:rPr/>
        <w:t>具体会计政策和会计估计提示： </w:t>
      </w:r>
      <w:r>
        <w:rPr>
          <w:spacing w:val="-2"/>
        </w:rPr>
        <w:t>本公司及各子公司从事软件行业研发、生产和销售。本公司及各子公司根据实际生产经营特点，依据相关企业会计准则</w:t>
      </w:r>
    </w:p>
    <w:p>
      <w:pPr>
        <w:pStyle w:val="BodyText"/>
        <w:spacing w:line="222" w:lineRule="exact"/>
        <w:ind w:right="0"/>
        <w:jc w:val="left"/>
      </w:pPr>
      <w:r>
        <w:rPr/>
        <w:t>的规定，对收入确认等交易和事项制定了若干项具体会计政策和会计估计，详见本附注四、</w:t>
      </w:r>
      <w:r>
        <w:rPr>
          <w:rFonts w:ascii="宋体" w:hAnsi="宋体" w:cs="宋体" w:eastAsia="宋体" w:hint="default"/>
        </w:rPr>
        <w:t>22</w:t>
      </w:r>
      <w:r>
        <w:rPr/>
        <w:t>“收入”等各项描述。关于管</w:t>
      </w:r>
    </w:p>
    <w:p>
      <w:pPr>
        <w:pStyle w:val="BodyText"/>
        <w:spacing w:line="240" w:lineRule="auto" w:before="76"/>
        <w:ind w:right="102"/>
        <w:jc w:val="left"/>
      </w:pPr>
      <w:r>
        <w:rPr/>
        <w:t>理层所作出的重大会计判断和估计的说明，请参阅附注四、</w:t>
      </w:r>
      <w:r>
        <w:rPr>
          <w:rFonts w:ascii="宋体" w:hAnsi="宋体" w:cs="宋体" w:eastAsia="宋体" w:hint="default"/>
        </w:rPr>
        <w:t>26</w:t>
      </w:r>
      <w:r>
        <w:rPr/>
        <w:t>“重大会计判断和估计”。</w:t>
      </w:r>
    </w:p>
    <w:p>
      <w:pPr>
        <w:spacing w:line="240" w:lineRule="auto" w:before="2"/>
        <w:rPr>
          <w:rFonts w:ascii="宋体" w:hAnsi="宋体" w:cs="宋体" w:eastAsia="宋体" w:hint="default"/>
          <w:sz w:val="22"/>
          <w:szCs w:val="22"/>
        </w:rPr>
      </w:pPr>
    </w:p>
    <w:p>
      <w:pPr>
        <w:pStyle w:val="Heading3"/>
        <w:spacing w:line="240" w:lineRule="auto"/>
        <w:ind w:right="10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88" w:firstLine="360"/>
        <w:jc w:val="both"/>
      </w:pPr>
      <w:r>
        <w:rPr>
          <w:spacing w:val="-2"/>
        </w:rPr>
        <w:t>本公司编制的财务报表符合企业会计准则的要求，真实、完整地反映了本公司</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日的财务状况及</w:t>
      </w:r>
      <w:r>
        <w:rPr>
          <w:rFonts w:ascii="宋体" w:hAnsi="宋体" w:cs="宋体" w:eastAsia="宋体" w:hint="default"/>
          <w:spacing w:val="-2"/>
        </w:rPr>
        <w:t>2015</w:t>
      </w:r>
      <w:r>
        <w:rPr>
          <w:spacing w:val="-2"/>
        </w:rPr>
        <w:t>年度的</w:t>
      </w:r>
      <w:r>
        <w:rPr/>
        <w:t> </w:t>
      </w:r>
      <w:r>
        <w:rPr>
          <w:spacing w:val="-2"/>
        </w:rPr>
        <w:t>经营成果和现金流量等有关信息。此外，本公司的财务报表在所有重大方面符合中国证券监督管理委员会</w:t>
      </w:r>
      <w:r>
        <w:rPr>
          <w:rFonts w:ascii="宋体" w:hAnsi="宋体" w:cs="宋体" w:eastAsia="宋体" w:hint="default"/>
          <w:spacing w:val="-2"/>
        </w:rPr>
        <w:t>2014</w:t>
      </w:r>
      <w:r>
        <w:rPr>
          <w:spacing w:val="-2"/>
        </w:rPr>
        <w:t>年修订的《公</w:t>
      </w:r>
      <w:r>
        <w:rPr>
          <w:spacing w:val="-61"/>
        </w:rPr>
        <w:t> </w:t>
      </w:r>
      <w:r>
        <w:rPr>
          <w:spacing w:val="-61"/>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1" w:firstLine="360"/>
        <w:jc w:val="both"/>
      </w:pPr>
      <w:r>
        <w:rPr/>
        <w:t>本公司的会计期间分为年度和中期，会计中期指短于一个完整的会计年度的报告期间。本公司会计年度采用公历年度， 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88" w:firstLine="360"/>
        <w:jc w:val="both"/>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9"/>
        <w:rPr>
          <w:rFonts w:ascii="宋体" w:hAnsi="宋体" w:cs="宋体" w:eastAsia="宋体" w:hint="default"/>
          <w:sz w:val="17"/>
          <w:szCs w:val="17"/>
        </w:rPr>
      </w:pPr>
    </w:p>
    <w:p>
      <w:pPr>
        <w:pStyle w:val="Heading3"/>
        <w:spacing w:line="240" w:lineRule="auto"/>
        <w:ind w:right="10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91"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之境外子公司根据其经营所处的主要经济环境中的货币确定马来币为其记账本位币。本公司编制本财务报表时所采用的货币</w:t>
      </w:r>
      <w:r>
        <w:rPr>
          <w:spacing w:val="-63"/>
        </w:rPr>
        <w:t> </w:t>
      </w:r>
      <w:r>
        <w:rPr>
          <w:spacing w:val="-63"/>
        </w:rPr>
      </w:r>
      <w:r>
        <w:rPr/>
        <w:t>为人民币</w:t>
      </w:r>
    </w:p>
    <w:p>
      <w:pPr>
        <w:spacing w:line="240" w:lineRule="auto" w:before="7"/>
        <w:rPr>
          <w:rFonts w:ascii="宋体" w:hAnsi="宋体" w:cs="宋体" w:eastAsia="宋体" w:hint="default"/>
          <w:sz w:val="17"/>
          <w:szCs w:val="17"/>
        </w:rPr>
      </w:pPr>
    </w:p>
    <w:p>
      <w:pPr>
        <w:pStyle w:val="Heading3"/>
        <w:spacing w:line="240" w:lineRule="auto"/>
        <w:ind w:right="10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157" w:right="19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16" w:lineRule="auto" w:before="19"/>
        <w:ind w:left="513" w:right="102" w:hanging="89"/>
        <w:jc w:val="left"/>
      </w:pPr>
      <w:r>
        <w:rPr/>
        <w:t>（</w:t>
      </w:r>
      <w:r>
        <w:rPr>
          <w:rFonts w:ascii="宋体" w:hAnsi="宋体" w:cs="宋体" w:eastAsia="宋体"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9" w:lineRule="auto" w:before="19"/>
        <w:ind w:right="102"/>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7"/>
        <w:ind w:right="111"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spacing w:after="0" w:line="316" w:lineRule="auto"/>
        <w:jc w:val="both"/>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240" w:lineRule="auto" w:before="44"/>
        <w:ind w:left="513" w:right="102"/>
        <w:jc w:val="left"/>
      </w:pPr>
      <w:r>
        <w:rPr/>
        <w:t>合并方为进行企业合并发生的各项直接费用，于发生时计入当期损益。</w:t>
      </w:r>
    </w:p>
    <w:p>
      <w:pPr>
        <w:pStyle w:val="BodyText"/>
        <w:spacing w:line="316" w:lineRule="auto" w:before="76"/>
        <w:ind w:left="513" w:right="102" w:hanging="89"/>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19"/>
        <w:ind w:right="102"/>
        <w:jc w:val="left"/>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before="19"/>
        <w:ind w:right="19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3"/>
        </w:rPr>
        <w:t> </w:t>
      </w:r>
      <w:r>
        <w:rPr>
          <w:spacing w:val="-63"/>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6" w:lineRule="auto" w:before="19"/>
        <w:ind w:right="188" w:firstLine="360"/>
        <w:jc w:val="both"/>
      </w:pPr>
      <w:r>
        <w:rPr/>
        <w:t>购买方取得被购买方的可抵扣暂时性差异，在购买日因不符合递延所得税资产确认条件而未予确认的，在购买日后</w:t>
      </w:r>
      <w:r>
        <w:rPr>
          <w:rFonts w:ascii="宋体" w:hAnsi="宋体" w:cs="宋体" w:eastAsia="宋体" w:hint="default"/>
        </w:rPr>
        <w:t>12</w:t>
      </w:r>
      <w:r>
        <w:rPr>
          <w:rFonts w:ascii="宋体" w:hAnsi="宋体" w:cs="宋体" w:eastAsia="宋体" w:hint="default"/>
          <w:spacing w:val="-2"/>
        </w:rPr>
        <w:t> </w:t>
      </w:r>
      <w:r>
        <w:rPr>
          <w:spacing w:val="-2"/>
        </w:rPr>
        <w:t>个月内，如取得新的或进一步的信息表明购买日的相关情况已经存在，预期被购买方在购买日可抵扣暂时性差异带来的经济</w:t>
      </w:r>
      <w:r>
        <w:rPr>
          <w:spacing w:val="-63"/>
        </w:rPr>
        <w:t> </w:t>
      </w:r>
      <w:r>
        <w:rPr>
          <w:spacing w:val="-63"/>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319" w:lineRule="auto" w:before="19"/>
        <w:ind w:right="94" w:firstLine="360"/>
        <w:jc w:val="left"/>
      </w:pPr>
      <w:r>
        <w:rPr>
          <w:spacing w:val="-5"/>
        </w:rPr>
        <w:t>通过多次交易分步实现的非同一控制下企业合并，根据《财政部关于印发企业会计准则解释第</w:t>
      </w:r>
      <w:r>
        <w:rPr>
          <w:rFonts w:ascii="宋体" w:hAnsi="宋体" w:cs="宋体" w:eastAsia="宋体" w:hint="default"/>
          <w:spacing w:val="-5"/>
        </w:rPr>
        <w:t>5</w:t>
      </w:r>
      <w:r>
        <w:rPr>
          <w:spacing w:val="-5"/>
        </w:rPr>
        <w:t>号的通知》（财会〔</w:t>
      </w:r>
      <w:r>
        <w:rPr>
          <w:rFonts w:ascii="宋体" w:hAnsi="宋体" w:cs="宋体" w:eastAsia="宋体" w:hint="default"/>
          <w:spacing w:val="-5"/>
        </w:rPr>
        <w:t>2012</w:t>
      </w:r>
      <w:r>
        <w:rPr>
          <w:spacing w:val="-5"/>
        </w:rPr>
        <w:t>〕</w:t>
      </w:r>
      <w:r>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号——合并财务报表》第五十一条关于“一揽子交易”的判断标准（参见本附注四、</w:t>
      </w:r>
      <w:r>
        <w:rPr>
          <w:rFonts w:ascii="宋体" w:hAnsi="宋体" w:cs="宋体" w:eastAsia="宋体" w:hint="default"/>
          <w:spacing w:val="-4"/>
        </w:rPr>
        <w:t>5</w:t>
      </w:r>
      <w:r>
        <w:rPr>
          <w:spacing w:val="-4"/>
        </w:rPr>
        <w:t>（</w:t>
      </w:r>
      <w:r>
        <w:rPr>
          <w:rFonts w:ascii="宋体" w:hAnsi="宋体" w:cs="宋体" w:eastAsia="宋体" w:hint="default"/>
          <w:spacing w:val="-4"/>
        </w:rPr>
        <w:t>2</w:t>
      </w:r>
      <w:r>
        <w:rPr>
          <w:spacing w:val="-4"/>
        </w:rPr>
        <w:t>）），</w:t>
      </w:r>
      <w:r>
        <w:rPr>
          <w:spacing w:val="-34"/>
        </w:rPr>
        <w:t> </w:t>
      </w:r>
      <w:r>
        <w:rPr>
          <w:spacing w:val="-34"/>
        </w:rPr>
      </w:r>
      <w:r>
        <w:rPr>
          <w:spacing w:val="-2"/>
        </w:rPr>
        <w:t>判断该多次交易是否属于“一揽子交易”。属于“一揽子交易”的，参考本部分前面各段描述及本附注四、</w:t>
      </w:r>
      <w:r>
        <w:rPr>
          <w:rFonts w:ascii="宋体" w:hAnsi="宋体" w:cs="宋体" w:eastAsia="宋体" w:hint="default"/>
          <w:spacing w:val="-2"/>
        </w:rPr>
        <w:t>13</w:t>
      </w:r>
      <w:r>
        <w:rPr>
          <w:spacing w:val="-2"/>
        </w:rPr>
        <w:t>“长期股权投</w:t>
      </w:r>
      <w:r>
        <w:rPr>
          <w:spacing w:val="-64"/>
        </w:rPr>
        <w:t> </w:t>
      </w:r>
      <w:r>
        <w:rPr>
          <w:spacing w:val="-64"/>
        </w:rPr>
      </w:r>
      <w:r>
        <w:rPr/>
        <w:t>资”进行会计处理；不属于“一揽子交易”的，区分个别财务报表和合并财务报表进行相关会计处理：</w:t>
      </w:r>
    </w:p>
    <w:p>
      <w:pPr>
        <w:pStyle w:val="BodyText"/>
        <w:spacing w:line="316" w:lineRule="auto" w:before="17"/>
        <w:ind w:right="19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9"/>
        <w:ind w:right="19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9"/>
        <w:rPr>
          <w:rFonts w:ascii="宋体" w:hAnsi="宋体" w:cs="宋体" w:eastAsia="宋体" w:hint="default"/>
          <w:sz w:val="17"/>
          <w:szCs w:val="17"/>
        </w:rPr>
      </w:pPr>
    </w:p>
    <w:p>
      <w:pPr>
        <w:pStyle w:val="Heading3"/>
        <w:spacing w:line="240" w:lineRule="auto"/>
        <w:ind w:right="102"/>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3" w:right="102" w:hanging="89"/>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4" w:lineRule="auto" w:before="19"/>
        <w:ind w:right="102"/>
        <w:jc w:val="left"/>
      </w:pP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被本公司控制的主体。</w:t>
      </w:r>
    </w:p>
    <w:p>
      <w:pPr>
        <w:pStyle w:val="BodyText"/>
        <w:spacing w:line="240" w:lineRule="auto" w:before="20"/>
        <w:ind w:left="513" w:right="102"/>
        <w:jc w:val="left"/>
      </w:pPr>
      <w:r>
        <w:rPr/>
        <w:t>一旦相关事实和情况的变化导致上述控制定义涉及的相关要素发生了变化，本公司将进行重新评估。</w:t>
      </w:r>
    </w:p>
    <w:p>
      <w:pPr>
        <w:pStyle w:val="BodyText"/>
        <w:spacing w:line="316" w:lineRule="auto" w:before="76"/>
        <w:ind w:left="513" w:right="102" w:hanging="89"/>
        <w:jc w:val="left"/>
      </w:pPr>
      <w:r>
        <w:rPr/>
        <w:t>（</w:t>
      </w:r>
      <w:r>
        <w:rPr>
          <w:rFonts w:ascii="宋体" w:hAnsi="宋体" w:cs="宋体" w:eastAsia="宋体"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9" w:lineRule="auto" w:before="19"/>
        <w:ind w:right="102"/>
        <w:jc w:val="left"/>
      </w:pPr>
      <w:r>
        <w:rPr>
          <w:spacing w:val="-4"/>
        </w:rPr>
        <w:t>停止纳入合并范围。对于处置的子公司，处置日前的经营成果和现金流量已经适当地包括在合并利润表和合并现金流量表中；</w:t>
      </w:r>
      <w:r>
        <w:rPr>
          <w:spacing w:val="-43"/>
        </w:rPr>
        <w:t> </w:t>
      </w:r>
      <w:r>
        <w:rPr>
          <w:spacing w:val="-43"/>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p>
    <w:p>
      <w:pPr>
        <w:spacing w:after="0" w:line="319"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left="513" w:right="102" w:hanging="361"/>
        <w:jc w:val="left"/>
      </w:pPr>
      <w:r>
        <w:rPr/>
        <w:t>时调整合并财务报表的对比数。 </w:t>
      </w:r>
      <w:r>
        <w:rPr>
          <w:spacing w:val="-2"/>
        </w:rPr>
        <w:t>在编制合并财务报表时，子公司与本公司采用的会计政策或会计期间不一致的，按照本公司的会计政策和会计期间对子</w:t>
      </w:r>
    </w:p>
    <w:p>
      <w:pPr>
        <w:pStyle w:val="BodyText"/>
        <w:spacing w:line="316" w:lineRule="auto" w:before="19"/>
        <w:ind w:right="192"/>
        <w:jc w:val="both"/>
      </w:pP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10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16" w:lineRule="auto" w:before="19"/>
        <w:ind w:right="188"/>
        <w:jc w:val="both"/>
      </w:pPr>
      <w:r>
        <w:rPr>
          <w:spacing w:val="-2"/>
        </w:rPr>
        <w:t>中股东权益及净利润项下单独列示。子公司当期净损益中属于少数股东权益的份额，在合并利润表中净利润项目下以“少数</w:t>
      </w:r>
      <w:r>
        <w:rPr>
          <w:spacing w:val="-61"/>
        </w:rPr>
        <w:t> </w:t>
      </w:r>
      <w:r>
        <w:rPr>
          <w:spacing w:val="-61"/>
        </w:rPr>
      </w: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p>
    <w:p>
      <w:pPr>
        <w:pStyle w:val="BodyText"/>
        <w:spacing w:line="319" w:lineRule="auto" w:before="19"/>
        <w:ind w:right="190"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3"/>
        </w:rPr>
        <w:t> </w:t>
      </w:r>
      <w:r>
        <w:rPr>
          <w:spacing w:val="-63"/>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宋体" w:hAnsi="宋体" w:cs="宋体" w:eastAsia="宋体" w:hint="default"/>
        </w:rPr>
        <w:t>2</w:t>
      </w:r>
      <w:r>
        <w:rPr/>
        <w:t>号—— </w:t>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号——金融工具确认和计量》等相关规定进行后续计量，详见本附注四、</w:t>
      </w:r>
      <w:r>
        <w:rPr>
          <w:rFonts w:ascii="宋体" w:hAnsi="宋体" w:cs="宋体" w:eastAsia="宋体" w:hint="default"/>
          <w:spacing w:val="-2"/>
        </w:rPr>
        <w:t>13</w:t>
      </w:r>
      <w:r>
        <w:rPr>
          <w:spacing w:val="-2"/>
        </w:rPr>
        <w:t>“长期股</w:t>
      </w:r>
      <w:r>
        <w:rPr>
          <w:spacing w:val="-63"/>
        </w:rPr>
        <w:t> </w:t>
      </w:r>
      <w:r>
        <w:rPr/>
        <w:t>权投资”或本附注四、</w:t>
      </w:r>
      <w:r>
        <w:rPr>
          <w:rFonts w:ascii="宋体" w:hAnsi="宋体" w:cs="宋体" w:eastAsia="宋体" w:hint="default"/>
        </w:rPr>
        <w:t>9</w:t>
      </w:r>
      <w:r>
        <w:rPr/>
        <w:t>“金融工具”。</w:t>
      </w:r>
    </w:p>
    <w:p>
      <w:pPr>
        <w:pStyle w:val="BodyText"/>
        <w:spacing w:line="316" w:lineRule="auto" w:before="17"/>
        <w:ind w:right="94"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3"/>
        </w:rPr>
        <w:t> </w:t>
      </w:r>
      <w:r>
        <w:rPr>
          <w:spacing w:val="-63"/>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w:t>
      </w:r>
      <w:r>
        <w:rPr>
          <w:spacing w:val="-2"/>
        </w:rPr>
        <w:t>但是和其他交易一并考虑时是经济的。不属于一揽子交易的，对其中的每一项交易视情况分别按照“不丧失控制权的情况下</w:t>
      </w:r>
      <w:r>
        <w:rPr>
          <w:spacing w:val="-61"/>
        </w:rPr>
        <w:t> </w:t>
      </w:r>
      <w:r>
        <w:rPr>
          <w:spacing w:val="-61"/>
        </w:rPr>
      </w:r>
      <w:r>
        <w:rPr/>
        <w:t>部分处置对子公司的长期股权投资”（详见本附注四、</w:t>
      </w:r>
      <w:r>
        <w:rPr>
          <w:rFonts w:ascii="宋体" w:hAnsi="宋体" w:cs="宋体" w:eastAsia="宋体" w:hint="default"/>
        </w:rPr>
        <w:t>13</w:t>
      </w:r>
      <w:r>
        <w:rPr/>
        <w:t>、（</w:t>
      </w:r>
      <w:r>
        <w:rPr>
          <w:rFonts w:ascii="宋体" w:hAnsi="宋体" w:cs="宋体" w:eastAsia="宋体" w:hint="default"/>
        </w:rPr>
        <w:t>2</w:t>
      </w:r>
      <w:r>
        <w:rPr/>
        <w:t>）④）和“因处置部分股权投资或其他原因丧失了对原有子 </w:t>
      </w:r>
      <w:r>
        <w:rPr>
          <w:spacing w:val="-2"/>
        </w:rPr>
        <w:t>公司的控制权”（详见前段）适用的原则进行会计处理。处置对子公司股权投资直至丧失控制权的各项交易属于一揽子交易</w:t>
      </w:r>
      <w:r>
        <w:rPr>
          <w:spacing w:val="-66"/>
        </w:rPr>
        <w:t> </w:t>
      </w:r>
      <w:r>
        <w:rPr>
          <w:spacing w:val="-66"/>
        </w:rPr>
      </w:r>
      <w:r>
        <w:rPr>
          <w:spacing w:val="-2"/>
        </w:rPr>
        <w:t>的，将各项交易作为一项处置子公司并丧失控制权的交易进行会计处理；但是，在丧失控制权之前每一次处置价款与处置投</w:t>
      </w:r>
      <w:r>
        <w:rPr>
          <w:spacing w:val="-64"/>
        </w:rPr>
        <w:t> </w:t>
      </w:r>
      <w:r>
        <w:rPr>
          <w:spacing w:val="-64"/>
        </w:rPr>
      </w: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94"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16" w:lineRule="auto" w:before="17"/>
        <w:ind w:right="193" w:firstLine="360"/>
        <w:jc w:val="both"/>
      </w:pPr>
      <w:r>
        <w:rPr>
          <w:spacing w:val="-2"/>
        </w:rPr>
        <w:t>本公司对合营企业的投资采用权益法核算，按照本附注四、</w:t>
      </w:r>
      <w:r>
        <w:rPr>
          <w:rFonts w:ascii="宋体" w:hAnsi="宋体" w:cs="宋体" w:eastAsia="宋体" w:hint="default"/>
          <w:spacing w:val="-2"/>
        </w:rPr>
        <w:t>13</w:t>
      </w:r>
      <w:r>
        <w:rPr>
          <w:spacing w:val="-2"/>
        </w:rPr>
        <w:t>（</w:t>
      </w:r>
      <w:r>
        <w:rPr>
          <w:rFonts w:ascii="宋体" w:hAnsi="宋体" w:cs="宋体" w:eastAsia="宋体" w:hint="default"/>
          <w:spacing w:val="-2"/>
        </w:rPr>
        <w:t>2</w:t>
      </w:r>
      <w:r>
        <w:rPr>
          <w:spacing w:val="-2"/>
        </w:rPr>
        <w:t>）②</w:t>
      </w:r>
      <w:r>
        <w:rPr>
          <w:spacing w:val="-5"/>
        </w:rPr>
        <w:t> </w:t>
      </w:r>
      <w:r>
        <w:rPr>
          <w:spacing w:val="-1"/>
        </w:rPr>
        <w:t>“权益法核算的长期股权投资”中所述的会计政</w:t>
      </w:r>
      <w:r>
        <w:rPr/>
        <w:t> 策处理。</w:t>
      </w:r>
    </w:p>
    <w:p>
      <w:pPr>
        <w:pStyle w:val="BodyText"/>
        <w:spacing w:line="316" w:lineRule="auto" w:before="19"/>
        <w:ind w:right="19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6" w:lineRule="auto" w:before="19"/>
        <w:ind w:right="191"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5"/>
        </w:rPr>
        <w:t> </w:t>
      </w:r>
      <w:r>
        <w:rPr>
          <w:spacing w:val="-65"/>
        </w:rPr>
      </w:r>
      <w:r>
        <w:rPr/>
        <w:t>计准则第</w:t>
      </w:r>
      <w:r>
        <w:rPr>
          <w:rFonts w:ascii="宋体" w:hAnsi="宋体" w:cs="宋体" w:eastAsia="宋体" w:hint="default"/>
        </w:rPr>
        <w:t>8</w:t>
      </w:r>
      <w:r>
        <w:rPr/>
        <w:t>号——资产减值》等规定的资产减值损失的，对于由本公司向共同经营投出或出售资产的情况，本公司全额确认 该损失；对于本公司自共同经营购买资产的情况，本公司按承担的份额确认该损失。</w:t>
      </w:r>
    </w:p>
    <w:p>
      <w:pPr>
        <w:spacing w:after="0" w:line="316" w:lineRule="auto"/>
        <w:jc w:val="both"/>
        <w:sectPr>
          <w:pgSz w:w="11910" w:h="16840"/>
          <w:pgMar w:header="781" w:footer="979" w:top="1080" w:bottom="1160" w:left="980" w:right="940"/>
        </w:sectPr>
      </w:pPr>
    </w:p>
    <w:p>
      <w:pPr>
        <w:spacing w:line="240" w:lineRule="auto" w:before="10"/>
        <w:rPr>
          <w:rFonts w:ascii="宋体" w:hAnsi="宋体" w:cs="宋体" w:eastAsia="宋体" w:hint="default"/>
          <w:sz w:val="22"/>
          <w:szCs w:val="22"/>
        </w:rPr>
      </w:pPr>
    </w:p>
    <w:p>
      <w:pPr>
        <w:pStyle w:val="Heading3"/>
        <w:spacing w:line="335" w:lineRule="exact"/>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0"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513" w:right="102" w:hanging="89"/>
        <w:jc w:val="left"/>
      </w:pPr>
      <w:r>
        <w:rPr/>
        <w:t>（</w:t>
      </w:r>
      <w:r>
        <w:rPr>
          <w:rFonts w:ascii="宋体" w:hAnsi="宋体" w:cs="宋体" w:eastAsia="宋体"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9" w:lineRule="auto" w:before="19"/>
        <w:ind w:right="193"/>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16" w:lineRule="auto" w:before="17"/>
        <w:ind w:left="513" w:right="102" w:hanging="89"/>
        <w:jc w:val="left"/>
      </w:pPr>
      <w:r>
        <w:rPr/>
        <w:t>（</w:t>
      </w:r>
      <w:r>
        <w:rPr>
          <w:rFonts w:ascii="宋体" w:hAnsi="宋体" w:cs="宋体" w:eastAsia="宋体"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19"/>
        <w:ind w:right="190"/>
        <w:jc w:val="both"/>
      </w:pPr>
      <w:r>
        <w:rPr>
          <w:spacing w:val="-2"/>
        </w:rPr>
        <w:t>本化条件的资产相关的外币专门借款产生的汇兑差额按照借款费用资本化的原则处理；②用于境外经营净投资有效套期的套</w:t>
      </w:r>
      <w:r>
        <w:rPr>
          <w:spacing w:val="-64"/>
        </w:rPr>
        <w:t> </w:t>
      </w:r>
      <w:r>
        <w:rPr>
          <w:spacing w:val="-64"/>
        </w:rPr>
      </w:r>
      <w:r>
        <w:rPr>
          <w:spacing w:val="-2"/>
        </w:rPr>
        <w:t>期工具的汇兑差额（该差额计入其他综合收益，直至净投资被处置才被确认为当期损益）；以及③可供出售的外币货币性项</w:t>
      </w:r>
      <w:r>
        <w:rPr>
          <w:spacing w:val="-64"/>
        </w:rPr>
        <w:t> </w:t>
      </w:r>
      <w:r>
        <w:rPr>
          <w:spacing w:val="-64"/>
        </w:rPr>
      </w:r>
      <w:r>
        <w:rPr/>
        <w:t>目除摊余成本之外的其他账面余额变动产生的汇兑差额计入其他综合收益之外，均计入当期损益。</w:t>
      </w:r>
    </w:p>
    <w:p>
      <w:pPr>
        <w:pStyle w:val="BodyText"/>
        <w:spacing w:line="316" w:lineRule="auto" w:before="19"/>
        <w:ind w:right="192"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9" w:lineRule="auto" w:before="19"/>
        <w:ind w:right="188"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1"/>
        </w:rPr>
        <w:t> </w:t>
      </w:r>
      <w:r>
        <w:rPr>
          <w:spacing w:val="-61"/>
        </w:rPr>
      </w:r>
      <w:r>
        <w:rPr/>
        <w:t>值变动（含汇率变动）处理，计入当期损益或确认为其他综合收益。</w:t>
      </w:r>
    </w:p>
    <w:p>
      <w:pPr>
        <w:pStyle w:val="BodyText"/>
        <w:spacing w:line="316" w:lineRule="auto" w:before="17"/>
        <w:ind w:left="513" w:right="102" w:hanging="89"/>
        <w:jc w:val="left"/>
      </w:pPr>
      <w:r>
        <w:rPr/>
        <w:t>（</w:t>
      </w:r>
      <w:r>
        <w:rPr>
          <w:rFonts w:ascii="宋体" w:hAnsi="宋体" w:cs="宋体" w:eastAsia="宋体"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16" w:lineRule="auto" w:before="19"/>
        <w:ind w:left="513" w:right="102" w:hanging="361"/>
        <w:jc w:val="left"/>
      </w:pPr>
      <w:r>
        <w:rPr/>
        <w:t>额，作为“外币报表折算差额”确认为其他综合收益；处置境外经营时，计入处置当期损益。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6" w:lineRule="auto" w:before="19"/>
        <w:ind w:right="190"/>
        <w:jc w:val="both"/>
      </w:pPr>
      <w:r>
        <w:rPr>
          <w:spacing w:val="-2"/>
        </w:rPr>
        <w:t>率折算；股东权益类项目除“未分配利润”项目外，其他项目采用发生时的即期汇率折算。利润表中的收入和费用项目，采</w:t>
      </w:r>
      <w:r>
        <w:rPr>
          <w:spacing w:val="-67"/>
        </w:rPr>
        <w:t> </w:t>
      </w:r>
      <w:r>
        <w:rPr>
          <w:spacing w:val="-67"/>
        </w:rPr>
      </w:r>
      <w:r>
        <w:rPr>
          <w:spacing w:val="-2"/>
        </w:rPr>
        <w:t>用交易发生日的即期汇率折算。年初未分配利润为上一年折算后的年末未分配利润；年末未分配利润按折算后的利润分配各</w:t>
      </w:r>
      <w:r>
        <w:rPr>
          <w:spacing w:val="-64"/>
        </w:rPr>
        <w:t> </w:t>
      </w:r>
      <w:r>
        <w:rPr>
          <w:spacing w:val="-64"/>
        </w:rPr>
      </w:r>
      <w:r>
        <w:rPr>
          <w:spacing w:val="-2"/>
        </w:rPr>
        <w:t>项目计算列示；折算后资产类项目与负债类项目和股东权益类项目合计数的差额，作为外币报表折算差额，确认为其他综合</w:t>
      </w:r>
      <w:r>
        <w:rPr>
          <w:spacing w:val="-63"/>
        </w:rPr>
        <w:t> </w:t>
      </w:r>
      <w:r>
        <w:rPr>
          <w:spacing w:val="-63"/>
        </w:rPr>
      </w:r>
      <w:r>
        <w:rPr>
          <w:spacing w:val="-2"/>
        </w:rPr>
        <w:t>收益。处置境外经营并丧失控制权时，将资产负债表中股东权益项目下列示的、与该境外经营相关的外币报表折算差额，全</w:t>
      </w:r>
      <w:r>
        <w:rPr>
          <w:spacing w:val="-64"/>
        </w:rPr>
        <w:t> </w:t>
      </w:r>
      <w:r>
        <w:rPr>
          <w:spacing w:val="-64"/>
        </w:rPr>
      </w:r>
      <w:r>
        <w:rPr/>
        <w:t>部或按处置该境外经营的比例转入处置当期损益。</w:t>
      </w:r>
    </w:p>
    <w:p>
      <w:pPr>
        <w:pStyle w:val="BodyText"/>
        <w:spacing w:line="319" w:lineRule="auto" w:before="19"/>
        <w:ind w:right="192"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7"/>
        <w:ind w:left="513" w:right="102"/>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right="193"/>
        <w:jc w:val="both"/>
      </w:pPr>
      <w:r>
        <w:rPr/>
        <w:t>表中股东权益</w:t>
      </w:r>
      <w:r>
        <w:rPr>
          <w:rFonts w:ascii="宋体" w:hAnsi="宋体" w:cs="宋体" w:eastAsia="宋体" w:hint="default"/>
        </w:rPr>
        <w:t>/</w:t>
      </w:r>
      <w:r>
        <w:rPr/>
        <w:t>所有者权益项目下列示的、与该境外经营相关的归属于母公司所有者权益的外币报表折算差额，全部转入处</w:t>
      </w:r>
      <w:r>
        <w:rPr>
          <w:spacing w:val="-84"/>
        </w:rPr>
        <w:t> </w:t>
      </w:r>
      <w:r>
        <w:rPr>
          <w:spacing w:val="-84"/>
        </w:rPr>
      </w:r>
      <w:r>
        <w:rPr/>
        <w:t>置当期损益。</w:t>
      </w:r>
    </w:p>
    <w:p>
      <w:pPr>
        <w:pStyle w:val="BodyText"/>
        <w:spacing w:line="316" w:lineRule="auto" w:before="19"/>
        <w:ind w:right="111" w:firstLine="360"/>
        <w:jc w:val="both"/>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w:t>
      </w:r>
    </w:p>
    <w:p>
      <w:pPr>
        <w:pStyle w:val="BodyText"/>
        <w:spacing w:line="284" w:lineRule="exact"/>
        <w:ind w:right="0"/>
        <w:jc w:val="both"/>
        <w:rPr>
          <w:sz w:val="24"/>
          <w:szCs w:val="24"/>
        </w:rPr>
      </w:pPr>
      <w:r>
        <w:rPr/>
        <w:t>与该境外经营相关的外币报表折算差额，按处置该境外经营的比例转入处置当期损益</w:t>
      </w:r>
      <w:r>
        <w:rPr>
          <w:sz w:val="24"/>
          <w:szCs w:val="24"/>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102"/>
        <w:jc w:val="left"/>
      </w:pPr>
      <w:r>
        <w:rPr/>
        <w:t>在本公司成为金融工具合同的一方时确认一项金融资产或金融负债。金融资产和金融负债在初始确认时以公允价值计</w:t>
      </w:r>
    </w:p>
    <w:p>
      <w:pPr>
        <w:spacing w:after="0" w:line="240"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right="102"/>
        <w:jc w:val="left"/>
      </w:pPr>
      <w:r>
        <w:rPr>
          <w:spacing w:val="-2"/>
        </w:rPr>
        <w:t>量。对于以公允价值计量且其变动计入当期损益的金融资产和金融负债，相关的交易费用直接计入损益，对于其他类别的金</w:t>
      </w:r>
      <w:r>
        <w:rPr>
          <w:spacing w:val="-63"/>
        </w:rPr>
        <w:t> </w:t>
      </w:r>
      <w:r>
        <w:rPr>
          <w:spacing w:val="-63"/>
        </w:rPr>
      </w:r>
      <w:r>
        <w:rPr/>
        <w:t>融资产和金融负债，相关交易费用计入初始确认金额。</w:t>
      </w:r>
    </w:p>
    <w:p>
      <w:pPr>
        <w:pStyle w:val="BodyText"/>
        <w:spacing w:line="316" w:lineRule="auto" w:before="19"/>
        <w:ind w:left="513" w:right="102" w:hanging="89"/>
        <w:jc w:val="left"/>
      </w:pPr>
      <w:r>
        <w:rPr/>
        <w:t>（</w:t>
      </w:r>
      <w:r>
        <w:rPr>
          <w:rFonts w:ascii="宋体" w:hAnsi="宋体" w:cs="宋体" w:eastAsia="宋体"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19"/>
        <w:ind w:right="94"/>
        <w:jc w:val="left"/>
      </w:pPr>
      <w:r>
        <w:rPr>
          <w:spacing w:val="-4"/>
        </w:rPr>
        <w:t>融工具存在活跃市场的，本公司采用活跃市场中的报价确定其公允价值。活跃市场中的报价是指易于定期从交易所、经纪商、</w:t>
      </w:r>
      <w:r>
        <w:rPr>
          <w:spacing w:val="-43"/>
        </w:rPr>
        <w:t> </w:t>
      </w:r>
      <w:r>
        <w:rPr>
          <w:spacing w:val="-43"/>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16" w:lineRule="auto" w:before="19"/>
        <w:ind w:left="513" w:right="102" w:hanging="89"/>
        <w:jc w:val="left"/>
      </w:pPr>
      <w:r>
        <w:rPr/>
        <w:t>（</w:t>
      </w:r>
      <w:r>
        <w:rPr>
          <w:rFonts w:ascii="宋体" w:hAnsi="宋体" w:cs="宋体" w:eastAsia="宋体"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19"/>
        <w:ind w:right="102"/>
        <w:jc w:val="left"/>
      </w:pPr>
      <w:r>
        <w:rPr/>
        <w:t>计入当期损益的金融资产、持有至到期投资、贷款和应收款项以及可供出售金融资产。</w:t>
      </w:r>
    </w:p>
    <w:p>
      <w:pPr>
        <w:pStyle w:val="BodyText"/>
        <w:spacing w:line="316" w:lineRule="auto" w:before="77"/>
        <w:ind w:right="199" w:firstLine="360"/>
        <w:jc w:val="both"/>
      </w:pPr>
      <w:r>
        <w:rPr/>
        <w:t>①</w:t>
      </w:r>
      <w:r>
        <w:rPr>
          <w:spacing w:val="1"/>
        </w:rPr>
        <w:t> </w:t>
      </w:r>
      <w:r>
        <w:rPr/>
        <w:t>以公允价值计量且其变动计入当期损益的金融资产包括交易性金融资产和指定为以公允价值计量且其变动计入当期</w:t>
      </w:r>
      <w:r>
        <w:rPr/>
        <w:t> 损益的金融资产。</w:t>
      </w:r>
    </w:p>
    <w:p>
      <w:pPr>
        <w:pStyle w:val="BodyText"/>
        <w:spacing w:line="316" w:lineRule="auto" w:before="19"/>
        <w:ind w:right="186" w:firstLine="360"/>
        <w:jc w:val="both"/>
      </w:pP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属于进行集</w:t>
      </w:r>
      <w:r>
        <w:rPr/>
        <w:t> </w:t>
      </w:r>
      <w:r>
        <w:rPr>
          <w:spacing w:val="-2"/>
        </w:rPr>
        <w:t>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属于衍生工</w:t>
      </w:r>
      <w:r>
        <w:rPr>
          <w:spacing w:val="-61"/>
        </w:rPr>
        <w:t> </w:t>
      </w:r>
      <w:r>
        <w:rPr>
          <w:spacing w:val="-61"/>
        </w:rPr>
      </w:r>
      <w:r>
        <w:rPr>
          <w:spacing w:val="-2"/>
        </w:rPr>
        <w:t>具，但是，被指定且为有效套期工具的衍生工具、属于财务担保合同的衍生工具、与在活跃市场中没有报价且其公允价值不</w:t>
      </w:r>
      <w:r>
        <w:rPr>
          <w:spacing w:val="-62"/>
        </w:rPr>
        <w:t> </w:t>
      </w:r>
      <w:r>
        <w:rPr>
          <w:spacing w:val="-62"/>
        </w:rPr>
      </w:r>
      <w:r>
        <w:rPr/>
        <w:t>能可靠计量的权益工具投资挂钩并须通过交付该权益工具结算的衍生工具除外。</w:t>
      </w:r>
    </w:p>
    <w:p>
      <w:pPr>
        <w:pStyle w:val="BodyText"/>
        <w:spacing w:line="316" w:lineRule="auto" w:before="19"/>
        <w:ind w:right="188" w:firstLine="360"/>
        <w:jc w:val="both"/>
      </w:pP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本公司风险</w:t>
      </w:r>
      <w:r>
        <w:rPr>
          <w:spacing w:val="-61"/>
        </w:rPr>
        <w:t> </w:t>
      </w:r>
      <w:r>
        <w:rPr>
          <w:spacing w:val="-61"/>
        </w:rPr>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9"/>
        <w:ind w:right="191" w:firstLine="360"/>
        <w:jc w:val="both"/>
      </w:pPr>
      <w:r>
        <w:rPr>
          <w:spacing w:val="-2"/>
        </w:rPr>
        <w:t>①以公允价值计量且其变动计入当期损益的金融资产采用公允价值进行后续计量，公允价值变动形成的利得或损失以及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513" w:right="102"/>
        <w:jc w:val="left"/>
      </w:pPr>
      <w:r>
        <w:rPr/>
        <w:t>以公允价值计量且其变动计入当期损益的金融资产 </w:t>
      </w:r>
      <w:r>
        <w:rPr>
          <w:spacing w:val="-2"/>
        </w:rPr>
        <w:t>包括交易性金融资产和指定为以公允价值计量且其变动计入当期损益的金融资产。本公司以公允价值计量且其变动计入</w:t>
      </w:r>
    </w:p>
    <w:p>
      <w:pPr>
        <w:pStyle w:val="BodyText"/>
        <w:spacing w:line="316" w:lineRule="auto" w:before="19"/>
        <w:ind w:left="513" w:right="102" w:hanging="361"/>
        <w:jc w:val="left"/>
      </w:pPr>
      <w:r>
        <w:rPr/>
        <w:t>当期损益的金融资产均为交易性金融资产。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取得该金融资产的目的，主要是为了近期内出售或回购；</w:t>
      </w:r>
      <w:r>
        <w:rPr>
          <w:rFonts w:ascii="宋体" w:hAnsi="宋体" w:cs="宋体" w:eastAsia="宋体" w:hint="default"/>
          <w:spacing w:val="-2"/>
        </w:rPr>
        <w:t>B.</w:t>
      </w:r>
      <w:r>
        <w:rPr>
          <w:spacing w:val="-2"/>
        </w:rPr>
        <w:t>属于</w:t>
      </w:r>
    </w:p>
    <w:p>
      <w:pPr>
        <w:pStyle w:val="BodyText"/>
        <w:spacing w:line="316" w:lineRule="auto" w:before="19"/>
        <w:ind w:right="190"/>
        <w:jc w:val="both"/>
      </w:pPr>
      <w:r>
        <w:rPr>
          <w:spacing w:val="-2"/>
        </w:rPr>
        <w:t>进行集中管理的可辨认金融工具组合的一部分，且有客观证据表明本公司近期采用短期获利方式对该组合进行管理；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w:t>
      </w:r>
      <w:r>
        <w:rPr>
          <w:spacing w:val="-61"/>
        </w:rPr>
        <w:t> </w:t>
      </w:r>
      <w:r>
        <w:rPr>
          <w:spacing w:val="-2"/>
        </w:rPr>
        <w:t>衍生工具，但是，被指定且为有效套期工具的衍生工具、属于财务担保合同的衍生工具、与在活跃市场中没有报价且其公允</w:t>
      </w:r>
      <w:r>
        <w:rPr>
          <w:spacing w:val="-64"/>
        </w:rPr>
        <w:t> </w:t>
      </w:r>
      <w:r>
        <w:rPr>
          <w:spacing w:val="-64"/>
        </w:rPr>
      </w:r>
      <w:r>
        <w:rPr/>
        <w:t>价值不能可靠计量的权益工具投资挂钩并须通过交付该权益工具结算的衍生工具除外。</w:t>
      </w:r>
    </w:p>
    <w:p>
      <w:pPr>
        <w:pStyle w:val="BodyText"/>
        <w:spacing w:line="316" w:lineRule="auto" w:before="19"/>
        <w:ind w:right="199" w:firstLine="451"/>
        <w:jc w:val="both"/>
      </w:pPr>
      <w:r>
        <w:rPr/>
        <w:t>交易性金融资产采用公允价值进行后续计量，公允价值变动形成的利得或损失以及与该金融资产相关的股利和利息收 入计入当期损益。</w:t>
      </w:r>
    </w:p>
    <w:p>
      <w:pPr>
        <w:pStyle w:val="BodyText"/>
        <w:spacing w:line="316" w:lineRule="auto" w:before="19"/>
        <w:ind w:left="513" w:right="102"/>
        <w:jc w:val="left"/>
      </w:pPr>
      <w:r>
        <w:rPr/>
        <w:t>②</w:t>
      </w:r>
      <w:r>
        <w:rPr>
          <w:spacing w:val="1"/>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102"/>
        <w:jc w:val="left"/>
      </w:pPr>
      <w:r>
        <w:rPr/>
        <w:t>当期损益。</w:t>
      </w:r>
    </w:p>
    <w:p>
      <w:pPr>
        <w:pStyle w:val="BodyText"/>
        <w:spacing w:line="316" w:lineRule="auto" w:before="76"/>
        <w:ind w:right="19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9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4"/>
        </w:rPr>
        <w:t> </w:t>
      </w:r>
      <w:r>
        <w:rPr>
          <w:spacing w:val="-64"/>
        </w:rPr>
      </w:r>
      <w:r>
        <w:rPr/>
        <w:t>价或溢价等。</w:t>
      </w:r>
    </w:p>
    <w:p>
      <w:pPr>
        <w:pStyle w:val="BodyText"/>
        <w:spacing w:line="316" w:lineRule="auto" w:before="19"/>
        <w:ind w:left="513" w:right="102"/>
        <w:jc w:val="left"/>
      </w:pPr>
      <w:r>
        <w:rPr/>
        <w:t>③</w:t>
      </w:r>
      <w:r>
        <w:rPr>
          <w:spacing w:val="1"/>
        </w:rPr>
        <w:t> </w:t>
      </w:r>
      <w:r>
        <w:rPr/>
        <w:t>贷款和应收款项</w:t>
      </w:r>
      <w:r>
        <w:rPr/>
        <w:t> </w:t>
      </w:r>
      <w:r>
        <w:rPr>
          <w:spacing w:val="-2"/>
        </w:rPr>
        <w:t>是指在活跃市场中没有报价、回收金额固定或可确定的非衍生金融资产。本公司划分为贷款和应收款的金融资产包括应</w:t>
      </w:r>
    </w:p>
    <w:p>
      <w:pPr>
        <w:spacing w:after="0" w:line="316" w:lineRule="auto"/>
        <w:jc w:val="left"/>
        <w:sectPr>
          <w:footerReference w:type="default" r:id="rId19"/>
          <w:pgSz w:w="11910" w:h="16840"/>
          <w:pgMar w:footer="979" w:header="781"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left="513" w:right="102" w:hanging="361"/>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both"/>
      </w:pPr>
      <w:r>
        <w:rPr/>
        <w:t>当期损益。</w:t>
      </w:r>
    </w:p>
    <w:p>
      <w:pPr>
        <w:pStyle w:val="BodyText"/>
        <w:spacing w:line="316" w:lineRule="auto" w:before="76"/>
        <w:ind w:left="513" w:right="93"/>
        <w:jc w:val="left"/>
      </w:pPr>
      <w:r>
        <w:rPr/>
        <w:t>④</w:t>
      </w:r>
      <w:r>
        <w:rPr>
          <w:spacing w:val="1"/>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9"/>
        <w:ind w:left="513" w:right="102" w:hanging="361"/>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right="193"/>
        <w:jc w:val="both"/>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9" w:lineRule="auto" w:before="19"/>
        <w:ind w:right="192"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316" w:lineRule="auto" w:before="17"/>
        <w:ind w:left="513" w:right="102"/>
        <w:jc w:val="left"/>
      </w:pPr>
      <w:r>
        <w:rPr/>
        <w:t>可供出售金融资产持有期间取得的利息及被投资单位宣告发放的现金股利，计入投资收益。 </w:t>
      </w:r>
      <w:r>
        <w:rPr>
          <w:spacing w:val="-2"/>
        </w:rPr>
        <w:t>因持有意图或能力发生改变，或公允价值不再能够可靠计量，或根据《企业会计准则第</w:t>
      </w:r>
      <w:r>
        <w:rPr>
          <w:rFonts w:ascii="宋体" w:hAnsi="宋体" w:cs="宋体" w:eastAsia="宋体" w:hint="default"/>
          <w:spacing w:val="-2"/>
        </w:rPr>
        <w:t>22</w:t>
      </w:r>
      <w:r>
        <w:rPr>
          <w:spacing w:val="-2"/>
        </w:rPr>
        <w:t>号—金融工具确认和计量》第</w:t>
      </w:r>
    </w:p>
    <w:p>
      <w:pPr>
        <w:pStyle w:val="BodyText"/>
        <w:spacing w:line="316" w:lineRule="auto" w:before="19"/>
        <w:ind w:right="193"/>
        <w:jc w:val="both"/>
      </w:pPr>
      <w:r>
        <w:rPr>
          <w:spacing w:val="-2"/>
        </w:rPr>
        <w:t>十六条规定将持有至到期投资重分类为可供出售金融资产的期限已超过两个完整的会计年度，使金融资产不再适合按照公允</w:t>
      </w:r>
      <w:r>
        <w:rPr>
          <w:spacing w:val="-64"/>
        </w:rPr>
        <w:t> </w:t>
      </w:r>
      <w:r>
        <w:rPr>
          <w:spacing w:val="-64"/>
        </w:rPr>
      </w:r>
      <w:r>
        <w:rPr>
          <w:spacing w:val="-2"/>
        </w:rPr>
        <w:t>价值计量时，本公司将可供出售金融资产改按成本或摊余成本计量。重分类日，该金融资产的成本或摊余成本为该日的公允</w:t>
      </w:r>
      <w:r>
        <w:rPr>
          <w:spacing w:val="-66"/>
        </w:rPr>
        <w:t> </w:t>
      </w:r>
      <w:r>
        <w:rPr>
          <w:spacing w:val="-66"/>
        </w:rPr>
      </w:r>
      <w:r>
        <w:rPr/>
        <w:t>价值或账面价值。</w:t>
      </w:r>
    </w:p>
    <w:p>
      <w:pPr>
        <w:pStyle w:val="BodyText"/>
        <w:spacing w:line="319" w:lineRule="auto" w:before="19"/>
        <w:ind w:right="191" w:firstLine="360"/>
        <w:jc w:val="both"/>
      </w:pPr>
      <w:r>
        <w:rPr>
          <w:spacing w:val="-2"/>
        </w:rPr>
        <w:t>该金融资产有固定到期日的，与该金融资产相关、原计入其他综合收益的利得或损失，在该金融资产的剩余期限内，采</w:t>
      </w:r>
      <w:r>
        <w:rPr/>
        <w:t> </w:t>
      </w:r>
      <w:r>
        <w:rPr>
          <w:spacing w:val="-2"/>
        </w:rPr>
        <w:t>用实际利率法摊销，计入当期损益；该金融资产的摊余成本与到期日金额之间的差额，在该金融资产的剩余期限内，采用实</w:t>
      </w:r>
      <w:r>
        <w:rPr>
          <w:spacing w:val="-65"/>
        </w:rPr>
        <w:t> </w:t>
      </w:r>
      <w:r>
        <w:rPr>
          <w:spacing w:val="-65"/>
        </w:rPr>
      </w:r>
      <w:r>
        <w:rPr>
          <w:spacing w:val="-2"/>
        </w:rPr>
        <w:t>际利率法摊销，计入当期损益。该金融资产没有固定到期日的，原计入其他综合收益的利得或损失仍保留在股东权益中，在</w:t>
      </w:r>
      <w:r>
        <w:rPr>
          <w:spacing w:val="-64"/>
        </w:rPr>
        <w:t> </w:t>
      </w:r>
      <w:r>
        <w:rPr>
          <w:spacing w:val="-64"/>
        </w:rPr>
      </w:r>
      <w:r>
        <w:rPr/>
        <w:t>该金融资产被处置时转出，计入当期损益。</w:t>
      </w:r>
    </w:p>
    <w:p>
      <w:pPr>
        <w:pStyle w:val="BodyText"/>
        <w:spacing w:line="316" w:lineRule="auto" w:before="17"/>
        <w:ind w:left="513" w:right="102" w:hanging="89"/>
        <w:jc w:val="left"/>
      </w:pPr>
      <w:r>
        <w:rPr/>
        <w:t>（</w:t>
      </w:r>
      <w:r>
        <w:rPr>
          <w:rFonts w:ascii="宋体" w:hAnsi="宋体" w:cs="宋体" w:eastAsia="宋体"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19"/>
        <w:ind w:left="513" w:right="102" w:hanging="361"/>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right="19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4"/>
        </w:rPr>
        <w:t> </w:t>
      </w:r>
      <w:r>
        <w:rPr>
          <w:spacing w:val="-64"/>
        </w:rPr>
      </w:r>
      <w:r>
        <w:rPr/>
        <w:t>似信用风险特征的金融资产组合中进行减值测试。</w:t>
      </w:r>
    </w:p>
    <w:p>
      <w:pPr>
        <w:pStyle w:val="BodyText"/>
        <w:spacing w:line="316" w:lineRule="auto" w:before="19"/>
        <w:ind w:left="513" w:right="102"/>
        <w:jc w:val="left"/>
      </w:pPr>
      <w:r>
        <w:rPr/>
        <w:t>①</w:t>
      </w:r>
      <w:r>
        <w:rPr>
          <w:spacing w:val="1"/>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319" w:lineRule="auto" w:before="19"/>
        <w:ind w:right="190"/>
        <w:jc w:val="both"/>
      </w:pPr>
      <w:r>
        <w:rPr>
          <w:spacing w:val="-2"/>
        </w:rPr>
        <w:t>益。金融资产在确认减值损失后，如有客观证据表明该金融资产价值已恢复，且客观上与确认该损失后发生的事项有关，原</w:t>
      </w:r>
      <w:r>
        <w:rPr>
          <w:spacing w:val="-63"/>
        </w:rPr>
        <w:t> </w:t>
      </w:r>
      <w:r>
        <w:rPr>
          <w:spacing w:val="-63"/>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7"/>
        <w:ind w:left="513" w:right="102"/>
        <w:jc w:val="left"/>
      </w:pPr>
      <w:r>
        <w:rPr/>
        <w:t>②</w:t>
      </w:r>
      <w:r>
        <w:rPr>
          <w:spacing w:val="1"/>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316" w:lineRule="auto" w:before="19"/>
        <w:ind w:left="513" w:right="184" w:hanging="361"/>
        <w:jc w:val="left"/>
      </w:pPr>
      <w:r>
        <w:rPr/>
        <w:t>减值。其中“严重下跌”是指公允价值下跌幅度累计超过</w:t>
      </w:r>
      <w:r>
        <w:rPr>
          <w:rFonts w:ascii="宋体" w:hAnsi="宋体" w:cs="宋体" w:eastAsia="宋体" w:hint="default"/>
        </w:rPr>
        <w:t>20%</w:t>
      </w:r>
      <w:r>
        <w:rPr/>
        <w:t>；“非暂时性下跌”是指公允价值连续下跌时间超过</w:t>
      </w:r>
      <w:r>
        <w:rPr>
          <w:rFonts w:ascii="宋体" w:hAnsi="宋体" w:cs="宋体" w:eastAsia="宋体" w:hint="default"/>
        </w:rPr>
        <w:t>12</w:t>
      </w:r>
      <w:r>
        <w:rPr/>
        <w:t>个月。 </w:t>
      </w:r>
      <w:r>
        <w:rPr>
          <w:spacing w:val="-2"/>
        </w:rPr>
        <w:t>可供出售金融资产发生减值时，将原计入其他综合收益的因公允价值下降形成的累计损失予以转出并计入当期损益，该</w:t>
      </w:r>
    </w:p>
    <w:p>
      <w:pPr>
        <w:pStyle w:val="BodyText"/>
        <w:spacing w:line="316" w:lineRule="auto" w:before="19"/>
        <w:ind w:left="513" w:right="94" w:hanging="361"/>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right="193"/>
        <w:jc w:val="both"/>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92"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spacing w:after="0" w:line="316" w:lineRule="auto"/>
        <w:jc w:val="both"/>
        <w:sectPr>
          <w:footerReference w:type="default" r:id="rId20"/>
          <w:pgSz w:w="11910" w:h="16840"/>
          <w:pgMar w:footer="979" w:header="781" w:top="1080" w:bottom="1160" w:left="980" w:right="940"/>
          <w:pgNumType w:start="101"/>
        </w:sectPr>
      </w:pPr>
    </w:p>
    <w:p>
      <w:pPr>
        <w:spacing w:line="240" w:lineRule="auto" w:before="10"/>
        <w:rPr>
          <w:rFonts w:ascii="宋体" w:hAnsi="宋体" w:cs="宋体" w:eastAsia="宋体" w:hint="default"/>
          <w:sz w:val="23"/>
          <w:szCs w:val="23"/>
        </w:rPr>
      </w:pPr>
    </w:p>
    <w:p>
      <w:pPr>
        <w:pStyle w:val="BodyText"/>
        <w:spacing w:line="240" w:lineRule="auto" w:before="44"/>
        <w:ind w:left="424" w:right="102"/>
        <w:jc w:val="left"/>
      </w:pPr>
      <w:r>
        <w:rPr/>
        <w:t>（</w:t>
      </w:r>
      <w:r>
        <w:rPr>
          <w:rFonts w:ascii="宋体" w:hAnsi="宋体" w:cs="宋体" w:eastAsia="宋体" w:hint="default"/>
        </w:rPr>
        <w:t>4</w:t>
      </w:r>
      <w:r>
        <w:rPr/>
        <w:t>）金融资产转移的确认依据和计量方法</w:t>
      </w:r>
    </w:p>
    <w:p>
      <w:pPr>
        <w:pStyle w:val="BodyText"/>
        <w:spacing w:line="316" w:lineRule="auto" w:before="76"/>
        <w:ind w:right="91" w:firstLine="360"/>
        <w:jc w:val="left"/>
      </w:pPr>
      <w:r>
        <w:rPr/>
        <w:t>满足下列条件之一的金融资产，予以终止确认：① 收取该金融资产现金流量的合同权利终止；②</w:t>
      </w:r>
      <w:r>
        <w:rPr>
          <w:spacing w:val="3"/>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right="19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316" w:lineRule="auto" w:before="19"/>
        <w:ind w:right="19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9" w:lineRule="auto" w:before="19"/>
        <w:ind w:right="19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7"/>
        <w:ind w:right="19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16" w:lineRule="auto" w:before="19"/>
        <w:ind w:left="513" w:right="93" w:hanging="89"/>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19"/>
        <w:ind w:right="102"/>
        <w:jc w:val="left"/>
      </w:pPr>
      <w:r>
        <w:rPr>
          <w:spacing w:val="-2"/>
        </w:rPr>
        <w:t>以公允价值计量。对于以公允价值计量且其变动计入当期损益的金融负债，相关的交易费用直接计入当期损益，对于其他金</w:t>
      </w:r>
      <w:r>
        <w:rPr>
          <w:spacing w:val="-62"/>
        </w:rPr>
        <w:t> </w:t>
      </w:r>
      <w:r>
        <w:rPr>
          <w:spacing w:val="-62"/>
        </w:rPr>
      </w:r>
      <w:r>
        <w:rPr/>
        <w:t>融负债，相关交易费用计入初始确认金额。</w:t>
      </w:r>
    </w:p>
    <w:p>
      <w:pPr>
        <w:pStyle w:val="BodyText"/>
        <w:spacing w:line="319" w:lineRule="auto" w:before="19"/>
        <w:ind w:left="513" w:right="273"/>
        <w:jc w:val="left"/>
      </w:pPr>
      <w:r>
        <w:rPr/>
        <w:t>①</w:t>
      </w:r>
      <w:r>
        <w:rPr>
          <w:spacing w:val="1"/>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7"/>
        <w:ind w:left="513" w:right="102" w:hanging="361"/>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102"/>
        <w:jc w:val="left"/>
      </w:pPr>
      <w:r>
        <w:rPr/>
        <w:t>与该等金融负债相关的股利和利息支出计入当期损益。</w:t>
      </w:r>
    </w:p>
    <w:p>
      <w:pPr>
        <w:pStyle w:val="BodyText"/>
        <w:spacing w:line="316" w:lineRule="auto" w:before="76"/>
        <w:ind w:left="513" w:right="102"/>
        <w:jc w:val="left"/>
      </w:pPr>
      <w:r>
        <w:rPr/>
        <w:t>②</w:t>
      </w:r>
      <w:r>
        <w:rPr>
          <w:spacing w:val="1"/>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316" w:lineRule="auto" w:before="19"/>
        <w:ind w:right="102"/>
        <w:jc w:val="left"/>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316" w:lineRule="auto" w:before="19"/>
        <w:ind w:left="513" w:right="102" w:hanging="96"/>
        <w:jc w:val="left"/>
      </w:pPr>
      <w:r>
        <w:rPr/>
        <w:t>（</w:t>
      </w:r>
      <w:r>
        <w:rPr>
          <w:rFonts w:ascii="宋体" w:hAnsi="宋体" w:cs="宋体" w:eastAsia="宋体"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9" w:lineRule="auto" w:before="19"/>
        <w:ind w:right="102"/>
        <w:jc w:val="left"/>
      </w:pPr>
      <w:r>
        <w:rPr>
          <w:spacing w:val="-2"/>
        </w:rPr>
        <w:t>订协议，以承担新金融负债方式替换现存金融负债，且新金融负债与现存金融负债的合同条款实质上不同的，终止确认现存</w:t>
      </w:r>
      <w:r>
        <w:rPr>
          <w:spacing w:val="-63"/>
        </w:rPr>
        <w:t> </w:t>
      </w:r>
      <w:r>
        <w:rPr>
          <w:spacing w:val="-63"/>
        </w:rPr>
      </w:r>
      <w:r>
        <w:rPr/>
        <w:t>金融负债，并同时确认新金融负债。</w:t>
      </w:r>
    </w:p>
    <w:p>
      <w:pPr>
        <w:pStyle w:val="BodyText"/>
        <w:spacing w:line="316" w:lineRule="auto" w:before="17"/>
        <w:ind w:right="19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16" w:lineRule="auto" w:before="19"/>
        <w:ind w:left="513" w:right="102" w:hanging="89"/>
        <w:jc w:val="left"/>
      </w:pPr>
      <w:r>
        <w:rPr/>
        <w:t>（</w:t>
      </w:r>
      <w:r>
        <w:rPr>
          <w:rFonts w:ascii="宋体" w:hAnsi="宋体" w:cs="宋体" w:eastAsia="宋体"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19"/>
        <w:ind w:right="102"/>
        <w:jc w:val="left"/>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pStyle w:val="BodyText"/>
        <w:spacing w:line="316" w:lineRule="auto" w:before="19"/>
        <w:ind w:left="513" w:right="102" w:hanging="89"/>
        <w:jc w:val="left"/>
      </w:pPr>
      <w:r>
        <w:rPr/>
        <w:t>（</w:t>
      </w:r>
      <w:r>
        <w:rPr>
          <w:rFonts w:ascii="宋体" w:hAnsi="宋体" w:cs="宋体" w:eastAsia="宋体" w:hint="default"/>
        </w:rPr>
        <w:t>8</w:t>
      </w:r>
      <w:r>
        <w:rPr/>
        <w:t>）权益工具 </w:t>
      </w:r>
      <w:r>
        <w:rPr>
          <w:spacing w:val="-2"/>
        </w:rPr>
        <w:t>权益工具是指能证明拥有本公司在扣除所有负债后的资产中的剩余权益的合同。本公司发行（含再融资）、回购、出售</w:t>
      </w:r>
    </w:p>
    <w:p>
      <w:pPr>
        <w:pStyle w:val="BodyText"/>
        <w:spacing w:line="319" w:lineRule="auto" w:before="19"/>
        <w:ind w:left="513" w:right="93" w:hanging="361"/>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after="0" w:line="319"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7"/>
                <w:sz w:val="18"/>
                <w:szCs w:val="18"/>
              </w:rPr>
              <w:t> </w:t>
            </w:r>
            <w:r>
              <w:rPr>
                <w:rFonts w:ascii="宋体" w:hAnsi="宋体" w:cs="宋体" w:eastAsia="宋体" w:hint="default"/>
                <w:sz w:val="18"/>
                <w:szCs w:val="18"/>
              </w:rPr>
              <w:t>50</w:t>
            </w:r>
            <w:r>
              <w:rPr>
                <w:rFonts w:ascii="宋体" w:hAnsi="宋体" w:cs="宋体" w:eastAsia="宋体" w:hint="default"/>
                <w:spacing w:val="-66"/>
                <w:sz w:val="18"/>
                <w:szCs w:val="18"/>
              </w:rPr>
              <w:t> </w:t>
            </w:r>
            <w:r>
              <w:rPr>
                <w:rFonts w:ascii="宋体" w:hAnsi="宋体" w:cs="宋体" w:eastAsia="宋体" w:hint="default"/>
                <w:sz w:val="18"/>
                <w:szCs w:val="18"/>
              </w:rPr>
              <w:t>万元以上的应收款项确认为单项金 额重大的应收款项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3012"/>
        <w:jc w:val="left"/>
      </w:pPr>
      <w:r>
        <w:rPr/>
        <w:t>组合中，采用账龄分析法计提坏账准备的：</w:t>
      </w:r>
    </w:p>
    <w:p>
      <w:pPr>
        <w:pStyle w:val="BodyText"/>
        <w:spacing w:line="240" w:lineRule="auto" w:before="115"/>
        <w:ind w:right="301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49"/>
        <w:ind w:right="3012"/>
        <w:jc w:val="left"/>
      </w:pPr>
      <w:r>
        <w:rPr/>
        <w:t>组合中，采用余额百分比法计提坏账准备的：</w:t>
      </w:r>
    </w:p>
    <w:p>
      <w:pPr>
        <w:pStyle w:val="BodyText"/>
        <w:spacing w:line="360" w:lineRule="auto" w:before="115"/>
        <w:ind w:right="6534"/>
        <w:jc w:val="left"/>
      </w:pPr>
      <w:r>
        <w:rPr/>
        <w:t>□ 适用 √</w:t>
      </w:r>
      <w:r>
        <w:rPr>
          <w:spacing w:val="3"/>
        </w:rPr>
        <w:t> </w:t>
      </w:r>
      <w:r>
        <w:rPr/>
        <w:t>不适用</w:t>
      </w:r>
      <w:r>
        <w:rPr/>
        <w:t> 组合中，采用其他方法计提坏账准备的：</w:t>
      </w:r>
    </w:p>
    <w:p>
      <w:pPr>
        <w:pStyle w:val="BodyText"/>
        <w:spacing w:line="240" w:lineRule="auto" w:before="25"/>
        <w:ind w:right="3012"/>
        <w:jc w:val="left"/>
      </w:pPr>
      <w:r>
        <w:rPr/>
        <w:t>□ 适用 √</w:t>
      </w:r>
      <w:r>
        <w:rPr>
          <w:spacing w:val="3"/>
        </w:rPr>
        <w:t> </w:t>
      </w:r>
      <w:r>
        <w:rPr/>
        <w:t>不适用</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8"/>
          <w:szCs w:val="18"/>
        </w:rPr>
      </w:pPr>
    </w:p>
    <w:p>
      <w:pPr>
        <w:pStyle w:val="BodyText"/>
        <w:spacing w:line="240" w:lineRule="auto" w:before="44"/>
        <w:ind w:left="0" w:right="161"/>
        <w:jc w:val="right"/>
      </w:pPr>
      <w:r>
        <w:rPr/>
        <w:pict>
          <v:shape style="position:absolute;margin-left:56.459999pt;margin-top:-51.968266pt;width:479.2pt;height:87.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万元以下且账龄在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年以上的应收款项</w:t>
                        </w:r>
                      </w:p>
                    </w:tc>
                  </w:tr>
                  <w:tr>
                    <w:trPr>
                      <w:trHeight w:val="133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计提坏账准备</w:t>
                        </w:r>
                      </w:p>
                    </w:tc>
                  </w:tr>
                </w:tbl>
                <w:p>
                  <w:pPr/>
                </w:p>
              </w:txbxContent>
            </v:textbox>
            <w10:wrap type="none"/>
          </v:shape>
        </w:pict>
      </w:r>
      <w:r>
        <w:rPr/>
        <w:t>，</w:t>
      </w:r>
    </w:p>
    <w:p>
      <w:pPr>
        <w:spacing w:after="0" w:line="240" w:lineRule="auto"/>
        <w:jc w:val="right"/>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102"/>
        <w:jc w:val="left"/>
        <w:rPr>
          <w:b w:val="0"/>
          <w:bCs w:val="0"/>
        </w:rPr>
      </w:pPr>
      <w:r>
        <w:rPr>
          <w:rFonts w:ascii="Trebuchet MS" w:hAnsi="Trebuchet MS" w:cs="Trebuchet MS" w:eastAsia="Trebuchet MS"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3" w:right="5493" w:hanging="89"/>
        <w:jc w:val="left"/>
      </w:pPr>
      <w:r>
        <w:rPr/>
        <w:t>（</w:t>
      </w:r>
      <w:r>
        <w:rPr>
          <w:rFonts w:ascii="宋体" w:hAnsi="宋体" w:cs="宋体" w:eastAsia="宋体" w:hint="default"/>
        </w:rPr>
        <w:t>1</w:t>
      </w:r>
      <w:r>
        <w:rPr/>
        <w:t>）存货的分类 存货主要包括原材料、库存商品、低值易耗品等。</w:t>
      </w:r>
    </w:p>
    <w:p>
      <w:pPr>
        <w:pStyle w:val="BodyText"/>
        <w:spacing w:line="316" w:lineRule="auto" w:before="19"/>
        <w:ind w:left="513" w:right="453" w:hanging="89"/>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存货在取得时按实际成本计价，存货成本包括采购成本、加工成本和其他成本。领用和发出时按加权平均法计价。</w:t>
      </w:r>
    </w:p>
    <w:p>
      <w:pPr>
        <w:pStyle w:val="BodyText"/>
        <w:spacing w:line="316" w:lineRule="auto" w:before="19"/>
        <w:ind w:left="513" w:right="102" w:hanging="89"/>
        <w:jc w:val="left"/>
      </w:pPr>
      <w:r>
        <w:rPr/>
        <w:t>（</w:t>
      </w:r>
      <w:r>
        <w:rPr>
          <w:rFonts w:ascii="宋体" w:hAnsi="宋体" w:cs="宋体" w:eastAsia="宋体"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19"/>
        <w:ind w:left="513" w:right="94" w:hanging="361"/>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9" w:lineRule="auto" w:before="19"/>
        <w:ind w:left="513" w:right="102" w:hanging="361"/>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7"/>
        <w:ind w:right="102"/>
        <w:jc w:val="left"/>
      </w:pPr>
      <w:r>
        <w:rPr/>
        <w:t>计提的存货跌价准备金额内予以转回，转回的金额计入当期损益。</w:t>
      </w:r>
    </w:p>
    <w:p>
      <w:pPr>
        <w:pStyle w:val="BodyText"/>
        <w:spacing w:line="240" w:lineRule="auto" w:before="76"/>
        <w:ind w:left="424" w:right="102"/>
        <w:jc w:val="left"/>
      </w:pPr>
      <w:r>
        <w:rPr/>
        <w:t>（</w:t>
      </w:r>
      <w:r>
        <w:rPr>
          <w:rFonts w:ascii="宋体" w:hAnsi="宋体" w:cs="宋体" w:eastAsia="宋体" w:hint="default"/>
        </w:rPr>
        <w:t>4</w:t>
      </w:r>
      <w:r>
        <w:rPr/>
        <w:t>）存货的盘存制度为永续盘存制。</w:t>
      </w:r>
    </w:p>
    <w:p>
      <w:pPr>
        <w:pStyle w:val="BodyText"/>
        <w:spacing w:line="316" w:lineRule="auto" w:before="76"/>
        <w:ind w:left="513" w:right="3333" w:hanging="89"/>
        <w:jc w:val="left"/>
      </w:pPr>
      <w:r>
        <w:rPr/>
        <w:t>（</w:t>
      </w:r>
      <w:r>
        <w:rPr>
          <w:rFonts w:ascii="宋体" w:hAnsi="宋体" w:cs="宋体" w:eastAsia="宋体" w:hint="default"/>
        </w:rPr>
        <w:t>5</w:t>
      </w:r>
      <w:r>
        <w:rPr/>
        <w:t>）低值易耗品和包装物的摊销方法 低值易耗品于领用时按一次摊销法摊销；包装物于领用时按一次摊销法摊销。</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90"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3"/>
        </w:rPr>
        <w:t> </w:t>
      </w:r>
      <w:r>
        <w:rPr>
          <w:spacing w:val="-63"/>
        </w:rPr>
      </w:r>
      <w:r>
        <w:rPr>
          <w:spacing w:val="-2"/>
        </w:rPr>
        <w:t>算，自划分为持有待售之日起不计提折旧或进行摊销，按照账面价值与公允价值减去处置费用后的净额孰低计量。持有待售</w:t>
      </w:r>
      <w:r>
        <w:rPr>
          <w:spacing w:val="-63"/>
        </w:rPr>
        <w:t> </w:t>
      </w:r>
      <w:r>
        <w:rPr>
          <w:spacing w:val="-63"/>
        </w:rPr>
      </w:r>
      <w:r>
        <w:rPr/>
        <w:t>的非流动资产包括单项资产和处置组。如果处置组是一个《企业会计准则第</w:t>
      </w:r>
      <w:r>
        <w:rPr>
          <w:rFonts w:ascii="宋体" w:hAnsi="宋体" w:cs="宋体" w:eastAsia="宋体" w:hint="default"/>
        </w:rPr>
        <w:t>8</w:t>
      </w:r>
      <w:r>
        <w:rPr/>
        <w:t>号——资产减值》所定义的资产组，并且按照 </w:t>
      </w:r>
      <w:r>
        <w:rPr>
          <w:spacing w:val="-2"/>
        </w:rPr>
        <w:t>该准则的规定将企业合并中取得的商誉分摊至该资产组，或者该处置组是资产组中的一项经营，则该处置组包括企业合并中</w:t>
      </w:r>
      <w:r>
        <w:rPr>
          <w:spacing w:val="-62"/>
        </w:rPr>
        <w:t> </w:t>
      </w:r>
      <w:r>
        <w:rPr>
          <w:spacing w:val="-62"/>
        </w:rPr>
      </w:r>
      <w:r>
        <w:rPr/>
        <w:t>所形成的商誉。</w:t>
      </w:r>
    </w:p>
    <w:p>
      <w:pPr>
        <w:pStyle w:val="BodyText"/>
        <w:spacing w:line="316" w:lineRule="auto" w:before="19"/>
        <w:ind w:right="192" w:firstLine="360"/>
        <w:jc w:val="both"/>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pStyle w:val="BodyText"/>
        <w:spacing w:line="316" w:lineRule="auto" w:before="19"/>
        <w:ind w:right="325" w:firstLine="360"/>
        <w:jc w:val="left"/>
      </w:pPr>
      <w:r>
        <w:rPr>
          <w:spacing w:val="-1"/>
        </w:rPr>
        <w:t>某项资产或处置组被划归为持有待售，但后来不再满足持有待售的非流动资产的确认条件，本公司停止将其划归为持</w:t>
      </w:r>
      <w:r>
        <w:rPr/>
        <w:t> 有待售，并按照下列两项金额中较低者进行计量：</w:t>
      </w:r>
    </w:p>
    <w:p>
      <w:pPr>
        <w:pStyle w:val="BodyText"/>
        <w:spacing w:line="316" w:lineRule="auto" w:before="19"/>
        <w:ind w:right="325" w:firstLine="271"/>
        <w:jc w:val="left"/>
      </w:pPr>
      <w:r>
        <w:rPr>
          <w:spacing w:val="-1"/>
        </w:rPr>
        <w:t>（</w:t>
      </w:r>
      <w:r>
        <w:rPr>
          <w:rFonts w:ascii="宋体" w:hAnsi="宋体" w:cs="宋体" w:eastAsia="宋体" w:hint="default"/>
          <w:spacing w:val="-1"/>
        </w:rPr>
        <w:t>1</w:t>
      </w:r>
      <w:r>
        <w:rPr>
          <w:spacing w:val="-1"/>
        </w:rPr>
        <w:t>）该资产或处置组被划归为持有待售之前的账面价值，按照其假定在没有被划归为持有待售的情况下原应确认的折</w:t>
      </w:r>
      <w:r>
        <w:rPr/>
        <w:t> 旧、摊销或减值进行调整后的金额；</w:t>
      </w:r>
    </w:p>
    <w:p>
      <w:pPr>
        <w:pStyle w:val="BodyText"/>
        <w:spacing w:line="240" w:lineRule="auto" w:before="19"/>
        <w:ind w:left="424" w:right="102"/>
        <w:jc w:val="left"/>
      </w:pPr>
      <w:r>
        <w:rPr/>
        <w:t>（</w:t>
      </w:r>
      <w:r>
        <w:rPr>
          <w:rFonts w:ascii="宋体" w:hAnsi="宋体" w:cs="宋体" w:eastAsia="宋体" w:hint="default"/>
        </w:rPr>
        <w:t>2</w:t>
      </w:r>
      <w:r>
        <w:rPr/>
        <w:t>）决定不再出售之日的可收回金额。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02"/>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宋体" w:hAnsi="宋体" w:cs="宋体" w:eastAsia="宋体" w:hint="default"/>
        </w:rPr>
        <w:t>9</w:t>
      </w:r>
      <w:r>
        <w:rPr/>
        <w:t>“金融工具”。</w:t>
      </w:r>
    </w:p>
    <w:p>
      <w:pPr>
        <w:pStyle w:val="BodyText"/>
        <w:spacing w:line="319" w:lineRule="auto" w:before="19"/>
        <w:ind w:right="188"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1"/>
        </w:rPr>
        <w:t> </w:t>
      </w:r>
      <w:r>
        <w:rPr>
          <w:spacing w:val="-61"/>
        </w:rPr>
      </w:r>
      <w:r>
        <w:rPr/>
        <w:t>方一起共同控制这些政策的制定。</w:t>
      </w:r>
    </w:p>
    <w:p>
      <w:pPr>
        <w:pStyle w:val="BodyText"/>
        <w:spacing w:line="316" w:lineRule="auto" w:before="17"/>
        <w:ind w:left="513" w:right="102" w:hanging="89"/>
        <w:jc w:val="left"/>
      </w:pPr>
      <w:r>
        <w:rPr/>
        <w:t>（</w:t>
      </w:r>
      <w:r>
        <w:rPr>
          <w:rFonts w:ascii="宋体" w:hAnsi="宋体" w:cs="宋体" w:eastAsia="宋体" w:hint="default"/>
        </w:rPr>
        <w:t>1</w:t>
      </w:r>
      <w:r>
        <w:rPr/>
        <w:t>）投资成本的确定 </w:t>
      </w:r>
      <w:r>
        <w:rPr>
          <w:spacing w:val="-2"/>
        </w:rPr>
        <w:t>对于同一控制下的企业合并取得的长期股权投资，在合并日按照被合并方所有者权益在最终控制方合并财务报表中的账</w:t>
      </w:r>
    </w:p>
    <w:p>
      <w:pPr>
        <w:spacing w:after="0" w:line="316"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right="19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7"/>
        </w:rPr>
        <w:t> </w:t>
      </w:r>
      <w:r>
        <w:rPr>
          <w:spacing w:val="-67"/>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5"/>
        </w:rPr>
        <w:t> </w:t>
      </w:r>
      <w:r>
        <w:rPr>
          <w:spacing w:val="-65"/>
        </w:rPr>
      </w:r>
      <w:r>
        <w:rPr>
          <w:spacing w:val="-2"/>
        </w:rPr>
        <w:t>减的，调整留存收益。通过多次交易分步取得同一控制下被合并方的股权，最终形成同一控制下企业合并的，应分别是否属</w:t>
      </w:r>
      <w:r>
        <w:rPr>
          <w:spacing w:val="-64"/>
        </w:rPr>
        <w:t> </w:t>
      </w:r>
      <w:r>
        <w:rPr>
          <w:spacing w:val="-64"/>
        </w:rPr>
      </w:r>
      <w:r>
        <w:rPr>
          <w:spacing w:val="-2"/>
        </w:rPr>
        <w:t>于“一揽子交易”进行处理：属于“一揽子交易”的，将各项交易作为一项取得控制权的交易进行会计处理。不属于“一揽</w:t>
      </w:r>
      <w:r>
        <w:rPr>
          <w:spacing w:val="-68"/>
        </w:rPr>
        <w:t> </w:t>
      </w:r>
      <w:r>
        <w:rPr>
          <w:spacing w:val="-68"/>
        </w:rPr>
      </w:r>
      <w:r>
        <w:rPr>
          <w:spacing w:val="-2"/>
        </w:rPr>
        <w:t>子交易”的，在合并日按照应享有被合并方所有者权益在最终控制方合并财务报表中的账面价值的份额作为长期股权投资的</w:t>
      </w:r>
      <w:r>
        <w:rPr>
          <w:spacing w:val="-64"/>
        </w:rPr>
        <w:t> </w:t>
      </w:r>
      <w:r>
        <w:rPr>
          <w:spacing w:val="-64"/>
        </w:rPr>
      </w:r>
      <w:r>
        <w:rPr>
          <w:spacing w:val="-2"/>
        </w:rPr>
        <w:t>初始投资成本，长期股权投资初始投资成本与达到合并前的长期股权投资账面价值加上合并日进一步取得股份新支付对价的</w:t>
      </w:r>
      <w:r>
        <w:rPr>
          <w:spacing w:val="-63"/>
        </w:rPr>
        <w:t> </w:t>
      </w:r>
      <w:r>
        <w:rPr>
          <w:spacing w:val="-63"/>
        </w:rPr>
      </w:r>
      <w:r>
        <w:rPr>
          <w:spacing w:val="-2"/>
        </w:rPr>
        <w:t>账面价值之和的差额，调整资本公积；资本公积不足冲减的，调整留存收益。合并日之前持有的股权投资因采用权益法核算</w:t>
      </w:r>
      <w:r>
        <w:rPr>
          <w:spacing w:val="-64"/>
        </w:rPr>
        <w:t> </w:t>
      </w:r>
      <w:r>
        <w:rPr>
          <w:spacing w:val="-64"/>
        </w:rPr>
      </w:r>
      <w:r>
        <w:rPr/>
        <w:t>或为可供出售金融资产而确认的其他综合收益，暂不进行会计处理。</w:t>
      </w:r>
    </w:p>
    <w:p>
      <w:pPr>
        <w:pStyle w:val="BodyText"/>
        <w:spacing w:line="319" w:lineRule="auto" w:before="19"/>
        <w:ind w:right="102"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4"/>
        </w:rPr>
        <w:t> </w:t>
      </w:r>
      <w:r>
        <w:rPr>
          <w:spacing w:val="-44"/>
        </w:rPr>
      </w:r>
      <w:r>
        <w:rPr>
          <w:spacing w:val="-2"/>
        </w:rPr>
        <w:t>最终形成非同一控制下的企业合并的，应分别是否属于“一揽子交易”进行处理：属于“一揽子交易”的，将各项交易作为</w:t>
      </w:r>
      <w:r>
        <w:rPr>
          <w:spacing w:val="-68"/>
        </w:rPr>
        <w:t> </w:t>
      </w:r>
      <w:r>
        <w:rPr>
          <w:spacing w:val="-68"/>
        </w:rPr>
      </w:r>
      <w:r>
        <w:rPr>
          <w:spacing w:val="-2"/>
        </w:rPr>
        <w:t>一项取得控制权的交易进行会计处理。不属于“一揽子交易”的，按照原持有被购买方的股权投资账面价值加上新增投资成</w:t>
      </w:r>
      <w:r>
        <w:rPr>
          <w:spacing w:val="-65"/>
        </w:rPr>
        <w:t> </w:t>
      </w:r>
      <w:r>
        <w:rPr>
          <w:spacing w:val="-65"/>
        </w:rPr>
      </w:r>
      <w:r>
        <w:rPr>
          <w:spacing w:val="-2"/>
        </w:rPr>
        <w:t>本之和，作为改按成本法核算的长期股权投资的初始投资成本。原持有的股权采用权益法核算的，相关其他综合收益暂不进</w:t>
      </w:r>
      <w:r>
        <w:rPr>
          <w:spacing w:val="-63"/>
        </w:rPr>
        <w:t> </w:t>
      </w:r>
      <w:r>
        <w:rPr>
          <w:spacing w:val="-63"/>
        </w:rPr>
      </w:r>
      <w:r>
        <w:rPr>
          <w:spacing w:val="-2"/>
        </w:rPr>
        <w:t>行会计处理。原持有股权投资为可供出售金融资产的，其公允价值与账面价值之间的差额，以及原计入其他综合收益的累计</w:t>
      </w:r>
      <w:r>
        <w:rPr>
          <w:spacing w:val="-63"/>
        </w:rPr>
        <w:t> </w:t>
      </w:r>
      <w:r>
        <w:rPr>
          <w:spacing w:val="-63"/>
        </w:rPr>
      </w:r>
      <w:r>
        <w:rPr/>
        <w:t>公允价值变动转入当期损益。</w:t>
      </w:r>
    </w:p>
    <w:p>
      <w:pPr>
        <w:pStyle w:val="BodyText"/>
        <w:spacing w:line="240" w:lineRule="auto" w:before="17"/>
        <w:ind w:left="513" w:right="0"/>
        <w:jc w:val="left"/>
      </w:pPr>
      <w:r>
        <w:rPr/>
        <w:t>合并方或购买方为企业合并发生的审计、法律服务、评估咨询等中介费用以及其他相关管理费用，于发生时计入当期损</w:t>
      </w:r>
    </w:p>
    <w:p>
      <w:pPr>
        <w:pStyle w:val="BodyText"/>
        <w:spacing w:line="240" w:lineRule="auto" w:before="76"/>
        <w:ind w:right="102"/>
        <w:jc w:val="left"/>
      </w:pPr>
      <w:r>
        <w:rPr/>
        <w:t>益。</w:t>
      </w:r>
    </w:p>
    <w:p>
      <w:pPr>
        <w:pStyle w:val="BodyText"/>
        <w:spacing w:line="240" w:lineRule="auto" w:before="76"/>
        <w:ind w:left="513" w:right="0"/>
        <w:jc w:val="left"/>
      </w:pPr>
      <w:r>
        <w:rPr/>
        <w:t>除企业合并形成的长期股权投资外的其他股权投资，按成本进行初始计量，该成本视长期股权投资取得方式的不同，分</w:t>
      </w:r>
    </w:p>
    <w:p>
      <w:pPr>
        <w:pStyle w:val="BodyText"/>
        <w:spacing w:line="319" w:lineRule="auto" w:before="76"/>
        <w:ind w:right="189"/>
        <w:jc w:val="both"/>
      </w:pPr>
      <w:r>
        <w:rPr>
          <w:spacing w:val="-2"/>
        </w:rPr>
        <w:t>别按照本公司实际支付的现金购买价款、本公司发行的权益性证券的公允价值、投资合同或协议约定的价值、非货币性资产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号——金融工具确认和计量》确定的原持有股权投资的公允价值加上</w:t>
      </w:r>
      <w:r>
        <w:rPr>
          <w:spacing w:val="-61"/>
        </w:rPr>
        <w:t> </w:t>
      </w:r>
      <w:r>
        <w:rPr>
          <w:spacing w:val="-61"/>
        </w:rPr>
      </w:r>
      <w:r>
        <w:rPr/>
        <w:t>新增投资成本之和。</w:t>
      </w:r>
    </w:p>
    <w:p>
      <w:pPr>
        <w:pStyle w:val="BodyText"/>
        <w:spacing w:line="316" w:lineRule="auto" w:before="17"/>
        <w:ind w:left="513" w:right="102" w:hanging="89"/>
        <w:jc w:val="left"/>
      </w:pPr>
      <w:r>
        <w:rPr/>
        <w:t>（</w:t>
      </w:r>
      <w:r>
        <w:rPr>
          <w:rFonts w:ascii="宋体" w:hAnsi="宋体" w:cs="宋体" w:eastAsia="宋体"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19"/>
        <w:ind w:right="0"/>
        <w:jc w:val="both"/>
      </w:pPr>
      <w:r>
        <w:rPr/>
        <w:t>表采用成本法核算能够对被投资单位实施控制的长期股权投资。</w:t>
      </w:r>
    </w:p>
    <w:p>
      <w:pPr>
        <w:pStyle w:val="BodyText"/>
        <w:spacing w:line="316" w:lineRule="auto" w:before="76"/>
        <w:ind w:left="513" w:right="102"/>
        <w:jc w:val="left"/>
      </w:pPr>
      <w:r>
        <w:rPr/>
        <w:t>①</w:t>
      </w:r>
      <w:r>
        <w:rPr>
          <w:spacing w:val="1"/>
        </w:rPr>
        <w:t> </w:t>
      </w:r>
      <w:r>
        <w:rPr/>
        <w:t>成本法核算的长期股权投资</w:t>
      </w:r>
      <w:r>
        <w:rPr/>
        <w:t> </w:t>
      </w:r>
      <w:r>
        <w:rPr>
          <w:spacing w:val="-2"/>
        </w:rPr>
        <w:t>采用成本法核算时，长期股权投资按初始投资成本计价，追加或收回投资调整长期股权投资的成本。除取得投资时实际</w:t>
      </w:r>
    </w:p>
    <w:p>
      <w:pPr>
        <w:pStyle w:val="BodyText"/>
        <w:spacing w:line="316" w:lineRule="auto" w:before="19"/>
        <w:ind w:right="193"/>
        <w:jc w:val="both"/>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3" w:right="102"/>
        <w:jc w:val="left"/>
      </w:pPr>
      <w:r>
        <w:rPr/>
        <w:t>②</w:t>
      </w:r>
      <w:r>
        <w:rPr>
          <w:spacing w:val="1"/>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right="193"/>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4"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期股权投资的账面价值；对于被投资单位除净损益、其他综合收益和利润分配以外所有者权益的其他变动，调整长期股权投</w:t>
      </w:r>
      <w:r>
        <w:rPr>
          <w:spacing w:val="-61"/>
        </w:rPr>
        <w:t> </w:t>
      </w:r>
      <w:r>
        <w:rPr>
          <w:spacing w:val="-61"/>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3"/>
        </w:rPr>
        <w:t> </w:t>
      </w:r>
      <w:r>
        <w:rPr>
          <w:spacing w:val="-63"/>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p>
    <w:p>
      <w:pPr>
        <w:spacing w:after="0" w:line="316" w:lineRule="auto"/>
        <w:jc w:val="both"/>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316" w:lineRule="auto" w:before="44"/>
        <w:ind w:right="94"/>
        <w:jc w:val="left"/>
      </w:pPr>
      <w:r>
        <w:rPr>
          <w:spacing w:val="-2"/>
        </w:rPr>
        <w:t>不予以抵销。本公司向合营企业或联营企业投出的资产构成业务的，投资方因此取得长期股权投资但未取得控制权的，以投</w:t>
      </w:r>
      <w:r>
        <w:rPr>
          <w:spacing w:val="-63"/>
        </w:rPr>
        <w:t> </w:t>
      </w:r>
      <w:r>
        <w:rPr>
          <w:spacing w:val="-63"/>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号——企业合并》的规定进行会计处理，全额确认与交易</w:t>
      </w:r>
      <w:r>
        <w:rPr>
          <w:spacing w:val="-61"/>
        </w:rPr>
        <w:t> </w:t>
      </w:r>
      <w:r>
        <w:rPr>
          <w:spacing w:val="-61"/>
        </w:rPr>
      </w:r>
      <w:r>
        <w:rPr/>
        <w:t>相关的利得或损失。</w:t>
      </w:r>
    </w:p>
    <w:p>
      <w:pPr>
        <w:pStyle w:val="BodyText"/>
        <w:spacing w:line="316" w:lineRule="auto" w:before="19"/>
        <w:ind w:right="19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316" w:lineRule="auto" w:before="19"/>
        <w:ind w:left="513" w:right="102"/>
        <w:jc w:val="left"/>
      </w:pPr>
      <w:r>
        <w:rPr/>
        <w:t>③</w:t>
      </w:r>
      <w:r>
        <w:rPr>
          <w:spacing w:val="1"/>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19"/>
        <w:ind w:right="102"/>
        <w:jc w:val="left"/>
      </w:pPr>
      <w:r>
        <w:rPr/>
        <w:t>日）开始持续计算的净资产份额之间的差额，调整资本公积，资本公积不足冲减的，调整留存收益。</w:t>
      </w:r>
    </w:p>
    <w:p>
      <w:pPr>
        <w:pStyle w:val="BodyText"/>
        <w:spacing w:line="316" w:lineRule="auto" w:before="77"/>
        <w:ind w:left="513" w:right="102"/>
        <w:jc w:val="left"/>
      </w:pPr>
      <w:r>
        <w:rPr/>
        <w:t>④</w:t>
      </w:r>
      <w:r>
        <w:rPr>
          <w:spacing w:val="1"/>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102"/>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宋体" w:hAnsi="宋体" w:cs="宋体" w:eastAsia="宋体" w:hint="default"/>
        </w:rPr>
        <w:t>5</w:t>
      </w:r>
      <w:r>
        <w:rPr/>
        <w:t>、（</w:t>
      </w:r>
      <w:r>
        <w:rPr>
          <w:rFonts w:ascii="宋体" w:hAnsi="宋体" w:cs="宋体" w:eastAsia="宋体" w:hint="default"/>
        </w:rPr>
        <w:t>2</w:t>
      </w:r>
      <w:r>
        <w:rPr/>
        <w:t>）“合并财务报表编制的方法”中所述的相关会计政策处理。</w:t>
      </w:r>
    </w:p>
    <w:p>
      <w:pPr>
        <w:pStyle w:val="BodyText"/>
        <w:spacing w:line="316" w:lineRule="auto" w:before="19"/>
        <w:ind w:left="513" w:right="102"/>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102"/>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9" w:lineRule="auto" w:before="19"/>
        <w:ind w:right="19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3"/>
        </w:rPr>
        <w:t> </w:t>
      </w:r>
      <w:r>
        <w:rPr>
          <w:spacing w:val="-63"/>
        </w:rPr>
      </w:r>
      <w:r>
        <w:rPr/>
        <w:t>外的其他所有者权益变动按比例结转当期损益。</w:t>
      </w:r>
    </w:p>
    <w:p>
      <w:pPr>
        <w:pStyle w:val="BodyText"/>
        <w:spacing w:line="316" w:lineRule="auto" w:before="17"/>
        <w:ind w:right="192"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94"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9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3"/>
        </w:rPr>
        <w:t> </w:t>
      </w:r>
      <w:r>
        <w:rPr>
          <w:spacing w:val="-63"/>
        </w:rPr>
      </w:r>
      <w:r>
        <w:rPr/>
        <w:t>权投资账面价值之间的差额，先确认为其他综合收益，到丧失控制权时再一并转入丧失控制权的当期损益。</w:t>
      </w:r>
    </w:p>
    <w:p>
      <w:pPr>
        <w:spacing w:after="0" w:line="316" w:lineRule="auto"/>
        <w:jc w:val="both"/>
        <w:sectPr>
          <w:pgSz w:w="11910" w:h="16840"/>
          <w:pgMar w:header="781" w:footer="979" w:top="1080" w:bottom="1160" w:left="980" w:right="94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974"/>
        <w:jc w:val="left"/>
      </w:pPr>
      <w:r>
        <w:rPr/>
        <w:t>投资性房地产计量模式 不适用</w:t>
      </w:r>
    </w:p>
    <w:p>
      <w:pPr>
        <w:spacing w:line="240" w:lineRule="auto" w:before="5"/>
        <w:rPr>
          <w:rFonts w:ascii="宋体" w:hAnsi="宋体" w:cs="宋体" w:eastAsia="宋体" w:hint="default"/>
          <w:sz w:val="15"/>
          <w:szCs w:val="15"/>
        </w:rPr>
      </w:pPr>
    </w:p>
    <w:p>
      <w:pPr>
        <w:pStyle w:val="Heading3"/>
        <w:spacing w:line="240" w:lineRule="auto"/>
        <w:ind w:right="3012"/>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53"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7"/>
        <w:rPr>
          <w:rFonts w:ascii="宋体" w:hAnsi="宋体" w:cs="宋体" w:eastAsia="宋体" w:hint="default"/>
          <w:sz w:val="17"/>
          <w:szCs w:val="17"/>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1940"/>
        <w:gridCol w:w="1940"/>
        <w:gridCol w:w="1940"/>
        <w:gridCol w:w="1939"/>
        <w:gridCol w:w="1940"/>
      </w:tblGrid>
      <w:tr>
        <w:trPr>
          <w:trHeight w:val="401" w:hRule="exact"/>
        </w:trPr>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2.38</w:t>
            </w:r>
          </w:p>
        </w:tc>
      </w:tr>
      <w:tr>
        <w:trPr>
          <w:trHeight w:val="401"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19.00</w:t>
            </w:r>
          </w:p>
        </w:tc>
      </w:tr>
      <w:tr>
        <w:trPr>
          <w:trHeight w:val="40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19.00</w:t>
            </w:r>
          </w:p>
        </w:tc>
      </w:tr>
      <w:tr>
        <w:trPr>
          <w:trHeight w:val="401"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19.00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3"/>
        </w:rPr>
        <w:t> </w:t>
      </w:r>
      <w:r>
        <w:rPr>
          <w:spacing w:val="-63"/>
        </w:rPr>
      </w:r>
      <w:r>
        <w:rPr/>
        <w:t>两者中较短的期间内计提折旧。</w:t>
      </w:r>
    </w:p>
    <w:p>
      <w:pPr>
        <w:spacing w:line="240" w:lineRule="auto" w:before="9"/>
        <w:rPr>
          <w:rFonts w:ascii="宋体" w:hAnsi="宋体" w:cs="宋体" w:eastAsia="宋体" w:hint="default"/>
          <w:sz w:val="17"/>
          <w:szCs w:val="17"/>
        </w:rPr>
      </w:pPr>
    </w:p>
    <w:p>
      <w:pPr>
        <w:pStyle w:val="Heading3"/>
        <w:spacing w:line="240" w:lineRule="auto"/>
        <w:ind w:right="3012"/>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2" w:firstLine="360"/>
        <w:jc w:val="both"/>
      </w:pPr>
      <w:r>
        <w:rPr>
          <w:spacing w:val="-2"/>
        </w:rPr>
        <w:t>在建工程成本按实际工程支出确定，包括在建期间发生的各项工程支出以及其他相关费用等。在建工程在达到预定可使</w:t>
      </w:r>
      <w:r>
        <w:rPr/>
        <w:t> 用状态后结转为固定资产。</w:t>
      </w:r>
    </w:p>
    <w:p>
      <w:pPr>
        <w:pStyle w:val="BodyText"/>
        <w:spacing w:line="240" w:lineRule="auto" w:before="19"/>
        <w:ind w:left="513" w:right="3012"/>
        <w:jc w:val="left"/>
      </w:pPr>
      <w:r>
        <w:rPr/>
        <w:t>在建工程的减值测试方法和减值准备计提方法详见附注四、</w:t>
      </w:r>
      <w:r>
        <w:rPr>
          <w:rFonts w:ascii="宋体" w:hAnsi="宋体" w:cs="宋体" w:eastAsia="宋体" w:hint="default"/>
        </w:rPr>
        <w:t>19</w:t>
      </w:r>
      <w:r>
        <w:rPr/>
        <w:t>“长期资产减值”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3012"/>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5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4"/>
        </w:rPr>
        <w:t> </w:t>
      </w:r>
      <w:r>
        <w:rPr>
          <w:spacing w:val="-64"/>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right="152" w:firstLine="360"/>
        <w:jc w:val="both"/>
      </w:pPr>
      <w:r>
        <w:rPr/>
        <w:t>专门借款当期实际发生的利息费用</w:t>
      </w:r>
      <w:r>
        <w:rPr>
          <w:spacing w:val="-82"/>
        </w:rPr>
        <w:t>，</w:t>
      </w:r>
      <w:r>
        <w:rPr/>
        <w:t>减去尚未动用的借款资金存入银行取得的利息收入或进行暂时性投资取得的投资收</w:t>
      </w:r>
      <w:r>
        <w:rPr/>
        <w:t> 益后的金额予以资本化</w:t>
      </w:r>
      <w:r>
        <w:rPr>
          <w:spacing w:val="-82"/>
        </w:rPr>
        <w:t>；</w:t>
      </w:r>
      <w:r>
        <w:rPr/>
        <w:t>一般借款根据累计资产支出超过专门借款部分的资产支出加权平均数乘以所占用一般借款的资本化</w:t>
      </w:r>
    </w:p>
    <w:p>
      <w:pPr>
        <w:spacing w:after="0" w:line="316" w:lineRule="auto"/>
        <w:jc w:val="both"/>
        <w:sectPr>
          <w:pgSz w:w="11910" w:h="16840"/>
          <w:pgMar w:header="781" w:footer="979" w:top="1080" w:bottom="1160" w:left="980" w:right="980"/>
        </w:sectPr>
      </w:pPr>
    </w:p>
    <w:p>
      <w:pPr>
        <w:spacing w:line="240" w:lineRule="auto" w:before="10"/>
        <w:rPr>
          <w:rFonts w:ascii="宋体" w:hAnsi="宋体" w:cs="宋体" w:eastAsia="宋体" w:hint="default"/>
          <w:sz w:val="23"/>
          <w:szCs w:val="23"/>
        </w:rPr>
      </w:pPr>
    </w:p>
    <w:p>
      <w:pPr>
        <w:pStyle w:val="BodyText"/>
        <w:spacing w:line="316" w:lineRule="auto" w:before="44"/>
        <w:ind w:left="513" w:right="102" w:hanging="361"/>
        <w:jc w:val="left"/>
      </w:pPr>
      <w:r>
        <w:rPr/>
        <w:t>率，确定资本化金额。资本化率根据一般借款的加权平均利率计算确定。 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3" w:right="183" w:hanging="361"/>
        <w:jc w:val="left"/>
      </w:pPr>
      <w:r>
        <w:rPr/>
        <w:t>性房地产和存货等资产。 如果符合资本化条件的资产在购建或生产过程中发生非正常中断、并且中断时间连续超过</w:t>
      </w:r>
      <w:r>
        <w:rPr>
          <w:rFonts w:ascii="宋体" w:hAnsi="宋体" w:cs="宋体" w:eastAsia="宋体" w:hint="default"/>
        </w:rPr>
        <w:t>3</w:t>
      </w:r>
      <w:r>
        <w:rPr/>
        <w:t>个月的，暂停借款费用的资</w:t>
      </w:r>
    </w:p>
    <w:p>
      <w:pPr>
        <w:pStyle w:val="BodyText"/>
        <w:spacing w:line="240" w:lineRule="auto" w:before="19"/>
        <w:ind w:right="102"/>
        <w:jc w:val="left"/>
      </w:pPr>
      <w:r>
        <w:rPr/>
        <w:t>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02"/>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2"/>
        <w:jc w:val="left"/>
      </w:pPr>
      <w:r>
        <w:rPr/>
        <w:t>无</w:t>
      </w:r>
    </w:p>
    <w:p>
      <w:pPr>
        <w:spacing w:line="240" w:lineRule="auto" w:before="2"/>
        <w:rPr>
          <w:rFonts w:ascii="宋体" w:hAnsi="宋体" w:cs="宋体" w:eastAsia="宋体" w:hint="default"/>
          <w:sz w:val="22"/>
          <w:szCs w:val="22"/>
        </w:rPr>
      </w:pPr>
    </w:p>
    <w:p>
      <w:pPr>
        <w:pStyle w:val="Heading3"/>
        <w:spacing w:line="240" w:lineRule="auto"/>
        <w:ind w:right="102"/>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2"/>
        <w:jc w:val="left"/>
      </w:pPr>
      <w:r>
        <w:rPr/>
        <w:t>无</w:t>
      </w:r>
    </w:p>
    <w:p>
      <w:pPr>
        <w:spacing w:line="240" w:lineRule="auto" w:before="1"/>
        <w:rPr>
          <w:rFonts w:ascii="宋体" w:hAnsi="宋体" w:cs="宋体" w:eastAsia="宋体" w:hint="default"/>
          <w:sz w:val="22"/>
          <w:szCs w:val="22"/>
        </w:rPr>
      </w:pPr>
    </w:p>
    <w:p>
      <w:pPr>
        <w:pStyle w:val="Heading3"/>
        <w:spacing w:line="240" w:lineRule="auto"/>
        <w:ind w:right="102"/>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513" w:right="102"/>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9"/>
        <w:ind w:left="513" w:right="102" w:hanging="361"/>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102"/>
        <w:jc w:val="left"/>
      </w:pPr>
      <w:r>
        <w:rPr>
          <w:spacing w:val="-2"/>
        </w:rPr>
        <w:t>别作为无形资产和固定资产核算。如为外购的房屋及建筑物，则将有关价款在土地使用权和建筑物之间进行分配，难以合理</w:t>
      </w:r>
      <w:r>
        <w:rPr>
          <w:spacing w:val="-63"/>
        </w:rPr>
        <w:t> </w:t>
      </w:r>
      <w:r>
        <w:rPr>
          <w:spacing w:val="-63"/>
        </w:rPr>
      </w:r>
      <w:r>
        <w:rPr/>
        <w:t>分配的，全部作为固定资产处理。</w:t>
      </w:r>
    </w:p>
    <w:p>
      <w:pPr>
        <w:pStyle w:val="BodyText"/>
        <w:spacing w:line="316" w:lineRule="auto" w:before="19"/>
        <w:ind w:right="102" w:firstLine="360"/>
        <w:jc w:val="left"/>
      </w:pPr>
      <w:r>
        <w:rPr>
          <w:spacing w:val="-2"/>
        </w:rPr>
        <w:t>使用寿命有限的无形资产自可供使用时起，对其原值减去预计净残值和已计提的减值准备累计金额在其预计使用寿命内</w:t>
      </w:r>
      <w:r>
        <w:rPr/>
        <w:t> 采用直线法分期摊销。使用寿命不确定的无形资产不予摊销。</w:t>
      </w:r>
    </w:p>
    <w:p>
      <w:pPr>
        <w:pStyle w:val="BodyText"/>
        <w:spacing w:line="316" w:lineRule="auto" w:before="19"/>
        <w:ind w:right="102" w:firstLine="391"/>
        <w:jc w:val="left"/>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240" w:lineRule="auto" w:before="19"/>
        <w:ind w:left="513" w:right="102"/>
        <w:jc w:val="left"/>
      </w:pPr>
      <w:r>
        <w:rPr/>
        <w:t>无形资产的减值测试方法和减值准备计提方法详见附注四、</w:t>
      </w:r>
      <w:r>
        <w:rPr>
          <w:rFonts w:ascii="宋体" w:hAnsi="宋体" w:cs="宋体" w:eastAsia="宋体" w:hint="default"/>
        </w:rPr>
        <w:t>19</w:t>
      </w:r>
      <w:r>
        <w:rPr/>
        <w:t>“长期资产减值”。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0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3" w:right="4053"/>
        <w:jc w:val="left"/>
      </w:pPr>
      <w:r>
        <w:rPr/>
        <w:t>本公司内部研究开发项目的支出分为研究阶段支出与开发阶段支出。 研究阶段的支出，于发生时计入当期损益。</w:t>
      </w:r>
    </w:p>
    <w:p>
      <w:pPr>
        <w:pStyle w:val="BodyText"/>
        <w:spacing w:line="316" w:lineRule="auto" w:before="19"/>
        <w:ind w:left="513" w:right="102"/>
        <w:jc w:val="left"/>
      </w:pPr>
      <w:r>
        <w:rPr>
          <w:spacing w:val="-2"/>
        </w:rPr>
        <w:t>开发阶段的支出同时满足下列条件的，确认为无形资产，不能满足下述条件的开发阶段的支出计入当期损益：完成该①</w:t>
      </w:r>
      <w:r>
        <w:rPr>
          <w:spacing w:val="-69"/>
        </w:rPr>
        <w:t> </w:t>
      </w:r>
      <w:r>
        <w:rPr>
          <w:spacing w:val="-69"/>
        </w:rPr>
      </w:r>
      <w:r>
        <w:rPr/>
        <w:t>无形资产以使其能够使用或出售在技术上具有可行性；</w:t>
      </w:r>
    </w:p>
    <w:p>
      <w:pPr>
        <w:pStyle w:val="BodyText"/>
        <w:spacing w:line="240" w:lineRule="auto" w:before="19"/>
        <w:ind w:left="513" w:right="102"/>
        <w:jc w:val="left"/>
      </w:pPr>
      <w:r>
        <w:rPr/>
        <w:t>②</w:t>
      </w:r>
      <w:r>
        <w:rPr>
          <w:spacing w:val="-18"/>
        </w:rPr>
        <w:t> </w:t>
      </w:r>
      <w:r>
        <w:rPr/>
        <w:t>具有完成该无形资产并使用或出售的意图；</w:t>
      </w:r>
    </w:p>
    <w:p>
      <w:pPr>
        <w:pStyle w:val="BodyText"/>
        <w:spacing w:line="319" w:lineRule="auto" w:before="76"/>
        <w:ind w:right="202" w:firstLine="360"/>
        <w:jc w:val="left"/>
      </w:pPr>
      <w:r>
        <w:rPr/>
        <w:t>③</w:t>
      </w:r>
      <w:r>
        <w:rPr>
          <w:spacing w:val="-18"/>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7"/>
        <w:ind w:left="633" w:right="102"/>
        <w:jc w:val="left"/>
      </w:pPr>
      <w:r>
        <w:rPr/>
        <w:t>④</w:t>
      </w:r>
      <w:r>
        <w:rPr>
          <w:spacing w:val="-18"/>
        </w:rPr>
        <w:t> </w:t>
      </w:r>
      <w:r>
        <w:rPr/>
        <w:t>有足够的技术、财务资源和其他资源支持，以完成该无形资产的开发，并有能力使用或出售该无形资产；</w:t>
      </w:r>
    </w:p>
    <w:p>
      <w:pPr>
        <w:pStyle w:val="BodyText"/>
        <w:spacing w:line="240" w:lineRule="auto" w:before="76"/>
        <w:ind w:left="633" w:right="102"/>
        <w:jc w:val="left"/>
      </w:pPr>
      <w:r>
        <w:rPr/>
        <w:t>⑤</w:t>
      </w:r>
      <w:r>
        <w:rPr>
          <w:spacing w:val="-18"/>
        </w:rPr>
        <w:t> </w:t>
      </w:r>
      <w:r>
        <w:rPr/>
        <w:t>归属于该无形资产开发阶段的支出能够可靠地计量。</w:t>
      </w:r>
    </w:p>
    <w:p>
      <w:pPr>
        <w:spacing w:after="0" w:line="240"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3"/>
          <w:szCs w:val="23"/>
        </w:rPr>
      </w:pPr>
    </w:p>
    <w:p>
      <w:pPr>
        <w:pStyle w:val="BodyText"/>
        <w:spacing w:line="240" w:lineRule="auto" w:before="44"/>
        <w:ind w:left="633" w:right="102"/>
        <w:jc w:val="left"/>
      </w:pPr>
      <w:r>
        <w:rPr/>
        <w:t>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02"/>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0"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3"/>
        </w:rPr>
        <w:t> </w:t>
      </w:r>
      <w:r>
        <w:rPr>
          <w:spacing w:val="-63"/>
        </w:rPr>
      </w:r>
      <w:r>
        <w:rPr>
          <w:spacing w:val="-2"/>
        </w:rPr>
        <w:t>回金额，进行减值测试。商誉、使用寿命不确定的无形资产和尚未达到可使用状态的无形资产，无论是否存在减值迹象，每</w:t>
      </w:r>
      <w:r>
        <w:rPr>
          <w:spacing w:val="-67"/>
        </w:rPr>
        <w:t> </w:t>
      </w:r>
      <w:r>
        <w:rPr>
          <w:spacing w:val="-67"/>
        </w:rPr>
      </w:r>
      <w:r>
        <w:rPr/>
        <w:t>年均进行减值测试。</w:t>
      </w:r>
    </w:p>
    <w:p>
      <w:pPr>
        <w:pStyle w:val="BodyText"/>
        <w:spacing w:line="316" w:lineRule="auto" w:before="19"/>
        <w:ind w:right="102"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3"/>
        </w:rPr>
        <w:t> </w:t>
      </w:r>
      <w:r>
        <w:rPr>
          <w:spacing w:val="-43"/>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9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3" w:right="102"/>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02"/>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02" w:firstLine="360"/>
        <w:jc w:val="left"/>
      </w:pPr>
      <w:r>
        <w:rPr>
          <w:spacing w:val="-2"/>
        </w:rPr>
        <w:t>长期待摊费用为已经发生但应由报告期和以后各期负担的分摊期限在一年以上的各项费用。长期待摊费用在预计受益期</w:t>
      </w:r>
      <w:r>
        <w:rPr/>
        <w:t> 间按直线法摊销。</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02"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02" w:firstLine="360"/>
        <w:jc w:val="left"/>
      </w:pPr>
      <w:r>
        <w:rPr>
          <w:spacing w:val="-2"/>
        </w:rPr>
        <w:t>离职后福利主要包括设定提存计划。其中设定提存计划主要包括基本养老保险、失业保险，相应的应缴存金额于发生时</w:t>
      </w:r>
      <w:r>
        <w:rPr/>
        <w:t> 计入相关资产成本或当期损益。</w:t>
      </w:r>
    </w:p>
    <w:p>
      <w:pPr>
        <w:spacing w:after="0" w:line="319"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2"/>
          <w:szCs w:val="22"/>
        </w:rPr>
      </w:pPr>
    </w:p>
    <w:p>
      <w:pPr>
        <w:pStyle w:val="Heading3"/>
        <w:spacing w:line="335" w:lineRule="exact"/>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02"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3"/>
        </w:rPr>
        <w:t> </w:t>
      </w:r>
      <w:r>
        <w:rPr>
          <w:spacing w:val="-43"/>
        </w:rPr>
      </w:r>
      <w:r>
        <w:rPr/>
        <w:t>按照其他长期职工薪酬处理。</w:t>
      </w:r>
    </w:p>
    <w:p>
      <w:pPr>
        <w:pStyle w:val="BodyText"/>
        <w:spacing w:line="316" w:lineRule="auto" w:before="19"/>
        <w:ind w:right="102" w:firstLine="360"/>
        <w:jc w:val="left"/>
      </w:pPr>
      <w:r>
        <w:rPr>
          <w:spacing w:val="-2"/>
        </w:rPr>
        <w:t>职工内部退休计划采用与上述辞退福利相同的原则处理。本公司将自职工停止提供服务日至正常退休日的期间拟支付的</w:t>
      </w:r>
      <w:r>
        <w:rPr/>
        <w:t> 内退人员工资和缴纳的社会保险费等，在符合预计负债确认条件时，计入当期损益（辞退福利）。</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102" w:firstLine="360"/>
        <w:jc w:val="left"/>
      </w:pPr>
      <w:r>
        <w:rPr>
          <w:spacing w:val="-2"/>
        </w:rPr>
        <w:t>本公司向职工提供的其他长期职工福利，符合设定提存计划的，按照设定提存计划进行会计处理，除此之外按照设定受</w:t>
      </w:r>
      <w:r>
        <w:rPr/>
        <w:t> 益计划进行会计处理。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02" w:firstLine="360"/>
        <w:jc w:val="left"/>
      </w:pPr>
      <w:r>
        <w:rPr>
          <w:spacing w:val="-2"/>
        </w:rPr>
        <w:t>当与或有事项相关的义务同时符合以下条件，确认为预计负债：（</w:t>
      </w:r>
      <w:r>
        <w:rPr>
          <w:rFonts w:ascii="宋体" w:hAnsi="宋体" w:cs="宋体" w:eastAsia="宋体" w:hint="default"/>
          <w:spacing w:val="-2"/>
        </w:rPr>
        <w:t>1</w:t>
      </w:r>
      <w:r>
        <w:rPr>
          <w:spacing w:val="-2"/>
        </w:rPr>
        <w:t>）该义务是本公司承担的现时义务；（</w:t>
      </w:r>
      <w:r>
        <w:rPr>
          <w:rFonts w:ascii="宋体" w:hAnsi="宋体" w:cs="宋体" w:eastAsia="宋体" w:hint="default"/>
          <w:spacing w:val="-2"/>
        </w:rPr>
        <w:t>2</w:t>
      </w:r>
      <w:r>
        <w:rPr>
          <w:spacing w:val="-2"/>
        </w:rPr>
        <w:t>）履行该义</w:t>
      </w:r>
      <w:r>
        <w:rPr/>
        <w:t> 务很可能导致经济利益流出；（</w:t>
      </w:r>
      <w:r>
        <w:rPr>
          <w:rFonts w:ascii="宋体" w:hAnsi="宋体" w:cs="宋体" w:eastAsia="宋体" w:hint="default"/>
        </w:rPr>
        <w:t>3</w:t>
      </w:r>
      <w:r>
        <w:rPr/>
        <w:t>）该义务的金额能够可靠地计量。</w:t>
      </w:r>
    </w:p>
    <w:p>
      <w:pPr>
        <w:pStyle w:val="BodyText"/>
        <w:spacing w:line="319" w:lineRule="auto" w:before="19"/>
        <w:ind w:right="102"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7"/>
        <w:ind w:right="102"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02" w:firstLine="271"/>
        <w:jc w:val="left"/>
      </w:pPr>
      <w:r>
        <w:rPr/>
        <w:t>（</w:t>
      </w:r>
      <w:r>
        <w:rPr>
          <w:rFonts w:ascii="宋体" w:hAnsi="宋体" w:cs="宋体" w:eastAsia="宋体"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3"/>
        </w:rPr>
        <w:t> </w:t>
      </w:r>
      <w:r>
        <w:rPr>
          <w:spacing w:val="-63"/>
        </w:rPr>
      </w:r>
      <w:r>
        <w:rPr/>
        <w:t>权益结算的股份支付和以现金结算的股份支付。</w:t>
      </w:r>
    </w:p>
    <w:p>
      <w:pPr>
        <w:pStyle w:val="BodyText"/>
        <w:spacing w:line="319" w:lineRule="auto" w:before="19"/>
        <w:ind w:left="513" w:right="102"/>
        <w:jc w:val="left"/>
      </w:pPr>
      <w:r>
        <w:rPr/>
        <w:t>①以权益结算的股份支付 </w:t>
      </w:r>
      <w:r>
        <w:rPr>
          <w:spacing w:val="-2"/>
        </w:rPr>
        <w:t>用以换取职工提供的服务的权益结算的股份支付，以授予职工权益工具在授予日的公允价值计量。该公允价值的金额在</w:t>
      </w:r>
    </w:p>
    <w:p>
      <w:pPr>
        <w:pStyle w:val="BodyText"/>
        <w:spacing w:line="316" w:lineRule="auto" w:before="17"/>
        <w:ind w:right="193"/>
        <w:jc w:val="both"/>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宋体" w:hAnsi="宋体" w:cs="宋体" w:eastAsia="宋体" w:hint="default"/>
        </w:rPr>
        <w:t>/</w:t>
      </w:r>
      <w:r>
        <w:rPr/>
        <w:t>在授予后立即可行权时，在授予日计入相关成本或费用，相应增加资本公积。</w:t>
      </w:r>
    </w:p>
    <w:p>
      <w:pPr>
        <w:pStyle w:val="BodyText"/>
        <w:spacing w:line="316" w:lineRule="auto" w:before="19"/>
        <w:ind w:right="102" w:firstLine="360"/>
        <w:jc w:val="left"/>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3"/>
        </w:rPr>
        <w:t> </w:t>
      </w:r>
      <w:r>
        <w:rPr>
          <w:spacing w:val="-63"/>
        </w:rPr>
      </w:r>
      <w:r>
        <w:rPr/>
        <w:t>公允价值计量，计入相关成本或费用，相应增加股东权益。</w:t>
      </w:r>
    </w:p>
    <w:p>
      <w:pPr>
        <w:pStyle w:val="BodyText"/>
        <w:spacing w:line="316" w:lineRule="auto" w:before="19"/>
        <w:ind w:left="513" w:right="102"/>
        <w:jc w:val="left"/>
      </w:pPr>
      <w:r>
        <w:rPr/>
        <w:t>②</w:t>
      </w:r>
      <w:r>
        <w:rPr>
          <w:spacing w:val="1"/>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6" w:lineRule="auto" w:before="19"/>
        <w:ind w:right="190"/>
        <w:jc w:val="both"/>
      </w:pPr>
      <w:r>
        <w:rPr>
          <w:spacing w:val="-2"/>
        </w:rPr>
        <w:t>行权，在授予日计入相关成本或费用，相应增加负债；如须完成等待期内的服务或达到规定业绩条件以后才可行权，在等待</w:t>
      </w:r>
      <w:r>
        <w:rPr>
          <w:spacing w:val="-64"/>
        </w:rPr>
        <w:t> </w:t>
      </w:r>
      <w:r>
        <w:rPr>
          <w:spacing w:val="-64"/>
        </w:rPr>
      </w:r>
      <w:r>
        <w:rPr>
          <w:spacing w:val="-2"/>
        </w:rPr>
        <w:t>期的每个资产负债表日，以对可行权情况的最佳估计为基础，按照本公司承担负债的公允价值金额，将当期取得的服务计入</w:t>
      </w:r>
      <w:r>
        <w:rPr>
          <w:spacing w:val="-63"/>
        </w:rPr>
        <w:t> </w:t>
      </w:r>
      <w:r>
        <w:rPr>
          <w:spacing w:val="-63"/>
        </w:rPr>
      </w:r>
      <w:r>
        <w:rPr/>
        <w:t>成本或费用，相应增加负债。</w:t>
      </w:r>
    </w:p>
    <w:p>
      <w:pPr>
        <w:spacing w:after="0" w:line="316" w:lineRule="auto"/>
        <w:jc w:val="both"/>
        <w:sectPr>
          <w:footerReference w:type="default" r:id="rId21"/>
          <w:pgSz w:w="11910" w:h="16840"/>
          <w:pgMar w:footer="979" w:header="781" w:top="1080" w:bottom="1160" w:left="980" w:right="940"/>
          <w:pgNumType w:start="110"/>
        </w:sectPr>
      </w:pPr>
    </w:p>
    <w:p>
      <w:pPr>
        <w:spacing w:line="240" w:lineRule="auto" w:before="10"/>
        <w:rPr>
          <w:rFonts w:ascii="宋体" w:hAnsi="宋体" w:cs="宋体" w:eastAsia="宋体" w:hint="default"/>
          <w:sz w:val="23"/>
          <w:szCs w:val="23"/>
        </w:rPr>
      </w:pPr>
    </w:p>
    <w:p>
      <w:pPr>
        <w:pStyle w:val="BodyText"/>
        <w:spacing w:line="240" w:lineRule="auto" w:before="44"/>
        <w:ind w:right="0"/>
        <w:jc w:val="both"/>
      </w:pPr>
      <w:r>
        <w:rPr/>
        <w:t>在相关负债结算前的每个资产负债表日以及结算日，对负债的公允价值重新计量，其变动计入当期损益。</w:t>
      </w:r>
    </w:p>
    <w:p>
      <w:pPr>
        <w:pStyle w:val="BodyText"/>
        <w:spacing w:line="300" w:lineRule="auto" w:before="76"/>
        <w:ind w:left="513" w:right="102" w:hanging="89"/>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31"/>
        <w:ind w:right="190"/>
        <w:jc w:val="both"/>
      </w:pPr>
      <w:r>
        <w:rPr>
          <w:spacing w:val="-2"/>
        </w:rPr>
        <w:t>取得服务的增加。权益工具公允价值的增加是指修改前后的权益工具在修改日的公允价值之间的差额。若修改减少了股份支</w:t>
      </w:r>
      <w:r>
        <w:rPr>
          <w:spacing w:val="-63"/>
        </w:rPr>
        <w:t> </w:t>
      </w:r>
      <w:r>
        <w:rPr>
          <w:spacing w:val="-63"/>
        </w:rPr>
      </w:r>
      <w:r>
        <w:rPr>
          <w:spacing w:val="-2"/>
        </w:rPr>
        <w:t>付公允价值总额或采用了其他不利于职工的方式，则仍继续对取得的服务进行会计处理，视同该变更从未发生，除非本公司</w:t>
      </w:r>
      <w:r>
        <w:rPr>
          <w:spacing w:val="-63"/>
        </w:rPr>
        <w:t> </w:t>
      </w:r>
      <w:r>
        <w:rPr>
          <w:spacing w:val="-63"/>
        </w:rPr>
      </w:r>
      <w:r>
        <w:rPr/>
        <w:t>取消了部分或全部已授予的权益工具。</w:t>
      </w:r>
    </w:p>
    <w:p>
      <w:pPr>
        <w:pStyle w:val="BodyText"/>
        <w:spacing w:line="316" w:lineRule="auto" w:before="19"/>
        <w:ind w:right="190"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3"/>
        </w:rPr>
        <w:t> </w:t>
      </w:r>
      <w:r>
        <w:rPr>
          <w:spacing w:val="-63"/>
        </w:rPr>
      </w:r>
      <w:r>
        <w:rPr/>
        <w:t>将其作为授予权益工具的取消处理。</w:t>
      </w:r>
    </w:p>
    <w:p>
      <w:pPr>
        <w:pStyle w:val="BodyText"/>
        <w:spacing w:line="309" w:lineRule="auto" w:before="19"/>
        <w:ind w:right="94" w:firstLine="271"/>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涉及本公司与本公司股东或实际控制人的股份支付交易，结算企业与接受服务企业中其一在本公司内，另一在本公司外的， 在本公司合并财务报表中按照以下规定进行会计处理：</w:t>
      </w:r>
    </w:p>
    <w:p>
      <w:pPr>
        <w:pStyle w:val="BodyText"/>
        <w:spacing w:line="316" w:lineRule="auto" w:before="24"/>
        <w:ind w:right="102" w:firstLine="360"/>
        <w:jc w:val="left"/>
      </w:pPr>
      <w:r>
        <w:rPr/>
        <w:t>①</w:t>
      </w:r>
      <w:r>
        <w:rPr>
          <w:spacing w:val="-18"/>
        </w:rPr>
        <w:t> </w:t>
      </w:r>
      <w:r>
        <w:rPr/>
        <w:t>结算企业以其本身权益工具结算的，将该股份支付交易作为权益结算的股份支付处理；除此之外，作为现金结算的</w:t>
      </w:r>
      <w:r>
        <w:rPr/>
        <w:t> 股份支付处理。 </w:t>
      </w:r>
      <w:r>
        <w:rPr>
          <w:spacing w:val="-2"/>
        </w:rPr>
        <w:t>结算企业是接受服务企业的投资者的，按照授予日权益工具的公允价值或应承担负债的公允价值确认为对接受服务企业的长</w:t>
      </w:r>
      <w:r>
        <w:rPr>
          <w:spacing w:val="-64"/>
        </w:rPr>
        <w:t> </w:t>
      </w:r>
      <w:r>
        <w:rPr>
          <w:spacing w:val="-64"/>
        </w:rPr>
      </w:r>
      <w:r>
        <w:rPr/>
        <w:t>期股权投资，同时确认资本公积（其他资本公积）或负债。</w:t>
      </w:r>
    </w:p>
    <w:p>
      <w:pPr>
        <w:pStyle w:val="BodyText"/>
        <w:spacing w:line="316" w:lineRule="auto" w:before="19"/>
        <w:ind w:right="193" w:firstLine="360"/>
        <w:jc w:val="both"/>
      </w:pPr>
      <w:r>
        <w:rPr/>
        <w:t>②</w:t>
      </w:r>
      <w:r>
        <w:rPr>
          <w:spacing w:val="-18"/>
        </w:rPr>
        <w:t> </w:t>
      </w:r>
      <w:r>
        <w:rPr/>
        <w:t>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9"/>
        <w:ind w:right="102" w:firstLine="360"/>
        <w:jc w:val="left"/>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13" w:right="2973" w:hanging="89"/>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31"/>
        <w:ind w:right="102" w:firstLine="360"/>
        <w:jc w:val="left"/>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19"/>
        <w:ind w:right="19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16" w:lineRule="auto" w:before="19"/>
        <w:ind w:left="513" w:right="102"/>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00" w:lineRule="auto" w:before="19"/>
        <w:ind w:right="192"/>
        <w:jc w:val="both"/>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4"/>
        </w:rPr>
        <w:t> </w:t>
      </w:r>
      <w:r>
        <w:rPr>
          <w:spacing w:val="-44"/>
        </w:rPr>
      </w:r>
      <w:r>
        <w:rPr/>
        <w:t>总发行价款的比例进行分摊。</w:t>
      </w:r>
    </w:p>
    <w:p>
      <w:pPr>
        <w:pStyle w:val="BodyText"/>
        <w:spacing w:line="309" w:lineRule="auto" w:before="29"/>
        <w:ind w:right="102" w:firstLine="271"/>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归类为金融负债的永续债和优先股等金融工具，其相关利息、股利（或股息）、利得或损失，以及赎回或再融资产生的利得</w:t>
      </w:r>
      <w:r>
        <w:rPr>
          <w:spacing w:val="-70"/>
        </w:rPr>
        <w:t> </w:t>
      </w:r>
      <w:r>
        <w:rPr>
          <w:spacing w:val="-70"/>
        </w:rPr>
      </w:r>
      <w:r>
        <w:rPr/>
        <w:t>或损失等，除符合资本化条件的借款费用（参见本附注四、</w:t>
      </w:r>
      <w:r>
        <w:rPr>
          <w:rFonts w:ascii="Times New Roman" w:hAnsi="Times New Roman" w:cs="Times New Roman" w:eastAsia="Times New Roman" w:hint="default"/>
        </w:rPr>
        <w:t>16“</w:t>
      </w:r>
      <w:r>
        <w:rPr/>
        <w:t>借款费用</w:t>
      </w:r>
      <w:r>
        <w:rPr>
          <w:rFonts w:ascii="Times New Roman" w:hAnsi="Times New Roman" w:cs="Times New Roman" w:eastAsia="Times New Roman" w:hint="default"/>
        </w:rPr>
        <w:t>”</w:t>
      </w:r>
      <w:r>
        <w:rPr/>
        <w:t>）以外，均计入当期损益。</w:t>
      </w:r>
    </w:p>
    <w:p>
      <w:pPr>
        <w:pStyle w:val="BodyText"/>
        <w:spacing w:line="316" w:lineRule="auto" w:before="5"/>
        <w:ind w:right="102" w:firstLine="360"/>
        <w:jc w:val="left"/>
      </w:pPr>
      <w:r>
        <w:rPr>
          <w:spacing w:val="-2"/>
        </w:rPr>
        <w:t>归类为权益工具的永续债和优先股等金融工具，其发行（含再融资）、回购、出售或注销时，本公司作为权益的变动处</w:t>
      </w:r>
      <w:r>
        <w:rPr/>
        <w:t> 理，相关交易费用亦从权益中扣减。本公司对权益工具持有方的分配作为利润分配处理。</w:t>
      </w:r>
    </w:p>
    <w:p>
      <w:pPr>
        <w:pStyle w:val="BodyText"/>
        <w:spacing w:line="240" w:lineRule="auto" w:before="19"/>
        <w:ind w:left="513" w:right="102"/>
        <w:jc w:val="left"/>
      </w:pPr>
      <w:r>
        <w:rPr/>
        <w:t>本公司不确认权益工具的公允价值变动。</w:t>
      </w:r>
    </w:p>
    <w:p>
      <w:pPr>
        <w:spacing w:after="0" w:line="240" w:lineRule="auto"/>
        <w:jc w:val="left"/>
        <w:sectPr>
          <w:pgSz w:w="11910" w:h="16840"/>
          <w:pgMar w:header="781" w:footer="979" w:top="1080" w:bottom="1160" w:left="980" w:right="940"/>
        </w:sectPr>
      </w:pPr>
    </w:p>
    <w:p>
      <w:pPr>
        <w:spacing w:line="240" w:lineRule="auto" w:before="10"/>
        <w:rPr>
          <w:rFonts w:ascii="宋体" w:hAnsi="宋体" w:cs="宋体" w:eastAsia="宋体" w:hint="default"/>
          <w:sz w:val="22"/>
          <w:szCs w:val="22"/>
        </w:rPr>
      </w:pPr>
    </w:p>
    <w:p>
      <w:pPr>
        <w:pStyle w:val="Heading3"/>
        <w:spacing w:line="335" w:lineRule="exact"/>
        <w:ind w:right="102"/>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3" w:right="102" w:hanging="89"/>
        <w:jc w:val="left"/>
      </w:pPr>
      <w:r>
        <w:rPr/>
        <w:t>（</w:t>
      </w:r>
      <w:r>
        <w:rPr>
          <w:rFonts w:ascii="宋体" w:hAnsi="宋体" w:cs="宋体" w:eastAsia="宋体"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19"/>
        <w:ind w:right="102"/>
        <w:jc w:val="left"/>
      </w:pPr>
      <w:r>
        <w:rPr>
          <w:spacing w:val="-2"/>
        </w:rPr>
        <w:t>实施有效控制，收入的金额能够可靠地计量，相关的经济利益很可能流入企业，相关的已发生或将发生的成本能够可靠地计</w:t>
      </w:r>
      <w:r>
        <w:rPr>
          <w:spacing w:val="-63"/>
        </w:rPr>
        <w:t> </w:t>
      </w:r>
      <w:r>
        <w:rPr>
          <w:spacing w:val="-63"/>
        </w:rPr>
      </w:r>
      <w:r>
        <w:rPr/>
        <w:t>量时，确认商品销售收入的实现。</w:t>
      </w:r>
    </w:p>
    <w:p>
      <w:pPr>
        <w:pStyle w:val="BodyText"/>
        <w:spacing w:line="316" w:lineRule="auto" w:before="19"/>
        <w:ind w:left="513" w:right="93" w:hanging="89"/>
        <w:jc w:val="left"/>
      </w:pPr>
      <w:r>
        <w:rPr/>
        <w:t>（</w:t>
      </w:r>
      <w:r>
        <w:rPr>
          <w:rFonts w:ascii="宋体" w:hAnsi="宋体" w:cs="宋体" w:eastAsia="宋体" w:hint="default"/>
        </w:rPr>
        <w:t>2</w:t>
      </w:r>
      <w:r>
        <w:rPr/>
        <w:t>）提供劳务收入 在提供劳务交易的结果能够可靠估计的情况下，于资产负债表日按照完工百分比法确认提供的劳务收入。 提供劳务交易的结果能够可靠估计是指同时满足：①收入的金额能够可靠地计量；②相关的经济利益很可能流入企业；</w:t>
      </w:r>
    </w:p>
    <w:p>
      <w:pPr>
        <w:pStyle w:val="BodyText"/>
        <w:spacing w:line="316" w:lineRule="auto" w:before="19"/>
        <w:ind w:left="513" w:right="102" w:hanging="361"/>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3" w:right="102" w:hanging="361"/>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102"/>
        <w:jc w:val="left"/>
      </w:pPr>
      <w:r>
        <w:rPr>
          <w:spacing w:val="-2"/>
        </w:rPr>
        <w:t>的，将销售商品部分和提供劳务部分分别处理；如销售商品部分和提供劳务部分不能够区分，或虽能区分但不能够单独计量</w:t>
      </w:r>
      <w:r>
        <w:rPr>
          <w:spacing w:val="-62"/>
        </w:rPr>
        <w:t> </w:t>
      </w:r>
      <w:r>
        <w:rPr>
          <w:spacing w:val="-62"/>
        </w:rPr>
      </w:r>
      <w:r>
        <w:rPr/>
        <w:t>的，将该合同全部作为销售商品处理。</w:t>
      </w:r>
    </w:p>
    <w:p>
      <w:pPr>
        <w:pStyle w:val="BodyText"/>
        <w:spacing w:line="240" w:lineRule="auto" w:before="19"/>
        <w:ind w:left="424" w:right="102"/>
        <w:jc w:val="left"/>
      </w:pPr>
      <w:r>
        <w:rPr/>
        <w:t>（</w:t>
      </w:r>
      <w:r>
        <w:rPr>
          <w:rFonts w:ascii="宋体" w:hAnsi="宋体" w:cs="宋体" w:eastAsia="宋体" w:hint="default"/>
        </w:rPr>
        <w:t>3</w:t>
      </w:r>
      <w:r>
        <w:rPr/>
        <w:t>）收入确认的具体方法</w:t>
      </w:r>
    </w:p>
    <w:p>
      <w:pPr>
        <w:pStyle w:val="BodyText"/>
        <w:spacing w:line="316" w:lineRule="auto" w:before="76"/>
        <w:ind w:left="513" w:right="93"/>
        <w:jc w:val="left"/>
      </w:pPr>
      <w:r>
        <w:rPr/>
        <w:t>①软件产品的开发和销售 软件产品包括自行开发研制软件产品和定制开发软件产品。自行开发研制软件产品是指拥有自主知识产权、无差异化、</w:t>
      </w:r>
    </w:p>
    <w:p>
      <w:pPr>
        <w:pStyle w:val="BodyText"/>
        <w:spacing w:line="316" w:lineRule="auto" w:before="19"/>
        <w:ind w:left="513" w:right="102" w:hanging="361"/>
        <w:jc w:val="left"/>
      </w:pPr>
      <w:r>
        <w:rPr/>
        <w:t>可批量复制的软件产品；定制开发软件产品是指公司根据买方的实际需求进行定制、开发的软件产品。 </w:t>
      </w:r>
      <w:r>
        <w:rPr>
          <w:spacing w:val="-2"/>
        </w:rPr>
        <w:t>自行开发研制软件产品的销售，公司在软件产品的重要风险和报酬已转移给买方，取得相关的验收单后，不再对其实施</w:t>
      </w:r>
    </w:p>
    <w:p>
      <w:pPr>
        <w:pStyle w:val="BodyText"/>
        <w:spacing w:line="319" w:lineRule="auto" w:before="19"/>
        <w:ind w:right="102"/>
        <w:jc w:val="left"/>
      </w:pPr>
      <w:r>
        <w:rPr>
          <w:spacing w:val="-2"/>
        </w:rPr>
        <w:t>继续管理权和实际控制权，相关的收入已经收到或取得了收款的证据，并且与其有关的成本能够可靠地计量时，确认销售收</w:t>
      </w:r>
      <w:r>
        <w:rPr>
          <w:spacing w:val="-61"/>
        </w:rPr>
        <w:t> </w:t>
      </w:r>
      <w:r>
        <w:rPr>
          <w:spacing w:val="-61"/>
        </w:rPr>
      </w:r>
      <w:r>
        <w:rPr/>
        <w:t>入。</w:t>
      </w:r>
    </w:p>
    <w:p>
      <w:pPr>
        <w:pStyle w:val="BodyText"/>
        <w:spacing w:line="316" w:lineRule="auto" w:before="17"/>
        <w:ind w:right="192" w:firstLine="360"/>
        <w:jc w:val="both"/>
      </w:pPr>
      <w:r>
        <w:rPr>
          <w:spacing w:val="-2"/>
        </w:rPr>
        <w:t>定制开发软件项目按合同约定在项目实施完成并经对方验收合格后确认收入，对合同约定完工比例的，按合同约定的完</w:t>
      </w:r>
      <w:r>
        <w:rPr/>
        <w:t> 工确认条件确认收入。</w:t>
      </w:r>
    </w:p>
    <w:p>
      <w:pPr>
        <w:pStyle w:val="BodyText"/>
        <w:spacing w:line="316" w:lineRule="auto" w:before="19"/>
        <w:ind w:left="513" w:right="2793"/>
        <w:jc w:val="left"/>
      </w:pPr>
      <w:r>
        <w:rPr/>
        <w:t>②技术服务收入 技术服务是指公司为客户提供的技术支持、技术咨询、技术开发、系统维护等服务。</w:t>
      </w:r>
    </w:p>
    <w:p>
      <w:pPr>
        <w:pStyle w:val="BodyText"/>
        <w:spacing w:line="316" w:lineRule="auto" w:before="19"/>
        <w:ind w:right="193" w:firstLine="360"/>
        <w:jc w:val="both"/>
      </w:pPr>
      <w:r>
        <w:rPr>
          <w:spacing w:val="-2"/>
        </w:rPr>
        <w:t>技术服务收入的确认原则及方法为：在劳务已经提供，按合同约定取得验收单、收到价款或取得收取款项的证据时，确</w:t>
      </w:r>
      <w:r>
        <w:rPr/>
        <w:t> 认劳务收入。一定期限的维护合同，按合同期限平均确认收入。</w:t>
      </w:r>
    </w:p>
    <w:p>
      <w:pPr>
        <w:pStyle w:val="BodyText"/>
        <w:spacing w:line="316" w:lineRule="auto" w:before="19"/>
        <w:ind w:left="513" w:right="5673" w:hanging="89"/>
        <w:jc w:val="left"/>
      </w:pPr>
      <w:r>
        <w:rPr/>
        <w:t>（</w:t>
      </w:r>
      <w:r>
        <w:rPr>
          <w:rFonts w:ascii="宋体" w:hAnsi="宋体" w:cs="宋体" w:eastAsia="宋体" w:hint="default"/>
        </w:rPr>
        <w:t>4</w:t>
      </w:r>
      <w:r>
        <w:rPr/>
        <w:t>）使用费收入 根据有关合同或协议，按权责发生制确认收入。</w:t>
      </w:r>
    </w:p>
    <w:p>
      <w:pPr>
        <w:pStyle w:val="BodyText"/>
        <w:spacing w:line="316" w:lineRule="auto" w:before="19"/>
        <w:ind w:left="513" w:right="4773" w:hanging="89"/>
        <w:jc w:val="left"/>
      </w:pPr>
      <w:r>
        <w:rPr/>
        <w:t>（</w:t>
      </w:r>
      <w:r>
        <w:rPr>
          <w:rFonts w:ascii="宋体" w:hAnsi="宋体" w:cs="宋体" w:eastAsia="宋体" w:hint="default"/>
        </w:rPr>
        <w:t>5</w:t>
      </w:r>
      <w:r>
        <w:rPr/>
        <w:t>）利息收入 按照他人使用本公司货币资金的时间和实际利率计算确定。</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9" w:firstLine="360"/>
        <w:jc w:val="both"/>
      </w:pPr>
      <w:r>
        <w:rPr>
          <w:spacing w:val="-2"/>
        </w:rPr>
        <w:t>政府补助是指本公司从政府无偿取得货币性资产和非货币性资产，不包括政府作为所有者投入的资本。政府补助分为与</w:t>
      </w:r>
      <w:r>
        <w:rPr/>
        <w:t> 资产相关的政府补助和与收益相关的政府补助。</w:t>
      </w:r>
      <w:r>
        <w:rPr>
          <w:spacing w:val="11"/>
        </w:rPr>
        <w:t> </w:t>
      </w:r>
      <w:r>
        <w:rPr/>
        <w:t>政府补助为货币性资产的，按照收到或应收的金额计量。政府补助为非</w:t>
      </w:r>
      <w:r>
        <w:rPr/>
        <w:t> </w:t>
      </w:r>
      <w:r>
        <w:rPr>
          <w:spacing w:val="-2"/>
        </w:rPr>
        <w:t>货币性资产的，按照公允价值计量；公允价值不能够可靠取得的，按照名义金额计量。按照名义金额计量的政府补助，直接</w:t>
      </w:r>
      <w:r>
        <w:rPr>
          <w:spacing w:val="-67"/>
        </w:rPr>
        <w:t> </w:t>
      </w:r>
      <w:r>
        <w:rPr>
          <w:spacing w:val="-67"/>
        </w:rPr>
      </w:r>
      <w:r>
        <w:rPr/>
        <w:t>计入当期损益。</w:t>
      </w:r>
    </w:p>
    <w:p>
      <w:pPr>
        <w:pStyle w:val="BodyText"/>
        <w:spacing w:line="316" w:lineRule="auto" w:before="19"/>
        <w:ind w:left="513" w:right="102"/>
        <w:jc w:val="left"/>
      </w:pPr>
      <w:r>
        <w:rPr/>
        <w:t>与资产相关的政府补助，确认为递延收益，并在相关资产的使用寿命内平均分配计入当期损益。 </w:t>
      </w:r>
      <w:r>
        <w:rPr>
          <w:spacing w:val="-2"/>
        </w:rPr>
        <w:t>已确认的政府补助需要返还时，存在相关递延收益余额的，冲减相关递延收益账面余额，超出部分计入当期损益；不存</w:t>
      </w:r>
    </w:p>
    <w:p>
      <w:pPr>
        <w:pStyle w:val="BodyText"/>
        <w:spacing w:line="240" w:lineRule="auto" w:before="19"/>
        <w:ind w:right="102"/>
        <w:jc w:val="left"/>
      </w:pPr>
      <w:r>
        <w:rPr/>
        <w:t>在相关递延收益的，直接计入当期损益。</w:t>
      </w:r>
    </w:p>
    <w:p>
      <w:pPr>
        <w:spacing w:after="0" w:line="240" w:lineRule="auto"/>
        <w:jc w:val="left"/>
        <w:sectPr>
          <w:pgSz w:w="11910" w:h="16840"/>
          <w:pgMar w:header="781" w:footer="979" w:top="108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3"/>
        <w:spacing w:line="335" w:lineRule="exact"/>
        <w:ind w:right="102"/>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2" w:firstLine="360"/>
        <w:jc w:val="both"/>
      </w:pPr>
      <w:r>
        <w:rPr>
          <w:spacing w:val="-2"/>
        </w:rPr>
        <w:t>与收益相关的政府补助，用于补偿以后期间的相关费用和损失的，确认为递延收益，并在确认相关费用的期间计入当期</w:t>
      </w:r>
      <w:r>
        <w:rPr/>
        <w:t> 损益；用于补偿已经发生的相关费用和损失的，直接计入当期损益。</w:t>
      </w:r>
    </w:p>
    <w:p>
      <w:pPr>
        <w:pStyle w:val="BodyText"/>
        <w:spacing w:line="316" w:lineRule="auto" w:before="19"/>
        <w:ind w:right="192" w:firstLine="360"/>
        <w:jc w:val="both"/>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9"/>
        <w:rPr>
          <w:rFonts w:ascii="宋体" w:hAnsi="宋体" w:cs="宋体" w:eastAsia="宋体" w:hint="default"/>
          <w:sz w:val="17"/>
          <w:szCs w:val="17"/>
        </w:rPr>
      </w:pPr>
    </w:p>
    <w:p>
      <w:pPr>
        <w:pStyle w:val="Heading3"/>
        <w:spacing w:line="240" w:lineRule="auto"/>
        <w:ind w:right="102"/>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left="513" w:right="93" w:hanging="89"/>
        <w:jc w:val="left"/>
      </w:pPr>
      <w:r>
        <w:rPr/>
        <w:t>（</w:t>
      </w:r>
      <w:r>
        <w:rPr>
          <w:rFonts w:ascii="宋体" w:hAnsi="宋体" w:cs="宋体" w:eastAsia="宋体" w:hint="default"/>
        </w:rPr>
        <w:t>1</w:t>
      </w:r>
      <w:r>
        <w:rPr/>
        <w:t>）当期所得税 资产负债表日，对于当期和以前期间形成的当期所得税负债（或资产），以按照税法规定计算的预期应交纳（或返还）</w:t>
      </w:r>
    </w:p>
    <w:p>
      <w:pPr>
        <w:pStyle w:val="BodyText"/>
        <w:spacing w:line="316" w:lineRule="auto" w:before="19"/>
        <w:ind w:right="102"/>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16" w:lineRule="auto" w:before="19"/>
        <w:ind w:left="513" w:right="102" w:hanging="89"/>
        <w:jc w:val="left"/>
      </w:pPr>
      <w:r>
        <w:rPr/>
        <w:t>（</w:t>
      </w:r>
      <w:r>
        <w:rPr>
          <w:rFonts w:ascii="宋体" w:hAnsi="宋体" w:cs="宋体" w:eastAsia="宋体"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19"/>
        <w:ind w:right="102"/>
        <w:jc w:val="left"/>
      </w:pPr>
      <w:r>
        <w:rPr>
          <w:spacing w:val="-2"/>
        </w:rPr>
        <w:t>基础的项目的账面价值与计税基础之间的差额产生的暂时性差异，采用资产负债表债务法确认递延所得税资产及递延所得税</w:t>
      </w:r>
      <w:r>
        <w:rPr>
          <w:spacing w:val="-63"/>
        </w:rPr>
        <w:t> </w:t>
      </w:r>
      <w:r>
        <w:rPr>
          <w:spacing w:val="-63"/>
        </w:rPr>
      </w:r>
      <w:r>
        <w:rPr/>
        <w:t>负债。</w:t>
      </w:r>
    </w:p>
    <w:p>
      <w:pPr>
        <w:pStyle w:val="BodyText"/>
        <w:spacing w:line="319" w:lineRule="auto" w:before="19"/>
        <w:ind w:right="190"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3"/>
        </w:rPr>
        <w:t> </w:t>
      </w:r>
      <w:r>
        <w:rPr>
          <w:spacing w:val="-63"/>
        </w:rPr>
      </w:r>
      <w:r>
        <w:rPr/>
        <w:t>得税负债。</w:t>
      </w:r>
    </w:p>
    <w:p>
      <w:pPr>
        <w:pStyle w:val="BodyText"/>
        <w:spacing w:line="316" w:lineRule="auto" w:before="17"/>
        <w:ind w:right="190"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3"/>
        </w:rPr>
        <w:t> </w:t>
      </w:r>
      <w:r>
        <w:rPr>
          <w:spacing w:val="-63"/>
        </w:rPr>
      </w:r>
      <w:r>
        <w:rPr/>
        <w:t>额为限，确认其他可抵扣暂时性差异产生的递延所得税资产。</w:t>
      </w:r>
    </w:p>
    <w:p>
      <w:pPr>
        <w:pStyle w:val="BodyText"/>
        <w:spacing w:line="316" w:lineRule="auto" w:before="19"/>
        <w:ind w:right="19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9" w:lineRule="auto" w:before="19"/>
        <w:ind w:right="190"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7"/>
        <w:ind w:right="19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16" w:lineRule="auto" w:before="19"/>
        <w:ind w:left="513" w:right="6033" w:hanging="89"/>
        <w:jc w:val="left"/>
      </w:pPr>
      <w:r>
        <w:rPr/>
        <w:t>（</w:t>
      </w:r>
      <w:r>
        <w:rPr>
          <w:rFonts w:ascii="宋体" w:hAnsi="宋体" w:cs="宋体" w:eastAsia="宋体" w:hint="default"/>
        </w:rPr>
        <w:t>3</w:t>
      </w:r>
      <w:r>
        <w:rPr/>
        <w:t>）所得税费用 所得税费用包括当期所得税和递延所得税。</w:t>
      </w:r>
    </w:p>
    <w:p>
      <w:pPr>
        <w:pStyle w:val="BodyText"/>
        <w:spacing w:line="316" w:lineRule="auto" w:before="19"/>
        <w:ind w:right="290"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16" w:lineRule="auto" w:before="19"/>
        <w:ind w:left="513" w:right="102" w:hanging="89"/>
        <w:jc w:val="left"/>
      </w:pPr>
      <w:r>
        <w:rPr/>
        <w:t>（</w:t>
      </w:r>
      <w:r>
        <w:rPr>
          <w:rFonts w:ascii="宋体" w:hAnsi="宋体" w:cs="宋体" w:eastAsia="宋体"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9" w:lineRule="auto" w:before="19"/>
        <w:ind w:left="513" w:right="102" w:hanging="361"/>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240" w:lineRule="auto" w:before="17"/>
        <w:ind w:right="102"/>
        <w:jc w:val="left"/>
      </w:pPr>
      <w:r>
        <w:rPr/>
        <w:t>管部门对同一纳税主体征收的所得税相关或者是对不同的纳税主体相关</w:t>
      </w:r>
      <w:r>
        <w:rPr>
          <w:spacing w:val="-82"/>
        </w:rPr>
        <w:t>，</w:t>
      </w:r>
      <w:r>
        <w:rPr/>
        <w:t>但在未来每一具有重要性的递延所得税资产及负债</w:t>
      </w:r>
    </w:p>
    <w:p>
      <w:pPr>
        <w:spacing w:after="0" w:line="240" w:lineRule="auto"/>
        <w:jc w:val="left"/>
        <w:sectPr>
          <w:footerReference w:type="default" r:id="rId22"/>
          <w:pgSz w:w="11910" w:h="16840"/>
          <w:pgMar w:footer="1450" w:header="781" w:top="1080" w:bottom="1640" w:left="980" w:right="940"/>
          <w:pgNumType w:start="113"/>
        </w:sectPr>
      </w:pPr>
    </w:p>
    <w:p>
      <w:pPr>
        <w:spacing w:line="240" w:lineRule="auto" w:before="10"/>
        <w:rPr>
          <w:rFonts w:ascii="宋体" w:hAnsi="宋体" w:cs="宋体" w:eastAsia="宋体" w:hint="default"/>
          <w:sz w:val="23"/>
          <w:szCs w:val="23"/>
        </w:rPr>
      </w:pPr>
    </w:p>
    <w:p>
      <w:pPr>
        <w:pStyle w:val="BodyText"/>
        <w:spacing w:line="240" w:lineRule="auto" w:before="44"/>
        <w:ind w:right="102"/>
        <w:jc w:val="left"/>
      </w:pPr>
      <w:r>
        <w:rPr/>
        <w:t>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02"/>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513" w:right="102" w:hanging="60"/>
        <w:jc w:val="left"/>
      </w:pPr>
      <w:r>
        <w:rPr/>
        <w:t>（</w:t>
      </w:r>
      <w:r>
        <w:rPr>
          <w:rFonts w:ascii="宋体" w:hAnsi="宋体" w:cs="宋体" w:eastAsia="宋体"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19"/>
        <w:ind w:right="102"/>
        <w:jc w:val="left"/>
      </w:pPr>
      <w:r>
        <w:rPr/>
        <w:t>租金于实际发生时计入当期损益。</w:t>
      </w:r>
    </w:p>
    <w:p>
      <w:pPr>
        <w:pStyle w:val="BodyText"/>
        <w:spacing w:line="319" w:lineRule="auto" w:before="76"/>
        <w:ind w:left="513" w:right="273" w:hanging="60"/>
        <w:jc w:val="left"/>
      </w:pPr>
      <w:r>
        <w:rPr/>
        <w:t>（</w:t>
      </w:r>
      <w:r>
        <w:rPr>
          <w:rFonts w:ascii="宋体" w:hAnsi="宋体" w:cs="宋体" w:eastAsia="宋体"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268" w:lineRule="auto" w:before="17"/>
        <w:ind w:right="102"/>
        <w:jc w:val="left"/>
        <w:rPr>
          <w:sz w:val="24"/>
          <w:szCs w:val="24"/>
        </w:rPr>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r>
        <w:rPr>
          <w:sz w:val="24"/>
          <w:szCs w:val="24"/>
        </w:rPr>
        <w:t>。</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513" w:right="102" w:hanging="46"/>
        <w:jc w:val="left"/>
      </w:pPr>
      <w:r>
        <w:rPr/>
        <w:t>（</w:t>
      </w:r>
      <w:r>
        <w:rPr>
          <w:rFonts w:ascii="宋体" w:hAnsi="宋体" w:cs="宋体" w:eastAsia="宋体"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9" w:lineRule="auto" w:before="19"/>
        <w:ind w:right="102"/>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3"/>
        </w:rPr>
        <w:t> </w:t>
      </w:r>
      <w:r>
        <w:rPr>
          <w:spacing w:val="-63"/>
        </w:rPr>
      </w:r>
      <w:r>
        <w:rPr/>
        <w:t>内到期的长期负债列示。</w:t>
      </w:r>
    </w:p>
    <w:p>
      <w:pPr>
        <w:pStyle w:val="BodyText"/>
        <w:spacing w:line="240" w:lineRule="auto" w:before="17"/>
        <w:ind w:left="513" w:right="102"/>
        <w:jc w:val="left"/>
      </w:pPr>
      <w:r>
        <w:rPr/>
        <w:t>未确认融资费用在租赁期内采用实际利率法计算确认当期的融资费用。或有租金于实际发生时计入当期损益。</w:t>
      </w:r>
    </w:p>
    <w:p>
      <w:pPr>
        <w:pStyle w:val="BodyText"/>
        <w:spacing w:line="316" w:lineRule="auto" w:before="76"/>
        <w:ind w:left="513" w:right="102" w:hanging="60"/>
        <w:jc w:val="left"/>
      </w:pPr>
      <w:r>
        <w:rPr/>
        <w:t>（</w:t>
      </w:r>
      <w:r>
        <w:rPr>
          <w:rFonts w:ascii="宋体" w:hAnsi="宋体" w:cs="宋体" w:eastAsia="宋体"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19"/>
        <w:ind w:right="102"/>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513" w:right="102"/>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02"/>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16" w:lineRule="auto"/>
        <w:ind w:right="102" w:firstLine="360"/>
        <w:jc w:val="left"/>
      </w:pPr>
      <w:r>
        <w:rPr>
          <w:spacing w:val="-2"/>
        </w:rPr>
        <w:t>终止经营，是指满足下列条件之一的已被本公司处置或划归为持有待售的、在经营和编制财务报表时能够单独区分的组</w:t>
      </w:r>
      <w:r>
        <w:rPr/>
        <w:t> </w:t>
      </w:r>
      <w:r>
        <w:rPr>
          <w:spacing w:val="-2"/>
        </w:rPr>
        <w:t>成部分：①该组成部分代表一项独立的主要业务或一个主要经营地区；②该组成部分是拟对一项独立的主要业务或一个主要</w:t>
      </w:r>
      <w:r>
        <w:rPr>
          <w:spacing w:val="-64"/>
        </w:rPr>
        <w:t> </w:t>
      </w:r>
      <w:r>
        <w:rPr>
          <w:spacing w:val="-64"/>
        </w:rPr>
      </w:r>
      <w:r>
        <w:rPr/>
        <w:t>经营地区进行处置计划的一部分；③该组成部分是仅仅为了再出售而取得的子公司。 终止经营的会计处理方法参见本附注四、</w:t>
      </w:r>
      <w:r>
        <w:rPr>
          <w:rFonts w:ascii="宋体" w:hAnsi="宋体" w:cs="宋体" w:eastAsia="宋体" w:hint="default"/>
        </w:rPr>
        <w:t>12</w:t>
      </w:r>
      <w:r>
        <w:rPr/>
        <w:t>“划分为持有待售资产”相关描述。</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02"/>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102"/>
        <w:jc w:val="left"/>
      </w:pPr>
      <w:r>
        <w:rPr/>
        <w:t>□ 适用 √</w:t>
      </w:r>
      <w:r>
        <w:rPr>
          <w:spacing w:val="3"/>
        </w:rPr>
        <w:t> </w:t>
      </w:r>
      <w:r>
        <w:rPr/>
        <w:t>不适用</w:t>
      </w:r>
    </w:p>
    <w:p>
      <w:pPr>
        <w:spacing w:after="0" w:line="240" w:lineRule="auto"/>
        <w:jc w:val="left"/>
        <w:sectPr>
          <w:footerReference w:type="default" r:id="rId23"/>
          <w:pgSz w:w="11910" w:h="16840"/>
          <w:pgMar w:footer="979" w:header="781" w:top="1080" w:bottom="1160" w:left="980" w:right="940"/>
          <w:pgNumType w:start="114"/>
        </w:sectPr>
      </w:pPr>
    </w:p>
    <w:p>
      <w:pPr>
        <w:spacing w:line="240" w:lineRule="auto" w:before="10"/>
        <w:rPr>
          <w:rFonts w:ascii="宋体" w:hAnsi="宋体" w:cs="宋体" w:eastAsia="宋体" w:hint="default"/>
          <w:sz w:val="22"/>
          <w:szCs w:val="22"/>
        </w:rPr>
      </w:pPr>
    </w:p>
    <w:p>
      <w:pPr>
        <w:pStyle w:val="Heading3"/>
        <w:spacing w:line="335" w:lineRule="exact"/>
        <w:ind w:right="11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624" w:lineRule="exact" w:before="47"/>
        <w:ind w:left="152" w:right="8056" w:firstLine="0"/>
        <w:jc w:val="left"/>
        <w:rPr>
          <w:rFonts w:ascii="Microsoft JhengHei" w:hAnsi="Microsoft JhengHei" w:cs="Microsoft JhengHei" w:eastAsia="Microsoft JhengHei" w:hint="default"/>
          <w:sz w:val="24"/>
          <w:szCs w:val="24"/>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4"/>
          <w:szCs w:val="24"/>
        </w:rPr>
        <w:t>六、税项</w:t>
      </w:r>
      <w:r>
        <w:rPr>
          <w:rFonts w:ascii="Microsoft JhengHei" w:hAnsi="Microsoft JhengHei" w:cs="Microsoft JhengHei" w:eastAsia="Microsoft JhengHei" w:hint="default"/>
          <w:sz w:val="24"/>
          <w:szCs w:val="24"/>
        </w:rPr>
      </w:r>
    </w:p>
    <w:p>
      <w:pPr>
        <w:pStyle w:val="Heading3"/>
        <w:spacing w:line="240" w:lineRule="auto" w:before="168"/>
        <w:ind w:right="11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的税率计算销项税， 并按扣除当期允许抵扣的进项税额后的 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312" w:lineRule="exact"/>
              <w:ind w:right="-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5"/>
                <w:sz w:val="20"/>
                <w:szCs w:val="20"/>
              </w:rPr>
              <w:pict>
                <v:group style="width:159.050pt;height:15.6pt;mso-position-horizontal-relative:char;mso-position-vertical-relative:line" coordorigin="0,0" coordsize="3181,312">
                  <v:group style="position:absolute;left:0;top:0;width:3181;height:312" coordorigin="0,0" coordsize="3181,312">
                    <v:shape style="position:absolute;left:0;top:0;width:3181;height:312" coordorigin="0,0" coordsize="3181,312" path="m0,312l3180,312,3180,0,0,0,0,312xe" filled="true" fillcolor="#ffffff" stroked="false">
                      <v:path arrowok="t"/>
                      <v:fill type="solid"/>
                    </v:shape>
                  </v:group>
                </v:group>
              </w:pict>
            </w:r>
            <w:r>
              <w:rPr>
                <w:rFonts w:ascii="Microsoft JhengHei" w:hAnsi="Microsoft JhengHei" w:cs="Microsoft JhengHei" w:eastAsia="Microsoft JhengHei"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应纳税所得额的</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，详见下表。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p>
        </w:tc>
      </w:tr>
    </w:tbl>
    <w:p>
      <w:pPr>
        <w:pStyle w:val="BodyText"/>
        <w:spacing w:line="240" w:lineRule="auto" w:before="49"/>
        <w:ind w:right="110"/>
        <w:jc w:val="left"/>
      </w:pPr>
      <w:r>
        <w:rPr/>
        <w:pict>
          <v:group style="position:absolute;margin-left:375.910004pt;margin-top:-76.438286pt;width:159.050pt;height:15.6pt;mso-position-horizontal-relative:page;mso-position-vertical-relative:paragraph;z-index:-754312" coordorigin="7518,-1529" coordsize="3181,312">
            <v:shape style="position:absolute;left:7518;top:-1529;width:3181;height:312" coordorigin="7518,-1529" coordsize="3181,312" path="m7518,-1217l10699,-1217,10699,-1529,7518,-1529,7518,-1217xe" filled="true" fillcolor="#ffffff" stroked="false">
              <v:path arrowok="t"/>
              <v:fill type="solid"/>
            </v:shape>
            <w10:wrap type="none"/>
          </v:group>
        </w:pict>
      </w: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北信源（马来西亚）信息技术公司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北京中软华泰信息技术有限责任公司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w:t>
            </w:r>
          </w:p>
        </w:tc>
      </w:tr>
    </w:tbl>
    <w:p>
      <w:pPr>
        <w:spacing w:line="240" w:lineRule="auto" w:before="3"/>
        <w:rPr>
          <w:rFonts w:ascii="宋体" w:hAnsi="宋体" w:cs="宋体" w:eastAsia="宋体" w:hint="default"/>
          <w:sz w:val="19"/>
          <w:szCs w:val="19"/>
        </w:rPr>
      </w:pPr>
    </w:p>
    <w:p>
      <w:pPr>
        <w:pStyle w:val="Heading3"/>
        <w:spacing w:line="335" w:lineRule="exact"/>
        <w:ind w:right="11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10" w:firstLine="271"/>
        <w:jc w:val="left"/>
      </w:pPr>
      <w:r>
        <w:rPr>
          <w:spacing w:val="-3"/>
        </w:rPr>
        <w:t>（</w:t>
      </w:r>
      <w:r>
        <w:rPr>
          <w:rFonts w:ascii="宋体" w:hAnsi="宋体" w:cs="宋体" w:eastAsia="宋体" w:hint="default"/>
          <w:spacing w:val="-3"/>
        </w:rPr>
        <w:t>1</w:t>
      </w:r>
      <w:r>
        <w:rPr>
          <w:spacing w:val="-3"/>
        </w:rPr>
        <w:t>）根据国务院国发</w:t>
      </w:r>
      <w:r>
        <w:rPr>
          <w:rFonts w:ascii="宋体" w:hAnsi="宋体" w:cs="宋体" w:eastAsia="宋体" w:hint="default"/>
          <w:spacing w:val="-3"/>
        </w:rPr>
        <w:t>[2000]18</w:t>
      </w:r>
      <w:r>
        <w:rPr>
          <w:spacing w:val="-3"/>
        </w:rPr>
        <w:t>号文件《国务院关于印发</w:t>
      </w:r>
      <w:r>
        <w:rPr>
          <w:rFonts w:ascii="宋体" w:hAnsi="宋体" w:cs="宋体" w:eastAsia="宋体" w:hint="default"/>
          <w:spacing w:val="-3"/>
        </w:rPr>
        <w:t>&lt;</w:t>
      </w:r>
      <w:r>
        <w:rPr>
          <w:spacing w:val="-3"/>
        </w:rPr>
        <w:t>鼓励软件产业和集成电路产业发展若干政策</w:t>
      </w:r>
      <w:r>
        <w:rPr>
          <w:rFonts w:ascii="宋体" w:hAnsi="宋体" w:cs="宋体" w:eastAsia="宋体" w:hint="default"/>
          <w:spacing w:val="-3"/>
        </w:rPr>
        <w:t>&gt;</w:t>
      </w:r>
      <w:r>
        <w:rPr>
          <w:spacing w:val="-3"/>
        </w:rPr>
        <w:t>的通知》和财政部、</w:t>
      </w:r>
      <w:r>
        <w:rPr/>
        <w:t> </w:t>
      </w:r>
      <w:r>
        <w:rPr>
          <w:spacing w:val="-2"/>
        </w:rPr>
        <w:t>国家税务总局、海关总署下发财税</w:t>
      </w:r>
      <w:r>
        <w:rPr>
          <w:rFonts w:ascii="宋体" w:hAnsi="宋体" w:cs="宋体" w:eastAsia="宋体" w:hint="default"/>
          <w:spacing w:val="-2"/>
        </w:rPr>
        <w:t>[2000]25 </w:t>
      </w:r>
      <w:r>
        <w:rPr>
          <w:spacing w:val="-4"/>
        </w:rPr>
        <w:t>号文《关于鼓励软件产业和集成电路产业发展有关税收政策问题的通知》，</w:t>
      </w:r>
      <w:r>
        <w:rPr>
          <w:rFonts w:ascii="宋体" w:hAnsi="宋体" w:cs="宋体" w:eastAsia="宋体" w:hint="default"/>
          <w:spacing w:val="-4"/>
        </w:rPr>
        <w:t>2010</w:t>
      </w:r>
      <w:r>
        <w:rPr>
          <w:rFonts w:ascii="宋体" w:hAnsi="宋体" w:cs="宋体" w:eastAsia="宋体" w:hint="default"/>
          <w:spacing w:val="-71"/>
        </w:rPr>
        <w:t> </w:t>
      </w:r>
      <w:r>
        <w:rPr>
          <w:rFonts w:ascii="宋体" w:hAnsi="宋体" w:cs="宋体" w:eastAsia="宋体" w:hint="default"/>
          <w:spacing w:val="-71"/>
        </w:rPr>
      </w:r>
      <w:r>
        <w:rPr>
          <w:spacing w:val="-2"/>
        </w:rPr>
        <w:t>年底以前，公司自行开发研制软件产品销售收入按</w:t>
      </w:r>
      <w:r>
        <w:rPr>
          <w:rFonts w:ascii="宋体" w:hAnsi="宋体" w:cs="宋体" w:eastAsia="宋体" w:hint="default"/>
          <w:spacing w:val="-2"/>
        </w:rPr>
        <w:t>17%</w:t>
      </w:r>
      <w:r>
        <w:rPr>
          <w:spacing w:val="-2"/>
        </w:rPr>
        <w:t>的法定税率计缴增值税，对实际税负超过</w:t>
      </w:r>
      <w:r>
        <w:rPr>
          <w:rFonts w:ascii="宋体" w:hAnsi="宋体" w:cs="宋体" w:eastAsia="宋体" w:hint="default"/>
          <w:spacing w:val="-2"/>
        </w:rPr>
        <w:t>3%</w:t>
      </w:r>
      <w:r>
        <w:rPr>
          <w:spacing w:val="-2"/>
        </w:rPr>
        <w:t>的部分实行即征即退政策。</w:t>
      </w:r>
      <w:r>
        <w:rPr>
          <w:spacing w:val="-58"/>
        </w:rPr>
        <w:t> </w:t>
      </w:r>
      <w:r>
        <w:rPr>
          <w:spacing w:val="-58"/>
        </w:rPr>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日，国务院《关于印发进一步鼓励软件产业和集成电路产业发展若干政策的通知》（国发</w:t>
      </w:r>
      <w:r>
        <w:rPr>
          <w:rFonts w:ascii="宋体" w:hAnsi="宋体" w:cs="宋体" w:eastAsia="宋体" w:hint="default"/>
          <w:spacing w:val="-2"/>
        </w:rPr>
        <w:t>[2011]4</w:t>
      </w:r>
      <w:r>
        <w:rPr>
          <w:spacing w:val="-2"/>
        </w:rPr>
        <w:t>号）继续实施</w:t>
      </w:r>
      <w:r>
        <w:rPr>
          <w:spacing w:val="-56"/>
        </w:rPr>
        <w:t> </w:t>
      </w:r>
      <w:r>
        <w:rPr>
          <w:spacing w:val="-56"/>
        </w:rPr>
      </w:r>
      <w:r>
        <w:rPr/>
        <w:t>上述软件增值税税收优惠政策。</w:t>
      </w:r>
    </w:p>
    <w:p>
      <w:pPr>
        <w:pStyle w:val="BodyText"/>
        <w:spacing w:line="316" w:lineRule="auto" w:before="17"/>
        <w:ind w:right="210" w:firstLine="271"/>
        <w:jc w:val="both"/>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日，本公司取得了北京市科学技术委员会、北京市财政局、北京市国家税务局和北京市地方税务局联</w:t>
      </w:r>
      <w:r>
        <w:rPr/>
        <w:t> </w:t>
      </w:r>
      <w:r>
        <w:rPr>
          <w:spacing w:val="-5"/>
        </w:rPr>
        <w:t>合颁发的《高新技术企业证书》。根据《中华人民共和国企业所得税法》、《中华人民共和国企业所得税暂行条例》以及《高</w:t>
      </w:r>
      <w:r>
        <w:rPr>
          <w:spacing w:val="-76"/>
        </w:rPr>
        <w:t> </w:t>
      </w:r>
      <w:r>
        <w:rPr>
          <w:spacing w:val="-76"/>
        </w:rPr>
      </w:r>
      <w:r>
        <w:rPr/>
        <w:t>新技术企业认定管理办法》的相关规定，</w:t>
      </w:r>
      <w:r>
        <w:rPr>
          <w:rFonts w:ascii="宋体" w:hAnsi="宋体" w:cs="宋体" w:eastAsia="宋体" w:hint="default"/>
        </w:rPr>
        <w:t>2014</w:t>
      </w:r>
      <w:r>
        <w:rPr/>
        <w:t>年至</w:t>
      </w:r>
      <w:r>
        <w:rPr>
          <w:rFonts w:ascii="宋体" w:hAnsi="宋体" w:cs="宋体" w:eastAsia="宋体" w:hint="default"/>
        </w:rPr>
        <w:t>2016</w:t>
      </w:r>
      <w:r>
        <w:rPr/>
        <w:t>年本公司适用的企业所得税税率为</w:t>
      </w:r>
      <w:r>
        <w:rPr>
          <w:rFonts w:ascii="宋体" w:hAnsi="宋体" w:cs="宋体" w:eastAsia="宋体" w:hint="default"/>
        </w:rPr>
        <w:t>15%</w:t>
      </w:r>
      <w:r>
        <w:rPr/>
        <w:t>。</w:t>
      </w:r>
    </w:p>
    <w:p>
      <w:pPr>
        <w:pStyle w:val="BodyText"/>
        <w:spacing w:line="316" w:lineRule="auto" w:before="19"/>
        <w:ind w:right="212" w:firstLine="271"/>
        <w:jc w:val="both"/>
      </w:pPr>
      <w:r>
        <w:rPr/>
        <w:t>（</w:t>
      </w:r>
      <w:r>
        <w:rPr>
          <w:rFonts w:ascii="宋体" w:hAnsi="宋体" w:cs="宋体" w:eastAsia="宋体" w:hint="default"/>
        </w:rPr>
        <w:t>3</w:t>
      </w:r>
      <w:r>
        <w:rPr/>
        <w:t>）根据财政部、国家税务总局下发财税字</w:t>
      </w:r>
      <w:r>
        <w:rPr>
          <w:rFonts w:ascii="宋体" w:hAnsi="宋体" w:cs="宋体" w:eastAsia="宋体" w:hint="default"/>
        </w:rPr>
        <w:t>[1999]273</w:t>
      </w:r>
      <w:r>
        <w:rPr>
          <w:rFonts w:ascii="宋体" w:hAnsi="宋体" w:cs="宋体" w:eastAsia="宋体" w:hint="default"/>
          <w:spacing w:val="-6"/>
        </w:rPr>
        <w:t> </w:t>
      </w:r>
      <w:r>
        <w:rPr>
          <w:spacing w:val="-3"/>
        </w:rPr>
        <w:t>号文《关于贯彻落实〈中共中央、国务院关于加强技术创新，发</w:t>
      </w:r>
      <w:r>
        <w:rPr/>
        <w:t> </w:t>
      </w:r>
      <w:r>
        <w:rPr>
          <w:spacing w:val="-2"/>
        </w:rPr>
        <w:t>展高科技，实现产业化的决定〉有关税收问题的通知》，本公司从事技术转让、技术开发业务和与之相关的技术咨询、技术</w:t>
      </w:r>
      <w:r>
        <w:rPr>
          <w:spacing w:val="-70"/>
        </w:rPr>
        <w:t> </w:t>
      </w:r>
      <w:r>
        <w:rPr>
          <w:spacing w:val="-70"/>
        </w:rPr>
      </w:r>
      <w:r>
        <w:rPr/>
        <w:t>服务业务取得的收入，免征营业税。</w:t>
      </w:r>
    </w:p>
    <w:p>
      <w:pPr>
        <w:pStyle w:val="BodyText"/>
        <w:spacing w:line="319" w:lineRule="auto" w:before="19"/>
        <w:ind w:right="117" w:firstLine="271"/>
        <w:jc w:val="both"/>
      </w:pPr>
      <w:r>
        <w:rPr/>
        <w:t>（</w:t>
      </w:r>
      <w:r>
        <w:rPr>
          <w:rFonts w:ascii="宋体" w:hAnsi="宋体" w:cs="宋体" w:eastAsia="宋体" w:hint="default"/>
        </w:rPr>
        <w:t>4</w:t>
      </w:r>
      <w:r>
        <w:rPr/>
        <w:t>）根据《中华人民共和国企业所得税法》、《中华人民共和国企业所得税法实施条例》、《关于印发</w:t>
      </w:r>
      <w:r>
        <w:rPr>
          <w:rFonts w:ascii="宋体" w:hAnsi="宋体" w:cs="宋体" w:eastAsia="宋体" w:hint="default"/>
        </w:rPr>
        <w:t>&lt;</w:t>
      </w:r>
      <w:r>
        <w:rPr/>
        <w:t>高新技术企业 </w:t>
      </w:r>
      <w:r>
        <w:rPr>
          <w:spacing w:val="-5"/>
        </w:rPr>
        <w:t>管理办法</w:t>
      </w:r>
      <w:r>
        <w:rPr>
          <w:rFonts w:ascii="宋体" w:hAnsi="宋体" w:cs="宋体" w:eastAsia="宋体" w:hint="default"/>
          <w:spacing w:val="-5"/>
        </w:rPr>
        <w:t>&gt;</w:t>
      </w:r>
      <w:r>
        <w:rPr>
          <w:spacing w:val="-5"/>
        </w:rPr>
        <w:t>的通知》（国科发火</w:t>
      </w:r>
      <w:r>
        <w:rPr>
          <w:rFonts w:ascii="宋体" w:hAnsi="宋体" w:cs="宋体" w:eastAsia="宋体" w:hint="default"/>
          <w:spacing w:val="-5"/>
        </w:rPr>
        <w:t>[2008]172</w:t>
      </w:r>
      <w:r>
        <w:rPr>
          <w:spacing w:val="-5"/>
        </w:rPr>
        <w:t>号）、《关于印发</w:t>
      </w:r>
      <w:r>
        <w:rPr>
          <w:rFonts w:ascii="宋体" w:hAnsi="宋体" w:cs="宋体" w:eastAsia="宋体" w:hint="default"/>
          <w:spacing w:val="-5"/>
        </w:rPr>
        <w:t>&lt;</w:t>
      </w:r>
      <w:r>
        <w:rPr>
          <w:spacing w:val="-5"/>
        </w:rPr>
        <w:t>高新技术企业管理工作指引</w:t>
      </w:r>
      <w:r>
        <w:rPr>
          <w:rFonts w:ascii="宋体" w:hAnsi="宋体" w:cs="宋体" w:eastAsia="宋体" w:hint="default"/>
          <w:spacing w:val="-5"/>
        </w:rPr>
        <w:t>&gt;</w:t>
      </w:r>
      <w:r>
        <w:rPr>
          <w:spacing w:val="-5"/>
        </w:rPr>
        <w:t>的通知》（国科发火</w:t>
      </w:r>
      <w:r>
        <w:rPr>
          <w:rFonts w:ascii="宋体" w:hAnsi="宋体" w:cs="宋体" w:eastAsia="宋体" w:hint="default"/>
          <w:spacing w:val="-5"/>
        </w:rPr>
        <w:t>[2008]362</w:t>
      </w:r>
      <w:r>
        <w:rPr>
          <w:spacing w:val="-5"/>
        </w:rPr>
        <w:t>号）、</w:t>
      </w:r>
    </w:p>
    <w:p>
      <w:pPr>
        <w:pStyle w:val="BodyText"/>
        <w:spacing w:line="240" w:lineRule="auto" w:before="17"/>
        <w:ind w:right="110"/>
        <w:jc w:val="left"/>
      </w:pPr>
      <w:r>
        <w:rPr/>
        <w:t>《关于印发</w:t>
      </w:r>
      <w:r>
        <w:rPr>
          <w:rFonts w:ascii="宋体" w:hAnsi="宋体" w:cs="宋体" w:eastAsia="宋体" w:hint="default"/>
        </w:rPr>
        <w:t>&lt;</w:t>
      </w:r>
      <w:r>
        <w:rPr/>
        <w:t>上海是高新技术企业认定管理实施办法</w:t>
      </w:r>
      <w:r>
        <w:rPr>
          <w:rFonts w:ascii="宋体" w:hAnsi="宋体" w:cs="宋体" w:eastAsia="宋体" w:hint="default"/>
        </w:rPr>
        <w:t>&gt;</w:t>
      </w:r>
      <w:r>
        <w:rPr/>
        <w:t>的通知》（沪科合</w:t>
      </w:r>
      <w:r>
        <w:rPr>
          <w:rFonts w:ascii="宋体" w:hAnsi="宋体" w:cs="宋体" w:eastAsia="宋体" w:hint="default"/>
        </w:rPr>
        <w:t>[2008]</w:t>
      </w:r>
      <w:r>
        <w:rPr/>
        <w:t>第</w:t>
      </w:r>
      <w:r>
        <w:rPr>
          <w:rFonts w:ascii="宋体" w:hAnsi="宋体" w:cs="宋体" w:eastAsia="宋体" w:hint="default"/>
        </w:rPr>
        <w:t>025</w:t>
      </w:r>
      <w:r>
        <w:rPr/>
        <w:t>号）规定，允许上海北信源信息技术有</w:t>
      </w:r>
    </w:p>
    <w:p>
      <w:pPr>
        <w:spacing w:after="0" w:line="240" w:lineRule="auto"/>
        <w:jc w:val="left"/>
        <w:sectPr>
          <w:pgSz w:w="11910" w:h="16840"/>
          <w:pgMar w:header="781" w:footer="979" w:top="1080" w:bottom="1160" w:left="980" w:right="920"/>
        </w:sectPr>
      </w:pPr>
    </w:p>
    <w:p>
      <w:pPr>
        <w:spacing w:line="240" w:lineRule="auto" w:before="10"/>
        <w:rPr>
          <w:rFonts w:ascii="宋体" w:hAnsi="宋体" w:cs="宋体" w:eastAsia="宋体" w:hint="default"/>
          <w:sz w:val="23"/>
          <w:szCs w:val="23"/>
        </w:rPr>
      </w:pPr>
    </w:p>
    <w:p>
      <w:pPr>
        <w:pStyle w:val="BodyText"/>
        <w:spacing w:line="240" w:lineRule="auto" w:before="44"/>
        <w:ind w:right="110"/>
        <w:jc w:val="left"/>
      </w:pPr>
      <w:r>
        <w:rPr/>
        <w:t>限公司自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日企业所得税减按</w:t>
      </w:r>
      <w:r>
        <w:rPr>
          <w:rFonts w:ascii="宋体" w:hAnsi="宋体" w:cs="宋体" w:eastAsia="宋体" w:hint="default"/>
        </w:rPr>
        <w:t>15%</w:t>
      </w:r>
      <w:r>
        <w:rPr/>
        <w:t>税率征收。</w:t>
      </w:r>
    </w:p>
    <w:p>
      <w:pPr>
        <w:pStyle w:val="BodyText"/>
        <w:spacing w:line="316" w:lineRule="auto" w:before="76"/>
        <w:ind w:right="117" w:firstLine="271"/>
        <w:jc w:val="both"/>
      </w:pPr>
      <w:r>
        <w:rPr/>
        <w:t>（</w:t>
      </w:r>
      <w:r>
        <w:rPr>
          <w:rFonts w:ascii="宋体" w:hAnsi="宋体" w:cs="宋体" w:eastAsia="宋体" w:hint="default"/>
        </w:rPr>
        <w:t>5</w:t>
      </w:r>
      <w:r>
        <w:rPr/>
        <w:t>）</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5</w:t>
      </w:r>
      <w:r>
        <w:rPr/>
        <w:t>日，北京中软华泰信息技术有限责任公司取得了北京市科学技术委员会、北京市财政局、北京市国家 </w:t>
      </w:r>
      <w:r>
        <w:rPr>
          <w:spacing w:val="-2"/>
        </w:rPr>
        <w:t>税务局和北京市地方税务局联合颁发的《高新技术企业证书》。根据《中华人民共和国企业所得税法》、《中华人民共和国</w:t>
      </w:r>
      <w:r>
        <w:rPr>
          <w:spacing w:val="-71"/>
        </w:rPr>
        <w:t> </w:t>
      </w:r>
      <w:r>
        <w:rPr>
          <w:spacing w:val="-71"/>
        </w:rPr>
      </w:r>
      <w:r>
        <w:rPr>
          <w:spacing w:val="-5"/>
        </w:rPr>
        <w:t>企业所得税暂行条例》以及《高新技术企业认定管理办法》的相关规定，</w:t>
      </w:r>
      <w:r>
        <w:rPr>
          <w:rFonts w:ascii="宋体" w:hAnsi="宋体" w:cs="宋体" w:eastAsia="宋体" w:hint="default"/>
          <w:spacing w:val="-5"/>
        </w:rPr>
        <w:t>2014</w:t>
      </w:r>
      <w:r>
        <w:rPr>
          <w:spacing w:val="-5"/>
        </w:rPr>
        <w:t>年至</w:t>
      </w:r>
      <w:r>
        <w:rPr>
          <w:rFonts w:ascii="宋体" w:hAnsi="宋体" w:cs="宋体" w:eastAsia="宋体" w:hint="default"/>
          <w:spacing w:val="-5"/>
        </w:rPr>
        <w:t>2015</w:t>
      </w:r>
      <w:r>
        <w:rPr>
          <w:spacing w:val="-5"/>
        </w:rPr>
        <w:t>年本公司适用的企业所得税税率为</w:t>
      </w:r>
      <w:r>
        <w:rPr>
          <w:rFonts w:ascii="宋体" w:hAnsi="宋体" w:cs="宋体" w:eastAsia="宋体" w:hint="default"/>
          <w:spacing w:val="-5"/>
        </w:rPr>
        <w:t>15%</w:t>
      </w:r>
      <w:r>
        <w:rPr>
          <w:spacing w:val="-5"/>
        </w:rPr>
        <w:t>。</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spacing w:line="376" w:lineRule="auto" w:before="0"/>
        <w:ind w:left="152" w:right="69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pStyle w:val="BodyText"/>
        <w:spacing w:line="240" w:lineRule="auto" w:before="177"/>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111,745.26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55,155.21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218,417,569.03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303,836,861.28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717,300.00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613,000.00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219,246,614.29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304,505,016.49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5,070,561.08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7,406,117.78</w:t>
            </w:r>
          </w:p>
        </w:tc>
      </w:tr>
    </w:tbl>
    <w:p>
      <w:pPr>
        <w:spacing w:line="240" w:lineRule="auto" w:before="3"/>
        <w:rPr>
          <w:rFonts w:ascii="宋体" w:hAnsi="宋体" w:cs="宋体" w:eastAsia="宋体" w:hint="default"/>
          <w:sz w:val="19"/>
          <w:szCs w:val="19"/>
        </w:rPr>
      </w:pPr>
    </w:p>
    <w:p>
      <w:pPr>
        <w:pStyle w:val="Heading3"/>
        <w:spacing w:line="335" w:lineRule="exact"/>
        <w:ind w:right="11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1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10"/>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11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1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1,065,197.00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2,413,900.00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280,950.60</w:t>
            </w:r>
          </w:p>
        </w:tc>
      </w:tr>
    </w:tbl>
    <w:p>
      <w:pPr>
        <w:spacing w:line="240" w:lineRule="auto" w:before="3"/>
        <w:rPr>
          <w:rFonts w:ascii="宋体" w:hAnsi="宋体" w:cs="宋体" w:eastAsia="宋体" w:hint="default"/>
          <w:sz w:val="19"/>
          <w:szCs w:val="19"/>
        </w:rPr>
      </w:pPr>
    </w:p>
    <w:p>
      <w:pPr>
        <w:pStyle w:val="Heading3"/>
        <w:spacing w:line="335" w:lineRule="exact"/>
        <w:ind w:right="11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1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21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39"/>
        <w:gridCol w:w="4095"/>
      </w:tblGrid>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2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40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533,267</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,051.58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99.98%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77,463,</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422.61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14.53%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455,803,</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628.97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407,77</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8,838.</w:t>
            </w:r>
          </w:p>
          <w:p>
            <w:pPr>
              <w:pStyle w:val="TableParagraph"/>
              <w:spacing w:line="240" w:lineRule="auto" w:before="76"/>
              <w:ind w:right="17"/>
              <w:jc w:val="right"/>
              <w:rPr>
                <w:rFonts w:ascii="宋体" w:hAnsi="宋体" w:cs="宋体" w:eastAsia="宋体" w:hint="default"/>
                <w:sz w:val="18"/>
                <w:szCs w:val="18"/>
              </w:rPr>
            </w:pPr>
            <w:r>
              <w:rPr>
                <w:rFonts w:ascii="宋体"/>
                <w:sz w:val="18"/>
              </w:rPr>
              <w:t>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 w:right="0"/>
              <w:jc w:val="center"/>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47,818,1</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92.36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11.73%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359,960,6</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46.14</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115,000</w:t>
            </w:r>
          </w:p>
          <w:p>
            <w:pPr>
              <w:pStyle w:val="TableParagraph"/>
              <w:spacing w:line="240" w:lineRule="auto" w:before="74"/>
              <w:ind w:left="460" w:right="0"/>
              <w:jc w:val="left"/>
              <w:rPr>
                <w:rFonts w:ascii="宋体" w:hAnsi="宋体" w:cs="宋体" w:eastAsia="宋体" w:hint="default"/>
                <w:sz w:val="18"/>
                <w:szCs w:val="18"/>
              </w:rPr>
            </w:pPr>
            <w:r>
              <w:rPr>
                <w:rFonts w:ascii="宋体"/>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0.02%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115,000</w:t>
            </w:r>
          </w:p>
          <w:p>
            <w:pPr>
              <w:pStyle w:val="TableParagraph"/>
              <w:spacing w:line="240" w:lineRule="auto" w:before="74"/>
              <w:ind w:left="458" w:right="0"/>
              <w:jc w:val="left"/>
              <w:rPr>
                <w:rFonts w:ascii="宋体" w:hAnsi="宋体" w:cs="宋体" w:eastAsia="宋体" w:hint="default"/>
                <w:sz w:val="18"/>
                <w:szCs w:val="18"/>
              </w:rPr>
            </w:pPr>
            <w:r>
              <w:rPr>
                <w:rFonts w:ascii="宋体"/>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533,382</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,051.58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77,578,</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422.61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14.54%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455,803,</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628.97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407,77</w:t>
            </w:r>
          </w:p>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8,838.</w:t>
            </w:r>
          </w:p>
          <w:p>
            <w:pPr>
              <w:pStyle w:val="TableParagraph"/>
              <w:spacing w:line="240" w:lineRule="auto" w:before="76"/>
              <w:ind w:right="17"/>
              <w:jc w:val="right"/>
              <w:rPr>
                <w:rFonts w:ascii="宋体" w:hAnsi="宋体" w:cs="宋体" w:eastAsia="宋体" w:hint="default"/>
                <w:sz w:val="18"/>
                <w:szCs w:val="18"/>
              </w:rPr>
            </w:pPr>
            <w:r>
              <w:rPr>
                <w:rFonts w:ascii="宋体"/>
                <w:sz w:val="18"/>
              </w:rPr>
              <w:t>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7" w:right="0"/>
              <w:jc w:val="center"/>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47,818,1</w:t>
            </w:r>
          </w:p>
          <w:p>
            <w:pPr>
              <w:pStyle w:val="TableParagraph"/>
              <w:spacing w:line="240" w:lineRule="auto" w:before="76"/>
              <w:ind w:left="331" w:right="0"/>
              <w:jc w:val="left"/>
              <w:rPr>
                <w:rFonts w:ascii="宋体" w:hAnsi="宋体" w:cs="宋体" w:eastAsia="宋体" w:hint="default"/>
                <w:sz w:val="18"/>
                <w:szCs w:val="18"/>
              </w:rPr>
            </w:pPr>
            <w:r>
              <w:rPr>
                <w:rFonts w:ascii="宋体"/>
                <w:sz w:val="18"/>
              </w:rPr>
              <w:t>92.36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11.73%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359,960,6</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46.14</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60" w:lineRule="auto" w:before="115"/>
        <w:ind w:right="160"/>
        <w:jc w:val="left"/>
      </w:pPr>
      <w:r>
        <w:rPr/>
        <w:t>□ 适用 √</w:t>
      </w:r>
      <w:r>
        <w:rPr>
          <w:spacing w:val="3"/>
        </w:rPr>
        <w:t> </w:t>
      </w:r>
      <w:r>
        <w:rPr/>
        <w:t>不适用</w:t>
      </w:r>
      <w:r>
        <w:rPr/>
        <w:t> 组合中，按账龄分析法计提坏账准备的应收账款：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8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278,520,974.44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13,926,048.71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278,520,974.44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13,926,048.71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134,517,944.99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13,451,794.50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80,052,803.94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24,015,841.18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40,175,328.21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26,069,738.22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23,211,034.11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11,605,517.06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12,500,364.70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10,000,291.76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4,463,929.40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4,463,929.40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533,267,051.58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77,463,422.61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14.53%</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240" w:lineRule="auto" w:before="29"/>
        <w:ind w:right="3012"/>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本期计提坏账准备金额</w:t>
      </w:r>
      <w:r>
        <w:rPr>
          <w:spacing w:val="-47"/>
        </w:rPr>
        <w:t> </w:t>
      </w:r>
      <w:r>
        <w:rPr>
          <w:rFonts w:ascii="宋体" w:hAnsi="宋体" w:cs="宋体" w:eastAsia="宋体" w:hint="default"/>
        </w:rPr>
        <w:t>29,179,199.22</w:t>
      </w:r>
      <w:r>
        <w:rPr>
          <w:rFonts w:ascii="宋体" w:hAnsi="宋体" w:cs="宋体" w:eastAsia="宋体" w:hint="default"/>
          <w:spacing w:val="-45"/>
        </w:rPr>
        <w:t> </w:t>
      </w:r>
      <w:r>
        <w:rPr/>
        <w:t>元；本期收回或转回坏账准备金额</w:t>
      </w:r>
      <w:r>
        <w:rPr>
          <w:spacing w:val="-48"/>
        </w:rPr>
        <w:t> </w:t>
      </w:r>
      <w:r>
        <w:rPr>
          <w:rFonts w:ascii="宋体" w:hAnsi="宋体" w:cs="宋体" w:eastAsia="宋体" w:hint="default"/>
        </w:rPr>
        <w:t>0.00</w:t>
      </w:r>
      <w:r>
        <w:rPr>
          <w:rFonts w:ascii="宋体" w:hAnsi="宋体" w:cs="宋体" w:eastAsia="宋体" w:hint="default"/>
          <w:spacing w:val="-46"/>
        </w:rPr>
        <w:t> </w:t>
      </w:r>
      <w:r>
        <w:rPr/>
        <w:t>元。</w:t>
      </w:r>
    </w:p>
    <w:p>
      <w:pPr>
        <w:spacing w:after="0" w:line="240" w:lineRule="auto"/>
        <w:jc w:val="left"/>
        <w:sectPr>
          <w:type w:val="continuous"/>
          <w:pgSz w:w="11910" w:h="16840"/>
          <w:pgMar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44" w:firstLine="360"/>
        <w:jc w:val="left"/>
      </w:pPr>
      <w:r>
        <w:rPr/>
        <w:t>本公司本年按欠款方归集的年末余额前五名应收账款汇总金额为</w:t>
      </w:r>
      <w:r>
        <w:rPr>
          <w:rFonts w:ascii="宋体" w:hAnsi="宋体" w:cs="宋体" w:eastAsia="宋体" w:hint="default"/>
        </w:rPr>
        <w:t>84,566,407.41</w:t>
      </w:r>
      <w:r>
        <w:rPr/>
        <w:t>元，占应收账款年末余额合计数的比例 为</w:t>
      </w:r>
      <w:r>
        <w:rPr>
          <w:rFonts w:ascii="宋体" w:hAnsi="宋体" w:cs="宋体" w:eastAsia="宋体" w:hint="default"/>
        </w:rPr>
        <w:t>15.85%</w:t>
      </w:r>
      <w:r>
        <w:rPr/>
        <w:t>，相应计提的坏账准备年末余额汇总金额为</w:t>
      </w:r>
      <w:r>
        <w:rPr>
          <w:rFonts w:ascii="宋体" w:hAnsi="宋体" w:cs="宋体" w:eastAsia="宋体" w:hint="default"/>
        </w:rPr>
        <w:t>8,639,975.65</w:t>
      </w:r>
      <w:r>
        <w:rPr/>
        <w:t>元。</w:t>
      </w:r>
    </w:p>
    <w:p>
      <w:pPr>
        <w:spacing w:line="240" w:lineRule="auto" w:before="9"/>
        <w:rPr>
          <w:rFonts w:ascii="宋体" w:hAnsi="宋体" w:cs="宋体" w:eastAsia="宋体" w:hint="default"/>
          <w:sz w:val="17"/>
          <w:szCs w:val="17"/>
        </w:rPr>
      </w:pPr>
    </w:p>
    <w:p>
      <w:pPr>
        <w:pStyle w:val="Heading3"/>
        <w:spacing w:line="240" w:lineRule="auto"/>
        <w:ind w:right="3012"/>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4,858,575.52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5,327,213.11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2,191,037.23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3,336,454.58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33.52%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2,834,420.57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528,480.00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9,884,033.32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9,952,397.69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594"/>
        <w:jc w:val="left"/>
      </w:pPr>
      <w:r>
        <w:rPr/>
        <w:t>本公司按预付对象归集的年末余额前五名预付账款汇总金额为</w:t>
      </w:r>
      <w:r>
        <w:rPr>
          <w:rFonts w:ascii="宋体" w:hAnsi="宋体" w:cs="宋体" w:eastAsia="宋体" w:hint="default"/>
        </w:rPr>
        <w:t>3,777,250.75</w:t>
      </w:r>
      <w:r>
        <w:rPr/>
        <w:t>元，占预付账款年末余额合计数的比例为 </w:t>
      </w:r>
      <w:r>
        <w:rPr>
          <w:rFonts w:ascii="宋体" w:hAnsi="宋体" w:cs="宋体" w:eastAsia="宋体" w:hint="default"/>
        </w:rPr>
        <w:t>38.22%</w:t>
      </w:r>
      <w:r>
        <w:rPr/>
        <w:t>。</w:t>
      </w:r>
    </w:p>
    <w:p>
      <w:pPr>
        <w:spacing w:after="0" w:line="316" w:lineRule="auto"/>
        <w:jc w:val="left"/>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9,004,5</w:t>
            </w:r>
          </w:p>
          <w:p>
            <w:pPr>
              <w:pStyle w:val="TableParagraph"/>
              <w:spacing w:line="240" w:lineRule="auto" w:before="74"/>
              <w:ind w:left="259" w:right="0"/>
              <w:jc w:val="center"/>
              <w:rPr>
                <w:rFonts w:ascii="宋体" w:hAnsi="宋体" w:cs="宋体" w:eastAsia="宋体" w:hint="default"/>
                <w:sz w:val="18"/>
                <w:szCs w:val="18"/>
              </w:rPr>
            </w:pPr>
            <w:r>
              <w:rPr>
                <w:rFonts w:ascii="宋体"/>
                <w:sz w:val="18"/>
              </w:rPr>
              <w:t>74.90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1,502,1</w:t>
            </w:r>
          </w:p>
          <w:p>
            <w:pPr>
              <w:pStyle w:val="TableParagraph"/>
              <w:spacing w:line="240" w:lineRule="auto" w:before="74"/>
              <w:ind w:left="255" w:right="0"/>
              <w:jc w:val="center"/>
              <w:rPr>
                <w:rFonts w:ascii="宋体" w:hAnsi="宋体" w:cs="宋体" w:eastAsia="宋体" w:hint="default"/>
                <w:sz w:val="18"/>
                <w:szCs w:val="18"/>
              </w:rPr>
            </w:pPr>
            <w:r>
              <w:rPr>
                <w:rFonts w:ascii="宋体"/>
                <w:sz w:val="18"/>
              </w:rPr>
              <w:t>94.72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16.68%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7,502,38</w:t>
            </w:r>
          </w:p>
          <w:p>
            <w:pPr>
              <w:pStyle w:val="TableParagraph"/>
              <w:spacing w:line="240" w:lineRule="auto" w:before="74"/>
              <w:ind w:left="395" w:right="0"/>
              <w:jc w:val="left"/>
              <w:rPr>
                <w:rFonts w:ascii="宋体" w:hAnsi="宋体" w:cs="宋体" w:eastAsia="宋体" w:hint="default"/>
                <w:sz w:val="18"/>
                <w:szCs w:val="18"/>
              </w:rPr>
            </w:pPr>
            <w:r>
              <w:rPr>
                <w:rFonts w:ascii="宋体"/>
                <w:sz w:val="18"/>
              </w:rPr>
              <w:t>0.18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11,861</w:t>
            </w:r>
          </w:p>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,169.4</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7" w:right="0"/>
              <w:jc w:val="center"/>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1,760,98</w:t>
            </w:r>
          </w:p>
          <w:p>
            <w:pPr>
              <w:pStyle w:val="TableParagraph"/>
              <w:spacing w:line="240" w:lineRule="auto" w:before="74"/>
              <w:ind w:left="422" w:right="0"/>
              <w:jc w:val="left"/>
              <w:rPr>
                <w:rFonts w:ascii="宋体" w:hAnsi="宋体" w:cs="宋体" w:eastAsia="宋体" w:hint="default"/>
                <w:sz w:val="18"/>
                <w:szCs w:val="18"/>
              </w:rPr>
            </w:pPr>
            <w:r>
              <w:rPr>
                <w:rFonts w:ascii="宋体"/>
                <w:sz w:val="18"/>
              </w:rPr>
              <w:t>0.49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14.85%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10,100,18</w:t>
            </w:r>
          </w:p>
          <w:p>
            <w:pPr>
              <w:pStyle w:val="TableParagraph"/>
              <w:spacing w:line="240" w:lineRule="auto" w:before="74"/>
              <w:ind w:left="540" w:right="0"/>
              <w:jc w:val="left"/>
              <w:rPr>
                <w:rFonts w:ascii="宋体" w:hAnsi="宋体" w:cs="宋体" w:eastAsia="宋体" w:hint="default"/>
                <w:sz w:val="18"/>
                <w:szCs w:val="18"/>
              </w:rPr>
            </w:pPr>
            <w:r>
              <w:rPr>
                <w:rFonts w:ascii="宋体"/>
                <w:sz w:val="18"/>
              </w:rPr>
              <w:t>8.98</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9,004,5</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74.90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6"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1,502,1</w:t>
            </w:r>
          </w:p>
          <w:p>
            <w:pPr>
              <w:pStyle w:val="TableParagraph"/>
              <w:spacing w:line="240" w:lineRule="auto" w:before="76"/>
              <w:ind w:left="255" w:right="0"/>
              <w:jc w:val="center"/>
              <w:rPr>
                <w:rFonts w:ascii="宋体" w:hAnsi="宋体" w:cs="宋体" w:eastAsia="宋体" w:hint="default"/>
                <w:sz w:val="18"/>
                <w:szCs w:val="18"/>
              </w:rPr>
            </w:pPr>
            <w:r>
              <w:rPr>
                <w:rFonts w:ascii="宋体"/>
                <w:sz w:val="18"/>
              </w:rPr>
              <w:t>94.72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16.68%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7,502,38</w:t>
            </w:r>
          </w:p>
          <w:p>
            <w:pPr>
              <w:pStyle w:val="TableParagraph"/>
              <w:spacing w:line="240" w:lineRule="auto" w:before="76"/>
              <w:ind w:left="395" w:right="0"/>
              <w:jc w:val="left"/>
              <w:rPr>
                <w:rFonts w:ascii="宋体" w:hAnsi="宋体" w:cs="宋体" w:eastAsia="宋体" w:hint="default"/>
                <w:sz w:val="18"/>
                <w:szCs w:val="18"/>
              </w:rPr>
            </w:pPr>
            <w:r>
              <w:rPr>
                <w:rFonts w:ascii="宋体"/>
                <w:sz w:val="18"/>
              </w:rPr>
              <w:t>0.18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11,861</w:t>
            </w:r>
          </w:p>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,169.4</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7" w:right="0"/>
              <w:jc w:val="center"/>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1,760,98</w:t>
            </w:r>
          </w:p>
          <w:p>
            <w:pPr>
              <w:pStyle w:val="TableParagraph"/>
              <w:spacing w:line="240" w:lineRule="auto" w:before="76"/>
              <w:ind w:left="422" w:right="0"/>
              <w:jc w:val="left"/>
              <w:rPr>
                <w:rFonts w:ascii="宋体" w:hAnsi="宋体" w:cs="宋体" w:eastAsia="宋体" w:hint="default"/>
                <w:sz w:val="18"/>
                <w:szCs w:val="18"/>
              </w:rPr>
            </w:pPr>
            <w:r>
              <w:rPr>
                <w:rFonts w:ascii="宋体"/>
                <w:sz w:val="18"/>
              </w:rPr>
              <w:t>0.49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14.85%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10,100,18</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8.98</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60" w:lineRule="auto" w:before="115"/>
        <w:ind w:right="160"/>
        <w:jc w:val="left"/>
      </w:pPr>
      <w:r>
        <w:rPr/>
        <w:t>□ 适用 √</w:t>
      </w:r>
      <w:r>
        <w:rPr>
          <w:spacing w:val="3"/>
        </w:rPr>
        <w:t> </w:t>
      </w:r>
      <w:r>
        <w:rPr/>
        <w:t>不适用</w:t>
      </w:r>
      <w:r>
        <w:rPr/>
        <w:t> 组合中，按账龄分析法计提坏账准备的其他应收款：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8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4,983,927.19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249,196.36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4,983,927.19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249,196.36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2,020,999.03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202,099.90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894,642.91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268,392.87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1,105,005.77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782,505.59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16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454,135.98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227,067.98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477,160.89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381,728.71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173,708.90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173,708.90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9,004,574.90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1,502,194.72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16.68%</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60" w:lineRule="auto" w:before="29"/>
        <w:ind w:right="5634"/>
        <w:jc w:val="left"/>
      </w:pPr>
      <w:r>
        <w:rPr/>
        <w:t>□ 适用 √</w:t>
      </w:r>
      <w:r>
        <w:rPr>
          <w:spacing w:val="3"/>
        </w:rPr>
        <w:t> </w:t>
      </w:r>
      <w:r>
        <w:rPr/>
        <w:t>不适用</w:t>
      </w:r>
      <w:r>
        <w:rPr/>
        <w:t> 组合中，采用其他方法计提坏账准备的其他应收款：</w:t>
      </w:r>
    </w:p>
    <w:p>
      <w:pPr>
        <w:pStyle w:val="BodyText"/>
        <w:spacing w:line="240" w:lineRule="auto" w:before="25"/>
        <w:ind w:right="3012"/>
        <w:jc w:val="left"/>
      </w:pPr>
      <w:r>
        <w:rPr/>
        <w:t>□ 适用 √</w:t>
      </w:r>
      <w:r>
        <w:rPr>
          <w:spacing w:val="3"/>
        </w:rPr>
        <w:t> </w:t>
      </w:r>
      <w:r>
        <w:rPr/>
        <w:t>不适用</w:t>
      </w:r>
    </w:p>
    <w:p>
      <w:pPr>
        <w:spacing w:line="240" w:lineRule="auto" w:before="2"/>
        <w:rPr>
          <w:rFonts w:ascii="宋体" w:hAnsi="宋体" w:cs="宋体" w:eastAsia="宋体" w:hint="default"/>
          <w:sz w:val="22"/>
          <w:szCs w:val="22"/>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本期计提坏账准备金额</w:t>
      </w:r>
      <w:r>
        <w:rPr>
          <w:spacing w:val="-46"/>
        </w:rPr>
        <w:t> </w:t>
      </w:r>
      <w:r>
        <w:rPr>
          <w:rFonts w:ascii="宋体" w:hAnsi="宋体" w:cs="宋体" w:eastAsia="宋体" w:hint="default"/>
        </w:rPr>
        <w:t>0.00</w:t>
      </w:r>
      <w:r>
        <w:rPr>
          <w:rFonts w:ascii="宋体" w:hAnsi="宋体" w:cs="宋体" w:eastAsia="宋体" w:hint="default"/>
          <w:spacing w:val="-45"/>
        </w:rPr>
        <w:t> </w:t>
      </w:r>
      <w:r>
        <w:rPr/>
        <w:t>元；本期收回或转回坏账准备金额</w:t>
      </w:r>
      <w:r>
        <w:rPr>
          <w:spacing w:val="-46"/>
        </w:rPr>
        <w:t> </w:t>
      </w:r>
      <w:r>
        <w:rPr>
          <w:rFonts w:ascii="宋体" w:hAnsi="宋体" w:cs="宋体" w:eastAsia="宋体" w:hint="default"/>
        </w:rPr>
        <w:t>325,124.01</w:t>
      </w:r>
      <w:r>
        <w:rPr>
          <w:rFonts w:ascii="宋体" w:hAnsi="宋体" w:cs="宋体" w:eastAsia="宋体" w:hint="default"/>
          <w:spacing w:val="-44"/>
        </w:rPr>
        <w:t> </w:t>
      </w:r>
      <w:r>
        <w:rPr/>
        <w:t>元。</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应收政府补助款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应收日常经营款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9,004,574.90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8,971,169.47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9,004,574.90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11,861,169.47</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长春吉大正元信息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85,850.00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国网国际招标有限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北京北岳伟业数码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14,300.00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上海铁路公安局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176,160.00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8,808.00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广东省信息工程有 限公司江苏分公司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156,443.00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15,644.30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1,631,103.00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284,602.30</w:t>
            </w:r>
          </w:p>
        </w:tc>
      </w:tr>
    </w:tbl>
    <w:p>
      <w:pPr>
        <w:spacing w:after="0" w:line="240" w:lineRule="auto"/>
        <w:jc w:val="right"/>
        <w:rPr>
          <w:rFonts w:ascii="宋体" w:hAnsi="宋体" w:cs="宋体" w:eastAsia="宋体" w:hint="default"/>
          <w:sz w:val="18"/>
          <w:szCs w:val="18"/>
        </w:rPr>
        <w:sectPr>
          <w:footerReference w:type="default" r:id="rId24"/>
          <w:pgSz w:w="11910" w:h="16840"/>
          <w:pgMar w:footer="979" w:header="781" w:top="1080" w:bottom="1160" w:left="980" w:right="980"/>
          <w:pgNumType w:start="12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6" w:right="0"/>
              <w:jc w:val="left"/>
              <w:rPr>
                <w:rFonts w:ascii="宋体" w:hAnsi="宋体" w:cs="宋体" w:eastAsia="宋体" w:hint="default"/>
                <w:sz w:val="18"/>
                <w:szCs w:val="18"/>
              </w:rPr>
            </w:pPr>
            <w:r>
              <w:rPr>
                <w:rFonts w:ascii="宋体"/>
                <w:sz w:val="18"/>
              </w:rPr>
              <w:t>1,651,392.29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1,651,392.29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4,442,411.75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4,442,411.75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6" w:right="0"/>
              <w:jc w:val="left"/>
              <w:rPr>
                <w:rFonts w:ascii="宋体" w:hAnsi="宋体" w:cs="宋体" w:eastAsia="宋体" w:hint="default"/>
                <w:sz w:val="18"/>
                <w:szCs w:val="18"/>
              </w:rPr>
            </w:pPr>
            <w:r>
              <w:rPr>
                <w:rFonts w:ascii="宋体"/>
                <w:sz w:val="18"/>
              </w:rPr>
              <w:t>8,346,206.23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8,346,206.23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5,805,661.27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5,805,661.27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6" w:right="0"/>
              <w:jc w:val="left"/>
              <w:rPr>
                <w:rFonts w:ascii="宋体" w:hAnsi="宋体" w:cs="宋体" w:eastAsia="宋体" w:hint="default"/>
                <w:sz w:val="18"/>
                <w:szCs w:val="18"/>
              </w:rPr>
            </w:pPr>
            <w:r>
              <w:rPr>
                <w:rFonts w:ascii="宋体"/>
                <w:sz w:val="18"/>
              </w:rPr>
              <w:t>9,997,598.52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9,997,598.52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10,248,073.02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10,248,073.02</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91,716.29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91,716.29</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6,055,592.57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4,390,282.55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6,055,592.57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4,390,282.55</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28,383,735.0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sz w:val="18"/>
              </w:rPr>
              <w:t>204,617.24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28,179,117.7</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10,000,000.00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10,000,000.00</w:t>
            </w:r>
          </w:p>
        </w:tc>
      </w:tr>
      <w:tr>
        <w:trPr>
          <w:trHeight w:val="71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28,383,735.0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sz w:val="18"/>
              </w:rPr>
              <w:t>204,617.24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28,179,117.7</w:t>
            </w:r>
          </w:p>
          <w:p>
            <w:pPr>
              <w:pStyle w:val="TableParagraph"/>
              <w:spacing w:line="240" w:lineRule="auto" w:before="77"/>
              <w:ind w:right="20"/>
              <w:jc w:val="right"/>
              <w:rPr>
                <w:rFonts w:ascii="宋体" w:hAnsi="宋体" w:cs="宋体" w:eastAsia="宋体" w:hint="default"/>
                <w:sz w:val="18"/>
                <w:szCs w:val="18"/>
              </w:rPr>
            </w:pPr>
            <w:r>
              <w:rPr>
                <w:rFonts w:ascii="宋体"/>
                <w:sz w:val="18"/>
              </w:rPr>
              <w:t>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10,000,000.00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10,000,000.00</w:t>
            </w:r>
          </w:p>
        </w:tc>
      </w:tr>
      <w:tr>
        <w:trPr>
          <w:trHeight w:val="71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28,383,735.0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sz w:val="18"/>
              </w:rPr>
              <w:t>204,617.24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28,179,117.7</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10,000,000.00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10,000,000.00</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588"/>
        <w:gridCol w:w="1226"/>
        <w:gridCol w:w="1227"/>
        <w:gridCol w:w="1135"/>
        <w:gridCol w:w="1227"/>
        <w:gridCol w:w="595"/>
        <w:gridCol w:w="955"/>
        <w:gridCol w:w="595"/>
        <w:gridCol w:w="958"/>
        <w:gridCol w:w="595"/>
        <w:gridCol w:w="595"/>
      </w:tblGrid>
      <w:tr>
        <w:trPr>
          <w:trHeight w:val="404" w:hRule="exact"/>
        </w:trPr>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8"/>
              <w:jc w:val="both"/>
              <w:rPr>
                <w:rFonts w:ascii="宋体" w:hAnsi="宋体" w:cs="宋体" w:eastAsia="宋体" w:hint="default"/>
                <w:sz w:val="18"/>
                <w:szCs w:val="18"/>
              </w:rPr>
            </w:pPr>
            <w:r>
              <w:rPr>
                <w:rFonts w:ascii="宋体" w:hAnsi="宋体" w:cs="宋体" w:eastAsia="宋体" w:hint="default"/>
                <w:sz w:val="18"/>
                <w:szCs w:val="18"/>
              </w:rPr>
              <w:t>被投 资单 位</w:t>
            </w:r>
          </w:p>
        </w:tc>
        <w:tc>
          <w:tcPr>
            <w:tcW w:w="481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0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0"/>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936" w:hRule="exact"/>
        </w:trPr>
        <w:tc>
          <w:tcPr>
            <w:tcW w:w="588" w:type="dxa"/>
            <w:vMerge/>
            <w:tcBorders>
              <w:left w:val="single" w:sz="4" w:space="0" w:color="000000"/>
              <w:bottom w:val="single" w:sz="4" w:space="0" w:color="000000"/>
              <w:right w:val="single" w:sz="4" w:space="0" w:color="000000"/>
            </w:tcBorders>
            <w:shd w:val="clear" w:color="auto" w:fill="D2D2D2"/>
          </w:tcPr>
          <w:p>
            <w:pP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9"/>
              <w:ind w:left="203" w:right="19"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595"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r>
      <w:tr>
        <w:trPr>
          <w:trHeight w:val="227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both"/>
              <w:rPr>
                <w:rFonts w:ascii="宋体" w:hAnsi="宋体" w:cs="宋体" w:eastAsia="宋体" w:hint="default"/>
                <w:sz w:val="18"/>
                <w:szCs w:val="18"/>
              </w:rPr>
            </w:pPr>
            <w:r>
              <w:rPr>
                <w:rFonts w:ascii="宋体" w:hAnsi="宋体" w:cs="宋体" w:eastAsia="宋体" w:hint="default"/>
                <w:sz w:val="18"/>
                <w:szCs w:val="18"/>
              </w:rPr>
              <w:t>深圳 中软 华泰 信息 技术 有限 公司</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center"/>
              <w:rPr>
                <w:rFonts w:ascii="宋体" w:hAnsi="宋体" w:cs="宋体" w:eastAsia="宋体" w:hint="default"/>
                <w:sz w:val="18"/>
                <w:szCs w:val="18"/>
              </w:rPr>
            </w:pPr>
            <w:r>
              <w:rPr>
                <w:rFonts w:ascii="宋体"/>
                <w:sz w:val="18"/>
              </w:rPr>
              <w:t>1,000,000.00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center"/>
              <w:rPr>
                <w:rFonts w:ascii="宋体" w:hAnsi="宋体" w:cs="宋体" w:eastAsia="宋体" w:hint="default"/>
                <w:sz w:val="18"/>
                <w:szCs w:val="18"/>
              </w:rPr>
            </w:pPr>
            <w:r>
              <w:rPr>
                <w:rFonts w:ascii="宋体"/>
                <w:sz w:val="18"/>
              </w:rPr>
              <w:t>1,000,000.00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204,617.24</w:t>
            </w:r>
          </w:p>
        </w:tc>
        <w:tc>
          <w:tcPr>
            <w:tcW w:w="59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204,617.24</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sz w:val="18"/>
              </w:rPr>
              <w:t>10.00%</w:t>
            </w: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both"/>
              <w:rPr>
                <w:rFonts w:ascii="宋体" w:hAnsi="宋体" w:cs="宋体" w:eastAsia="宋体" w:hint="default"/>
                <w:sz w:val="18"/>
                <w:szCs w:val="18"/>
              </w:rPr>
            </w:pPr>
            <w:r>
              <w:rPr>
                <w:rFonts w:ascii="宋体" w:hAnsi="宋体" w:cs="宋体" w:eastAsia="宋体" w:hint="default"/>
                <w:sz w:val="18"/>
                <w:szCs w:val="18"/>
              </w:rPr>
              <w:t>北京 恒易 传奇 科技 有限 责任 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center"/>
              <w:rPr>
                <w:rFonts w:ascii="宋体" w:hAnsi="宋体" w:cs="宋体" w:eastAsia="宋体" w:hint="default"/>
                <w:sz w:val="18"/>
                <w:szCs w:val="18"/>
              </w:rPr>
            </w:pPr>
            <w:r>
              <w:rPr>
                <w:rFonts w:ascii="宋体"/>
                <w:sz w:val="18"/>
              </w:rPr>
              <w:t>2,000,000.00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2,000,000.00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both"/>
              <w:rPr>
                <w:rFonts w:ascii="宋体" w:hAnsi="宋体" w:cs="宋体" w:eastAsia="宋体" w:hint="default"/>
                <w:sz w:val="18"/>
                <w:szCs w:val="18"/>
              </w:rPr>
            </w:pPr>
            <w:r>
              <w:rPr>
                <w:rFonts w:ascii="宋体" w:hAnsi="宋体" w:cs="宋体" w:eastAsia="宋体" w:hint="default"/>
                <w:sz w:val="18"/>
                <w:szCs w:val="18"/>
              </w:rPr>
              <w:t>上海 无寻 网络 科技 有限</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3" w:right="0"/>
              <w:jc w:val="center"/>
              <w:rPr>
                <w:rFonts w:ascii="宋体" w:hAnsi="宋体" w:cs="宋体" w:eastAsia="宋体" w:hint="default"/>
                <w:sz w:val="18"/>
                <w:szCs w:val="18"/>
              </w:rPr>
            </w:pPr>
            <w:r>
              <w:rPr>
                <w:rFonts w:ascii="宋体"/>
                <w:sz w:val="18"/>
              </w:rPr>
              <w:t>3,000,000.00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3" w:right="0"/>
              <w:jc w:val="center"/>
              <w:rPr>
                <w:rFonts w:ascii="宋体" w:hAnsi="宋体" w:cs="宋体" w:eastAsia="宋体" w:hint="default"/>
                <w:sz w:val="18"/>
                <w:szCs w:val="18"/>
              </w:rPr>
            </w:pPr>
            <w:r>
              <w:rPr>
                <w:rFonts w:ascii="宋体"/>
                <w:sz w:val="18"/>
              </w:rPr>
              <w:t>3,000,000.00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1" w:right="0"/>
              <w:jc w:val="center"/>
              <w:rPr>
                <w:rFonts w:ascii="宋体" w:hAnsi="宋体" w:cs="宋体" w:eastAsia="宋体" w:hint="default"/>
                <w:sz w:val="18"/>
                <w:szCs w:val="18"/>
              </w:rPr>
            </w:pPr>
            <w:r>
              <w:rPr>
                <w:rFonts w:ascii="宋体"/>
                <w:sz w:val="18"/>
              </w:rPr>
              <w:t>9.28%</w:t>
            </w:r>
          </w:p>
        </w:tc>
        <w:tc>
          <w:tcPr>
            <w:tcW w:w="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588"/>
        <w:gridCol w:w="1226"/>
        <w:gridCol w:w="1227"/>
        <w:gridCol w:w="1135"/>
        <w:gridCol w:w="1227"/>
        <w:gridCol w:w="595"/>
        <w:gridCol w:w="955"/>
        <w:gridCol w:w="595"/>
        <w:gridCol w:w="958"/>
        <w:gridCol w:w="595"/>
        <w:gridCol w:w="595"/>
      </w:tblGrid>
      <w:tr>
        <w:trPr>
          <w:trHeight w:val="36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both"/>
              <w:rPr>
                <w:rFonts w:ascii="宋体" w:hAnsi="宋体" w:cs="宋体" w:eastAsia="宋体" w:hint="default"/>
                <w:sz w:val="18"/>
                <w:szCs w:val="18"/>
              </w:rPr>
            </w:pPr>
            <w:r>
              <w:rPr>
                <w:rFonts w:ascii="宋体" w:hAnsi="宋体" w:cs="宋体" w:eastAsia="宋体" w:hint="default"/>
                <w:sz w:val="18"/>
                <w:szCs w:val="18"/>
              </w:rPr>
              <w:t>北京 双洲 科技 有限 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5,000,000.00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14.29%</w:t>
            </w: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2"/>
              <w:jc w:val="both"/>
              <w:rPr>
                <w:rFonts w:ascii="宋体" w:hAnsi="宋体" w:cs="宋体" w:eastAsia="宋体" w:hint="default"/>
                <w:sz w:val="18"/>
                <w:szCs w:val="18"/>
              </w:rPr>
            </w:pPr>
            <w:r>
              <w:rPr>
                <w:rFonts w:ascii="宋体" w:hAnsi="宋体" w:cs="宋体" w:eastAsia="宋体" w:hint="default"/>
                <w:sz w:val="18"/>
                <w:szCs w:val="18"/>
              </w:rPr>
              <w:t>深圳 市金 城保 密技 术有 限公 司</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center"/>
              <w:rPr>
                <w:rFonts w:ascii="宋体" w:hAnsi="宋体" w:cs="宋体" w:eastAsia="宋体" w:hint="default"/>
                <w:sz w:val="18"/>
                <w:szCs w:val="18"/>
              </w:rPr>
            </w:pPr>
            <w:r>
              <w:rPr>
                <w:rFonts w:ascii="宋体"/>
                <w:sz w:val="18"/>
              </w:rPr>
              <w:t>4,383,735.00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center"/>
              <w:rPr>
                <w:rFonts w:ascii="宋体" w:hAnsi="宋体" w:cs="宋体" w:eastAsia="宋体" w:hint="default"/>
                <w:sz w:val="18"/>
                <w:szCs w:val="18"/>
              </w:rPr>
            </w:pPr>
            <w:r>
              <w:rPr>
                <w:rFonts w:ascii="宋体"/>
                <w:sz w:val="18"/>
              </w:rPr>
              <w:t>4,383,735.00</w:t>
            </w:r>
          </w:p>
        </w:tc>
        <w:tc>
          <w:tcPr>
            <w:tcW w:w="5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sz w:val="18"/>
              </w:rPr>
              <w:t>15.00%</w:t>
            </w: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浙江 华睿 北信 源数 据信 息产 业投 资合 伙企 </w:t>
            </w:r>
            <w:r>
              <w:rPr>
                <w:rFonts w:ascii="宋体" w:hAnsi="宋体" w:cs="宋体" w:eastAsia="宋体" w:hint="default"/>
                <w:spacing w:val="-4"/>
                <w:sz w:val="18"/>
                <w:szCs w:val="18"/>
              </w:rPr>
              <w:t>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 伙）</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z w:val="18"/>
              </w:rPr>
              <w:t>15,000,000.00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sz w:val="18"/>
              </w:rPr>
              <w:t>15,000,000.00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sz w:val="18"/>
              </w:rPr>
              <w:t>14.63%</w:t>
            </w:r>
          </w:p>
        </w:tc>
        <w:tc>
          <w:tcPr>
            <w:tcW w:w="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20,383,735.00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2,000,000.00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28,383,735.00</w:t>
            </w:r>
          </w:p>
        </w:tc>
        <w:tc>
          <w:tcPr>
            <w:tcW w:w="59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204,617.24</w:t>
            </w:r>
          </w:p>
        </w:tc>
        <w:tc>
          <w:tcPr>
            <w:tcW w:w="59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204,617.24</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204,617.24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204,617.24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204,617.24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204,617.24</w:t>
            </w:r>
          </w:p>
        </w:tc>
      </w:tr>
    </w:tbl>
    <w:p>
      <w:pPr>
        <w:spacing w:after="0" w:line="240" w:lineRule="auto"/>
        <w:jc w:val="right"/>
        <w:rPr>
          <w:rFonts w:ascii="宋体" w:hAnsi="宋体" w:cs="宋体" w:eastAsia="宋体"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403" w:lineRule="auto"/>
        <w:ind w:right="3012"/>
        <w:jc w:val="left"/>
        <w:rPr>
          <w:b w:val="0"/>
          <w:bCs w:val="0"/>
        </w:rPr>
      </w:pPr>
      <w:r>
        <w:rPr>
          <w:spacing w:val="-1"/>
        </w:rPr>
        <w:t>（</w:t>
      </w:r>
      <w:r>
        <w:rPr>
          <w:rFonts w:ascii="Times New Roman" w:hAnsi="Times New Roman" w:cs="Times New Roman" w:eastAsia="Times New Roman" w:hint="default"/>
          <w:spacing w:val="-1"/>
        </w:rPr>
        <w:t>3</w:t>
      </w:r>
      <w:r>
        <w:rPr>
          <w:spacing w:val="-1"/>
        </w:rPr>
        <w:t>）转移长期应收款且继续涉入形成的资产、负债金额</w:t>
      </w:r>
      <w:r>
        <w:rPr>
          <w:spacing w:val="-12"/>
        </w:rPr>
        <w:t> </w:t>
      </w:r>
      <w:r>
        <w:rPr>
          <w:spacing w:val="-12"/>
        </w:rPr>
      </w:r>
      <w:r>
        <w:rPr>
          <w:rFonts w:ascii="Trebuchet MS" w:hAnsi="Trebuchet MS" w:cs="Trebuchet MS" w:eastAsia="Trebuchet MS" w:hint="default"/>
        </w:rPr>
        <w:t>17</w:t>
      </w:r>
      <w:r>
        <w:rPr/>
        <w:t>、长期股权投资</w:t>
      </w:r>
      <w:r>
        <w:rPr>
          <w:b w:val="0"/>
          <w:bCs w:val="0"/>
        </w:rPr>
      </w:r>
    </w:p>
    <w:p>
      <w:pPr>
        <w:pStyle w:val="Heading3"/>
        <w:spacing w:line="240" w:lineRule="auto" w:before="56"/>
        <w:ind w:right="3012"/>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电子及通讯设备</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26,843,521.44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24,019,983.39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12,765,917.50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63,629,422.33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680,612.43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14,801,759.97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1,915,895.10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17,398,267.50</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13,736,621.64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1,729,064.10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15,465,685.74</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680,612.43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680,612.43</w:t>
            </w:r>
          </w:p>
        </w:tc>
      </w:tr>
    </w:tbl>
    <w:p>
      <w:pPr>
        <w:spacing w:after="0" w:line="240" w:lineRule="auto"/>
        <w:jc w:val="right"/>
        <w:rPr>
          <w:rFonts w:ascii="宋体" w:hAnsi="宋体" w:cs="宋体" w:eastAsia="宋体"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1,065,138.33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186,831.00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1,251,969.33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1,248,247.31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1,708,247.31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1,248,247.31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1,708,247.31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27,064,133.87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37,573,496.05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14,681,812.60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79,319,442.52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665,603.57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11,378,569.97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5,889,151.99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17,933,325.53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645,463.03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4,847,399.47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2,147,288.25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7,640,150.75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645,463.03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4,847,399.47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2,147,288.25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7,640,150.75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9,104.20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1,114,699.36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1,123,803.56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9,104.20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1,114,699.36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1,123,803.56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1,301,962.40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15,111,270.08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8,036,440.24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24,449,672.72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25,762,171.47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22,462,225.97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6,645,372.36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54,869,769.80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26,177,917.87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12,641,413.42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6,876,765.51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45,696,096.80</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11,286,734.72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开发商正在办理过程中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南京研发楼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9,233,306.25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开发商正在办理过程中</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16,059,200.00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center"/>
              <w:rPr>
                <w:rFonts w:ascii="宋体" w:hAnsi="宋体" w:cs="宋体" w:eastAsia="宋体" w:hint="default"/>
                <w:sz w:val="18"/>
                <w:szCs w:val="18"/>
              </w:rPr>
            </w:pPr>
            <w:r>
              <w:rPr>
                <w:rFonts w:ascii="宋体"/>
                <w:sz w:val="18"/>
              </w:rPr>
              <w:t>16,059,200.00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16,059,200.00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1" w:right="0"/>
              <w:jc w:val="center"/>
              <w:rPr>
                <w:rFonts w:ascii="宋体" w:hAnsi="宋体" w:cs="宋体" w:eastAsia="宋体" w:hint="default"/>
                <w:sz w:val="18"/>
                <w:szCs w:val="18"/>
              </w:rPr>
            </w:pPr>
            <w:r>
              <w:rPr>
                <w:rFonts w:ascii="宋体"/>
                <w:sz w:val="18"/>
              </w:rPr>
              <w:t>16,059,200.00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武汉房 屋装修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16,915,</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780.00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16,051,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16,051,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94.89%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95.00%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16,915,</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780.00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16,051,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16,051,</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200.00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after="0" w:line="240" w:lineRule="auto"/>
        <w:jc w:val="left"/>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11,216,914.69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2,407,195.00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13,624,109.69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24,455,885.00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22,343,367.66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10,400,000.00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1,598,075.49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58,797,328.15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24,455,885.00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1,598,075.49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26,053,960.49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22,343,367.66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22,343,367.66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10,400,000.00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10,400,000.00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24,455,885.00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22,343,367.66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21,616,914.69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4,005,270.49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72,421,437.84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11,216,914.69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331,756.95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11,548,671.64</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40,759.81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570,194.96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310,918.17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1,181,872.94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40,759.81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570,194.96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310,918.17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1,181,872.94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40,759.81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570,194.96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11,476,914.69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642,675.12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12,730,544.58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24,415,125.19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21,773,172.70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10,140,000.00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3,362,595.37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59,690,893.26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2,075,438.05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2,075,438.05</w:t>
            </w:r>
          </w:p>
        </w:tc>
      </w:tr>
    </w:tbl>
    <w:p>
      <w:pPr>
        <w:pStyle w:val="BodyText"/>
        <w:spacing w:line="240" w:lineRule="auto" w:before="49"/>
        <w:ind w:right="3012"/>
        <w:jc w:val="left"/>
      </w:pPr>
      <w:r>
        <w:rPr/>
        <w:t>本期末通过公司内部研发形成的无形资产占无形资产余额的比例</w:t>
      </w:r>
      <w:r>
        <w:rPr>
          <w:spacing w:val="-43"/>
        </w:rPr>
        <w:t> </w:t>
      </w:r>
      <w:r>
        <w:rPr>
          <w:rFonts w:ascii="宋体" w:hAnsi="宋体" w:cs="宋体" w:eastAsia="宋体" w:hint="default"/>
        </w:rPr>
        <w:t>36.48%</w:t>
      </w:r>
      <w:r>
        <w:rPr/>
        <w:t>。</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9"/>
              <w:jc w:val="right"/>
              <w:rPr>
                <w:rFonts w:ascii="宋体" w:hAnsi="宋体" w:cs="宋体" w:eastAsia="宋体" w:hint="default"/>
                <w:sz w:val="18"/>
                <w:szCs w:val="18"/>
              </w:rPr>
            </w:pPr>
            <w:r>
              <w:rPr>
                <w:rFonts w:ascii="宋体" w:hAnsi="宋体" w:cs="宋体" w:eastAsia="宋体" w:hint="default"/>
                <w:sz w:val="18"/>
                <w:szCs w:val="18"/>
              </w:rPr>
              <w:t>金甲防线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4,710,016.9</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1,872,863.6</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6,582,880.5</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北信源国产 终端安全管 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2,287,077.2</w:t>
            </w:r>
          </w:p>
          <w:p>
            <w:pPr>
              <w:pStyle w:val="TableParagraph"/>
              <w:spacing w:line="240" w:lineRule="auto" w:before="74"/>
              <w:ind w:right="20"/>
              <w:jc w:val="right"/>
              <w:rPr>
                <w:rFonts w:ascii="宋体" w:hAnsi="宋体" w:cs="宋体" w:eastAsia="宋体" w:hint="default"/>
                <w:sz w:val="18"/>
                <w:szCs w:val="18"/>
              </w:rPr>
            </w:pPr>
            <w:r>
              <w:rPr>
                <w:rFonts w:ascii="宋体"/>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5,675,487.6</w:t>
            </w:r>
          </w:p>
          <w:p>
            <w:pPr>
              <w:pStyle w:val="TableParagraph"/>
              <w:spacing w:line="240" w:lineRule="auto" w:before="74"/>
              <w:ind w:right="20"/>
              <w:jc w:val="right"/>
              <w:rPr>
                <w:rFonts w:ascii="宋体" w:hAnsi="宋体" w:cs="宋体" w:eastAsia="宋体" w:hint="default"/>
                <w:sz w:val="18"/>
                <w:szCs w:val="18"/>
              </w:rPr>
            </w:pPr>
            <w:r>
              <w:rPr>
                <w:rFonts w:ascii="宋体"/>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7,962,564.9</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虚拟化终端 安全管理系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2,419,439.6</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5,378,482.5</w:t>
            </w:r>
          </w:p>
          <w:p>
            <w:pPr>
              <w:pStyle w:val="TableParagraph"/>
              <w:spacing w:line="240" w:lineRule="auto" w:before="76"/>
              <w:ind w:right="20"/>
              <w:jc w:val="right"/>
              <w:rPr>
                <w:rFonts w:ascii="宋体" w:hAnsi="宋体" w:cs="宋体" w:eastAsia="宋体" w:hint="default"/>
                <w:sz w:val="18"/>
                <w:szCs w:val="18"/>
              </w:rPr>
            </w:pPr>
            <w:r>
              <w:rPr>
                <w:rFonts w:ascii="宋体"/>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7,797,922.2</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北信源数据 泄露智能防 护系统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3,488,257.8</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3,488,257.8</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9,416,533.8</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16,415,091.</w:t>
            </w:r>
          </w:p>
          <w:p>
            <w:pPr>
              <w:pStyle w:val="TableParagraph"/>
              <w:spacing w:line="240" w:lineRule="auto" w:before="76"/>
              <w:ind w:right="17"/>
              <w:jc w:val="right"/>
              <w:rPr>
                <w:rFonts w:ascii="宋体" w:hAnsi="宋体" w:cs="宋体" w:eastAsia="宋体" w:hint="default"/>
                <w:sz w:val="18"/>
                <w:szCs w:val="18"/>
              </w:rPr>
            </w:pPr>
            <w:r>
              <w:rPr>
                <w:rFonts w:ascii="宋体"/>
                <w:sz w:val="18"/>
              </w:rPr>
              <w:t>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22,343,367.</w:t>
            </w:r>
          </w:p>
          <w:p>
            <w:pPr>
              <w:pStyle w:val="TableParagraph"/>
              <w:spacing w:line="240" w:lineRule="auto" w:before="76"/>
              <w:ind w:right="17"/>
              <w:jc w:val="right"/>
              <w:rPr>
                <w:rFonts w:ascii="宋体" w:hAnsi="宋体" w:cs="宋体" w:eastAsia="宋体" w:hint="default"/>
                <w:sz w:val="18"/>
                <w:szCs w:val="18"/>
              </w:rPr>
            </w:pPr>
            <w:r>
              <w:rPr>
                <w:rFonts w:ascii="宋体"/>
                <w:sz w:val="18"/>
              </w:rPr>
              <w:t>66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3,488,257.8</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bl>
    <w:p>
      <w:pPr>
        <w:spacing w:after="0" w:line="240" w:lineRule="auto"/>
        <w:jc w:val="right"/>
        <w:rPr>
          <w:rFonts w:ascii="宋体" w:hAnsi="宋体" w:cs="宋体" w:eastAsia="宋体"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北京中软华泰信 息技术有限责任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82,754,563.28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82,754,563.28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82,754,563.28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82,754,563.28</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1,196,150.05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209,575.29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680,612.43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610,332.33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780,495.55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1,029,695.07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629,238.04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1,166,678.46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203,411.73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572,523.60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67,394.74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708,465.89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2,180,057.33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1,906,588.67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906,208.07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694,961.25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2,485,476.68</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37"/>
        <w:gridCol w:w="1942"/>
        <w:gridCol w:w="1940"/>
        <w:gridCol w:w="1939"/>
        <w:gridCol w:w="1940"/>
      </w:tblGrid>
      <w:tr>
        <w:trPr>
          <w:trHeight w:val="401" w:hRule="exact"/>
        </w:trPr>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37" w:type="dxa"/>
            <w:vMerge/>
            <w:tcBorders>
              <w:left w:val="single" w:sz="4" w:space="0" w:color="000000"/>
              <w:bottom w:val="single" w:sz="4" w:space="0" w:color="000000"/>
              <w:right w:val="single" w:sz="4" w:space="0" w:color="000000"/>
            </w:tcBorders>
            <w:shd w:val="clear" w:color="auto" w:fill="D2D2D2"/>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79,080,617.33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12,150,877.25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49,579,172.85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5,458,757.74</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13,693,466.87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2,054,020.03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4,024,321.43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1,006,080.36</w:t>
            </w: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购买中软华泰的可供出 售金融资产评估减值</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204,617.24</w:t>
            </w:r>
            <w:r>
              <w:rPr>
                <w:rFonts w:ascii="宋体"/>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30,692.58</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92,978,701.44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14,235,589.86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53,603,494.28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6,464,838.10</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10,140,000.00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1,521,000.00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10,140,000.00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1,521,000.00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14,250,589.86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6,464,838.10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1,521,000.00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208,027.39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192,730.20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1,561,236.91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623,202.42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1,769,264.30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815,932.62</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623,202.42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623,202.42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938,034.49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1,561,236.91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623,202.42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335" w:lineRule="exact"/>
        <w:ind w:right="3012"/>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购置长期资产预付款项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13,911,106.00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13,911,106.00</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应付采购产品款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21,242,337.90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17,774,437.20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521,896.34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330,974.00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21,764,234.24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18,105,411.20</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南京必得文化广告公司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江苏华宁电子系统工程有限公司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苏州沸点科技有限公司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235,723.10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南京新威网科技有限公司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5,181,303.10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4,657,941.86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1,658,492.26</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4,657,941.86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1,658,492.26</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256,834.08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由于相关产品尚未实现销售，故年末尚 未结转收入。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256,834.08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94,613,685.60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94,100,608.21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513,077.39</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8,175,905.51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8,153,529.30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22,376.21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152,963.87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152,963.87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102,942,554.98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102,407,101.38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535,453.60</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79,849,693.02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79,394,373.01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455,320.01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7,278,499.06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7,278,499.06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4,367,558.95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4,338,002.95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29,556.00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3,787,296.07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3,760,084.47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27,211.60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140,981.68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140,342.40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318,969.20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317,264.08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1,705.12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120,312.00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120,312.00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2,156,197.50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2,156,197.50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961,737.07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933,535.69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28,201.38</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94,613,685.60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94,100,608.21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513,077.39</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7,746,707.69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7,725,715.57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20,992.12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429,197.82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427,813.73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1,384.09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8,175,905.51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8,153,529.30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22,376.21</w:t>
            </w:r>
          </w:p>
        </w:tc>
      </w:tr>
    </w:tbl>
    <w:p>
      <w:pPr>
        <w:pStyle w:val="BodyText"/>
        <w:spacing w:line="240" w:lineRule="auto" w:before="49"/>
        <w:ind w:right="3012"/>
        <w:jc w:val="left"/>
      </w:pPr>
      <w:r>
        <w:rPr/>
        <w:t>其他说明：</w:t>
      </w:r>
    </w:p>
    <w:p>
      <w:pPr>
        <w:pStyle w:val="BodyText"/>
        <w:spacing w:line="316" w:lineRule="auto" w:before="115"/>
        <w:ind w:right="150" w:firstLine="360"/>
        <w:jc w:val="both"/>
      </w:pPr>
      <w:r>
        <w:rPr/>
        <w:t>本公司按规定参加由政府机构设立的养老保险、失业保险计划，根据该等计划，本公司分别按员工基本工资的</w:t>
      </w:r>
      <w:r>
        <w:rPr>
          <w:rFonts w:ascii="宋体" w:hAnsi="宋体" w:cs="宋体" w:eastAsia="宋体" w:hint="default"/>
        </w:rPr>
        <w:t>20%</w:t>
      </w:r>
      <w:r>
        <w:rPr/>
        <w:t>、</w:t>
      </w:r>
      <w:r>
        <w:rPr>
          <w:rFonts w:ascii="宋体" w:hAnsi="宋体" w:cs="宋体" w:eastAsia="宋体" w:hint="default"/>
        </w:rPr>
        <w:t>1%</w:t>
      </w:r>
      <w:r>
        <w:rPr>
          <w:rFonts w:ascii="宋体" w:hAnsi="宋体" w:cs="宋体" w:eastAsia="宋体" w:hint="default"/>
          <w:spacing w:val="1"/>
        </w:rPr>
        <w:t> </w:t>
      </w:r>
      <w:r>
        <w:rPr>
          <w:spacing w:val="-2"/>
        </w:rPr>
        <w:t>每月向该等计划缴存费用。除上述每月缴存费用外，本公司不再承担进一步支付义务。相应的支出于发生时计入当期损益或</w:t>
      </w:r>
      <w:r>
        <w:rPr>
          <w:spacing w:val="-63"/>
        </w:rPr>
        <w:t> </w:t>
      </w:r>
      <w:r>
        <w:rPr>
          <w:spacing w:val="-63"/>
        </w:rPr>
      </w:r>
      <w:r>
        <w:rPr/>
        <w:t>相关资产的成本。</w:t>
      </w:r>
    </w:p>
    <w:p>
      <w:pPr>
        <w:spacing w:line="240" w:lineRule="auto" w:before="9"/>
        <w:rPr>
          <w:rFonts w:ascii="宋体" w:hAnsi="宋体" w:cs="宋体" w:eastAsia="宋体" w:hint="default"/>
          <w:sz w:val="17"/>
          <w:szCs w:val="17"/>
        </w:rPr>
      </w:pPr>
    </w:p>
    <w:p>
      <w:pPr>
        <w:pStyle w:val="Heading3"/>
        <w:spacing w:line="240" w:lineRule="auto"/>
        <w:ind w:right="3012"/>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72,997,237.00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55,551,780.74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11,604,655.39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7,458,323.84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624,146.24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266,801.05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4,002,674.84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2,676,594.36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2,854,863.01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1,906,993.39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129,990.13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92,380,964.60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68,272,983.51</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7,161,989.97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应付日常经营款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5,680,596.57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2,255,615.15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12,842,586.54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2,255,615.15</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长沙市卓能环保科技有限公司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北京东方微点信息技术有限责任公司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201,088.00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266,800,000.00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3,426,124.00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3,426,124.00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270,226,124.00</w:t>
            </w:r>
          </w:p>
        </w:tc>
      </w:tr>
    </w:tbl>
    <w:p>
      <w:pPr>
        <w:spacing w:after="0" w:line="240" w:lineRule="auto"/>
        <w:jc w:val="lef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3"/>
          <w:szCs w:val="23"/>
        </w:rPr>
      </w:pPr>
    </w:p>
    <w:p>
      <w:pPr>
        <w:pStyle w:val="BodyText"/>
        <w:spacing w:line="240" w:lineRule="auto" w:before="44"/>
        <w:ind w:right="3012"/>
        <w:jc w:val="left"/>
      </w:pPr>
      <w:r>
        <w:rPr/>
        <w:t>其他说明：</w:t>
      </w:r>
    </w:p>
    <w:p>
      <w:pPr>
        <w:pStyle w:val="BodyText"/>
        <w:spacing w:line="316" w:lineRule="auto" w:before="117"/>
        <w:ind w:right="149" w:firstLine="360"/>
        <w:jc w:val="both"/>
      </w:pPr>
      <w:r>
        <w:rPr>
          <w:spacing w:val="-2"/>
        </w:rPr>
        <w:t>根据本公司</w:t>
      </w:r>
      <w:r>
        <w:rPr>
          <w:rFonts w:ascii="宋体" w:hAnsi="宋体" w:cs="宋体" w:eastAsia="宋体" w:hint="default"/>
          <w:spacing w:val="-2"/>
        </w:rPr>
        <w:t>2014</w:t>
      </w:r>
      <w:r>
        <w:rPr>
          <w:spacing w:val="-2"/>
        </w:rPr>
        <w:t>年第三次临时股东大会会议审议通过的《关于公司发行股份及支付现金购买资产并募集配套资金方案的</w:t>
      </w:r>
      <w:r>
        <w:rPr/>
        <w:t> </w:t>
      </w:r>
      <w:r>
        <w:rPr>
          <w:spacing w:val="-2"/>
        </w:rPr>
        <w:t>议案》及第二届董事会第九次会议审议通过的《关于公司发行股份及支付现金购买资产并募集配套资金的议案》，同意本公</w:t>
      </w:r>
      <w:r>
        <w:rPr>
          <w:spacing w:val="-63"/>
        </w:rPr>
        <w:t> </w:t>
      </w:r>
      <w:r>
        <w:rPr>
          <w:spacing w:val="-63"/>
        </w:rPr>
      </w:r>
      <w:r>
        <w:rPr/>
        <w:t>司定向增发</w:t>
      </w:r>
      <w:r>
        <w:rPr>
          <w:rFonts w:ascii="宋体" w:hAnsi="宋体" w:cs="宋体" w:eastAsia="宋体" w:hint="default"/>
        </w:rPr>
        <w:t>3,426,124</w:t>
      </w:r>
      <w:r>
        <w:rPr/>
        <w:t>股股份购买北京中软华泰信息技术有限责任公司全部股份。</w:t>
      </w:r>
    </w:p>
    <w:p>
      <w:pPr>
        <w:pStyle w:val="BodyText"/>
        <w:spacing w:line="240" w:lineRule="auto" w:before="19"/>
        <w:ind w:left="0" w:right="155"/>
        <w:jc w:val="right"/>
      </w:pP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23</w:t>
      </w:r>
      <w:r>
        <w:rPr/>
        <w:t>日，公司在中国证券登记结算有限责任公司深圳分公司完成了本次向自然人田秋桂、马永清、王俊锋发行</w:t>
      </w:r>
    </w:p>
    <w:p>
      <w:pPr>
        <w:pStyle w:val="BodyText"/>
        <w:spacing w:line="316" w:lineRule="auto" w:before="76"/>
        <w:ind w:right="0"/>
        <w:jc w:val="left"/>
      </w:pPr>
      <w:r>
        <w:rPr>
          <w:rFonts w:ascii="宋体" w:hAnsi="宋体" w:cs="宋体" w:eastAsia="宋体" w:hint="default"/>
          <w:spacing w:val="-2"/>
        </w:rPr>
        <w:t>3,426,124</w:t>
      </w:r>
      <w:r>
        <w:rPr>
          <w:spacing w:val="-2"/>
        </w:rPr>
        <w:t>股股份申请登记相关事宜，并于</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9</w:t>
      </w:r>
      <w:r>
        <w:rPr>
          <w:spacing w:val="-2"/>
        </w:rPr>
        <w:t>日公告了《北京北信源软件股份有限公司发行股份及支付现金购买资</w:t>
      </w:r>
      <w:r>
        <w:rPr>
          <w:spacing w:val="-55"/>
        </w:rPr>
        <w:t> </w:t>
      </w:r>
      <w:r>
        <w:rPr>
          <w:spacing w:val="-55"/>
        </w:rPr>
      </w:r>
      <w:r>
        <w:rPr/>
        <w:t>产实施情况暨新增股份上市公告书》，本次定向发行新增股份的性质为有限售条件流通股，上市日为</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15</w:t>
      </w:r>
      <w:r>
        <w:rPr/>
        <w:t>日。</w:t>
      </w:r>
    </w:p>
    <w:p>
      <w:pPr>
        <w:spacing w:line="240" w:lineRule="auto" w:before="9"/>
        <w:rPr>
          <w:rFonts w:ascii="宋体" w:hAnsi="宋体" w:cs="宋体" w:eastAsia="宋体" w:hint="default"/>
          <w:sz w:val="17"/>
          <w:szCs w:val="17"/>
        </w:rPr>
      </w:pPr>
    </w:p>
    <w:p>
      <w:pPr>
        <w:pStyle w:val="Heading3"/>
        <w:spacing w:line="240" w:lineRule="auto"/>
        <w:ind w:right="3012"/>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176,597,424.30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76,573,871.40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253,171,295.70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4,003,788.51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4,003,788.51</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180,601,212.81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76,573,871.40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257,175,084.21</w:t>
            </w:r>
          </w:p>
        </w:tc>
      </w:tr>
    </w:tbl>
    <w:p>
      <w:pPr>
        <w:pStyle w:val="BodyText"/>
        <w:spacing w:line="357" w:lineRule="auto" w:before="49"/>
        <w:ind w:left="513" w:right="143" w:hanging="361"/>
        <w:jc w:val="left"/>
      </w:pPr>
      <w:r>
        <w:rPr/>
        <w:t>其他说明，包括本期增减变动情况、变动原因说明： 本公司向北京中软华泰信息技术有限责任公司原股东田秋桂、马永清、王俊峰定向增发</w:t>
      </w:r>
      <w:r>
        <w:rPr>
          <w:rFonts w:ascii="宋体" w:hAnsi="宋体" w:cs="宋体" w:eastAsia="宋体" w:hint="default"/>
        </w:rPr>
        <w:t>3,426,124</w:t>
      </w:r>
      <w:r>
        <w:rPr/>
        <w:t>股股份，合并日的公</w:t>
      </w:r>
    </w:p>
    <w:p>
      <w:pPr>
        <w:pStyle w:val="BodyText"/>
        <w:spacing w:line="224" w:lineRule="exact"/>
        <w:ind w:right="0"/>
        <w:jc w:val="left"/>
      </w:pPr>
      <w:r>
        <w:rPr/>
        <w:t>允价值为</w:t>
      </w:r>
      <w:r>
        <w:rPr>
          <w:rFonts w:ascii="宋体" w:hAnsi="宋体" w:cs="宋体" w:eastAsia="宋体" w:hint="default"/>
        </w:rPr>
        <w:t>79,999,995.40</w:t>
      </w:r>
      <w:r>
        <w:rPr/>
        <w:t>元，其中计入股本</w:t>
      </w:r>
      <w:r>
        <w:rPr>
          <w:rFonts w:ascii="宋体" w:hAnsi="宋体" w:cs="宋体" w:eastAsia="宋体" w:hint="default"/>
        </w:rPr>
        <w:t>3,426,124.00</w:t>
      </w:r>
      <w:r>
        <w:rPr/>
        <w:t>元，计入资本公积——股本溢价</w:t>
      </w:r>
      <w:r>
        <w:rPr>
          <w:rFonts w:ascii="宋体" w:hAnsi="宋体" w:cs="宋体" w:eastAsia="宋体" w:hint="default"/>
        </w:rPr>
        <w:t>76,573,871.40</w:t>
      </w:r>
      <w:r>
        <w:rPr/>
        <w:t>元。</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8"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-905,934.78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-1,129,220.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-2,035,15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5.18</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-905,934.78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0.00</w:t>
            </w: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-1,129,220.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-2,035,15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5.18</w:t>
            </w: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-905,934.78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-1,129,220.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40</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-2,035,15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5.18</w:t>
            </w: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30,079,145.19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6,339,224.03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36,418,369.22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30,079,145.19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6,339,224.03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36,418,369.22</w:t>
            </w:r>
          </w:p>
        </w:tc>
      </w:tr>
    </w:tbl>
    <w:p>
      <w:pPr>
        <w:pStyle w:val="BodyText"/>
        <w:spacing w:line="360" w:lineRule="auto" w:before="49"/>
        <w:ind w:left="513" w:right="0" w:hanging="361"/>
        <w:jc w:val="left"/>
      </w:pPr>
      <w:r>
        <w:rPr/>
        <w:t>盈余公积说明，包括本期增减变动情况、变动原因说明： </w:t>
      </w:r>
      <w:r>
        <w:rPr>
          <w:spacing w:val="-2"/>
        </w:rPr>
        <w:t>根据公司法、章程的规定，本公司按净利润的</w:t>
      </w:r>
      <w:r>
        <w:rPr>
          <w:rFonts w:ascii="宋体" w:hAnsi="宋体" w:cs="宋体" w:eastAsia="宋体" w:hint="default"/>
          <w:spacing w:val="-2"/>
        </w:rPr>
        <w:t>10%</w:t>
      </w:r>
      <w:r>
        <w:rPr>
          <w:spacing w:val="-2"/>
        </w:rPr>
        <w:t>提取法定盈余公积金。法定盈余公积累计额为本公司注册资本</w:t>
      </w:r>
      <w:r>
        <w:rPr>
          <w:rFonts w:ascii="宋体" w:hAnsi="宋体" w:cs="宋体" w:eastAsia="宋体" w:hint="default"/>
          <w:spacing w:val="-2"/>
        </w:rPr>
        <w:t>50%</w:t>
      </w:r>
      <w:r>
        <w:rPr>
          <w:spacing w:val="-2"/>
        </w:rPr>
        <w:t>以上</w:t>
      </w:r>
    </w:p>
    <w:p>
      <w:pPr>
        <w:pStyle w:val="BodyText"/>
        <w:spacing w:line="223" w:lineRule="exact"/>
        <w:ind w:right="3012"/>
        <w:jc w:val="left"/>
      </w:pPr>
      <w:r>
        <w:rPr/>
        <w:t>的，可不再提取。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3012"/>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224,820,316.52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177,324,541.06</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224,820,316.52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177,324,541.06</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70,719,566.59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67,993,885.54</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6,339,224.03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7,158,110.08</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275,860,659.08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224,820,316.52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335" w:lineRule="exact"/>
        <w:ind w:right="3012"/>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463,678,587.07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208,969,433.25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258,924,229.24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29,036,590.32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6,336,760.44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5,497,954.78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3,809,410.06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2,668,592.73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470,015,347.51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214,467,388.03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262,733,639.30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31,705,183.05</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79,203.07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113,047.63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2,731,397.23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2,188,435.57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1,962,080.58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1,575,151.62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7,757.76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8,331.46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4,780,438.64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3,884,966.28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3012"/>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工资及奖金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26,406,338.29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25,165,174.39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7,860,411.44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6,591,105.84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7,729,804.78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6,455,895.13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7,078,893.71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4,556,297.05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6,251,374.92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4,938,556.33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5,772,585.93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5,247,743.06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4,570,425.12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3,031,722.45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2,506,792.73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2,157,086.69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2,105,310.07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666,717.89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2,075,903.42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2,361,310.80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3,656,308.41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5,181,746.18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76,014,148.82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66,353,355.81</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42,182,867.38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39,788,262.74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17,596,968.44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11,122,624.01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6,788,165.14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6,671,791.46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5,609,135.27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5,485,174.41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审计评估费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5,216,550.69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950,912.44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4,400,542.40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3,193,611.96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3,232,975.92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1,716,942.59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1,387,063.52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2,537,166.80</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994,871.82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1,030,142.34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961,737.07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847,439.12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7,018,552.57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8,690,474.51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95,389,430.22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82,034,542.38</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6,071,316.67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9,173,218.63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66,490.89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61,758.56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-6,004,825.78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-9,111,460.07</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28,854,075.21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23,499,695.97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28,854,075.21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23,499,695.97</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226,667.00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226,667.00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21,012,379.95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9,731,361.54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16,311.92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62,348.00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2390"/>
        <w:gridCol w:w="2396"/>
        <w:gridCol w:w="2393"/>
        <w:gridCol w:w="2393"/>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2" w:right="0"/>
              <w:jc w:val="left"/>
              <w:rPr>
                <w:rFonts w:ascii="Times New Roman" w:hAnsi="Times New Roman" w:cs="Times New Roman" w:eastAsia="Times New Roman" w:hint="default"/>
                <w:sz w:val="18"/>
                <w:szCs w:val="18"/>
              </w:rPr>
            </w:pPr>
            <w:r>
              <w:rPr>
                <w:rFonts w:ascii="Times New Roman"/>
                <w:sz w:val="18"/>
              </w:rPr>
              <w:t>21,028,691.87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9,794,709.54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3012"/>
        <w:jc w:val="left"/>
      </w:pPr>
      <w:r>
        <w:rPr/>
        <w:t>计入当期损益的政府补助：</w:t>
      </w:r>
    </w:p>
    <w:p>
      <w:pPr>
        <w:pStyle w:val="BodyText"/>
        <w:spacing w:line="240" w:lineRule="auto" w:before="115"/>
        <w:ind w:left="0" w:right="151"/>
        <w:jc w:val="right"/>
      </w:pPr>
      <w:r>
        <w:rPr/>
        <w:pict>
          <v:group style="position:absolute;margin-left:56.400002pt;margin-top:22.741743pt;width:479.05pt;height:632.4pt;mso-position-horizontal-relative:page;mso-position-vertical-relative:paragraph;z-index:-754288" coordorigin="1128,455" coordsize="9581,12648">
            <v:group style="position:absolute;left:1140;top:469;width:1055;height:704" coordorigin="1140,469" coordsize="1055,704">
              <v:shape style="position:absolute;left:1140;top:469;width:1055;height:704" coordorigin="1140,469" coordsize="1055,704" path="m1140,1172l2194,1172,2194,469,1140,469,1140,1172xe" filled="true" fillcolor="#d2d2d2" stroked="false">
                <v:path arrowok="t"/>
                <v:fill type="solid"/>
              </v:shape>
            </v:group>
            <v:group style="position:absolute;left:1162;top:625;width:1011;height:392" coordorigin="1162,625" coordsize="1011,392">
              <v:shape style="position:absolute;left:1162;top:625;width:1011;height:392" coordorigin="1162,625" coordsize="1011,392" path="m1162,1016l2172,1016,2172,625,1162,625,1162,1016xe" filled="true" fillcolor="#d2d2d2" stroked="false">
                <v:path arrowok="t"/>
                <v:fill type="solid"/>
              </v:shape>
            </v:group>
            <v:group style="position:absolute;left:2204;top:469;width:1054;height:704" coordorigin="2204,469" coordsize="1054,704">
              <v:shape style="position:absolute;left:2204;top:469;width:1054;height:704" coordorigin="2204,469" coordsize="1054,704" path="m2204,1172l3257,1172,3257,469,2204,469,2204,1172xe" filled="true" fillcolor="#d2d2d2" stroked="false">
                <v:path arrowok="t"/>
                <v:fill type="solid"/>
              </v:shape>
            </v:group>
            <v:group style="position:absolute;left:2228;top:625;width:1006;height:392" coordorigin="2228,625" coordsize="1006,392">
              <v:shape style="position:absolute;left:2228;top:625;width:1006;height:392" coordorigin="2228,625" coordsize="1006,392" path="m2228,1016l3233,1016,3233,625,2228,625,2228,1016xe" filled="true" fillcolor="#d2d2d2" stroked="false">
                <v:path arrowok="t"/>
                <v:fill type="solid"/>
              </v:shape>
            </v:group>
            <v:group style="position:absolute;left:3267;top:469;width:1055;height:704" coordorigin="3267,469" coordsize="1055,704">
              <v:shape style="position:absolute;left:3267;top:469;width:1055;height:704" coordorigin="3267,469" coordsize="1055,704" path="m3267,1172l4321,1172,4321,469,3267,469,3267,1172xe" filled="true" fillcolor="#d2d2d2" stroked="false">
                <v:path arrowok="t"/>
                <v:fill type="solid"/>
              </v:shape>
            </v:group>
            <v:group style="position:absolute;left:3291;top:625;width:1007;height:392" coordorigin="3291,625" coordsize="1007,392">
              <v:shape style="position:absolute;left:3291;top:625;width:1007;height:392" coordorigin="3291,625" coordsize="1007,392" path="m3291,1016l4297,1016,4297,625,3291,625,3291,1016xe" filled="true" fillcolor="#d2d2d2" stroked="false">
                <v:path arrowok="t"/>
                <v:fill type="solid"/>
              </v:shape>
            </v:group>
            <v:group style="position:absolute;left:4331;top:469;width:1054;height:704" coordorigin="4331,469" coordsize="1054,704">
              <v:shape style="position:absolute;left:4331;top:469;width:1054;height:704" coordorigin="4331,469" coordsize="1054,704" path="m4331,1172l5384,1172,5384,469,4331,469,4331,1172xe" filled="true" fillcolor="#d2d2d2" stroked="false">
                <v:path arrowok="t"/>
                <v:fill type="solid"/>
              </v:shape>
            </v:group>
            <v:group style="position:absolute;left:4355;top:625;width:1006;height:392" coordorigin="4355,625" coordsize="1006,392">
              <v:shape style="position:absolute;left:4355;top:625;width:1006;height:392" coordorigin="4355,625" coordsize="1006,392" path="m4355,1016l5360,1016,5360,625,4355,625,4355,1016xe" filled="true" fillcolor="#d2d2d2" stroked="false">
                <v:path arrowok="t"/>
                <v:fill type="solid"/>
              </v:shape>
            </v:group>
            <v:group style="position:absolute;left:5394;top:469;width:1055;height:704" coordorigin="5394,469" coordsize="1055,704">
              <v:shape style="position:absolute;left:5394;top:469;width:1055;height:704" coordorigin="5394,469" coordsize="1055,704" path="m5394,1172l6448,1172,6448,469,5394,469,5394,1172xe" filled="true" fillcolor="#d2d2d2" stroked="false">
                <v:path arrowok="t"/>
                <v:fill type="solid"/>
              </v:shape>
            </v:group>
            <v:group style="position:absolute;left:5418;top:469;width:1007;height:351" coordorigin="5418,469" coordsize="1007,351">
              <v:shape style="position:absolute;left:5418;top:469;width:1007;height:351" coordorigin="5418,469" coordsize="1007,351" path="m5418,820l6424,820,6424,469,5418,469,5418,820xe" filled="true" fillcolor="#d2d2d2" stroked="false">
                <v:path arrowok="t"/>
                <v:fill type="solid"/>
              </v:shape>
            </v:group>
            <v:group style="position:absolute;left:5418;top:820;width:1007;height:353" coordorigin="5418,820" coordsize="1007,353">
              <v:shape style="position:absolute;left:5418;top:820;width:1007;height:353" coordorigin="5418,820" coordsize="1007,353" path="m5418,1172l6424,1172,6424,820,5418,820,5418,1172xe" filled="true" fillcolor="#d2d2d2" stroked="false">
                <v:path arrowok="t"/>
                <v:fill type="solid"/>
              </v:shape>
            </v:group>
            <v:group style="position:absolute;left:6457;top:469;width:1054;height:704" coordorigin="6457,469" coordsize="1054,704">
              <v:shape style="position:absolute;left:6457;top:469;width:1054;height:704" coordorigin="6457,469" coordsize="1054,704" path="m6457,1172l7511,1172,7511,469,6457,469,6457,1172xe" filled="true" fillcolor="#d2d2d2" stroked="false">
                <v:path arrowok="t"/>
                <v:fill type="solid"/>
              </v:shape>
            </v:group>
            <v:group style="position:absolute;left:6481;top:469;width:1006;height:351" coordorigin="6481,469" coordsize="1006,351">
              <v:shape style="position:absolute;left:6481;top:469;width:1006;height:351" coordorigin="6481,469" coordsize="1006,351" path="m6481,820l7487,820,7487,469,6481,469,6481,820xe" filled="true" fillcolor="#d2d2d2" stroked="false">
                <v:path arrowok="t"/>
                <v:fill type="solid"/>
              </v:shape>
            </v:group>
            <v:group style="position:absolute;left:6481;top:820;width:1006;height:353" coordorigin="6481,820" coordsize="1006,353">
              <v:shape style="position:absolute;left:6481;top:820;width:1006;height:353" coordorigin="6481,820" coordsize="1006,353" path="m6481,1172l7487,1172,7487,820,6481,820,6481,1172xe" filled="true" fillcolor="#d2d2d2" stroked="false">
                <v:path arrowok="t"/>
                <v:fill type="solid"/>
              </v:shape>
            </v:group>
            <v:group style="position:absolute;left:7521;top:469;width:1054;height:704" coordorigin="7521,469" coordsize="1054,704">
              <v:shape style="position:absolute;left:7521;top:469;width:1054;height:704" coordorigin="7521,469" coordsize="1054,704" path="m7521,1172l8574,1172,8574,469,7521,469,7521,1172xe" filled="true" fillcolor="#d2d2d2" stroked="false">
                <v:path arrowok="t"/>
                <v:fill type="solid"/>
              </v:shape>
            </v:group>
            <v:group style="position:absolute;left:7542;top:469;width:1008;height:351" coordorigin="7542,469" coordsize="1008,351">
              <v:shape style="position:absolute;left:7542;top:469;width:1008;height:351" coordorigin="7542,469" coordsize="1008,351" path="m7542,820l8550,820,8550,469,7542,469,7542,820xe" filled="true" fillcolor="#d2d2d2" stroked="false">
                <v:path arrowok="t"/>
                <v:fill type="solid"/>
              </v:shape>
            </v:group>
            <v:group style="position:absolute;left:7542;top:820;width:1008;height:353" coordorigin="7542,820" coordsize="1008,353">
              <v:shape style="position:absolute;left:7542;top:820;width:1008;height:353" coordorigin="7542,820" coordsize="1008,353" path="m7542,1172l8550,1172,8550,820,7542,820,7542,1172xe" filled="true" fillcolor="#d2d2d2" stroked="false">
                <v:path arrowok="t"/>
                <v:fill type="solid"/>
              </v:shape>
            </v:group>
            <v:group style="position:absolute;left:8584;top:469;width:1055;height:704" coordorigin="8584,469" coordsize="1055,704">
              <v:shape style="position:absolute;left:8584;top:469;width:1055;height:704" coordorigin="8584,469" coordsize="1055,704" path="m8584,1172l9638,1172,9638,469,8584,469,8584,1172xe" filled="true" fillcolor="#d2d2d2" stroked="false">
                <v:path arrowok="t"/>
                <v:fill type="solid"/>
              </v:shape>
            </v:group>
            <v:group style="position:absolute;left:8605;top:469;width:1009;height:351" coordorigin="8605,469" coordsize="1009,351">
              <v:shape style="position:absolute;left:8605;top:469;width:1009;height:351" coordorigin="8605,469" coordsize="1009,351" path="m8605,820l9614,820,9614,469,8605,469,8605,820xe" filled="true" fillcolor="#d2d2d2" stroked="false">
                <v:path arrowok="t"/>
                <v:fill type="solid"/>
              </v:shape>
            </v:group>
            <v:group style="position:absolute;left:8605;top:820;width:1009;height:353" coordorigin="8605,820" coordsize="1009,353">
              <v:shape style="position:absolute;left:8605;top:820;width:1009;height:353" coordorigin="8605,820" coordsize="1009,353" path="m8605,1172l9614,1172,9614,820,8605,820,8605,1172xe" filled="true" fillcolor="#d2d2d2" stroked="false">
                <v:path arrowok="t"/>
                <v:fill type="solid"/>
              </v:shape>
            </v:group>
            <v:group style="position:absolute;left:9648;top:469;width:1052;height:704" coordorigin="9648,469" coordsize="1052,704">
              <v:shape style="position:absolute;left:9648;top:469;width:1052;height:704" coordorigin="9648,469" coordsize="1052,704" path="m9648,1172l10699,1172,10699,469,9648,469,9648,1172xe" filled="true" fillcolor="#d2d2d2" stroked="false">
                <v:path arrowok="t"/>
                <v:fill type="solid"/>
              </v:shape>
            </v:group>
            <v:group style="position:absolute;left:9669;top:469;width:1008;height:351" coordorigin="9669,469" coordsize="1008,351">
              <v:shape style="position:absolute;left:9669;top:469;width:1008;height:351" coordorigin="9669,469" coordsize="1008,351" path="m9669,820l10677,820,10677,469,9669,469,9669,820xe" filled="true" fillcolor="#d2d2d2" stroked="false">
                <v:path arrowok="t"/>
                <v:fill type="solid"/>
              </v:shape>
            </v:group>
            <v:group style="position:absolute;left:9669;top:820;width:1008;height:353" coordorigin="9669,820" coordsize="1008,353">
              <v:shape style="position:absolute;left:9669;top:820;width:1008;height:353" coordorigin="9669,820" coordsize="1008,353" path="m9669,1172l10677,1172,10677,820,9669,820,9669,1172xe" filled="true" fillcolor="#d2d2d2" stroked="false">
                <v:path arrowok="t"/>
                <v:fill type="solid"/>
              </v:shape>
            </v:group>
            <v:group style="position:absolute;left:1138;top:464;width:1057;height:2" coordorigin="1138,464" coordsize="1057,2">
              <v:shape style="position:absolute;left:1138;top:464;width:1057;height:2" coordorigin="1138,464" coordsize="1057,0" path="m1138,464l2194,464e" filled="false" stroked="true" strokeweight=".48pt" strokecolor="#000000">
                <v:path arrowok="t"/>
              </v:shape>
            </v:group>
            <v:group style="position:absolute;left:2204;top:464;width:1054;height:2" coordorigin="2204,464" coordsize="1054,2">
              <v:shape style="position:absolute;left:2204;top:464;width:1054;height:2" coordorigin="2204,464" coordsize="1054,0" path="m2204,464l3257,464e" filled="false" stroked="true" strokeweight=".48pt" strokecolor="#000000">
                <v:path arrowok="t"/>
              </v:shape>
            </v:group>
            <v:group style="position:absolute;left:3267;top:464;width:1055;height:2" coordorigin="3267,464" coordsize="1055,2">
              <v:shape style="position:absolute;left:3267;top:464;width:1055;height:2" coordorigin="3267,464" coordsize="1055,0" path="m3267,464l4321,464e" filled="false" stroked="true" strokeweight=".48pt" strokecolor="#000000">
                <v:path arrowok="t"/>
              </v:shape>
            </v:group>
            <v:group style="position:absolute;left:4331;top:464;width:1054;height:2" coordorigin="4331,464" coordsize="1054,2">
              <v:shape style="position:absolute;left:4331;top:464;width:1054;height:2" coordorigin="4331,464" coordsize="1054,0" path="m4331,464l5384,464e" filled="false" stroked="true" strokeweight=".48pt" strokecolor="#000000">
                <v:path arrowok="t"/>
              </v:shape>
            </v:group>
            <v:group style="position:absolute;left:5394;top:464;width:1052;height:2" coordorigin="5394,464" coordsize="1052,2">
              <v:shape style="position:absolute;left:5394;top:464;width:1052;height:2" coordorigin="5394,464" coordsize="1052,0" path="m5394,464l6445,464e" filled="false" stroked="true" strokeweight=".48pt" strokecolor="#000000">
                <v:path arrowok="t"/>
              </v:shape>
            </v:group>
            <v:group style="position:absolute;left:6455;top:464;width:1054;height:2" coordorigin="6455,464" coordsize="1054,2">
              <v:shape style="position:absolute;left:6455;top:464;width:1054;height:2" coordorigin="6455,464" coordsize="1054,0" path="m6455,464l7509,464e" filled="false" stroked="true" strokeweight=".48pt" strokecolor="#000000">
                <v:path arrowok="t"/>
              </v:shape>
            </v:group>
            <v:group style="position:absolute;left:7518;top:464;width:1054;height:2" coordorigin="7518,464" coordsize="1054,2">
              <v:shape style="position:absolute;left:7518;top:464;width:1054;height:2" coordorigin="7518,464" coordsize="1054,0" path="m7518,464l8572,464e" filled="false" stroked="true" strokeweight=".48pt" strokecolor="#000000">
                <v:path arrowok="t"/>
              </v:shape>
            </v:group>
            <v:group style="position:absolute;left:8581;top:464;width:1055;height:2" coordorigin="8581,464" coordsize="1055,2">
              <v:shape style="position:absolute;left:8581;top:464;width:1055;height:2" coordorigin="8581,464" coordsize="1055,0" path="m8581,464l9635,464e" filled="false" stroked="true" strokeweight=".48pt" strokecolor="#000000">
                <v:path arrowok="t"/>
              </v:shape>
            </v:group>
            <v:group style="position:absolute;left:9645;top:464;width:1054;height:2" coordorigin="9645,464" coordsize="1054,2">
              <v:shape style="position:absolute;left:9645;top:464;width:1054;height:2" coordorigin="9645,464" coordsize="1054,0" path="m9645,464l10699,464e" filled="false" stroked="true" strokeweight=".48pt" strokecolor="#000000">
                <v:path arrowok="t"/>
              </v:shape>
            </v:group>
            <v:group style="position:absolute;left:5394;top:1182;width:1055;height:1643" coordorigin="5394,1182" coordsize="1055,1643">
              <v:shape style="position:absolute;left:5394;top:1182;width:1055;height:1643" coordorigin="5394,1182" coordsize="1055,1643" path="m5394,2824l6448,2824,6448,1182,5394,1182,5394,2824xe" filled="true" fillcolor="#ffffff" stroked="false">
                <v:path arrowok="t"/>
                <v:fill type="solid"/>
              </v:shape>
            </v:group>
            <v:group style="position:absolute;left:5418;top:1806;width:1007;height:394" coordorigin="5418,1806" coordsize="1007,394">
              <v:shape style="position:absolute;left:5418;top:1806;width:1007;height:394" coordorigin="5418,1806" coordsize="1007,394" path="m5418,2200l6424,2200,6424,1806,5418,1806,5418,2200xe" filled="true" fillcolor="#ffffff" stroked="false">
                <v:path arrowok="t"/>
                <v:fill type="solid"/>
              </v:shape>
            </v:group>
            <v:group style="position:absolute;left:1138;top:1177;width:1057;height:2" coordorigin="1138,1177" coordsize="1057,2">
              <v:shape style="position:absolute;left:1138;top:1177;width:1057;height:2" coordorigin="1138,1177" coordsize="1057,0" path="m1138,1177l2194,1177e" filled="false" stroked="true" strokeweight=".48001pt" strokecolor="#000000">
                <v:path arrowok="t"/>
              </v:shape>
            </v:group>
            <v:group style="position:absolute;left:2204;top:1177;width:1054;height:2" coordorigin="2204,1177" coordsize="1054,2">
              <v:shape style="position:absolute;left:2204;top:1177;width:1054;height:2" coordorigin="2204,1177" coordsize="1054,0" path="m2204,1177l3257,1177e" filled="false" stroked="true" strokeweight=".48001pt" strokecolor="#000000">
                <v:path arrowok="t"/>
              </v:shape>
            </v:group>
            <v:group style="position:absolute;left:3267;top:1177;width:1055;height:2" coordorigin="3267,1177" coordsize="1055,2">
              <v:shape style="position:absolute;left:3267;top:1177;width:1055;height:2" coordorigin="3267,1177" coordsize="1055,0" path="m3267,1177l4321,1177e" filled="false" stroked="true" strokeweight=".48001pt" strokecolor="#000000">
                <v:path arrowok="t"/>
              </v:shape>
            </v:group>
            <v:group style="position:absolute;left:4331;top:1177;width:1054;height:2" coordorigin="4331,1177" coordsize="1054,2">
              <v:shape style="position:absolute;left:4331;top:1177;width:1054;height:2" coordorigin="4331,1177" coordsize="1054,0" path="m4331,1177l5384,1177e" filled="false" stroked="true" strokeweight=".48001pt" strokecolor="#000000">
                <v:path arrowok="t"/>
              </v:shape>
            </v:group>
            <v:group style="position:absolute;left:5394;top:1177;width:1052;height:2" coordorigin="5394,1177" coordsize="1052,2">
              <v:shape style="position:absolute;left:5394;top:1177;width:1052;height:2" coordorigin="5394,1177" coordsize="1052,0" path="m5394,1177l6445,1177e" filled="false" stroked="true" strokeweight=".48001pt" strokecolor="#000000">
                <v:path arrowok="t"/>
              </v:shape>
            </v:group>
            <v:group style="position:absolute;left:6455;top:1177;width:1054;height:2" coordorigin="6455,1177" coordsize="1054,2">
              <v:shape style="position:absolute;left:6455;top:1177;width:1054;height:2" coordorigin="6455,1177" coordsize="1054,0" path="m6455,1177l7509,1177e" filled="false" stroked="true" strokeweight=".48001pt" strokecolor="#000000">
                <v:path arrowok="t"/>
              </v:shape>
            </v:group>
            <v:group style="position:absolute;left:7518;top:1177;width:1054;height:2" coordorigin="7518,1177" coordsize="1054,2">
              <v:shape style="position:absolute;left:7518;top:1177;width:1054;height:2" coordorigin="7518,1177" coordsize="1054,0" path="m7518,1177l8572,1177e" filled="false" stroked="true" strokeweight=".48001pt" strokecolor="#000000">
                <v:path arrowok="t"/>
              </v:shape>
            </v:group>
            <v:group style="position:absolute;left:8581;top:1177;width:1055;height:2" coordorigin="8581,1177" coordsize="1055,2">
              <v:shape style="position:absolute;left:8581;top:1177;width:1055;height:2" coordorigin="8581,1177" coordsize="1055,0" path="m8581,1177l9635,1177e" filled="false" stroked="true" strokeweight=".48001pt" strokecolor="#000000">
                <v:path arrowok="t"/>
              </v:shape>
            </v:group>
            <v:group style="position:absolute;left:9645;top:1177;width:1054;height:2" coordorigin="9645,1177" coordsize="1054,2">
              <v:shape style="position:absolute;left:9645;top:1177;width:1054;height:2" coordorigin="9645,1177" coordsize="1054,0" path="m9645,1177l10699,1177e" filled="false" stroked="true" strokeweight=".48001pt" strokecolor="#000000">
                <v:path arrowok="t"/>
              </v:shape>
            </v:group>
            <v:group style="position:absolute;left:5394;top:2834;width:1055;height:2264" coordorigin="5394,2834" coordsize="1055,2264">
              <v:shape style="position:absolute;left:5394;top:2834;width:1055;height:2264" coordorigin="5394,2834" coordsize="1055,2264" path="m5394,5097l6448,5097,6448,2834,5394,2834,5394,5097xe" filled="true" fillcolor="#ffffff" stroked="false">
                <v:path arrowok="t"/>
                <v:fill type="solid"/>
              </v:shape>
            </v:group>
            <v:group style="position:absolute;left:5418;top:3770;width:1007;height:392" coordorigin="5418,3770" coordsize="1007,392">
              <v:shape style="position:absolute;left:5418;top:3770;width:1007;height:392" coordorigin="5418,3770" coordsize="1007,392" path="m5418,4161l6424,4161,6424,3770,5418,3770,5418,4161xe" filled="true" fillcolor="#ffffff" stroked="false">
                <v:path arrowok="t"/>
                <v:fill type="solid"/>
              </v:shape>
            </v:group>
            <v:group style="position:absolute;left:1138;top:2829;width:1057;height:2" coordorigin="1138,2829" coordsize="1057,2">
              <v:shape style="position:absolute;left:1138;top:2829;width:1057;height:2" coordorigin="1138,2829" coordsize="1057,0" path="m1138,2829l2194,2829e" filled="false" stroked="true" strokeweight=".48001pt" strokecolor="#000000">
                <v:path arrowok="t"/>
              </v:shape>
            </v:group>
            <v:group style="position:absolute;left:2204;top:2829;width:1054;height:2" coordorigin="2204,2829" coordsize="1054,2">
              <v:shape style="position:absolute;left:2204;top:2829;width:1054;height:2" coordorigin="2204,2829" coordsize="1054,0" path="m2204,2829l3257,2829e" filled="false" stroked="true" strokeweight=".48001pt" strokecolor="#000000">
                <v:path arrowok="t"/>
              </v:shape>
            </v:group>
            <v:group style="position:absolute;left:3267;top:2829;width:1055;height:2" coordorigin="3267,2829" coordsize="1055,2">
              <v:shape style="position:absolute;left:3267;top:2829;width:1055;height:2" coordorigin="3267,2829" coordsize="1055,0" path="m3267,2829l4321,2829e" filled="false" stroked="true" strokeweight=".48001pt" strokecolor="#000000">
                <v:path arrowok="t"/>
              </v:shape>
            </v:group>
            <v:group style="position:absolute;left:4331;top:2829;width:1054;height:2" coordorigin="4331,2829" coordsize="1054,2">
              <v:shape style="position:absolute;left:4331;top:2829;width:1054;height:2" coordorigin="4331,2829" coordsize="1054,0" path="m4331,2829l5384,2829e" filled="false" stroked="true" strokeweight=".48001pt" strokecolor="#000000">
                <v:path arrowok="t"/>
              </v:shape>
            </v:group>
            <v:group style="position:absolute;left:5394;top:2829;width:1052;height:2" coordorigin="5394,2829" coordsize="1052,2">
              <v:shape style="position:absolute;left:5394;top:2829;width:1052;height:2" coordorigin="5394,2829" coordsize="1052,0" path="m5394,2829l6445,2829e" filled="false" stroked="true" strokeweight=".48001pt" strokecolor="#000000">
                <v:path arrowok="t"/>
              </v:shape>
            </v:group>
            <v:group style="position:absolute;left:6455;top:2829;width:1054;height:2" coordorigin="6455,2829" coordsize="1054,2">
              <v:shape style="position:absolute;left:6455;top:2829;width:1054;height:2" coordorigin="6455,2829" coordsize="1054,0" path="m6455,2829l7509,2829e" filled="false" stroked="true" strokeweight=".48001pt" strokecolor="#000000">
                <v:path arrowok="t"/>
              </v:shape>
            </v:group>
            <v:group style="position:absolute;left:7518;top:2829;width:1054;height:2" coordorigin="7518,2829" coordsize="1054,2">
              <v:shape style="position:absolute;left:7518;top:2829;width:1054;height:2" coordorigin="7518,2829" coordsize="1054,0" path="m7518,2829l8572,2829e" filled="false" stroked="true" strokeweight=".48001pt" strokecolor="#000000">
                <v:path arrowok="t"/>
              </v:shape>
            </v:group>
            <v:group style="position:absolute;left:8581;top:2829;width:1055;height:2" coordorigin="8581,2829" coordsize="1055,2">
              <v:shape style="position:absolute;left:8581;top:2829;width:1055;height:2" coordorigin="8581,2829" coordsize="1055,0" path="m8581,2829l9635,2829e" filled="false" stroked="true" strokeweight=".48001pt" strokecolor="#000000">
                <v:path arrowok="t"/>
              </v:shape>
            </v:group>
            <v:group style="position:absolute;left:9645;top:2829;width:1054;height:2" coordorigin="9645,2829" coordsize="1054,2">
              <v:shape style="position:absolute;left:9645;top:2829;width:1054;height:2" coordorigin="9645,2829" coordsize="1054,0" path="m9645,2829l10699,2829e" filled="false" stroked="true" strokeweight=".48001pt" strokecolor="#000000">
                <v:path arrowok="t"/>
              </v:shape>
            </v:group>
            <v:group style="position:absolute;left:5394;top:5107;width:1055;height:1331" coordorigin="5394,5107" coordsize="1055,1331">
              <v:shape style="position:absolute;left:5394;top:5107;width:1055;height:1331" coordorigin="5394,5107" coordsize="1055,1331" path="m5394,6437l6448,6437,6448,5107,5394,5107,5394,6437xe" filled="true" fillcolor="#ffffff" stroked="false">
                <v:path arrowok="t"/>
                <v:fill type="solid"/>
              </v:shape>
            </v:group>
            <v:group style="position:absolute;left:5418;top:5575;width:1007;height:394" coordorigin="5418,5575" coordsize="1007,394">
              <v:shape style="position:absolute;left:5418;top:5575;width:1007;height:394" coordorigin="5418,5575" coordsize="1007,394" path="m5418,5968l6424,5968,6424,5575,5418,5575,5418,5968xe" filled="true" fillcolor="#ffffff" stroked="false">
                <v:path arrowok="t"/>
                <v:fill type="solid"/>
              </v:shape>
            </v:group>
            <v:group style="position:absolute;left:1138;top:5102;width:1057;height:2" coordorigin="1138,5102" coordsize="1057,2">
              <v:shape style="position:absolute;left:1138;top:5102;width:1057;height:2" coordorigin="1138,5102" coordsize="1057,0" path="m1138,5102l2194,5102e" filled="false" stroked="true" strokeweight=".48001pt" strokecolor="#000000">
                <v:path arrowok="t"/>
              </v:shape>
            </v:group>
            <v:group style="position:absolute;left:2204;top:5102;width:1054;height:2" coordorigin="2204,5102" coordsize="1054,2">
              <v:shape style="position:absolute;left:2204;top:5102;width:1054;height:2" coordorigin="2204,5102" coordsize="1054,0" path="m2204,5102l3257,5102e" filled="false" stroked="true" strokeweight=".48001pt" strokecolor="#000000">
                <v:path arrowok="t"/>
              </v:shape>
            </v:group>
            <v:group style="position:absolute;left:3267;top:5102;width:1055;height:2" coordorigin="3267,5102" coordsize="1055,2">
              <v:shape style="position:absolute;left:3267;top:5102;width:1055;height:2" coordorigin="3267,5102" coordsize="1055,0" path="m3267,5102l4321,5102e" filled="false" stroked="true" strokeweight=".48001pt" strokecolor="#000000">
                <v:path arrowok="t"/>
              </v:shape>
            </v:group>
            <v:group style="position:absolute;left:4331;top:5102;width:1054;height:2" coordorigin="4331,5102" coordsize="1054,2">
              <v:shape style="position:absolute;left:4331;top:5102;width:1054;height:2" coordorigin="4331,5102" coordsize="1054,0" path="m4331,5102l5384,5102e" filled="false" stroked="true" strokeweight=".48001pt" strokecolor="#000000">
                <v:path arrowok="t"/>
              </v:shape>
            </v:group>
            <v:group style="position:absolute;left:5394;top:5102;width:1052;height:2" coordorigin="5394,5102" coordsize="1052,2">
              <v:shape style="position:absolute;left:5394;top:5102;width:1052;height:2" coordorigin="5394,5102" coordsize="1052,0" path="m5394,5102l6445,5102e" filled="false" stroked="true" strokeweight=".48001pt" strokecolor="#000000">
                <v:path arrowok="t"/>
              </v:shape>
            </v:group>
            <v:group style="position:absolute;left:6455;top:5102;width:1054;height:2" coordorigin="6455,5102" coordsize="1054,2">
              <v:shape style="position:absolute;left:6455;top:5102;width:1054;height:2" coordorigin="6455,5102" coordsize="1054,0" path="m6455,5102l7509,5102e" filled="false" stroked="true" strokeweight=".48001pt" strokecolor="#000000">
                <v:path arrowok="t"/>
              </v:shape>
            </v:group>
            <v:group style="position:absolute;left:7518;top:5102;width:1054;height:2" coordorigin="7518,5102" coordsize="1054,2">
              <v:shape style="position:absolute;left:7518;top:5102;width:1054;height:2" coordorigin="7518,5102" coordsize="1054,0" path="m7518,5102l8572,5102e" filled="false" stroked="true" strokeweight=".48001pt" strokecolor="#000000">
                <v:path arrowok="t"/>
              </v:shape>
            </v:group>
            <v:group style="position:absolute;left:8581;top:5102;width:1055;height:2" coordorigin="8581,5102" coordsize="1055,2">
              <v:shape style="position:absolute;left:8581;top:5102;width:1055;height:2" coordorigin="8581,5102" coordsize="1055,0" path="m8581,5102l9635,5102e" filled="false" stroked="true" strokeweight=".48001pt" strokecolor="#000000">
                <v:path arrowok="t"/>
              </v:shape>
            </v:group>
            <v:group style="position:absolute;left:9645;top:5102;width:1054;height:2" coordorigin="9645,5102" coordsize="1054,2">
              <v:shape style="position:absolute;left:9645;top:5102;width:1054;height:2" coordorigin="9645,5102" coordsize="1054,0" path="m9645,5102l10699,5102e" filled="false" stroked="true" strokeweight=".48001pt" strokecolor="#000000">
                <v:path arrowok="t"/>
              </v:shape>
            </v:group>
            <v:group style="position:absolute;left:5394;top:6446;width:1055;height:1328" coordorigin="5394,6446" coordsize="1055,1328">
              <v:shape style="position:absolute;left:5394;top:6446;width:1055;height:1328" coordorigin="5394,6446" coordsize="1055,1328" path="m5394,7773l6448,7773,6448,6446,5394,6446,5394,7773xe" filled="true" fillcolor="#ffffff" stroked="false">
                <v:path arrowok="t"/>
                <v:fill type="solid"/>
              </v:shape>
            </v:group>
            <v:group style="position:absolute;left:5418;top:6914;width:1007;height:392" coordorigin="5418,6914" coordsize="1007,392">
              <v:shape style="position:absolute;left:5418;top:6914;width:1007;height:392" coordorigin="5418,6914" coordsize="1007,392" path="m5418,7305l6424,7305,6424,6914,5418,6914,5418,7305xe" filled="true" fillcolor="#ffffff" stroked="false">
                <v:path arrowok="t"/>
                <v:fill type="solid"/>
              </v:shape>
            </v:group>
            <v:group style="position:absolute;left:1138;top:6441;width:1057;height:2" coordorigin="1138,6441" coordsize="1057,2">
              <v:shape style="position:absolute;left:1138;top:6441;width:1057;height:2" coordorigin="1138,6441" coordsize="1057,0" path="m1138,6441l2194,6441e" filled="false" stroked="true" strokeweight=".48001pt" strokecolor="#000000">
                <v:path arrowok="t"/>
              </v:shape>
            </v:group>
            <v:group style="position:absolute;left:2204;top:6441;width:1054;height:2" coordorigin="2204,6441" coordsize="1054,2">
              <v:shape style="position:absolute;left:2204;top:6441;width:1054;height:2" coordorigin="2204,6441" coordsize="1054,0" path="m2204,6441l3257,6441e" filled="false" stroked="true" strokeweight=".48001pt" strokecolor="#000000">
                <v:path arrowok="t"/>
              </v:shape>
            </v:group>
            <v:group style="position:absolute;left:3267;top:6441;width:1055;height:2" coordorigin="3267,6441" coordsize="1055,2">
              <v:shape style="position:absolute;left:3267;top:6441;width:1055;height:2" coordorigin="3267,6441" coordsize="1055,0" path="m3267,6441l4321,6441e" filled="false" stroked="true" strokeweight=".48001pt" strokecolor="#000000">
                <v:path arrowok="t"/>
              </v:shape>
            </v:group>
            <v:group style="position:absolute;left:4331;top:6441;width:1054;height:2" coordorigin="4331,6441" coordsize="1054,2">
              <v:shape style="position:absolute;left:4331;top:6441;width:1054;height:2" coordorigin="4331,6441" coordsize="1054,0" path="m4331,6441l5384,6441e" filled="false" stroked="true" strokeweight=".48001pt" strokecolor="#000000">
                <v:path arrowok="t"/>
              </v:shape>
            </v:group>
            <v:group style="position:absolute;left:5394;top:6441;width:1052;height:2" coordorigin="5394,6441" coordsize="1052,2">
              <v:shape style="position:absolute;left:5394;top:6441;width:1052;height:2" coordorigin="5394,6441" coordsize="1052,0" path="m5394,6441l6445,6441e" filled="false" stroked="true" strokeweight=".48001pt" strokecolor="#000000">
                <v:path arrowok="t"/>
              </v:shape>
            </v:group>
            <v:group style="position:absolute;left:6455;top:6441;width:1054;height:2" coordorigin="6455,6441" coordsize="1054,2">
              <v:shape style="position:absolute;left:6455;top:6441;width:1054;height:2" coordorigin="6455,6441" coordsize="1054,0" path="m6455,6441l7509,6441e" filled="false" stroked="true" strokeweight=".48001pt" strokecolor="#000000">
                <v:path arrowok="t"/>
              </v:shape>
            </v:group>
            <v:group style="position:absolute;left:7518;top:6441;width:1054;height:2" coordorigin="7518,6441" coordsize="1054,2">
              <v:shape style="position:absolute;left:7518;top:6441;width:1054;height:2" coordorigin="7518,6441" coordsize="1054,0" path="m7518,6441l8572,6441e" filled="false" stroked="true" strokeweight=".48001pt" strokecolor="#000000">
                <v:path arrowok="t"/>
              </v:shape>
            </v:group>
            <v:group style="position:absolute;left:8581;top:6441;width:1055;height:2" coordorigin="8581,6441" coordsize="1055,2">
              <v:shape style="position:absolute;left:8581;top:6441;width:1055;height:2" coordorigin="8581,6441" coordsize="1055,0" path="m8581,6441l9635,6441e" filled="false" stroked="true" strokeweight=".48001pt" strokecolor="#000000">
                <v:path arrowok="t"/>
              </v:shape>
            </v:group>
            <v:group style="position:absolute;left:9645;top:6441;width:1054;height:2" coordorigin="9645,6441" coordsize="1054,2">
              <v:shape style="position:absolute;left:9645;top:6441;width:1054;height:2" coordorigin="9645,6441" coordsize="1054,0" path="m9645,6441l10699,6441e" filled="false" stroked="true" strokeweight=".48001pt" strokecolor="#000000">
                <v:path arrowok="t"/>
              </v:shape>
            </v:group>
            <v:group style="position:absolute;left:5394;top:7783;width:1055;height:1643" coordorigin="5394,7783" coordsize="1055,1643">
              <v:shape style="position:absolute;left:5394;top:7783;width:1055;height:1643" coordorigin="5394,7783" coordsize="1055,1643" path="m5394,9425l6448,9425,6448,7783,5394,7783,5394,9425xe" filled="true" fillcolor="#ffffff" stroked="false">
                <v:path arrowok="t"/>
                <v:fill type="solid"/>
              </v:shape>
            </v:group>
            <v:group style="position:absolute;left:5418;top:8407;width:1007;height:394" coordorigin="5418,8407" coordsize="1007,394">
              <v:shape style="position:absolute;left:5418;top:8407;width:1007;height:394" coordorigin="5418,8407" coordsize="1007,394" path="m5418,8801l6424,8801,6424,8407,5418,8407,5418,8801xe" filled="true" fillcolor="#ffffff" stroked="false">
                <v:path arrowok="t"/>
                <v:fill type="solid"/>
              </v:shape>
            </v:group>
            <v:group style="position:absolute;left:1138;top:7778;width:1057;height:2" coordorigin="1138,7778" coordsize="1057,2">
              <v:shape style="position:absolute;left:1138;top:7778;width:1057;height:2" coordorigin="1138,7778" coordsize="1057,0" path="m1138,7778l2194,7778e" filled="false" stroked="true" strokeweight=".48001pt" strokecolor="#000000">
                <v:path arrowok="t"/>
              </v:shape>
            </v:group>
            <v:group style="position:absolute;left:2204;top:7778;width:1054;height:2" coordorigin="2204,7778" coordsize="1054,2">
              <v:shape style="position:absolute;left:2204;top:7778;width:1054;height:2" coordorigin="2204,7778" coordsize="1054,0" path="m2204,7778l3257,7778e" filled="false" stroked="true" strokeweight=".48001pt" strokecolor="#000000">
                <v:path arrowok="t"/>
              </v:shape>
            </v:group>
            <v:group style="position:absolute;left:3267;top:7778;width:1055;height:2" coordorigin="3267,7778" coordsize="1055,2">
              <v:shape style="position:absolute;left:3267;top:7778;width:1055;height:2" coordorigin="3267,7778" coordsize="1055,0" path="m3267,7778l4321,7778e" filled="false" stroked="true" strokeweight=".48001pt" strokecolor="#000000">
                <v:path arrowok="t"/>
              </v:shape>
            </v:group>
            <v:group style="position:absolute;left:4331;top:7778;width:1054;height:2" coordorigin="4331,7778" coordsize="1054,2">
              <v:shape style="position:absolute;left:4331;top:7778;width:1054;height:2" coordorigin="4331,7778" coordsize="1054,0" path="m4331,7778l5384,7778e" filled="false" stroked="true" strokeweight=".48001pt" strokecolor="#000000">
                <v:path arrowok="t"/>
              </v:shape>
            </v:group>
            <v:group style="position:absolute;left:5394;top:7778;width:1052;height:2" coordorigin="5394,7778" coordsize="1052,2">
              <v:shape style="position:absolute;left:5394;top:7778;width:1052;height:2" coordorigin="5394,7778" coordsize="1052,0" path="m5394,7778l6445,7778e" filled="false" stroked="true" strokeweight=".48001pt" strokecolor="#000000">
                <v:path arrowok="t"/>
              </v:shape>
            </v:group>
            <v:group style="position:absolute;left:6455;top:7778;width:1054;height:2" coordorigin="6455,7778" coordsize="1054,2">
              <v:shape style="position:absolute;left:6455;top:7778;width:1054;height:2" coordorigin="6455,7778" coordsize="1054,0" path="m6455,7778l7509,7778e" filled="false" stroked="true" strokeweight=".48001pt" strokecolor="#000000">
                <v:path arrowok="t"/>
              </v:shape>
            </v:group>
            <v:group style="position:absolute;left:7518;top:7778;width:1054;height:2" coordorigin="7518,7778" coordsize="1054,2">
              <v:shape style="position:absolute;left:7518;top:7778;width:1054;height:2" coordorigin="7518,7778" coordsize="1054,0" path="m7518,7778l8572,7778e" filled="false" stroked="true" strokeweight=".48001pt" strokecolor="#000000">
                <v:path arrowok="t"/>
              </v:shape>
            </v:group>
            <v:group style="position:absolute;left:8581;top:7778;width:1055;height:2" coordorigin="8581,7778" coordsize="1055,2">
              <v:shape style="position:absolute;left:8581;top:7778;width:1055;height:2" coordorigin="8581,7778" coordsize="1055,0" path="m8581,7778l9635,7778e" filled="false" stroked="true" strokeweight=".48001pt" strokecolor="#000000">
                <v:path arrowok="t"/>
              </v:shape>
            </v:group>
            <v:group style="position:absolute;left:9645;top:7778;width:1054;height:2" coordorigin="9645,7778" coordsize="1054,2">
              <v:shape style="position:absolute;left:9645;top:7778;width:1054;height:2" coordorigin="9645,7778" coordsize="1054,0" path="m9645,7778l10699,7778e" filled="false" stroked="true" strokeweight=".48001pt" strokecolor="#000000">
                <v:path arrowok="t"/>
              </v:shape>
            </v:group>
            <v:group style="position:absolute;left:5394;top:9435;width:1055;height:1328" coordorigin="5394,9435" coordsize="1055,1328">
              <v:shape style="position:absolute;left:5394;top:9435;width:1055;height:1328" coordorigin="5394,9435" coordsize="1055,1328" path="m5394,10762l6448,10762,6448,9435,5394,9435,5394,10762xe" filled="true" fillcolor="#ffffff" stroked="false">
                <v:path arrowok="t"/>
                <v:fill type="solid"/>
              </v:shape>
            </v:group>
            <v:group style="position:absolute;left:5418;top:9903;width:1007;height:392" coordorigin="5418,9903" coordsize="1007,392">
              <v:shape style="position:absolute;left:5418;top:9903;width:1007;height:392" coordorigin="5418,9903" coordsize="1007,392" path="m5418,10294l6424,10294,6424,9903,5418,9903,5418,10294xe" filled="true" fillcolor="#ffffff" stroked="false">
                <v:path arrowok="t"/>
                <v:fill type="solid"/>
              </v:shape>
            </v:group>
            <v:group style="position:absolute;left:1138;top:9430;width:1057;height:2" coordorigin="1138,9430" coordsize="1057,2">
              <v:shape style="position:absolute;left:1138;top:9430;width:1057;height:2" coordorigin="1138,9430" coordsize="1057,0" path="m1138,9430l2194,9430e" filled="false" stroked="true" strokeweight=".48004pt" strokecolor="#000000">
                <v:path arrowok="t"/>
              </v:shape>
            </v:group>
            <v:group style="position:absolute;left:2204;top:9430;width:1054;height:2" coordorigin="2204,9430" coordsize="1054,2">
              <v:shape style="position:absolute;left:2204;top:9430;width:1054;height:2" coordorigin="2204,9430" coordsize="1054,0" path="m2204,9430l3257,9430e" filled="false" stroked="true" strokeweight=".48004pt" strokecolor="#000000">
                <v:path arrowok="t"/>
              </v:shape>
            </v:group>
            <v:group style="position:absolute;left:3267;top:9430;width:1055;height:2" coordorigin="3267,9430" coordsize="1055,2">
              <v:shape style="position:absolute;left:3267;top:9430;width:1055;height:2" coordorigin="3267,9430" coordsize="1055,0" path="m3267,9430l4321,9430e" filled="false" stroked="true" strokeweight=".48004pt" strokecolor="#000000">
                <v:path arrowok="t"/>
              </v:shape>
            </v:group>
            <v:group style="position:absolute;left:4331;top:9430;width:1054;height:2" coordorigin="4331,9430" coordsize="1054,2">
              <v:shape style="position:absolute;left:4331;top:9430;width:1054;height:2" coordorigin="4331,9430" coordsize="1054,0" path="m4331,9430l5384,9430e" filled="false" stroked="true" strokeweight=".48004pt" strokecolor="#000000">
                <v:path arrowok="t"/>
              </v:shape>
            </v:group>
            <v:group style="position:absolute;left:5394;top:9430;width:1052;height:2" coordorigin="5394,9430" coordsize="1052,2">
              <v:shape style="position:absolute;left:5394;top:9430;width:1052;height:2" coordorigin="5394,9430" coordsize="1052,0" path="m5394,9430l6445,9430e" filled="false" stroked="true" strokeweight=".48004pt" strokecolor="#000000">
                <v:path arrowok="t"/>
              </v:shape>
            </v:group>
            <v:group style="position:absolute;left:6455;top:9430;width:1054;height:2" coordorigin="6455,9430" coordsize="1054,2">
              <v:shape style="position:absolute;left:6455;top:9430;width:1054;height:2" coordorigin="6455,9430" coordsize="1054,0" path="m6455,9430l7509,9430e" filled="false" stroked="true" strokeweight=".48004pt" strokecolor="#000000">
                <v:path arrowok="t"/>
              </v:shape>
            </v:group>
            <v:group style="position:absolute;left:7518;top:9430;width:1054;height:2" coordorigin="7518,9430" coordsize="1054,2">
              <v:shape style="position:absolute;left:7518;top:9430;width:1054;height:2" coordorigin="7518,9430" coordsize="1054,0" path="m7518,9430l8572,9430e" filled="false" stroked="true" strokeweight=".48004pt" strokecolor="#000000">
                <v:path arrowok="t"/>
              </v:shape>
            </v:group>
            <v:group style="position:absolute;left:8581;top:9430;width:1055;height:2" coordorigin="8581,9430" coordsize="1055,2">
              <v:shape style="position:absolute;left:8581;top:9430;width:1055;height:2" coordorigin="8581,9430" coordsize="1055,0" path="m8581,9430l9635,9430e" filled="false" stroked="true" strokeweight=".48004pt" strokecolor="#000000">
                <v:path arrowok="t"/>
              </v:shape>
            </v:group>
            <v:group style="position:absolute;left:9645;top:9430;width:1054;height:2" coordorigin="9645,9430" coordsize="1054,2">
              <v:shape style="position:absolute;left:9645;top:9430;width:1054;height:2" coordorigin="9645,9430" coordsize="1054,0" path="m9645,9430l10699,9430e" filled="false" stroked="true" strokeweight=".48004pt" strokecolor="#000000">
                <v:path arrowok="t"/>
              </v:shape>
            </v:group>
            <v:group style="position:absolute;left:5394;top:10772;width:1055;height:1642" coordorigin="5394,10772" coordsize="1055,1642">
              <v:shape style="position:absolute;left:5394;top:10772;width:1055;height:1642" coordorigin="5394,10772" coordsize="1055,1642" path="m5394,12413l6448,12413,6448,10772,5394,10772,5394,12413xe" filled="true" fillcolor="#ffffff" stroked="false">
                <v:path arrowok="t"/>
                <v:fill type="solid"/>
              </v:shape>
            </v:group>
            <v:group style="position:absolute;left:5418;top:11396;width:1007;height:394" coordorigin="5418,11396" coordsize="1007,394">
              <v:shape style="position:absolute;left:5418;top:11396;width:1007;height:394" coordorigin="5418,11396" coordsize="1007,394" path="m5418,11789l6424,11789,6424,11396,5418,11396,5418,11789xe" filled="true" fillcolor="#ffffff" stroked="false">
                <v:path arrowok="t"/>
                <v:fill type="solid"/>
              </v:shape>
            </v:group>
            <v:group style="position:absolute;left:1138;top:10767;width:1057;height:2" coordorigin="1138,10767" coordsize="1057,2">
              <v:shape style="position:absolute;left:1138;top:10767;width:1057;height:2" coordorigin="1138,10767" coordsize="1057,0" path="m1138,10767l2194,10767e" filled="false" stroked="true" strokeweight=".47998pt" strokecolor="#000000">
                <v:path arrowok="t"/>
              </v:shape>
            </v:group>
            <v:group style="position:absolute;left:2204;top:10767;width:1054;height:2" coordorigin="2204,10767" coordsize="1054,2">
              <v:shape style="position:absolute;left:2204;top:10767;width:1054;height:2" coordorigin="2204,10767" coordsize="1054,0" path="m2204,10767l3257,10767e" filled="false" stroked="true" strokeweight=".47998pt" strokecolor="#000000">
                <v:path arrowok="t"/>
              </v:shape>
            </v:group>
            <v:group style="position:absolute;left:3267;top:10767;width:1055;height:2" coordorigin="3267,10767" coordsize="1055,2">
              <v:shape style="position:absolute;left:3267;top:10767;width:1055;height:2" coordorigin="3267,10767" coordsize="1055,0" path="m3267,10767l4321,10767e" filled="false" stroked="true" strokeweight=".47998pt" strokecolor="#000000">
                <v:path arrowok="t"/>
              </v:shape>
            </v:group>
            <v:group style="position:absolute;left:4331;top:10767;width:1054;height:2" coordorigin="4331,10767" coordsize="1054,2">
              <v:shape style="position:absolute;left:4331;top:10767;width:1054;height:2" coordorigin="4331,10767" coordsize="1054,0" path="m4331,10767l5384,10767e" filled="false" stroked="true" strokeweight=".47998pt" strokecolor="#000000">
                <v:path arrowok="t"/>
              </v:shape>
            </v:group>
            <v:group style="position:absolute;left:5394;top:10767;width:1052;height:2" coordorigin="5394,10767" coordsize="1052,2">
              <v:shape style="position:absolute;left:5394;top:10767;width:1052;height:2" coordorigin="5394,10767" coordsize="1052,0" path="m5394,10767l6445,10767e" filled="false" stroked="true" strokeweight=".47998pt" strokecolor="#000000">
                <v:path arrowok="t"/>
              </v:shape>
            </v:group>
            <v:group style="position:absolute;left:6455;top:10767;width:1054;height:2" coordorigin="6455,10767" coordsize="1054,2">
              <v:shape style="position:absolute;left:6455;top:10767;width:1054;height:2" coordorigin="6455,10767" coordsize="1054,0" path="m6455,10767l7509,10767e" filled="false" stroked="true" strokeweight=".47998pt" strokecolor="#000000">
                <v:path arrowok="t"/>
              </v:shape>
            </v:group>
            <v:group style="position:absolute;left:7518;top:10767;width:1054;height:2" coordorigin="7518,10767" coordsize="1054,2">
              <v:shape style="position:absolute;left:7518;top:10767;width:1054;height:2" coordorigin="7518,10767" coordsize="1054,0" path="m7518,10767l8572,10767e" filled="false" stroked="true" strokeweight=".47998pt" strokecolor="#000000">
                <v:path arrowok="t"/>
              </v:shape>
            </v:group>
            <v:group style="position:absolute;left:8581;top:10767;width:1055;height:2" coordorigin="8581,10767" coordsize="1055,2">
              <v:shape style="position:absolute;left:8581;top:10767;width:1055;height:2" coordorigin="8581,10767" coordsize="1055,0" path="m8581,10767l9635,10767e" filled="false" stroked="true" strokeweight=".47998pt" strokecolor="#000000">
                <v:path arrowok="t"/>
              </v:shape>
            </v:group>
            <v:group style="position:absolute;left:9645;top:10767;width:1054;height:2" coordorigin="9645,10767" coordsize="1054,2">
              <v:shape style="position:absolute;left:9645;top:10767;width:1054;height:2" coordorigin="9645,10767" coordsize="1054,0" path="m9645,10767l10699,10767e" filled="false" stroked="true" strokeweight=".47998pt" strokecolor="#000000">
                <v:path arrowok="t"/>
              </v:shape>
            </v:group>
            <v:group style="position:absolute;left:5394;top:12423;width:1055;height:663" coordorigin="5394,12423" coordsize="1055,663">
              <v:shape style="position:absolute;left:5394;top:12423;width:1055;height:663" coordorigin="5394,12423" coordsize="1055,663" path="m5394,13086l6448,13086,6448,12423,5394,12423,5394,13086xe" filled="true" fillcolor="#ffffff" stroked="false">
                <v:path arrowok="t"/>
                <v:fill type="solid"/>
              </v:shape>
            </v:group>
            <v:group style="position:absolute;left:5418;top:12558;width:1007;height:394" coordorigin="5418,12558" coordsize="1007,394">
              <v:shape style="position:absolute;left:5418;top:12558;width:1007;height:394" coordorigin="5418,12558" coordsize="1007,394" path="m5418,12951l6424,12951,6424,12558,5418,12558,5418,12951xe" filled="true" fillcolor="#ffffff" stroked="false">
                <v:path arrowok="t"/>
                <v:fill type="solid"/>
              </v:shape>
            </v:group>
            <v:group style="position:absolute;left:1138;top:12418;width:1057;height:2" coordorigin="1138,12418" coordsize="1057,2">
              <v:shape style="position:absolute;left:1138;top:12418;width:1057;height:2" coordorigin="1138,12418" coordsize="1057,0" path="m1138,12418l2194,12418e" filled="false" stroked="true" strokeweight=".47998pt" strokecolor="#000000">
                <v:path arrowok="t"/>
              </v:shape>
            </v:group>
            <v:group style="position:absolute;left:2204;top:12418;width:1054;height:2" coordorigin="2204,12418" coordsize="1054,2">
              <v:shape style="position:absolute;left:2204;top:12418;width:1054;height:2" coordorigin="2204,12418" coordsize="1054,0" path="m2204,12418l3257,12418e" filled="false" stroked="true" strokeweight=".47998pt" strokecolor="#000000">
                <v:path arrowok="t"/>
              </v:shape>
            </v:group>
            <v:group style="position:absolute;left:3267;top:12418;width:1055;height:2" coordorigin="3267,12418" coordsize="1055,2">
              <v:shape style="position:absolute;left:3267;top:12418;width:1055;height:2" coordorigin="3267,12418" coordsize="1055,0" path="m3267,12418l4321,12418e" filled="false" stroked="true" strokeweight=".47998pt" strokecolor="#000000">
                <v:path arrowok="t"/>
              </v:shape>
            </v:group>
            <v:group style="position:absolute;left:4331;top:12418;width:1054;height:2" coordorigin="4331,12418" coordsize="1054,2">
              <v:shape style="position:absolute;left:4331;top:12418;width:1054;height:2" coordorigin="4331,12418" coordsize="1054,0" path="m4331,12418l5384,12418e" filled="false" stroked="true" strokeweight=".47998pt" strokecolor="#000000">
                <v:path arrowok="t"/>
              </v:shape>
            </v:group>
            <v:group style="position:absolute;left:5394;top:12418;width:1052;height:2" coordorigin="5394,12418" coordsize="1052,2">
              <v:shape style="position:absolute;left:5394;top:12418;width:1052;height:2" coordorigin="5394,12418" coordsize="1052,0" path="m5394,12418l6445,12418e" filled="false" stroked="true" strokeweight=".47998pt" strokecolor="#000000">
                <v:path arrowok="t"/>
              </v:shape>
            </v:group>
            <v:group style="position:absolute;left:6455;top:12418;width:1054;height:2" coordorigin="6455,12418" coordsize="1054,2">
              <v:shape style="position:absolute;left:6455;top:12418;width:1054;height:2" coordorigin="6455,12418" coordsize="1054,0" path="m6455,12418l7509,12418e" filled="false" stroked="true" strokeweight=".47998pt" strokecolor="#000000">
                <v:path arrowok="t"/>
              </v:shape>
            </v:group>
            <v:group style="position:absolute;left:7518;top:12418;width:1054;height:2" coordorigin="7518,12418" coordsize="1054,2">
              <v:shape style="position:absolute;left:7518;top:12418;width:1054;height:2" coordorigin="7518,12418" coordsize="1054,0" path="m7518,12418l8572,12418e" filled="false" stroked="true" strokeweight=".47998pt" strokecolor="#000000">
                <v:path arrowok="t"/>
              </v:shape>
            </v:group>
            <v:group style="position:absolute;left:8581;top:12418;width:1055;height:2" coordorigin="8581,12418" coordsize="1055,2">
              <v:shape style="position:absolute;left:8581;top:12418;width:1055;height:2" coordorigin="8581,12418" coordsize="1055,0" path="m8581,12418l9635,12418e" filled="false" stroked="true" strokeweight=".47998pt" strokecolor="#000000">
                <v:path arrowok="t"/>
              </v:shape>
            </v:group>
            <v:group style="position:absolute;left:9645;top:12418;width:1054;height:2" coordorigin="9645,12418" coordsize="1054,2">
              <v:shape style="position:absolute;left:9645;top:12418;width:1054;height:2" coordorigin="9645,12418" coordsize="1054,0" path="m9645,12418l10699,12418e" filled="false" stroked="true" strokeweight=".47998pt" strokecolor="#000000">
                <v:path arrowok="t"/>
              </v:shape>
            </v:group>
            <v:group style="position:absolute;left:1133;top:460;width:2;height:12638" coordorigin="1133,460" coordsize="2,12638">
              <v:shape style="position:absolute;left:1133;top:460;width:2;height:12638" coordorigin="1133,460" coordsize="0,12638" path="m1133,460l1133,13098e" filled="false" stroked="true" strokeweight=".48pt" strokecolor="#000000">
                <v:path arrowok="t"/>
              </v:shape>
            </v:group>
            <v:group style="position:absolute;left:1138;top:13093;width:1057;height:2" coordorigin="1138,13093" coordsize="1057,2">
              <v:shape style="position:absolute;left:1138;top:13093;width:1057;height:2" coordorigin="1138,13093" coordsize="1057,0" path="m1138,13093l2194,13093e" filled="false" stroked="true" strokeweight=".47998pt" strokecolor="#000000">
                <v:path arrowok="t"/>
              </v:shape>
            </v:group>
            <v:group style="position:absolute;left:2199;top:460;width:2;height:12638" coordorigin="2199,460" coordsize="2,12638">
              <v:shape style="position:absolute;left:2199;top:460;width:2;height:12638" coordorigin="2199,460" coordsize="0,12638" path="m2199,460l2199,13098e" filled="false" stroked="true" strokeweight=".48pt" strokecolor="#000000">
                <v:path arrowok="t"/>
              </v:shape>
            </v:group>
            <v:group style="position:absolute;left:2204;top:13093;width:1054;height:2" coordorigin="2204,13093" coordsize="1054,2">
              <v:shape style="position:absolute;left:2204;top:13093;width:1054;height:2" coordorigin="2204,13093" coordsize="1054,0" path="m2204,13093l3257,13093e" filled="false" stroked="true" strokeweight=".47998pt" strokecolor="#000000">
                <v:path arrowok="t"/>
              </v:shape>
            </v:group>
            <v:group style="position:absolute;left:3262;top:460;width:2;height:12638" coordorigin="3262,460" coordsize="2,12638">
              <v:shape style="position:absolute;left:3262;top:460;width:2;height:12638" coordorigin="3262,460" coordsize="0,12638" path="m3262,460l3262,13098e" filled="false" stroked="true" strokeweight=".48pt" strokecolor="#000000">
                <v:path arrowok="t"/>
              </v:shape>
            </v:group>
            <v:group style="position:absolute;left:3267;top:13093;width:1055;height:2" coordorigin="3267,13093" coordsize="1055,2">
              <v:shape style="position:absolute;left:3267;top:13093;width:1055;height:2" coordorigin="3267,13093" coordsize="1055,0" path="m3267,13093l4321,13093e" filled="false" stroked="true" strokeweight=".47998pt" strokecolor="#000000">
                <v:path arrowok="t"/>
              </v:shape>
            </v:group>
            <v:group style="position:absolute;left:4326;top:460;width:2;height:12638" coordorigin="4326,460" coordsize="2,12638">
              <v:shape style="position:absolute;left:4326;top:460;width:2;height:12638" coordorigin="4326,460" coordsize="0,12638" path="m4326,460l4326,13098e" filled="false" stroked="true" strokeweight=".48pt" strokecolor="#000000">
                <v:path arrowok="t"/>
              </v:shape>
            </v:group>
            <v:group style="position:absolute;left:4331;top:13093;width:1054;height:2" coordorigin="4331,13093" coordsize="1054,2">
              <v:shape style="position:absolute;left:4331;top:13093;width:1054;height:2" coordorigin="4331,13093" coordsize="1054,0" path="m4331,13093l5384,13093e" filled="false" stroked="true" strokeweight=".47998pt" strokecolor="#000000">
                <v:path arrowok="t"/>
              </v:shape>
            </v:group>
            <v:group style="position:absolute;left:5389;top:460;width:2;height:12638" coordorigin="5389,460" coordsize="2,12638">
              <v:shape style="position:absolute;left:5389;top:460;width:2;height:12638" coordorigin="5389,460" coordsize="0,12638" path="m5389,460l5389,13098e" filled="false" stroked="true" strokeweight=".47998pt" strokecolor="#000000">
                <v:path arrowok="t"/>
              </v:shape>
            </v:group>
            <v:group style="position:absolute;left:5394;top:13093;width:1052;height:2" coordorigin="5394,13093" coordsize="1052,2">
              <v:shape style="position:absolute;left:5394;top:13093;width:1052;height:2" coordorigin="5394,13093" coordsize="1052,0" path="m5394,13093l6445,13093e" filled="false" stroked="true" strokeweight=".47998pt" strokecolor="#000000">
                <v:path arrowok="t"/>
              </v:shape>
            </v:group>
            <v:group style="position:absolute;left:6450;top:460;width:2;height:12638" coordorigin="6450,460" coordsize="2,12638">
              <v:shape style="position:absolute;left:6450;top:460;width:2;height:12638" coordorigin="6450,460" coordsize="0,12638" path="m6450,460l6450,13098e" filled="false" stroked="true" strokeweight=".48001pt" strokecolor="#000000">
                <v:path arrowok="t"/>
              </v:shape>
            </v:group>
            <v:group style="position:absolute;left:6455;top:13093;width:1054;height:2" coordorigin="6455,13093" coordsize="1054,2">
              <v:shape style="position:absolute;left:6455;top:13093;width:1054;height:2" coordorigin="6455,13093" coordsize="1054,0" path="m6455,13093l7509,13093e" filled="false" stroked="true" strokeweight=".47998pt" strokecolor="#000000">
                <v:path arrowok="t"/>
              </v:shape>
            </v:group>
            <v:group style="position:absolute;left:7513;top:460;width:2;height:12638" coordorigin="7513,460" coordsize="2,12638">
              <v:shape style="position:absolute;left:7513;top:460;width:2;height:12638" coordorigin="7513,460" coordsize="0,12638" path="m7513,460l7513,13098e" filled="false" stroked="true" strokeweight=".48001pt" strokecolor="#000000">
                <v:path arrowok="t"/>
              </v:shape>
            </v:group>
            <v:group style="position:absolute;left:7518;top:13093;width:1054;height:2" coordorigin="7518,13093" coordsize="1054,2">
              <v:shape style="position:absolute;left:7518;top:13093;width:1054;height:2" coordorigin="7518,13093" coordsize="1054,0" path="m7518,13093l8572,13093e" filled="false" stroked="true" strokeweight=".47998pt" strokecolor="#000000">
                <v:path arrowok="t"/>
              </v:shape>
            </v:group>
            <v:group style="position:absolute;left:8577;top:460;width:2;height:12638" coordorigin="8577,460" coordsize="2,12638">
              <v:shape style="position:absolute;left:8577;top:460;width:2;height:12638" coordorigin="8577,460" coordsize="0,12638" path="m8577,460l8577,13098e" filled="false" stroked="true" strokeweight=".47998pt" strokecolor="#000000">
                <v:path arrowok="t"/>
              </v:shape>
            </v:group>
            <v:group style="position:absolute;left:8581;top:13093;width:1055;height:2" coordorigin="8581,13093" coordsize="1055,2">
              <v:shape style="position:absolute;left:8581;top:13093;width:1055;height:2" coordorigin="8581,13093" coordsize="1055,0" path="m8581,13093l9635,13093e" filled="false" stroked="true" strokeweight=".47998pt" strokecolor="#000000">
                <v:path arrowok="t"/>
              </v:shape>
            </v:group>
            <v:group style="position:absolute;left:9640;top:460;width:2;height:12638" coordorigin="9640,460" coordsize="2,12638">
              <v:shape style="position:absolute;left:9640;top:460;width:2;height:12638" coordorigin="9640,460" coordsize="0,12638" path="m9640,460l9640,13098e" filled="false" stroked="true" strokeweight=".48001pt" strokecolor="#000000">
                <v:path arrowok="t"/>
              </v:shape>
            </v:group>
            <v:group style="position:absolute;left:9645;top:13093;width:1054;height:2" coordorigin="9645,13093" coordsize="1054,2">
              <v:shape style="position:absolute;left:9645;top:13093;width:1054;height:2" coordorigin="9645,13093" coordsize="1054,0" path="m9645,13093l10699,13093e" filled="false" stroked="true" strokeweight=".47998pt" strokecolor="#000000">
                <v:path arrowok="t"/>
              </v:shape>
            </v:group>
            <v:group style="position:absolute;left:10704;top:460;width:2;height:12638" coordorigin="10704,460" coordsize="2,12638">
              <v:shape style="position:absolute;left:10704;top:460;width:2;height:12638" coordorigin="10704,460" coordsize="0,12638" path="m10704,460l10704,13098e" filled="false" stroked="true" strokeweight=".47998pt" strokecolor="#000000">
                <v:path arrowok="t"/>
              </v:shape>
            </v:group>
            <w10:wrap type="none"/>
          </v:group>
        </w:pict>
      </w:r>
      <w:r>
        <w:rPr/>
        <w:t>单位：</w:t>
      </w:r>
      <w:r>
        <w:rPr>
          <w:spacing w:val="1"/>
        </w:rPr>
        <w:t> </w:t>
      </w:r>
      <w:r>
        <w:rPr/>
        <w:t>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81" w:footer="979" w:top="1080" w:bottom="1160" w:left="980" w:right="980"/>
        </w:sectPr>
      </w:pPr>
    </w:p>
    <w:p>
      <w:pPr>
        <w:spacing w:line="240" w:lineRule="auto" w:before="4"/>
        <w:rPr>
          <w:rFonts w:ascii="宋体" w:hAnsi="宋体" w:cs="宋体" w:eastAsia="宋体" w:hint="default"/>
          <w:sz w:val="15"/>
          <w:szCs w:val="15"/>
        </w:rPr>
      </w:pPr>
    </w:p>
    <w:p>
      <w:pPr>
        <w:pStyle w:val="BodyText"/>
        <w:tabs>
          <w:tab w:pos="1391" w:val="left" w:leader="none"/>
          <w:tab w:pos="2454" w:val="left" w:leader="none"/>
          <w:tab w:pos="3518" w:val="left" w:leader="none"/>
        </w:tabs>
        <w:spacing w:line="240" w:lineRule="auto"/>
        <w:ind w:left="326" w:right="-20"/>
        <w:jc w:val="left"/>
      </w:pPr>
      <w:r>
        <w:rPr/>
        <w:t>补助项目</w:t>
        <w:tab/>
        <w:t>发放主体</w:t>
        <w:tab/>
        <w:t>发放原因</w:t>
        <w:tab/>
        <w:t>性质类型</w:t>
      </w:r>
    </w:p>
    <w:p>
      <w:pPr>
        <w:pStyle w:val="BodyText"/>
        <w:spacing w:line="314" w:lineRule="auto" w:before="44"/>
        <w:ind w:left="211" w:right="-19"/>
        <w:jc w:val="left"/>
      </w:pPr>
      <w:r>
        <w:rPr/>
        <w:br w:type="column"/>
      </w:r>
      <w:r>
        <w:rPr/>
        <w:t>补贴是否影 响当年盈亏</w:t>
      </w:r>
    </w:p>
    <w:p>
      <w:pPr>
        <w:pStyle w:val="BodyText"/>
        <w:spacing w:line="314" w:lineRule="auto" w:before="44"/>
        <w:ind w:left="483" w:right="-20" w:hanging="360"/>
        <w:jc w:val="left"/>
      </w:pPr>
      <w:r>
        <w:rPr/>
        <w:br w:type="column"/>
      </w:r>
      <w:r>
        <w:rPr/>
        <w:t>是否特殊补 贴</w:t>
      </w:r>
    </w:p>
    <w:p>
      <w:pPr>
        <w:pStyle w:val="BodyText"/>
        <w:spacing w:line="314" w:lineRule="auto" w:before="44"/>
        <w:ind w:left="480" w:right="-20" w:hanging="360"/>
        <w:jc w:val="left"/>
      </w:pPr>
      <w:r>
        <w:rPr/>
        <w:br w:type="column"/>
      </w:r>
      <w:r>
        <w:rPr/>
        <w:t>本期发生金 额</w:t>
      </w:r>
    </w:p>
    <w:p>
      <w:pPr>
        <w:pStyle w:val="BodyText"/>
        <w:spacing w:line="314" w:lineRule="auto" w:before="44"/>
        <w:ind w:left="483" w:right="-19" w:hanging="361"/>
        <w:jc w:val="left"/>
      </w:pPr>
      <w:r>
        <w:rPr/>
        <w:br w:type="column"/>
      </w:r>
      <w:r>
        <w:rPr/>
        <w:t>上期发生金 额</w:t>
      </w:r>
    </w:p>
    <w:p>
      <w:pPr>
        <w:pStyle w:val="BodyText"/>
        <w:spacing w:line="314" w:lineRule="auto" w:before="44"/>
        <w:ind w:left="123" w:right="241" w:hanging="46"/>
        <w:jc w:val="left"/>
      </w:pPr>
      <w:r>
        <w:rPr/>
        <w:br w:type="column"/>
      </w:r>
      <w:r>
        <w:rPr/>
        <w:t>与资产相关</w:t>
      </w:r>
      <w:r>
        <w:rPr>
          <w:rFonts w:ascii="宋体" w:hAnsi="宋体" w:cs="宋体" w:eastAsia="宋体" w:hint="default"/>
        </w:rPr>
        <w:t>/ </w:t>
      </w:r>
      <w:r>
        <w:rPr/>
        <w:t>与收益相关</w:t>
      </w:r>
    </w:p>
    <w:p>
      <w:pPr>
        <w:spacing w:after="0" w:line="314" w:lineRule="auto"/>
        <w:jc w:val="left"/>
        <w:sectPr>
          <w:type w:val="continuous"/>
          <w:pgSz w:w="11910" w:h="16840"/>
          <w:pgMar w:top="1080" w:bottom="1160" w:left="980" w:right="980"/>
          <w:cols w:num="6" w:equalWidth="0">
            <w:col w:w="4239" w:space="40"/>
            <w:col w:w="1113" w:space="40"/>
            <w:col w:w="1024" w:space="40"/>
            <w:col w:w="1021" w:space="40"/>
            <w:col w:w="1024" w:space="40"/>
            <w:col w:w="1329"/>
          </w:cols>
        </w:sectPr>
      </w:pPr>
    </w:p>
    <w:p>
      <w:pPr>
        <w:pStyle w:val="BodyText"/>
        <w:spacing w:line="310" w:lineRule="atLeast" w:before="37"/>
        <w:ind w:left="181" w:right="0"/>
        <w:jc w:val="both"/>
      </w:pPr>
      <w:r>
        <w:rPr/>
        <w:t>北京市经济 和信息化委 员会拨付中</w:t>
      </w:r>
    </w:p>
    <w:p>
      <w:pPr>
        <w:spacing w:line="240" w:lineRule="auto" w:before="9"/>
        <w:rPr>
          <w:rFonts w:ascii="宋体" w:hAnsi="宋体" w:cs="宋体" w:eastAsia="宋体" w:hint="default"/>
          <w:sz w:val="26"/>
          <w:szCs w:val="26"/>
        </w:rPr>
      </w:pPr>
      <w:r>
        <w:rPr/>
        <w:br w:type="column"/>
      </w:r>
      <w:r>
        <w:rPr>
          <w:rFonts w:ascii="宋体"/>
          <w:sz w:val="26"/>
        </w:rPr>
      </w:r>
    </w:p>
    <w:p>
      <w:pPr>
        <w:pStyle w:val="BodyText"/>
        <w:spacing w:line="310" w:lineRule="atLeast"/>
        <w:ind w:left="125" w:right="-20"/>
        <w:jc w:val="left"/>
      </w:pPr>
      <w:r>
        <w:rPr/>
        <w:t>北京市经济 和信息化委</w:t>
      </w:r>
      <w:r>
        <w:rPr>
          <w:spacing w:val="73"/>
        </w:rPr>
        <w:t> </w:t>
      </w:r>
      <w:r>
        <w:rPr/>
        <w:t>补助</w:t>
      </w:r>
    </w:p>
    <w:p>
      <w:pPr>
        <w:spacing w:line="240" w:lineRule="auto" w:before="10"/>
        <w:rPr>
          <w:rFonts w:ascii="宋体" w:hAnsi="宋体" w:cs="宋体" w:eastAsia="宋体" w:hint="default"/>
          <w:sz w:val="14"/>
          <w:szCs w:val="14"/>
        </w:rPr>
      </w:pPr>
      <w:r>
        <w:rPr/>
        <w:br w:type="column"/>
      </w:r>
      <w:r>
        <w:rPr>
          <w:rFonts w:ascii="宋体"/>
          <w:sz w:val="14"/>
        </w:rPr>
      </w:r>
    </w:p>
    <w:p>
      <w:pPr>
        <w:pStyle w:val="BodyText"/>
        <w:spacing w:line="310" w:lineRule="atLeast"/>
        <w:ind w:left="181" w:right="1207"/>
        <w:jc w:val="left"/>
      </w:pPr>
      <w:r>
        <w:rPr/>
        <w:t>因研究开发、 技术更新及</w:t>
      </w:r>
    </w:p>
    <w:p>
      <w:pPr>
        <w:pStyle w:val="BodyText"/>
        <w:tabs>
          <w:tab w:pos="2308" w:val="left" w:leader="none"/>
        </w:tabs>
        <w:spacing w:line="132" w:lineRule="exact"/>
        <w:ind w:left="1244" w:right="-20"/>
        <w:jc w:val="left"/>
      </w:pPr>
      <w:r>
        <w:rPr/>
        <w:t>是</w:t>
        <w:tab/>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6"/>
          <w:szCs w:val="26"/>
        </w:rPr>
      </w:pPr>
    </w:p>
    <w:p>
      <w:pPr>
        <w:pStyle w:val="BodyText"/>
        <w:spacing w:line="240" w:lineRule="auto"/>
        <w:ind w:left="181" w:right="-12"/>
        <w:jc w:val="left"/>
        <w:rPr>
          <w:rFonts w:ascii="宋体" w:hAnsi="宋体" w:cs="宋体" w:eastAsia="宋体" w:hint="default"/>
        </w:rPr>
      </w:pPr>
      <w:r>
        <w:rPr>
          <w:rFonts w:ascii="宋体"/>
        </w:rPr>
        <w:t>2,890,000.0</w:t>
      </w:r>
      <w:r>
        <w:rPr>
          <w:rFonts w:ascii="宋体"/>
          <w:spacing w:val="-23"/>
        </w:rPr>
        <w:t> </w:t>
      </w:r>
      <w:r>
        <w:rPr>
          <w:rFonts w:ascii="宋体"/>
        </w:rPr>
        <w:t>2,890,000.0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12" w:lineRule="exact"/>
        <w:ind w:left="15" w:right="0"/>
        <w:jc w:val="left"/>
      </w:pPr>
      <w:r>
        <w:rPr/>
        <w:t>与收益相关</w:t>
      </w:r>
    </w:p>
    <w:p>
      <w:pPr>
        <w:spacing w:after="0" w:line="212" w:lineRule="exact"/>
        <w:jc w:val="left"/>
        <w:sectPr>
          <w:type w:val="continuous"/>
          <w:pgSz w:w="11910" w:h="16840"/>
          <w:pgMar w:top="1080" w:bottom="1160" w:left="980" w:right="980"/>
          <w:cols w:num="5" w:equalWidth="0">
            <w:col w:w="1083" w:space="40"/>
            <w:col w:w="1549" w:space="522"/>
            <w:col w:w="2489" w:space="715"/>
            <w:col w:w="2237" w:space="40"/>
            <w:col w:w="1275"/>
          </w:cols>
        </w:sectPr>
      </w:pPr>
    </w:p>
    <w:p>
      <w:pPr>
        <w:pStyle w:val="BodyText"/>
        <w:spacing w:line="316" w:lineRule="auto" w:before="76"/>
        <w:ind w:left="181" w:right="-20"/>
        <w:jc w:val="left"/>
      </w:pPr>
      <w:r>
        <w:rPr/>
        <w:t>关村现代服</w:t>
      </w:r>
      <w:r>
        <w:rPr>
          <w:spacing w:val="76"/>
        </w:rPr>
        <w:t> </w:t>
      </w:r>
      <w:r>
        <w:rPr/>
        <w:t>员会</w:t>
      </w:r>
      <w:r>
        <w:rPr/>
        <w:t> 务业款项</w:t>
      </w:r>
    </w:p>
    <w:p>
      <w:pPr>
        <w:pStyle w:val="BodyText"/>
        <w:tabs>
          <w:tab w:pos="4285" w:val="left" w:leader="none"/>
          <w:tab w:pos="5349" w:val="left" w:leader="none"/>
        </w:tabs>
        <w:spacing w:line="156" w:lineRule="exact"/>
        <w:ind w:left="181" w:right="0"/>
        <w:jc w:val="left"/>
        <w:rPr>
          <w:rFonts w:ascii="宋体" w:hAnsi="宋体" w:cs="宋体" w:eastAsia="宋体" w:hint="default"/>
        </w:rPr>
      </w:pPr>
      <w:r>
        <w:rPr/>
        <w:br w:type="column"/>
      </w:r>
      <w:r>
        <w:rPr/>
        <w:t>改造等获得</w:t>
        <w:tab/>
      </w:r>
      <w:r>
        <w:rPr>
          <w:rFonts w:ascii="宋体" w:hAnsi="宋体" w:cs="宋体" w:eastAsia="宋体" w:hint="default"/>
        </w:rPr>
        <w:t>0</w:t>
        <w:tab/>
        <w:t>0</w:t>
      </w:r>
    </w:p>
    <w:p>
      <w:pPr>
        <w:pStyle w:val="BodyText"/>
        <w:spacing w:line="240" w:lineRule="auto" w:before="76"/>
        <w:ind w:left="181" w:right="0"/>
        <w:jc w:val="left"/>
      </w:pPr>
      <w:r>
        <w:rPr/>
        <w:t>的补助</w:t>
      </w:r>
    </w:p>
    <w:p>
      <w:pPr>
        <w:spacing w:after="0" w:line="240" w:lineRule="auto"/>
        <w:jc w:val="left"/>
        <w:sectPr>
          <w:type w:val="continuous"/>
          <w:pgSz w:w="11910" w:h="16840"/>
          <w:pgMar w:top="1080" w:bottom="1160" w:left="980" w:right="980"/>
          <w:cols w:num="2" w:equalWidth="0">
            <w:col w:w="1608" w:space="1585"/>
            <w:col w:w="6757"/>
          </w:cols>
        </w:sectPr>
      </w:pPr>
    </w:p>
    <w:p>
      <w:pPr>
        <w:pStyle w:val="BodyText"/>
        <w:spacing w:line="316" w:lineRule="auto" w:before="110"/>
        <w:ind w:left="181" w:right="0"/>
        <w:jc w:val="both"/>
      </w:pPr>
      <w:r>
        <w:rPr/>
        <w:t>中关村科技 园区海淀园 管理委员会 </w:t>
      </w:r>
      <w:r>
        <w:rPr>
          <w:rFonts w:ascii="宋体" w:hAnsi="宋体" w:cs="宋体" w:eastAsia="宋体" w:hint="default"/>
        </w:rPr>
        <w:t>2015</w:t>
      </w:r>
      <w:r>
        <w:rPr>
          <w:rFonts w:ascii="宋体" w:hAnsi="宋体" w:cs="宋体" w:eastAsia="宋体" w:hint="default"/>
          <w:spacing w:val="-43"/>
        </w:rPr>
        <w:t> </w:t>
      </w:r>
      <w:r>
        <w:rPr/>
        <w:t>年海淀 区企业专利 商用化专项 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316" w:lineRule="auto"/>
        <w:ind w:left="77" w:right="-20"/>
        <w:jc w:val="left"/>
      </w:pPr>
      <w:r>
        <w:rPr/>
        <w:t>中关村科技 园区海淀园</w:t>
      </w:r>
      <w:r>
        <w:rPr>
          <w:spacing w:val="73"/>
        </w:rPr>
        <w:t> </w:t>
      </w:r>
      <w:r>
        <w:rPr/>
        <w:t>奖励</w:t>
      </w:r>
      <w:r>
        <w:rPr/>
        <w:t> 管理委员会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0"/>
          <w:szCs w:val="20"/>
        </w:rPr>
      </w:pPr>
    </w:p>
    <w:p>
      <w:pPr>
        <w:pStyle w:val="BodyText"/>
        <w:spacing w:line="310" w:lineRule="atLeast"/>
        <w:ind w:left="181" w:right="5472"/>
        <w:jc w:val="left"/>
      </w:pPr>
      <w:r>
        <w:rPr/>
        <w:t>因研究开发、 技术更新及</w:t>
      </w:r>
    </w:p>
    <w:p>
      <w:pPr>
        <w:pStyle w:val="BodyText"/>
        <w:tabs>
          <w:tab w:pos="2308" w:val="left" w:leader="none"/>
          <w:tab w:pos="3477" w:val="left" w:leader="none"/>
          <w:tab w:pos="5496" w:val="left" w:leader="none"/>
        </w:tabs>
        <w:spacing w:line="117" w:lineRule="exact"/>
        <w:ind w:left="1244" w:right="0"/>
        <w:jc w:val="left"/>
      </w:pPr>
      <w:r>
        <w:rPr/>
        <w:t>是</w:t>
        <w:tab/>
        <w:t>否</w:t>
        <w:tab/>
      </w:r>
      <w:r>
        <w:rPr>
          <w:rFonts w:ascii="宋体" w:hAnsi="宋体" w:cs="宋体" w:eastAsia="宋体" w:hint="default"/>
          <w:spacing w:val="-1"/>
        </w:rPr>
        <w:t>400,000.00</w:t>
        <w:tab/>
      </w:r>
      <w:r>
        <w:rPr/>
        <w:t>与收益相关</w:t>
      </w:r>
    </w:p>
    <w:p>
      <w:pPr>
        <w:pStyle w:val="BodyText"/>
        <w:spacing w:line="195" w:lineRule="exact"/>
        <w:ind w:left="181" w:right="0"/>
        <w:jc w:val="left"/>
      </w:pPr>
      <w:r>
        <w:rPr/>
        <w:t>改造等获得</w:t>
      </w:r>
    </w:p>
    <w:p>
      <w:pPr>
        <w:pStyle w:val="BodyText"/>
        <w:spacing w:line="240" w:lineRule="auto" w:before="76"/>
        <w:ind w:left="181" w:right="0"/>
        <w:jc w:val="left"/>
      </w:pPr>
      <w:r>
        <w:rPr/>
        <w:t>的补助</w:t>
      </w:r>
    </w:p>
    <w:p>
      <w:pPr>
        <w:spacing w:after="0" w:line="240" w:lineRule="auto"/>
        <w:jc w:val="left"/>
        <w:sectPr>
          <w:type w:val="continuous"/>
          <w:pgSz w:w="11910" w:h="16840"/>
          <w:pgMar w:top="1080" w:bottom="1160" w:left="980" w:right="980"/>
          <w:cols w:num="3" w:equalWidth="0">
            <w:col w:w="1131" w:space="40"/>
            <w:col w:w="1501" w:space="522"/>
            <w:col w:w="6756"/>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16" w:lineRule="auto"/>
        <w:ind w:left="181" w:right="-20"/>
        <w:jc w:val="left"/>
      </w:pPr>
      <w:r>
        <w:rPr/>
        <w:t>技术创新补 贴</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9" w:lineRule="auto"/>
        <w:ind w:left="125" w:right="-19"/>
        <w:jc w:val="left"/>
      </w:pPr>
      <w:r>
        <w:rPr/>
        <w:t>上海市闵行 区科学技术</w:t>
      </w:r>
      <w:r>
        <w:rPr>
          <w:spacing w:val="73"/>
        </w:rPr>
        <w:t> </w:t>
      </w:r>
      <w:r>
        <w:rPr/>
        <w:t>补助</w:t>
      </w:r>
      <w:r>
        <w:rPr/>
        <w:t> 委员会</w:t>
      </w:r>
    </w:p>
    <w:p>
      <w:pPr>
        <w:pStyle w:val="BodyText"/>
        <w:spacing w:line="310" w:lineRule="atLeast" w:before="35"/>
        <w:ind w:left="181" w:right="5472"/>
        <w:jc w:val="left"/>
      </w:pPr>
      <w:r>
        <w:rPr/>
        <w:br w:type="column"/>
      </w:r>
      <w:r>
        <w:rPr/>
        <w:t>因研究开发、 技术更新及</w:t>
      </w:r>
    </w:p>
    <w:p>
      <w:pPr>
        <w:pStyle w:val="BodyText"/>
        <w:tabs>
          <w:tab w:pos="2308" w:val="left" w:leader="none"/>
          <w:tab w:pos="3477" w:val="left" w:leader="none"/>
        </w:tabs>
        <w:spacing w:line="116" w:lineRule="exact"/>
        <w:ind w:left="1244" w:right="0"/>
        <w:jc w:val="left"/>
      </w:pPr>
      <w:r>
        <w:rPr/>
        <w:t>是</w:t>
        <w:tab/>
        <w:t>否</w:t>
        <w:tab/>
      </w:r>
      <w:r>
        <w:rPr>
          <w:rFonts w:ascii="宋体" w:hAnsi="宋体" w:cs="宋体" w:eastAsia="宋体" w:hint="default"/>
        </w:rPr>
        <w:t>105,000.00  105,000.00</w:t>
      </w:r>
      <w:r>
        <w:rPr>
          <w:rFonts w:ascii="宋体" w:hAnsi="宋体" w:cs="宋体" w:eastAsia="宋体" w:hint="default"/>
          <w:spacing w:val="-59"/>
        </w:rPr>
        <w:t> </w:t>
      </w:r>
      <w:r>
        <w:rPr/>
        <w:t>与收益相关</w:t>
      </w:r>
    </w:p>
    <w:p>
      <w:pPr>
        <w:pStyle w:val="BodyText"/>
        <w:spacing w:line="196" w:lineRule="exact"/>
        <w:ind w:left="181" w:right="0"/>
        <w:jc w:val="left"/>
      </w:pPr>
      <w:r>
        <w:rPr/>
        <w:t>改造等获得</w:t>
      </w:r>
    </w:p>
    <w:p>
      <w:pPr>
        <w:pStyle w:val="BodyText"/>
        <w:spacing w:line="240" w:lineRule="auto" w:before="77"/>
        <w:ind w:left="181" w:right="0"/>
        <w:jc w:val="left"/>
      </w:pPr>
      <w:r>
        <w:rPr/>
        <w:t>的补助</w:t>
      </w:r>
    </w:p>
    <w:p>
      <w:pPr>
        <w:spacing w:after="0" w:line="240" w:lineRule="auto"/>
        <w:jc w:val="left"/>
        <w:sectPr>
          <w:type w:val="continuous"/>
          <w:pgSz w:w="11910" w:h="16840"/>
          <w:pgMar w:top="108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80" w:bottom="1160" w:left="980" w:right="980"/>
        </w:sectPr>
      </w:pPr>
    </w:p>
    <w:p>
      <w:pPr>
        <w:spacing w:line="240" w:lineRule="auto" w:before="0"/>
        <w:rPr>
          <w:rFonts w:ascii="宋体" w:hAnsi="宋体" w:cs="宋体" w:eastAsia="宋体" w:hint="default"/>
          <w:sz w:val="18"/>
          <w:szCs w:val="18"/>
        </w:rPr>
      </w:pPr>
    </w:p>
    <w:p>
      <w:pPr>
        <w:pStyle w:val="BodyText"/>
        <w:spacing w:line="314" w:lineRule="auto" w:before="121"/>
        <w:ind w:left="181" w:right="-20"/>
        <w:jc w:val="left"/>
      </w:pPr>
      <w:r>
        <w:rPr/>
        <w:t>技术创新补 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上海市科学</w:t>
      </w:r>
    </w:p>
    <w:p>
      <w:pPr>
        <w:pStyle w:val="BodyText"/>
        <w:spacing w:line="155" w:lineRule="exact"/>
        <w:ind w:left="0" w:right="0"/>
        <w:jc w:val="right"/>
      </w:pPr>
      <w:r>
        <w:rPr/>
        <w:t>补助</w:t>
      </w:r>
    </w:p>
    <w:p>
      <w:pPr>
        <w:pStyle w:val="BodyText"/>
        <w:spacing w:line="195" w:lineRule="exact"/>
        <w:ind w:left="125" w:right="-19"/>
        <w:jc w:val="left"/>
      </w:pPr>
      <w:r>
        <w:rPr/>
        <w:t>技术委员会</w:t>
      </w:r>
    </w:p>
    <w:p>
      <w:pPr>
        <w:pStyle w:val="BodyText"/>
        <w:spacing w:line="310" w:lineRule="exact" w:before="6"/>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81" w:lineRule="exact"/>
        <w:ind w:left="1244" w:right="0"/>
        <w:jc w:val="left"/>
      </w:pPr>
      <w:r>
        <w:rPr/>
        <w:t>是</w:t>
        <w:tab/>
        <w:t>否</w:t>
        <w:tab/>
      </w:r>
      <w:r>
        <w:rPr>
          <w:rFonts w:ascii="宋体" w:hAnsi="宋体" w:cs="宋体" w:eastAsia="宋体" w:hint="default"/>
          <w:spacing w:val="-1"/>
        </w:rPr>
        <w:t>24,000.00</w:t>
        <w:tab/>
      </w:r>
      <w:r>
        <w:rPr/>
        <w:t>与收益相关</w:t>
      </w:r>
    </w:p>
    <w:p>
      <w:pPr>
        <w:pStyle w:val="BodyText"/>
        <w:spacing w:line="195" w:lineRule="exact"/>
        <w:ind w:left="181" w:right="0"/>
        <w:jc w:val="left"/>
      </w:pPr>
      <w:r>
        <w:rPr/>
        <w:t>改造等获得</w:t>
      </w:r>
    </w:p>
    <w:p>
      <w:pPr>
        <w:pStyle w:val="BodyText"/>
        <w:spacing w:line="240" w:lineRule="auto" w:before="76"/>
        <w:ind w:left="181" w:right="0"/>
        <w:jc w:val="left"/>
      </w:pPr>
      <w:r>
        <w:rPr/>
        <w:t>的补助</w:t>
      </w:r>
    </w:p>
    <w:p>
      <w:pPr>
        <w:spacing w:after="0" w:line="240" w:lineRule="auto"/>
        <w:jc w:val="left"/>
        <w:sectPr>
          <w:type w:val="continuous"/>
          <w:pgSz w:w="11910" w:h="16840"/>
          <w:pgMar w:top="108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80" w:bottom="1160" w:left="980" w:right="980"/>
        </w:sectPr>
      </w:pPr>
    </w:p>
    <w:p>
      <w:pPr>
        <w:pStyle w:val="BodyText"/>
        <w:spacing w:line="319" w:lineRule="auto" w:before="44"/>
        <w:ind w:left="181" w:right="0"/>
        <w:jc w:val="both"/>
      </w:pPr>
      <w:r>
        <w:rPr/>
        <w:t>北京中关村 海外科技园 有限责任公 司国际化专 项资金</w:t>
      </w:r>
    </w:p>
    <w:p>
      <w:pPr>
        <w:pStyle w:val="BodyText"/>
        <w:spacing w:line="310" w:lineRule="atLeast" w:before="126"/>
        <w:ind w:left="125" w:right="504"/>
        <w:jc w:val="left"/>
      </w:pPr>
      <w:r>
        <w:rPr/>
        <w:br w:type="column"/>
      </w:r>
      <w:r>
        <w:rPr/>
        <w:t>北京中关村 海外科技园</w:t>
      </w:r>
    </w:p>
    <w:p>
      <w:pPr>
        <w:pStyle w:val="BodyText"/>
        <w:spacing w:line="116" w:lineRule="exact"/>
        <w:ind w:left="0" w:right="0"/>
        <w:jc w:val="right"/>
      </w:pPr>
      <w:r>
        <w:rPr/>
        <w:t>奖励</w:t>
      </w:r>
    </w:p>
    <w:p>
      <w:pPr>
        <w:pStyle w:val="BodyText"/>
        <w:spacing w:line="196" w:lineRule="exact"/>
        <w:ind w:left="125" w:right="-19"/>
        <w:jc w:val="left"/>
      </w:pPr>
      <w:r>
        <w:rPr/>
        <w:t>有限责任公</w:t>
      </w:r>
    </w:p>
    <w:p>
      <w:pPr>
        <w:pStyle w:val="BodyText"/>
        <w:spacing w:line="240" w:lineRule="auto" w:before="76"/>
        <w:ind w:left="125" w:right="-19"/>
        <w:jc w:val="left"/>
      </w:pPr>
      <w:r>
        <w:rPr/>
        <w:t>司</w:t>
      </w:r>
    </w:p>
    <w:p>
      <w:pPr>
        <w:pStyle w:val="BodyText"/>
        <w:spacing w:line="310" w:lineRule="atLeast" w:before="126"/>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116" w:lineRule="exact"/>
        <w:ind w:left="1244" w:right="0"/>
        <w:jc w:val="left"/>
      </w:pPr>
      <w:r>
        <w:rPr/>
        <w:t>是</w:t>
        <w:tab/>
        <w:t>否</w:t>
        <w:tab/>
      </w:r>
      <w:r>
        <w:rPr>
          <w:rFonts w:ascii="宋体" w:hAnsi="宋体" w:cs="宋体" w:eastAsia="宋体" w:hint="default"/>
          <w:spacing w:val="-1"/>
        </w:rPr>
        <w:t>79,050.00</w:t>
        <w:tab/>
      </w:r>
      <w:r>
        <w:rPr/>
        <w:t>与收益相关</w:t>
      </w:r>
    </w:p>
    <w:p>
      <w:pPr>
        <w:pStyle w:val="BodyText"/>
        <w:spacing w:line="196" w:lineRule="exact"/>
        <w:ind w:left="181" w:right="0"/>
        <w:jc w:val="left"/>
      </w:pPr>
      <w:r>
        <w:rPr/>
        <w:t>改造等获得</w:t>
      </w:r>
    </w:p>
    <w:p>
      <w:pPr>
        <w:pStyle w:val="BodyText"/>
        <w:spacing w:line="240" w:lineRule="auto" w:before="76"/>
        <w:ind w:left="181" w:right="0"/>
        <w:jc w:val="left"/>
      </w:pPr>
      <w:r>
        <w:rPr/>
        <w:t>的补助</w:t>
      </w:r>
    </w:p>
    <w:p>
      <w:pPr>
        <w:spacing w:after="0" w:line="240" w:lineRule="auto"/>
        <w:jc w:val="left"/>
        <w:sectPr>
          <w:type w:val="continuous"/>
          <w:pgSz w:w="11910" w:h="16840"/>
          <w:pgMar w:top="1080" w:bottom="1160" w:left="980" w:right="980"/>
          <w:cols w:num="3" w:equalWidth="0">
            <w:col w:w="1082" w:space="40"/>
            <w:col w:w="1550" w:space="522"/>
            <w:col w:w="6756"/>
          </w:cols>
        </w:sectPr>
      </w:pPr>
    </w:p>
    <w:p>
      <w:pPr>
        <w:spacing w:line="240" w:lineRule="auto" w:before="3"/>
        <w:rPr>
          <w:rFonts w:ascii="宋体" w:hAnsi="宋体" w:cs="宋体" w:eastAsia="宋体" w:hint="default"/>
          <w:sz w:val="20"/>
          <w:szCs w:val="20"/>
        </w:rPr>
      </w:pPr>
    </w:p>
    <w:p>
      <w:pPr>
        <w:pStyle w:val="BodyText"/>
        <w:spacing w:line="316" w:lineRule="auto"/>
        <w:ind w:left="181" w:right="0"/>
        <w:jc w:val="both"/>
      </w:pPr>
      <w:r>
        <w:rPr/>
        <w:t>中关村企业 信用促进会 补助款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125" w:right="-19"/>
        <w:jc w:val="left"/>
      </w:pPr>
      <w:r>
        <w:rPr/>
        <w:t>中关村企业</w:t>
      </w:r>
    </w:p>
    <w:p>
      <w:pPr>
        <w:pStyle w:val="BodyText"/>
        <w:spacing w:line="155" w:lineRule="exact"/>
        <w:ind w:left="0" w:right="0"/>
        <w:jc w:val="right"/>
      </w:pPr>
      <w:r>
        <w:rPr/>
        <w:t>补助</w:t>
      </w:r>
    </w:p>
    <w:p>
      <w:pPr>
        <w:pStyle w:val="BodyText"/>
        <w:spacing w:line="195" w:lineRule="exact"/>
        <w:ind w:left="125" w:right="-19"/>
        <w:jc w:val="left"/>
      </w:pPr>
      <w:r>
        <w:rPr/>
        <w:t>信用促进会</w:t>
      </w:r>
    </w:p>
    <w:p>
      <w:pPr>
        <w:pStyle w:val="BodyText"/>
        <w:spacing w:line="310" w:lineRule="atLeast" w:before="34"/>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117" w:lineRule="exact"/>
        <w:ind w:left="1244" w:right="0"/>
        <w:jc w:val="left"/>
      </w:pPr>
      <w:r>
        <w:rPr/>
        <w:t>是</w:t>
        <w:tab/>
        <w:t>否</w:t>
        <w:tab/>
      </w:r>
      <w:r>
        <w:rPr>
          <w:rFonts w:ascii="宋体" w:hAnsi="宋体" w:cs="宋体" w:eastAsia="宋体" w:hint="default"/>
          <w:spacing w:val="-1"/>
        </w:rPr>
        <w:t>20,000.00</w:t>
        <w:tab/>
      </w:r>
      <w:r>
        <w:rPr/>
        <w:t>与收益相关</w:t>
      </w:r>
    </w:p>
    <w:p>
      <w:pPr>
        <w:pStyle w:val="BodyText"/>
        <w:spacing w:line="195" w:lineRule="exact"/>
        <w:ind w:left="181" w:right="0"/>
        <w:jc w:val="left"/>
      </w:pPr>
      <w:r>
        <w:rPr/>
        <w:t>改造等获得</w:t>
      </w:r>
    </w:p>
    <w:p>
      <w:pPr>
        <w:pStyle w:val="BodyText"/>
        <w:spacing w:line="240" w:lineRule="auto" w:before="76"/>
        <w:ind w:left="181" w:right="0"/>
        <w:jc w:val="left"/>
      </w:pPr>
      <w:r>
        <w:rPr/>
        <w:t>的补助</w:t>
      </w:r>
    </w:p>
    <w:p>
      <w:pPr>
        <w:spacing w:after="0" w:line="240" w:lineRule="auto"/>
        <w:jc w:val="left"/>
        <w:sectPr>
          <w:type w:val="continuous"/>
          <w:pgSz w:w="11910" w:h="16840"/>
          <w:pgMar w:top="108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80" w:bottom="1160" w:left="980" w:right="980"/>
        </w:sectPr>
      </w:pPr>
    </w:p>
    <w:p>
      <w:pPr>
        <w:pStyle w:val="BodyText"/>
        <w:spacing w:line="316" w:lineRule="auto" w:before="44"/>
        <w:ind w:left="181" w:right="0"/>
        <w:jc w:val="both"/>
      </w:pPr>
      <w:r>
        <w:rPr/>
        <w:t>中国共产党 北京委员会 教育工作委 员会高校社 会实践基地</w:t>
      </w:r>
    </w:p>
    <w:p>
      <w:pPr>
        <w:pStyle w:val="BodyText"/>
        <w:spacing w:line="310" w:lineRule="atLeast" w:before="126"/>
        <w:ind w:left="125" w:right="503"/>
        <w:jc w:val="left"/>
      </w:pPr>
      <w:r>
        <w:rPr/>
        <w:br w:type="column"/>
      </w:r>
      <w:r>
        <w:rPr/>
        <w:t>中国共产党 北京委员会</w:t>
      </w:r>
    </w:p>
    <w:p>
      <w:pPr>
        <w:pStyle w:val="BodyText"/>
        <w:spacing w:line="116" w:lineRule="exact"/>
        <w:ind w:left="0" w:right="0"/>
        <w:jc w:val="right"/>
      </w:pPr>
      <w:r>
        <w:rPr/>
        <w:t>奖励</w:t>
      </w:r>
    </w:p>
    <w:p>
      <w:pPr>
        <w:pStyle w:val="BodyText"/>
        <w:spacing w:line="196" w:lineRule="exact"/>
        <w:ind w:left="125" w:right="-20"/>
        <w:jc w:val="left"/>
      </w:pPr>
      <w:r>
        <w:rPr/>
        <w:t>教育工作委</w:t>
      </w:r>
    </w:p>
    <w:p>
      <w:pPr>
        <w:pStyle w:val="BodyText"/>
        <w:spacing w:line="240" w:lineRule="auto" w:before="76"/>
        <w:ind w:left="125" w:right="-20"/>
        <w:jc w:val="left"/>
      </w:pPr>
      <w:r>
        <w:rPr/>
        <w:t>员会</w:t>
      </w:r>
    </w:p>
    <w:p>
      <w:pPr>
        <w:pStyle w:val="BodyText"/>
        <w:spacing w:line="310" w:lineRule="atLeast" w:before="126"/>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116" w:lineRule="exact"/>
        <w:ind w:left="1244" w:right="0"/>
        <w:jc w:val="left"/>
      </w:pPr>
      <w:r>
        <w:rPr/>
        <w:t>是</w:t>
        <w:tab/>
        <w:t>否</w:t>
        <w:tab/>
      </w:r>
      <w:r>
        <w:rPr>
          <w:rFonts w:ascii="宋体" w:hAnsi="宋体" w:cs="宋体" w:eastAsia="宋体" w:hint="default"/>
          <w:spacing w:val="-1"/>
        </w:rPr>
        <w:t>20,000.00</w:t>
        <w:tab/>
      </w:r>
      <w:r>
        <w:rPr/>
        <w:t>与收益相关</w:t>
      </w:r>
    </w:p>
    <w:p>
      <w:pPr>
        <w:pStyle w:val="BodyText"/>
        <w:spacing w:line="196" w:lineRule="exact"/>
        <w:ind w:left="181" w:right="0"/>
        <w:jc w:val="left"/>
      </w:pPr>
      <w:r>
        <w:rPr/>
        <w:t>改造等获得</w:t>
      </w:r>
    </w:p>
    <w:p>
      <w:pPr>
        <w:pStyle w:val="BodyText"/>
        <w:spacing w:line="240" w:lineRule="auto" w:before="76"/>
        <w:ind w:left="181" w:right="0"/>
        <w:jc w:val="left"/>
      </w:pPr>
      <w:r>
        <w:rPr/>
        <w:t>的补助</w:t>
      </w:r>
    </w:p>
    <w:p>
      <w:pPr>
        <w:spacing w:after="0" w:line="240" w:lineRule="auto"/>
        <w:jc w:val="left"/>
        <w:sectPr>
          <w:type w:val="continuous"/>
          <w:pgSz w:w="11910" w:h="16840"/>
          <w:pgMar w:top="1080" w:bottom="1160" w:left="980" w:right="980"/>
          <w:cols w:num="3" w:equalWidth="0">
            <w:col w:w="1083" w:space="40"/>
            <w:col w:w="1549" w:space="522"/>
            <w:col w:w="6756"/>
          </w:cols>
        </w:sectPr>
      </w:pPr>
    </w:p>
    <w:p>
      <w:pPr>
        <w:pStyle w:val="BodyText"/>
        <w:spacing w:line="314" w:lineRule="auto" w:before="110"/>
        <w:ind w:left="181" w:right="-20"/>
        <w:jc w:val="left"/>
      </w:pPr>
      <w:r>
        <w:rPr/>
        <w:t>中关村科技 园区管理委</w:t>
      </w:r>
    </w:p>
    <w:p>
      <w:pPr>
        <w:pStyle w:val="BodyText"/>
        <w:spacing w:line="185" w:lineRule="exact" w:before="110"/>
        <w:ind w:left="125" w:right="-19"/>
        <w:jc w:val="left"/>
      </w:pPr>
      <w:r>
        <w:rPr/>
        <w:br w:type="column"/>
      </w:r>
      <w:r>
        <w:rPr/>
        <w:t>中关村科技</w:t>
      </w:r>
    </w:p>
    <w:p>
      <w:pPr>
        <w:pStyle w:val="BodyText"/>
        <w:spacing w:line="155" w:lineRule="exact"/>
        <w:ind w:left="0" w:right="0"/>
        <w:jc w:val="right"/>
      </w:pPr>
      <w:r>
        <w:rPr/>
        <w:t>补助</w:t>
      </w:r>
    </w:p>
    <w:p>
      <w:pPr>
        <w:pStyle w:val="BodyText"/>
        <w:spacing w:line="205" w:lineRule="exact"/>
        <w:ind w:left="125" w:right="-19"/>
        <w:jc w:val="left"/>
      </w:pPr>
      <w:r>
        <w:rPr/>
        <w:t>园区管理委</w:t>
      </w:r>
    </w:p>
    <w:p>
      <w:pPr>
        <w:pStyle w:val="BodyText"/>
        <w:spacing w:line="185" w:lineRule="exact" w:before="110"/>
        <w:ind w:left="181" w:right="0"/>
        <w:jc w:val="left"/>
      </w:pPr>
      <w:r>
        <w:rPr/>
        <w:br w:type="column"/>
      </w:r>
      <w:r>
        <w:rPr/>
        <w:t>因研究开发、</w:t>
      </w:r>
    </w:p>
    <w:p>
      <w:pPr>
        <w:pStyle w:val="BodyText"/>
        <w:tabs>
          <w:tab w:pos="2308" w:val="left" w:leader="none"/>
          <w:tab w:pos="3565" w:val="left" w:leader="none"/>
          <w:tab w:pos="4629" w:val="left" w:leader="none"/>
        </w:tabs>
        <w:spacing w:line="155" w:lineRule="exact"/>
        <w:ind w:left="1244" w:right="0"/>
        <w:jc w:val="left"/>
      </w:pPr>
      <w:r>
        <w:rPr/>
        <w:t>是</w:t>
        <w:tab/>
        <w:t>否</w:t>
        <w:tab/>
      </w:r>
      <w:r>
        <w:rPr>
          <w:rFonts w:ascii="宋体" w:hAnsi="宋体" w:cs="宋体" w:eastAsia="宋体" w:hint="default"/>
          <w:spacing w:val="-1"/>
        </w:rPr>
        <w:t>20,000.00</w:t>
        <w:tab/>
        <w:t>20,000.00</w:t>
      </w:r>
      <w:r>
        <w:rPr>
          <w:rFonts w:ascii="宋体" w:hAnsi="宋体" w:cs="宋体" w:eastAsia="宋体" w:hint="default"/>
          <w:spacing w:val="-27"/>
        </w:rPr>
        <w:t> </w:t>
      </w:r>
      <w:r>
        <w:rPr/>
        <w:t>与收益相关</w:t>
      </w:r>
    </w:p>
    <w:p>
      <w:pPr>
        <w:pStyle w:val="BodyText"/>
        <w:spacing w:line="205" w:lineRule="exact"/>
        <w:ind w:left="181" w:right="0"/>
        <w:jc w:val="left"/>
      </w:pPr>
      <w:r>
        <w:rPr/>
        <w:t>技术更新及</w:t>
      </w:r>
    </w:p>
    <w:p>
      <w:pPr>
        <w:spacing w:after="0" w:line="205" w:lineRule="exact"/>
        <w:jc w:val="left"/>
        <w:sectPr>
          <w:type w:val="continuous"/>
          <w:pgSz w:w="11910" w:h="16840"/>
          <w:pgMar w:top="1080" w:bottom="1160" w:left="980" w:right="980"/>
          <w:cols w:num="3" w:equalWidth="0">
            <w:col w:w="1082" w:space="40"/>
            <w:col w:w="1550" w:space="522"/>
            <w:col w:w="6756"/>
          </w:cols>
        </w:sectPr>
      </w:pPr>
    </w:p>
    <w:p>
      <w:pPr>
        <w:spacing w:line="240" w:lineRule="auto" w:before="11"/>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员会经费补 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员会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5315" w:type="dxa"/>
            <w:gridSpan w:val="5"/>
            <w:tcBorders>
              <w:top w:val="single" w:sz="4" w:space="0" w:color="000000"/>
              <w:left w:val="nil" w:sz="6" w:space="0" w:color="auto"/>
              <w:bottom w:val="single" w:sz="4" w:space="0" w:color="000000"/>
              <w:right w:val="nil" w:sz="6" w:space="0" w:color="auto"/>
            </w:tcBorders>
          </w:tcPr>
          <w:p>
            <w:pP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北京中关村 企业信用促 进会中介补 贴款（</w:t>
            </w:r>
            <w:r>
              <w:rPr>
                <w:rFonts w:ascii="宋体" w:hAnsi="宋体" w:cs="宋体" w:eastAsia="宋体" w:hint="default"/>
                <w:sz w:val="18"/>
                <w:szCs w:val="18"/>
              </w:rPr>
              <w:t>2015 </w:t>
            </w:r>
            <w:r>
              <w:rPr>
                <w:rFonts w:ascii="宋体" w:hAnsi="宋体" w:cs="宋体" w:eastAsia="宋体" w:hint="default"/>
                <w:sz w:val="18"/>
                <w:szCs w:val="18"/>
              </w:rPr>
              <w:t>年知识产权 代理费）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北京中关村 企业信用促 进会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310" w:lineRule="atLeast"/>
              <w:ind w:left="23" w:right="-5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1063" w:val="left" w:leader="none"/>
                <w:tab w:pos="2412" w:val="left" w:leader="none"/>
                <w:tab w:pos="3384" w:val="left" w:leader="none"/>
              </w:tabs>
              <w:spacing w:line="116" w:lineRule="exact"/>
              <w:ind w:right="-5186"/>
              <w:jc w:val="right"/>
              <w:rPr>
                <w:rFonts w:ascii="宋体" w:hAnsi="宋体" w:cs="宋体" w:eastAsia="宋体" w:hint="default"/>
                <w:sz w:val="18"/>
                <w:szCs w:val="18"/>
              </w:rPr>
            </w:pPr>
            <w:r>
              <w:rPr>
                <w:rFonts w:ascii="宋体" w:hAnsi="宋体" w:cs="宋体" w:eastAsia="宋体" w:hint="default"/>
                <w:sz w:val="18"/>
                <w:szCs w:val="18"/>
              </w:rPr>
              <w:t>是</w:t>
              <w:tab/>
              <w:t>否</w:t>
              <w:tab/>
            </w:r>
            <w:r>
              <w:rPr>
                <w:rFonts w:ascii="宋体" w:hAnsi="宋体" w:cs="宋体" w:eastAsia="宋体" w:hint="default"/>
                <w:spacing w:val="-1"/>
                <w:sz w:val="18"/>
                <w:szCs w:val="18"/>
              </w:rPr>
              <w:t>5,000.00</w:t>
              <w:tab/>
              <w:t>10,000.00</w:t>
            </w:r>
            <w:r>
              <w:rPr>
                <w:rFonts w:ascii="宋体" w:hAnsi="宋体" w:cs="宋体" w:eastAsia="宋体" w:hint="default"/>
                <w:spacing w:val="-27"/>
                <w:sz w:val="18"/>
                <w:szCs w:val="18"/>
              </w:rPr>
              <w:t> </w:t>
            </w:r>
            <w:r>
              <w:rPr>
                <w:rFonts w:ascii="宋体" w:hAnsi="宋体" w:cs="宋体" w:eastAsia="宋体" w:hint="default"/>
                <w:sz w:val="18"/>
                <w:szCs w:val="18"/>
              </w:rPr>
              <w:t>与收益相关</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首都知识产 权服务业协 会</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年中 关村技术创 新能力建设 </w:t>
            </w:r>
            <w:r>
              <w:rPr>
                <w:rFonts w:ascii="宋体" w:hAnsi="宋体" w:cs="宋体" w:eastAsia="宋体" w:hint="default"/>
                <w:spacing w:val="-12"/>
                <w:sz w:val="18"/>
                <w:szCs w:val="18"/>
              </w:rPr>
              <w:t>专项基金（专</w:t>
            </w:r>
            <w:r>
              <w:rPr>
                <w:rFonts w:ascii="宋体" w:hAnsi="宋体" w:cs="宋体" w:eastAsia="宋体" w:hint="default"/>
                <w:sz w:val="18"/>
                <w:szCs w:val="18"/>
              </w:rPr>
              <w:t> 利部分）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首都知识产 权服务业协 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0" w:lineRule="atLeast"/>
              <w:ind w:left="23" w:right="-5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1063" w:val="left" w:leader="none"/>
                <w:tab w:pos="2412" w:val="left" w:leader="none"/>
                <w:tab w:pos="4251" w:val="left" w:leader="none"/>
              </w:tabs>
              <w:spacing w:line="116" w:lineRule="exact"/>
              <w:ind w:right="-5186"/>
              <w:jc w:val="right"/>
              <w:rPr>
                <w:rFonts w:ascii="宋体" w:hAnsi="宋体" w:cs="宋体" w:eastAsia="宋体" w:hint="default"/>
                <w:sz w:val="18"/>
                <w:szCs w:val="18"/>
              </w:rPr>
            </w:pPr>
            <w:r>
              <w:rPr>
                <w:rFonts w:ascii="宋体" w:hAnsi="宋体" w:cs="宋体" w:eastAsia="宋体" w:hint="default"/>
                <w:sz w:val="18"/>
                <w:szCs w:val="18"/>
              </w:rPr>
              <w:t>是</w:t>
              <w:tab/>
              <w:t>否</w:t>
              <w:tab/>
            </w:r>
            <w:r>
              <w:rPr>
                <w:rFonts w:ascii="宋体" w:hAnsi="宋体" w:cs="宋体" w:eastAsia="宋体" w:hint="default"/>
                <w:spacing w:val="-1"/>
                <w:sz w:val="18"/>
                <w:szCs w:val="18"/>
              </w:rPr>
              <w:t>3,500.00</w:t>
              <w:tab/>
            </w:r>
            <w:r>
              <w:rPr>
                <w:rFonts w:ascii="宋体" w:hAnsi="宋体" w:cs="宋体" w:eastAsia="宋体" w:hint="default"/>
                <w:sz w:val="18"/>
                <w:szCs w:val="18"/>
              </w:rPr>
              <w:t>与收益相关</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国家知识产 权局专利局 北京代表处 专利资助金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国家知识产 权局专利局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5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pStyle w:val="TableParagraph"/>
              <w:tabs>
                <w:tab w:pos="2150" w:val="left" w:leader="none"/>
                <w:tab w:pos="3499" w:val="left" w:leader="none"/>
                <w:tab w:pos="4563" w:val="left" w:leader="none"/>
              </w:tabs>
              <w:spacing w:line="79" w:lineRule="exact"/>
              <w:ind w:left="1087" w:right="-5186"/>
              <w:jc w:val="left"/>
              <w:rPr>
                <w:rFonts w:ascii="宋体" w:hAnsi="宋体" w:cs="宋体" w:eastAsia="宋体" w:hint="default"/>
                <w:sz w:val="18"/>
                <w:szCs w:val="18"/>
              </w:rPr>
            </w:pPr>
            <w:r>
              <w:rPr>
                <w:rFonts w:ascii="宋体" w:hAnsi="宋体" w:cs="宋体" w:eastAsia="宋体" w:hint="default"/>
                <w:sz w:val="18"/>
                <w:szCs w:val="18"/>
              </w:rPr>
              <w:t>是</w:t>
              <w:tab/>
              <w:t>否</w:t>
              <w:tab/>
            </w:r>
            <w:r>
              <w:rPr>
                <w:rFonts w:ascii="宋体" w:hAnsi="宋体" w:cs="宋体" w:eastAsia="宋体" w:hint="default"/>
                <w:spacing w:val="-1"/>
                <w:sz w:val="18"/>
                <w:szCs w:val="18"/>
              </w:rPr>
              <w:t>1,500.00</w:t>
              <w:tab/>
              <w:t>1,200.00</w:t>
            </w:r>
            <w:r>
              <w:rPr>
                <w:rFonts w:ascii="宋体" w:hAnsi="宋体" w:cs="宋体" w:eastAsia="宋体" w:hint="default"/>
                <w:spacing w:val="-30"/>
                <w:sz w:val="18"/>
                <w:szCs w:val="18"/>
              </w:rPr>
              <w:t> </w:t>
            </w:r>
            <w:r>
              <w:rPr>
                <w:rFonts w:ascii="宋体" w:hAnsi="宋体" w:cs="宋体" w:eastAsia="宋体" w:hint="default"/>
                <w:sz w:val="18"/>
                <w:szCs w:val="18"/>
              </w:rPr>
              <w:t>与收益相关</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258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30"/>
              <w:jc w:val="both"/>
              <w:rPr>
                <w:rFonts w:ascii="宋体" w:hAnsi="宋体" w:cs="宋体" w:eastAsia="宋体" w:hint="default"/>
                <w:sz w:val="18"/>
                <w:szCs w:val="18"/>
              </w:rPr>
            </w:pPr>
            <w:r>
              <w:rPr>
                <w:rFonts w:ascii="宋体" w:hAnsi="宋体" w:cs="宋体" w:eastAsia="宋体" w:hint="default"/>
                <w:sz w:val="18"/>
                <w:szCs w:val="18"/>
              </w:rPr>
              <w:t>北京市财政 局老旧汽车 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北京市财政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w:t>
            </w:r>
          </w:p>
          <w:p>
            <w:pPr>
              <w:pStyle w:val="TableParagraph"/>
              <w:spacing w:line="196" w:lineRule="exact" w:before="17"/>
              <w:ind w:left="23" w:right="0"/>
              <w:jc w:val="both"/>
              <w:rPr>
                <w:rFonts w:ascii="宋体" w:hAnsi="宋体" w:cs="宋体" w:eastAsia="宋体" w:hint="default"/>
                <w:sz w:val="18"/>
                <w:szCs w:val="18"/>
              </w:rPr>
            </w:pPr>
            <w:r>
              <w:rPr>
                <w:rFonts w:ascii="宋体" w:hAnsi="宋体" w:cs="宋体" w:eastAsia="宋体" w:hint="default"/>
                <w:sz w:val="18"/>
                <w:szCs w:val="18"/>
              </w:rPr>
              <w:t>社会必要产</w:t>
            </w:r>
          </w:p>
          <w:p>
            <w:pPr>
              <w:pStyle w:val="TableParagraph"/>
              <w:tabs>
                <w:tab w:pos="1063" w:val="left" w:leader="none"/>
                <w:tab w:pos="3476" w:val="left" w:leader="none"/>
              </w:tabs>
              <w:spacing w:line="156" w:lineRule="exact"/>
              <w:ind w:right="-5186"/>
              <w:jc w:val="right"/>
              <w:rPr>
                <w:rFonts w:ascii="宋体" w:hAnsi="宋体" w:cs="宋体" w:eastAsia="宋体" w:hint="default"/>
                <w:sz w:val="18"/>
                <w:szCs w:val="18"/>
              </w:rPr>
            </w:pPr>
            <w:r>
              <w:rPr>
                <w:rFonts w:ascii="宋体" w:hAnsi="宋体" w:cs="宋体" w:eastAsia="宋体" w:hint="default"/>
                <w:sz w:val="18"/>
                <w:szCs w:val="18"/>
              </w:rPr>
              <w:t>是</w:t>
              <w:tab/>
              <w:t>否</w:t>
              <w:tab/>
            </w:r>
            <w:r>
              <w:rPr>
                <w:rFonts w:ascii="宋体" w:hAnsi="宋体" w:cs="宋体" w:eastAsia="宋体" w:hint="default"/>
                <w:sz w:val="18"/>
                <w:szCs w:val="18"/>
              </w:rPr>
              <w:t>4,000.00</w:t>
            </w:r>
            <w:r>
              <w:rPr>
                <w:rFonts w:ascii="宋体" w:hAnsi="宋体" w:cs="宋体" w:eastAsia="宋体" w:hint="default"/>
                <w:spacing w:val="-38"/>
                <w:sz w:val="18"/>
                <w:szCs w:val="18"/>
              </w:rPr>
              <w:t> </w:t>
            </w:r>
            <w:r>
              <w:rPr>
                <w:rFonts w:ascii="宋体" w:hAnsi="宋体" w:cs="宋体" w:eastAsia="宋体" w:hint="default"/>
                <w:sz w:val="18"/>
                <w:szCs w:val="18"/>
              </w:rPr>
              <w:t>与收益相关</w:t>
            </w:r>
          </w:p>
          <w:p>
            <w:pPr>
              <w:pStyle w:val="TableParagraph"/>
              <w:spacing w:line="196" w:lineRule="exact"/>
              <w:ind w:left="23" w:right="0"/>
              <w:jc w:val="both"/>
              <w:rPr>
                <w:rFonts w:ascii="宋体" w:hAnsi="宋体" w:cs="宋体" w:eastAsia="宋体" w:hint="default"/>
                <w:sz w:val="18"/>
                <w:szCs w:val="18"/>
              </w:rPr>
            </w:pPr>
            <w:r>
              <w:rPr>
                <w:rFonts w:ascii="宋体" w:hAnsi="宋体" w:cs="宋体" w:eastAsia="宋体" w:hint="default"/>
                <w:sz w:val="18"/>
                <w:szCs w:val="18"/>
              </w:rPr>
              <w:t>品供应或价</w:t>
            </w:r>
          </w:p>
          <w:p>
            <w:pPr>
              <w:pStyle w:val="TableParagraph"/>
              <w:spacing w:line="316" w:lineRule="auto" w:before="76"/>
              <w:ind w:left="23" w:right="127"/>
              <w:jc w:val="both"/>
              <w:rPr>
                <w:rFonts w:ascii="宋体" w:hAnsi="宋体" w:cs="宋体" w:eastAsia="宋体" w:hint="default"/>
                <w:sz w:val="18"/>
                <w:szCs w:val="18"/>
              </w:rPr>
            </w:pPr>
            <w:r>
              <w:rPr>
                <w:rFonts w:ascii="宋体" w:hAnsi="宋体" w:cs="宋体" w:eastAsia="宋体" w:hint="default"/>
                <w:sz w:val="18"/>
                <w:szCs w:val="18"/>
              </w:rPr>
              <w:t>格控制职能 而获得的补 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北京市海淀 区国家税务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因研究开发、</w:t>
            </w:r>
          </w:p>
          <w:p>
            <w:pPr>
              <w:pStyle w:val="TableParagraph"/>
              <w:tabs>
                <w:tab w:pos="3228" w:val="left" w:leader="none"/>
              </w:tabs>
              <w:spacing w:line="196" w:lineRule="exact" w:before="76"/>
              <w:ind w:left="23" w:right="-4230"/>
              <w:jc w:val="left"/>
              <w:rPr>
                <w:rFonts w:ascii="宋体" w:hAnsi="宋体" w:cs="宋体" w:eastAsia="宋体" w:hint="default"/>
                <w:sz w:val="18"/>
                <w:szCs w:val="18"/>
              </w:rPr>
            </w:pPr>
            <w:r>
              <w:rPr>
                <w:rFonts w:ascii="宋体" w:hAnsi="宋体" w:cs="宋体" w:eastAsia="宋体" w:hint="default"/>
                <w:sz w:val="18"/>
                <w:szCs w:val="18"/>
              </w:rPr>
              <w:t>技术更新及</w:t>
              <w:tab/>
            </w:r>
            <w:r>
              <w:rPr>
                <w:rFonts w:ascii="宋体" w:hAnsi="宋体" w:cs="宋体" w:eastAsia="宋体" w:hint="default"/>
                <w:sz w:val="18"/>
                <w:szCs w:val="18"/>
              </w:rPr>
              <w:t>17,444,329.</w:t>
            </w:r>
            <w:r>
              <w:rPr>
                <w:rFonts w:ascii="宋体" w:hAnsi="宋体" w:cs="宋体" w:eastAsia="宋体" w:hint="default"/>
                <w:spacing w:val="-23"/>
                <w:sz w:val="18"/>
                <w:szCs w:val="18"/>
              </w:rPr>
              <w:t> </w:t>
            </w:r>
            <w:r>
              <w:rPr>
                <w:rFonts w:ascii="宋体" w:hAnsi="宋体" w:cs="宋体" w:eastAsia="宋体" w:hint="default"/>
                <w:sz w:val="18"/>
                <w:szCs w:val="18"/>
              </w:rPr>
              <w:t>6,701,161.5</w:t>
            </w:r>
          </w:p>
          <w:p>
            <w:pPr>
              <w:pStyle w:val="TableParagraph"/>
              <w:tabs>
                <w:tab w:pos="1063" w:val="left" w:leader="none"/>
                <w:tab w:pos="4251" w:val="left" w:leader="none"/>
              </w:tabs>
              <w:spacing w:line="156" w:lineRule="exact"/>
              <w:ind w:right="-5186"/>
              <w:jc w:val="right"/>
              <w:rPr>
                <w:rFonts w:ascii="宋体" w:hAnsi="宋体" w:cs="宋体" w:eastAsia="宋体" w:hint="default"/>
                <w:sz w:val="18"/>
                <w:szCs w:val="18"/>
              </w:rPr>
            </w:pPr>
            <w:r>
              <w:rPr>
                <w:rFonts w:ascii="宋体" w:hAnsi="宋体" w:cs="宋体" w:eastAsia="宋体" w:hint="default"/>
                <w:sz w:val="18"/>
                <w:szCs w:val="18"/>
              </w:rPr>
              <w:t>是</w:t>
              <w:tab/>
              <w:t>否</w:t>
              <w:tab/>
              <w:t>与收益相关</w:t>
            </w:r>
          </w:p>
          <w:p>
            <w:pPr>
              <w:pStyle w:val="TableParagraph"/>
              <w:tabs>
                <w:tab w:pos="4039" w:val="left" w:leader="none"/>
                <w:tab w:pos="5282" w:val="right" w:leader="none"/>
              </w:tabs>
              <w:spacing w:line="196" w:lineRule="exact"/>
              <w:ind w:left="23" w:right="-4229"/>
              <w:jc w:val="left"/>
              <w:rPr>
                <w:rFonts w:ascii="宋体" w:hAnsi="宋体" w:cs="宋体" w:eastAsia="宋体" w:hint="default"/>
                <w:sz w:val="18"/>
                <w:szCs w:val="18"/>
              </w:rPr>
            </w:pPr>
            <w:r>
              <w:rPr>
                <w:rFonts w:ascii="宋体" w:hAnsi="宋体" w:cs="宋体" w:eastAsia="宋体" w:hint="default"/>
                <w:sz w:val="18"/>
                <w:szCs w:val="18"/>
              </w:rPr>
              <w:t>改造等获得</w:t>
              <w:tab/>
            </w:r>
            <w:r>
              <w:rPr>
                <w:rFonts w:ascii="宋体" w:hAnsi="宋体" w:cs="宋体" w:eastAsia="宋体" w:hint="default"/>
                <w:sz w:val="18"/>
                <w:szCs w:val="18"/>
              </w:rPr>
              <w:t>95</w:t>
              <w:tab/>
              <w:t>4</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before="49"/>
              <w:ind w:right="-4230"/>
              <w:jc w:val="right"/>
              <w:rPr>
                <w:rFonts w:ascii="宋体" w:hAnsi="宋体" w:cs="宋体" w:eastAsia="宋体" w:hint="default"/>
                <w:sz w:val="18"/>
                <w:szCs w:val="18"/>
              </w:rPr>
            </w:pPr>
            <w:r>
              <w:rPr>
                <w:rFonts w:ascii="宋体"/>
                <w:sz w:val="18"/>
              </w:rPr>
              <w:t>21,012,379.</w:t>
            </w:r>
            <w:r>
              <w:rPr>
                <w:rFonts w:ascii="宋体"/>
                <w:spacing w:val="-23"/>
                <w:sz w:val="18"/>
              </w:rPr>
              <w:t> </w:t>
            </w:r>
            <w:r>
              <w:rPr>
                <w:rFonts w:ascii="宋体"/>
                <w:sz w:val="18"/>
              </w:rPr>
              <w:t>9,731,361.5</w:t>
            </w:r>
          </w:p>
          <w:p>
            <w:pPr>
              <w:pStyle w:val="TableParagraph"/>
              <w:tabs>
                <w:tab w:pos="1499" w:val="left" w:leader="none"/>
                <w:tab w:pos="2563" w:val="left" w:leader="none"/>
                <w:tab w:pos="5751" w:val="left" w:leader="none"/>
              </w:tabs>
              <w:spacing w:line="156" w:lineRule="exact"/>
              <w:ind w:left="436" w:right="-4881"/>
              <w:jc w:val="left"/>
              <w:rPr>
                <w:rFonts w:ascii="宋体" w:hAnsi="宋体" w:cs="宋体" w:eastAsia="宋体" w:hint="default"/>
                <w:sz w:val="18"/>
                <w:szCs w:val="18"/>
              </w:rPr>
            </w:pPr>
            <w:r>
              <w:rPr>
                <w:rFonts w:ascii="宋体"/>
                <w:sz w:val="18"/>
              </w:rPr>
              <w:t>--</w:t>
              <w:tab/>
              <w:t>--</w:t>
              <w:tab/>
              <w:t>--</w:t>
              <w:tab/>
              <w:t>--</w:t>
            </w:r>
          </w:p>
          <w:p>
            <w:pPr>
              <w:pStyle w:val="TableParagraph"/>
              <w:tabs>
                <w:tab w:pos="1152" w:val="left" w:leader="none"/>
              </w:tabs>
              <w:spacing w:line="196" w:lineRule="exact"/>
              <w:ind w:right="-4229"/>
              <w:jc w:val="right"/>
              <w:rPr>
                <w:rFonts w:ascii="宋体" w:hAnsi="宋体" w:cs="宋体" w:eastAsia="宋体" w:hint="default"/>
                <w:sz w:val="18"/>
                <w:szCs w:val="18"/>
              </w:rPr>
            </w:pPr>
            <w:r>
              <w:rPr>
                <w:rFonts w:ascii="宋体"/>
                <w:sz w:val="18"/>
              </w:rPr>
              <w:t>95</w:t>
              <w:tab/>
              <w:t>4</w:t>
            </w:r>
          </w:p>
        </w:tc>
        <w:tc>
          <w:tcPr>
            <w:tcW w:w="1061" w:type="dxa"/>
            <w:tcBorders>
              <w:top w:val="nil" w:sz="6" w:space="0" w:color="auto"/>
              <w:left w:val="single" w:sz="4" w:space="0" w:color="000000"/>
              <w:bottom w:val="nil" w:sz="6" w:space="0" w:color="auto"/>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shd w:val="clear" w:color="auto" w:fill="D2D2D2"/>
          </w:tcPr>
          <w:p>
            <w:pP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nil" w:sz="6" w:space="0" w:color="auto"/>
            </w:tcBorders>
            <w:shd w:val="clear" w:color="auto" w:fill="D2D2D2"/>
          </w:tcPr>
          <w:p>
            <w:pPr/>
          </w:p>
        </w:tc>
      </w:tr>
    </w:tbl>
    <w:p>
      <w:pPr>
        <w:spacing w:line="240" w:lineRule="auto" w:before="11"/>
        <w:rPr>
          <w:rFonts w:ascii="宋体" w:hAnsi="宋体" w:cs="宋体" w:eastAsia="宋体" w:hint="default"/>
          <w:sz w:val="18"/>
          <w:szCs w:val="18"/>
        </w:rPr>
      </w:pPr>
    </w:p>
    <w:p>
      <w:pPr>
        <w:pStyle w:val="Heading3"/>
        <w:spacing w:line="335" w:lineRule="exact"/>
        <w:ind w:right="3012"/>
        <w:jc w:val="left"/>
        <w:rPr>
          <w:b w:val="0"/>
          <w:bCs w:val="0"/>
        </w:rPr>
      </w:pPr>
      <w:r>
        <w:rPr/>
        <w:pict>
          <v:group style="position:absolute;margin-left:269.209991pt;margin-top:-557.705017pt;width:53.55pt;height:545.4pt;mso-position-horizontal-relative:page;mso-position-vertical-relative:paragraph;z-index:-754264" coordorigin="5384,-11154" coordsize="1071,10908">
            <v:group style="position:absolute;left:5394;top:-10465;width:1055;height:1952" coordorigin="5394,-10465" coordsize="1055,1952">
              <v:shape style="position:absolute;left:5394;top:-10465;width:1055;height:1952" coordorigin="5394,-10465" coordsize="1055,1952" path="m5394,-8514l6448,-8514,6448,-10465,5394,-10465,5394,-8514xe" filled="true" fillcolor="#ffffff" stroked="false">
                <v:path arrowok="t"/>
                <v:fill type="solid"/>
              </v:shape>
            </v:group>
            <v:group style="position:absolute;left:5418;top:-9685;width:1007;height:392" coordorigin="5418,-9685" coordsize="1007,392">
              <v:shape style="position:absolute;left:5418;top:-9685;width:1007;height:392" coordorigin="5418,-9685" coordsize="1007,392" path="m5418,-9294l6424,-9294,6424,-9685,5418,-9685,5418,-9294xe" filled="true" fillcolor="#ffffff" stroked="false">
                <v:path arrowok="t"/>
                <v:fill type="solid"/>
              </v:shape>
            </v:group>
            <v:group style="position:absolute;left:5394;top:-8504;width:1055;height:2266" coordorigin="5394,-8504" coordsize="1055,2266">
              <v:shape style="position:absolute;left:5394;top:-8504;width:1055;height:2266" coordorigin="5394,-8504" coordsize="1055,2266" path="m5394,-6238l6448,-6238,6448,-8504,5394,-8504,5394,-6238xe" filled="true" fillcolor="#ffffff" stroked="false">
                <v:path arrowok="t"/>
                <v:fill type="solid"/>
              </v:shape>
            </v:group>
            <v:group style="position:absolute;left:5418;top:-7568;width:1007;height:394" coordorigin="5418,-7568" coordsize="1007,394">
              <v:shape style="position:absolute;left:5418;top:-7568;width:1007;height:394" coordorigin="5418,-7568" coordsize="1007,394" path="m5418,-7174l6424,-7174,6424,-7568,5418,-7568,5418,-7174xe" filled="true" fillcolor="#ffffff" stroked="false">
                <v:path arrowok="t"/>
                <v:fill type="solid"/>
              </v:shape>
            </v:group>
            <v:group style="position:absolute;left:5394;top:-6228;width:1055;height:1328" coordorigin="5394,-6228" coordsize="1055,1328">
              <v:shape style="position:absolute;left:5394;top:-6228;width:1055;height:1328" coordorigin="5394,-6228" coordsize="1055,1328" path="m5394,-4901l6448,-4901,6448,-6228,5394,-6228,5394,-4901xe" filled="true" fillcolor="#ffffff" stroked="false">
                <v:path arrowok="t"/>
                <v:fill type="solid"/>
              </v:shape>
            </v:group>
            <v:group style="position:absolute;left:5418;top:-5760;width:1007;height:392" coordorigin="5418,-5760" coordsize="1007,392">
              <v:shape style="position:absolute;left:5418;top:-5760;width:1007;height:392" coordorigin="5418,-5760" coordsize="1007,392" path="m5418,-5369l6424,-5369,6424,-5760,5418,-5760,5418,-5369xe" filled="true" fillcolor="#ffffff" stroked="false">
                <v:path arrowok="t"/>
                <v:fill type="solid"/>
              </v:shape>
            </v:group>
            <v:group style="position:absolute;left:5394;top:-2304;width:1055;height:1328" coordorigin="5394,-2304" coordsize="1055,1328">
              <v:shape style="position:absolute;left:5394;top:-2304;width:1055;height:1328" coordorigin="5394,-2304" coordsize="1055,1328" path="m5394,-976l6448,-976,6448,-2304,5394,-2304,5394,-976xe" filled="true" fillcolor="#ffffff" stroked="false">
                <v:path arrowok="t"/>
                <v:fill type="solid"/>
              </v:shape>
            </v:group>
            <v:group style="position:absolute;left:5418;top:-1836;width:1007;height:392" coordorigin="5418,-1836" coordsize="1007,392">
              <v:shape style="position:absolute;left:5418;top:-1836;width:1007;height:392" coordorigin="5418,-1836" coordsize="1007,392" path="m5418,-1445l6424,-1445,6424,-1836,5418,-1836,5418,-1445xe" filled="true" fillcolor="#ffffff" stroked="false">
                <v:path arrowok="t"/>
                <v:fill type="solid"/>
              </v:shape>
            </v:group>
            <v:group style="position:absolute;left:5389;top:-11149;width:2;height:10898" coordorigin="5389,-11149" coordsize="2,10898">
              <v:shape style="position:absolute;left:5389;top:-11149;width:2;height:10898" coordorigin="5389,-11149" coordsize="0,10898" path="m5389,-11149l5389,-251e" filled="false" stroked="true" strokeweight=".47998pt" strokecolor="#000000">
                <v:path arrowok="t"/>
              </v:shape>
            </v:group>
            <v:group style="position:absolute;left:6450;top:-11149;width:2;height:10898" coordorigin="6450,-11149" coordsize="2,10898">
              <v:shape style="position:absolute;left:6450;top:-11149;width:2;height:10898" coordorigin="6450,-11149" coordsize="0,10898" path="m6450,-11149l6450,-251e" filled="false" stroked="true" strokeweight=".48001pt" strokecolor="#000000">
                <v:path arrowok="t"/>
              </v:shape>
            </v:group>
            <w10:wrap type="none"/>
          </v:group>
        </w:pict>
      </w:r>
      <w:r>
        <w:rPr/>
        <w:pict>
          <v:group style="position:absolute;margin-left:375.670013pt;margin-top:-557.465027pt;width:.1pt;height:544.9pt;mso-position-horizontal-relative:page;mso-position-vertical-relative:paragraph;z-index:-754240" coordorigin="7513,-11149" coordsize="2,10898">
            <v:shape style="position:absolute;left:7513;top:-11149;width:2;height:10898" coordorigin="7513,-11149" coordsize="0,10898" path="m7513,-11149l7513,-251e" filled="false" stroked="true" strokeweight=".48001pt" strokecolor="#000000">
              <v:path arrowok="t"/>
            </v:shape>
            <w10:wrap type="none"/>
          </v:group>
        </w:pict>
      </w:r>
      <w:r>
        <w:rPr/>
        <w:pict>
          <v:group style="position:absolute;margin-left:428.829987pt;margin-top:-557.465027pt;width:.1pt;height:544.9pt;mso-position-horizontal-relative:page;mso-position-vertical-relative:paragraph;z-index:-754216" coordorigin="8577,-11149" coordsize="2,10898">
            <v:shape style="position:absolute;left:8577;top:-11149;width:2;height:10898" coordorigin="8577,-11149" coordsize="0,10898" path="m8577,-11149l8577,-251e" filled="false" stroked="true" strokeweight=".47998pt" strokecolor="#000000">
              <v:path arrowok="t"/>
            </v:shape>
            <w10:wrap type="none"/>
          </v:group>
        </w:pict>
      </w:r>
      <w:r>
        <w:rPr/>
        <w:pict>
          <v:group style="position:absolute;margin-left:482.02002pt;margin-top:-557.465027pt;width:.1pt;height:544.9pt;mso-position-horizontal-relative:page;mso-position-vertical-relative:paragraph;z-index:-754192" coordorigin="9640,-11149" coordsize="2,10898">
            <v:shape style="position:absolute;left:9640;top:-11149;width:2;height:10898" coordorigin="9640,-11149" coordsize="0,10898" path="m9640,-11149l9640,-251e" filled="false" stroked="true" strokeweight=".48001pt" strokecolor="#000000">
              <v:path arrowok="t"/>
            </v:shape>
            <w10:wrap type="none"/>
          </v:group>
        </w:pict>
      </w:r>
      <w:r>
        <w:rPr>
          <w:rFonts w:ascii="Times New Roman" w:hAnsi="Times New Roman" w:cs="Times New Roman" w:eastAsia="Times New Roman" w:hint="default"/>
        </w:rPr>
        <w:t>70</w:t>
      </w:r>
      <w:r>
        <w:rPr/>
        <w:t>、营业外支出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79,793.10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8,940.31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79,793.10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45,594.85</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2390"/>
        <w:gridCol w:w="2396"/>
        <w:gridCol w:w="2393"/>
        <w:gridCol w:w="2393"/>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79,793.10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8,940.31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6"/>
          <w:szCs w:val="26"/>
        </w:rPr>
      </w:pPr>
    </w:p>
    <w:p>
      <w:pPr>
        <w:pStyle w:val="Heading3"/>
        <w:spacing w:line="335" w:lineRule="exact"/>
        <w:ind w:right="3012"/>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14,756,443.31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8,522,556.27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-7,785,751.76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-2,363,316.70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6,970,691.55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6,159,239.57</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pacing w:val="-1"/>
                <w:sz w:val="18"/>
              </w:rPr>
              <w:t>77,690,258.14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11,653,538.72</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-49,518.24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-286,472.00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-2,616,649.49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4,714,585.75</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-953,331.68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宋体" w:hAnsi="宋体" w:cs="宋体" w:eastAsia="宋体" w:hint="default"/>
                <w:sz w:val="18"/>
                <w:szCs w:val="18"/>
              </w:rPr>
              <w:t>/</w:t>
            </w:r>
            <w:r>
              <w:rPr>
                <w:rFonts w:ascii="宋体" w:hAnsi="宋体" w:cs="宋体" w:eastAsia="宋体" w:hint="default"/>
                <w:sz w:val="18"/>
                <w:szCs w:val="18"/>
              </w:rPr>
              <w:t>负债余额的变化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-2,478,958.64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-3,012,502.86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6,970,691.55</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详见附注。</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收到往来资金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81" w:right="0"/>
              <w:jc w:val="left"/>
              <w:rPr>
                <w:rFonts w:ascii="宋体" w:hAnsi="宋体" w:cs="宋体" w:eastAsia="宋体" w:hint="default"/>
                <w:sz w:val="18"/>
                <w:szCs w:val="18"/>
              </w:rPr>
            </w:pPr>
            <w:r>
              <w:rPr>
                <w:rFonts w:ascii="宋体"/>
                <w:sz w:val="18"/>
              </w:rPr>
              <w:t>1,723,765.79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6" w:right="0"/>
              <w:jc w:val="left"/>
              <w:rPr>
                <w:rFonts w:ascii="宋体" w:hAnsi="宋体" w:cs="宋体" w:eastAsia="宋体" w:hint="default"/>
                <w:sz w:val="18"/>
                <w:szCs w:val="18"/>
              </w:rPr>
            </w:pPr>
            <w:r>
              <w:rPr>
                <w:rFonts w:ascii="宋体"/>
                <w:sz w:val="18"/>
              </w:rPr>
              <w:t>2,523,665.03</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3,584,361.92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140,200.00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6,071,316.67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9,173,218.63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11,379,444.38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11,837,083.66</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支付往来资金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20,138,637.39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3,194,826.94</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支付办公、差旅、房租、招待等营业费 用及管理费用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88,166,666.06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67,804,467.81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66,490.89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61,758.56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108,371,794.34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71,061,053.31</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收购子公司的现金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3,123,654.80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3,123,654.80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70,719,566.59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67,993,885.54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28,854,075.21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23,499,695.97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7,640,150.75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4,755,209.42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1,181,872.94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178,689.83</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r>
        <w:rPr/>
        <w:pict>
          <v:shape style="position:absolute;margin-left:190.100006pt;margin-top:168.499985pt;width:185.6pt;height:19.6pt;mso-position-horizontal-relative:page;mso-position-vertical-relative:page;z-index:-754168"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906,208.07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603,499.61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79,793.10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7,940.31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1,129,220.40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905,934.78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-226,667.00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80" w:right="0"/>
              <w:jc w:val="left"/>
              <w:rPr>
                <w:rFonts w:ascii="Times New Roman" w:hAnsi="Times New Roman" w:cs="Times New Roman" w:eastAsia="Times New Roman" w:hint="default"/>
                <w:sz w:val="18"/>
                <w:szCs w:val="18"/>
              </w:rPr>
            </w:pPr>
            <w:r>
              <w:rPr>
                <w:rFonts w:ascii="Times New Roman"/>
                <w:sz w:val="18"/>
              </w:rPr>
              <w:t>-7,785,751.76</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-2,363,316.70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250,474.50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-5,007,673.85</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-190,770,843.85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-172,799,280.26</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85,402,478.78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62,898,386.16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-2,619,422.27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-19,327,029.19</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218,529,314.29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303,892,016.49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303,892,016.49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385,853,684.84</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30" w:right="0"/>
              <w:jc w:val="left"/>
              <w:rPr>
                <w:rFonts w:ascii="Times New Roman" w:hAnsi="Times New Roman" w:cs="Times New Roman" w:eastAsia="Times New Roman" w:hint="default"/>
                <w:sz w:val="18"/>
                <w:szCs w:val="18"/>
              </w:rPr>
            </w:pPr>
            <w:r>
              <w:rPr>
                <w:rFonts w:ascii="Times New Roman"/>
                <w:sz w:val="18"/>
              </w:rPr>
              <w:t>-85,362,702.20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-81,961,668.35</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218,529,314.29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303,892,016.49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111,745.26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55,155.21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218,417,569.03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303,836,861.28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218,529,314.29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303,892,016.49</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717,300.00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履约保证金无法随意支取</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717,300.00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3,348,730.70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5,069,978.28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50,930.25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77,108.40</w:t>
            </w:r>
          </w:p>
        </w:tc>
      </w:tr>
    </w:tbl>
    <w:p>
      <w:pPr>
        <w:spacing w:line="240" w:lineRule="auto" w:before="3"/>
        <w:rPr>
          <w:rFonts w:ascii="宋体" w:hAnsi="宋体" w:cs="宋体" w:eastAsia="宋体" w:hint="default"/>
          <w:sz w:val="19"/>
          <w:szCs w:val="19"/>
        </w:rPr>
      </w:pPr>
    </w:p>
    <w:p>
      <w:pPr>
        <w:pStyle w:val="Heading3"/>
        <w:spacing w:line="312" w:lineRule="exact" w:before="32"/>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7"/>
        </w:rPr>
        <w:t> </w:t>
      </w:r>
      <w:r>
        <w:rPr>
          <w:spacing w:val="27"/>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3012"/>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735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50"/>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3"/>
        <w:spacing w:line="240" w:lineRule="auto" w:before="89"/>
        <w:ind w:right="301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北京中软华 泰信息技术 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99,999,995.</w:t>
            </w:r>
          </w:p>
          <w:p>
            <w:pPr>
              <w:pStyle w:val="TableParagraph"/>
              <w:spacing w:line="240" w:lineRule="auto" w:before="74"/>
              <w:ind w:right="19"/>
              <w:jc w:val="right"/>
              <w:rPr>
                <w:rFonts w:ascii="宋体" w:hAnsi="宋体" w:cs="宋体" w:eastAsia="宋体" w:hint="default"/>
                <w:sz w:val="18"/>
                <w:szCs w:val="18"/>
              </w:rPr>
            </w:pPr>
            <w:r>
              <w:rPr>
                <w:rFonts w:ascii="宋体"/>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00" w:right="0"/>
              <w:jc w:val="left"/>
              <w:rPr>
                <w:rFonts w:ascii="宋体" w:hAnsi="宋体" w:cs="宋体" w:eastAsia="宋体" w:hint="default"/>
                <w:sz w:val="18"/>
                <w:szCs w:val="18"/>
              </w:rPr>
            </w:pPr>
            <w:r>
              <w:rPr>
                <w:rFonts w:ascii="宋体"/>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29"/>
              <w:jc w:val="left"/>
              <w:rPr>
                <w:rFonts w:ascii="宋体" w:hAnsi="宋体" w:cs="宋体" w:eastAsia="宋体" w:hint="default"/>
                <w:sz w:val="18"/>
                <w:szCs w:val="18"/>
              </w:rPr>
            </w:pPr>
            <w:r>
              <w:rPr>
                <w:rFonts w:ascii="宋体" w:hAnsi="宋体" w:cs="宋体" w:eastAsia="宋体" w:hint="default"/>
                <w:sz w:val="18"/>
                <w:szCs w:val="18"/>
              </w:rPr>
              <w:t>发行股份及 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25"/>
              <w:jc w:val="left"/>
              <w:rPr>
                <w:rFonts w:ascii="宋体" w:hAnsi="宋体" w:cs="宋体" w:eastAsia="宋体" w:hint="default"/>
                <w:sz w:val="18"/>
                <w:szCs w:val="18"/>
              </w:rPr>
            </w:pPr>
            <w:r>
              <w:rPr>
                <w:rFonts w:ascii="宋体" w:hAnsi="宋体" w:cs="宋体" w:eastAsia="宋体" w:hint="default"/>
                <w:sz w:val="18"/>
                <w:szCs w:val="18"/>
              </w:rPr>
              <w:t>实际控制人 变更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24,473,717.</w:t>
            </w:r>
          </w:p>
          <w:p>
            <w:pPr>
              <w:pStyle w:val="TableParagraph"/>
              <w:spacing w:line="240" w:lineRule="auto" w:before="74"/>
              <w:ind w:right="19"/>
              <w:jc w:val="right"/>
              <w:rPr>
                <w:rFonts w:ascii="宋体" w:hAnsi="宋体" w:cs="宋体" w:eastAsia="宋体" w:hint="default"/>
                <w:sz w:val="18"/>
                <w:szCs w:val="18"/>
              </w:rPr>
            </w:pPr>
            <w:r>
              <w:rPr>
                <w:rFonts w:ascii="宋体"/>
                <w:sz w:val="18"/>
              </w:rPr>
              <w:t>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18,197,299.</w:t>
            </w:r>
          </w:p>
          <w:p>
            <w:pPr>
              <w:pStyle w:val="TableParagraph"/>
              <w:spacing w:line="240" w:lineRule="auto" w:before="74"/>
              <w:ind w:right="17"/>
              <w:jc w:val="right"/>
              <w:rPr>
                <w:rFonts w:ascii="宋体" w:hAnsi="宋体" w:cs="宋体" w:eastAsia="宋体" w:hint="default"/>
                <w:sz w:val="18"/>
                <w:szCs w:val="18"/>
              </w:rPr>
            </w:pPr>
            <w:r>
              <w:rPr>
                <w:rFonts w:ascii="宋体"/>
                <w:sz w:val="18"/>
              </w:rPr>
              <w:t>16</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bl>
    <w:p>
      <w:pPr>
        <w:spacing w:after="0" w:line="240" w:lineRule="auto"/>
        <w:jc w:val="right"/>
        <w:rPr>
          <w:rFonts w:ascii="宋体" w:hAnsi="宋体" w:cs="宋体" w:eastAsia="宋体"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发行的权益性证券的公允价值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79,999,995.40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99,999,995.40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17,245,432.12</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56"/>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82,754,563.28</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3,123,654.80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3,123,654.80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5,936,384.14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5,936,384.14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1,745,659.01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1,745,659.01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282,564.00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394,402.85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6,738,293.22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6,738,293.21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795,382.76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47,468.41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3,740,430.00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3,740,430.00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1,501,519.84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1,501,519.84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6,124,172.19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6,124,172.19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17,245,432.12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8,674,419.79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17,245,432.12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8,674,419.79</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3012"/>
        <w:jc w:val="left"/>
      </w:pPr>
      <w:r>
        <w:rPr/>
        <w:t>是否存在通过多次交易分步实现企业合并且在报告期内取得控制权的交易</w:t>
      </w:r>
    </w:p>
    <w:p>
      <w:pPr>
        <w:pStyle w:val="BodyText"/>
        <w:spacing w:line="240" w:lineRule="auto" w:before="117"/>
        <w:ind w:right="3012"/>
        <w:jc w:val="left"/>
      </w:pPr>
      <w:r>
        <w:rPr/>
        <w:t>□ 是 √</w:t>
      </w:r>
      <w:r>
        <w:rPr>
          <w:spacing w:val="3"/>
        </w:rPr>
        <w:t> </w:t>
      </w:r>
      <w:r>
        <w:rPr/>
        <w:t>否</w:t>
      </w:r>
    </w:p>
    <w:p>
      <w:pPr>
        <w:spacing w:after="0" w:line="240" w:lineRule="auto"/>
        <w:jc w:val="left"/>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7"/>
        <w:rPr>
          <w:rFonts w:ascii="宋体" w:hAnsi="宋体" w:cs="宋体" w:eastAsia="宋体" w:hint="default"/>
          <w:sz w:val="17"/>
          <w:szCs w:val="17"/>
        </w:rPr>
      </w:pPr>
    </w:p>
    <w:p>
      <w:pPr>
        <w:pStyle w:val="Heading3"/>
        <w:spacing w:line="240" w:lineRule="auto"/>
        <w:ind w:right="3012"/>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是否存在单次处置对子公司投资即丧失控制权的情形</w:t>
      </w:r>
    </w:p>
    <w:p>
      <w:pPr>
        <w:pStyle w:val="BodyText"/>
        <w:spacing w:line="360" w:lineRule="auto" w:before="117"/>
        <w:ind w:right="4014"/>
        <w:jc w:val="left"/>
      </w:pPr>
      <w:r>
        <w:rPr/>
        <w:t>□ 是 √</w:t>
      </w:r>
      <w:r>
        <w:rPr>
          <w:spacing w:val="3"/>
        </w:rPr>
        <w:t> </w:t>
      </w:r>
      <w:r>
        <w:rPr/>
        <w:t>否</w:t>
      </w:r>
      <w:r>
        <w:rPr/>
        <w:t> 是否存在通过多次交易分步处置对子公司投资且在本期丧失控制权的情形</w:t>
      </w:r>
    </w:p>
    <w:p>
      <w:pPr>
        <w:pStyle w:val="BodyText"/>
        <w:spacing w:line="240" w:lineRule="auto" w:before="25"/>
        <w:ind w:right="3012"/>
        <w:jc w:val="left"/>
      </w:pPr>
      <w:r>
        <w:rPr/>
        <w:t>□ 是 √</w:t>
      </w:r>
      <w:r>
        <w:rPr>
          <w:spacing w:val="3"/>
        </w:rPr>
        <w:t> </w:t>
      </w:r>
      <w:r>
        <w:rPr/>
        <w:t>否</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left="542" w:right="204" w:hanging="390"/>
        <w:jc w:val="left"/>
      </w:pPr>
      <w:r>
        <w:rPr/>
        <w:t>说明其他原因导致的合并范围变动（如，新设子公司、清算子公司等）及其相关情况： 经证监会《关于核准北京北信源软件股份有限公司向田秋桂等发行股份购买资产的批复》（证监许可</w:t>
      </w:r>
      <w:r>
        <w:rPr>
          <w:rFonts w:ascii="宋体" w:hAnsi="宋体" w:cs="宋体" w:eastAsia="宋体" w:hint="default"/>
        </w:rPr>
        <w:t>[2015]1719</w:t>
      </w:r>
      <w:r>
        <w:rPr/>
        <w:t>号）</w:t>
      </w:r>
    </w:p>
    <w:p>
      <w:pPr>
        <w:pStyle w:val="BodyText"/>
        <w:spacing w:line="222" w:lineRule="exact"/>
        <w:ind w:right="0"/>
        <w:jc w:val="left"/>
        <w:rPr>
          <w:rFonts w:ascii="宋体" w:hAnsi="宋体" w:cs="宋体" w:eastAsia="宋体" w:hint="default"/>
        </w:rPr>
      </w:pPr>
      <w:r>
        <w:rPr/>
        <w:t>核准，公司以非公开发行</w:t>
      </w:r>
      <w:r>
        <w:rPr>
          <w:rFonts w:ascii="宋体" w:hAnsi="宋体" w:cs="宋体" w:eastAsia="宋体" w:hint="default"/>
        </w:rPr>
        <w:t>1,520,857</w:t>
      </w:r>
      <w:r>
        <w:rPr/>
        <w:t>股、</w:t>
      </w:r>
      <w:r>
        <w:rPr>
          <w:rFonts w:ascii="宋体" w:hAnsi="宋体" w:cs="宋体" w:eastAsia="宋体" w:hint="default"/>
        </w:rPr>
        <w:t>1,490,021</w:t>
      </w:r>
      <w:r>
        <w:rPr/>
        <w:t>股、</w:t>
      </w:r>
      <w:r>
        <w:rPr>
          <w:rFonts w:ascii="宋体" w:hAnsi="宋体" w:cs="宋体" w:eastAsia="宋体" w:hint="default"/>
        </w:rPr>
        <w:t>415,246</w:t>
      </w:r>
      <w:r>
        <w:rPr/>
        <w:t>股人民币普通股（</w:t>
      </w:r>
      <w:r>
        <w:rPr>
          <w:rFonts w:ascii="宋体" w:hAnsi="宋体" w:cs="宋体" w:eastAsia="宋体" w:hint="default"/>
        </w:rPr>
        <w:t>A</w:t>
      </w:r>
      <w:r>
        <w:rPr/>
        <w:t>股）为对价，发行股份价格为</w:t>
      </w:r>
      <w:r>
        <w:rPr>
          <w:rFonts w:ascii="宋体" w:hAnsi="宋体" w:cs="宋体" w:eastAsia="宋体" w:hint="default"/>
        </w:rPr>
        <w:t>23.35</w:t>
      </w:r>
      <w:r>
        <w:rPr/>
        <w:t>元</w:t>
      </w:r>
      <w:r>
        <w:rPr>
          <w:rFonts w:ascii="宋体" w:hAnsi="宋体" w:cs="宋体" w:eastAsia="宋体" w:hint="default"/>
        </w:rPr>
        <w:t>/</w:t>
      </w:r>
    </w:p>
    <w:p>
      <w:pPr>
        <w:pStyle w:val="BodyText"/>
        <w:spacing w:line="316" w:lineRule="auto" w:before="76"/>
        <w:ind w:right="149"/>
        <w:jc w:val="both"/>
      </w:pPr>
      <w:r>
        <w:rPr>
          <w:spacing w:val="-2"/>
        </w:rPr>
        <w:t>股，同时支付现金对价</w:t>
      </w:r>
      <w:r>
        <w:rPr>
          <w:rFonts w:ascii="宋体" w:hAnsi="宋体" w:cs="宋体" w:eastAsia="宋体" w:hint="default"/>
          <w:spacing w:val="-2"/>
        </w:rPr>
        <w:t>2000</w:t>
      </w:r>
      <w:r>
        <w:rPr>
          <w:spacing w:val="-2"/>
        </w:rPr>
        <w:t>万元，分别向自然人田秋桂、马永清、王俊锋发行股份购买其三人共同持有的北京中软华泰信息</w:t>
      </w:r>
      <w:r>
        <w:rPr>
          <w:spacing w:val="-61"/>
        </w:rPr>
        <w:t> </w:t>
      </w:r>
      <w:r>
        <w:rPr>
          <w:spacing w:val="-61"/>
        </w:rPr>
      </w:r>
      <w:r>
        <w:rPr>
          <w:spacing w:val="-2"/>
        </w:rPr>
        <w:t>技术有限责任公司</w:t>
      </w:r>
      <w:r>
        <w:rPr>
          <w:rFonts w:ascii="宋体" w:hAnsi="宋体" w:cs="宋体" w:eastAsia="宋体" w:hint="default"/>
          <w:spacing w:val="-2"/>
        </w:rPr>
        <w:t>100%</w:t>
      </w:r>
      <w:r>
        <w:rPr>
          <w:spacing w:val="-2"/>
        </w:rPr>
        <w:t>股权，截止报告期末已完成工商变更手续，公司持有中软华泰</w:t>
      </w:r>
      <w:r>
        <w:rPr>
          <w:rFonts w:ascii="宋体" w:hAnsi="宋体" w:cs="宋体" w:eastAsia="宋体" w:hint="default"/>
          <w:spacing w:val="-2"/>
        </w:rPr>
        <w:t>100%</w:t>
      </w:r>
      <w:r>
        <w:rPr>
          <w:spacing w:val="-2"/>
        </w:rPr>
        <w:t>股权。报告期内中软华泰纳入公司</w:t>
      </w:r>
      <w:r>
        <w:rPr>
          <w:spacing w:val="-57"/>
        </w:rPr>
        <w:t> </w:t>
      </w:r>
      <w:r>
        <w:rPr>
          <w:spacing w:val="-57"/>
        </w:rPr>
      </w:r>
      <w:r>
        <w:rPr/>
        <w:t>合并报表范围。</w:t>
      </w:r>
    </w:p>
    <w:p>
      <w:pPr>
        <w:spacing w:line="240" w:lineRule="auto" w:before="10"/>
        <w:rPr>
          <w:rFonts w:ascii="宋体" w:hAnsi="宋体" w:cs="宋体" w:eastAsia="宋体" w:hint="default"/>
          <w:sz w:val="17"/>
          <w:szCs w:val="17"/>
        </w:rPr>
      </w:pPr>
    </w:p>
    <w:p>
      <w:pPr>
        <w:spacing w:line="376" w:lineRule="auto" w:before="0"/>
        <w:ind w:left="152" w:right="713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3"/>
        <w:spacing w:line="240" w:lineRule="auto" w:before="87"/>
        <w:ind w:right="301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1" w:footer="979" w:top="1080" w:bottom="1160" w:left="980" w:right="980"/>
        </w:sectPr>
      </w:pPr>
    </w:p>
    <w:p>
      <w:pPr>
        <w:spacing w:line="240" w:lineRule="auto" w:before="16"/>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上海北信源信息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江苏神州信源系 统工程有限公司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北信源（马来西 亚）信息技术公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北京中软华泰信 息技术有限责任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02"/>
        <w:jc w:val="left"/>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right="102" w:firstLine="360"/>
        <w:jc w:val="left"/>
        <w:rPr>
          <w:rFonts w:ascii="Times New Roman" w:hAnsi="Times New Roman" w:cs="Times New Roman" w:eastAsia="Times New Roman" w:hint="default"/>
        </w:rPr>
      </w:pPr>
      <w:r>
        <w:rPr/>
        <w:t>本公司的主要金融工具包括</w:t>
      </w:r>
      <w:r>
        <w:rPr>
          <w:rFonts w:ascii="Times New Roman" w:hAnsi="Times New Roman" w:cs="Times New Roman" w:eastAsia="Times New Roman" w:hint="default"/>
        </w:rPr>
        <w:t>:</w:t>
      </w:r>
      <w:r>
        <w:rPr/>
        <w:t>股权投资、应收账款、应付账款等，各项金融工具的详细情况说明见本附注六相关项目。 上述金融工具产生的主要风险如下</w:t>
      </w:r>
      <w:r>
        <w:rPr>
          <w:rFonts w:ascii="Times New Roman" w:hAnsi="Times New Roman" w:cs="Times New Roman" w:eastAsia="Times New Roman" w:hint="default"/>
        </w:rPr>
        <w:t>:</w:t>
      </w:r>
    </w:p>
    <w:p>
      <w:pPr>
        <w:pStyle w:val="Heading4"/>
        <w:spacing w:line="269" w:lineRule="exact"/>
        <w:ind w:left="506" w:right="102"/>
        <w:jc w:val="left"/>
        <w:rPr>
          <w:b w:val="0"/>
          <w:bCs w:val="0"/>
        </w:rPr>
      </w:pPr>
      <w:r>
        <w:rPr>
          <w:rFonts w:ascii="Times New Roman" w:hAnsi="Times New Roman" w:cs="Times New Roman" w:eastAsia="Times New Roman" w:hint="default"/>
        </w:rPr>
        <w:t>1</w:t>
      </w:r>
      <w:r>
        <w:rPr/>
        <w:t>、信用风险</w:t>
      </w:r>
      <w:r>
        <w:rPr>
          <w:b w:val="0"/>
          <w:bCs w:val="0"/>
        </w:rPr>
      </w:r>
    </w:p>
    <w:p>
      <w:pPr>
        <w:pStyle w:val="BodyText"/>
        <w:spacing w:line="316" w:lineRule="auto" w:before="56"/>
        <w:ind w:right="102"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r>
        <w:rPr>
          <w:spacing w:val="-61"/>
        </w:rPr>
        <w:t> </w:t>
      </w:r>
      <w:r>
        <w:rPr>
          <w:spacing w:val="-61"/>
        </w:rPr>
      </w:r>
      <w:r>
        <w:rPr/>
        <w:t>可获取时）。公司对每一客户均设置了赊销限额，该限额为无需获得额外批准的最大额度。</w:t>
      </w:r>
    </w:p>
    <w:p>
      <w:pPr>
        <w:pStyle w:val="BodyText"/>
        <w:spacing w:line="309" w:lineRule="auto" w:before="19"/>
        <w:ind w:right="185" w:firstLine="360"/>
        <w:jc w:val="both"/>
      </w:pPr>
      <w:r>
        <w:rPr/>
        <w:t>公司通过对已有客户信用评级的季度监控以及应收账款账龄分析的月度审核来确保公司的整体信用风险在可控的范围</w:t>
      </w:r>
      <w:r>
        <w:rPr>
          <w:spacing w:val="2"/>
        </w:rPr>
        <w:t>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Heading4"/>
        <w:spacing w:line="280" w:lineRule="exact"/>
        <w:ind w:left="506" w:right="102"/>
        <w:jc w:val="left"/>
        <w:rPr>
          <w:b w:val="0"/>
          <w:bCs w:val="0"/>
        </w:rPr>
      </w:pPr>
      <w:r>
        <w:rPr>
          <w:rFonts w:ascii="Times New Roman" w:hAnsi="Times New Roman" w:cs="Times New Roman" w:eastAsia="Times New Roman" w:hint="default"/>
        </w:rPr>
        <w:t>2</w:t>
      </w:r>
      <w:r>
        <w:rPr/>
        <w:t>、流动风险</w:t>
      </w:r>
      <w:r>
        <w:rPr>
          <w:b w:val="0"/>
          <w:bCs w:val="0"/>
        </w:rPr>
      </w:r>
    </w:p>
    <w:p>
      <w:pPr>
        <w:pStyle w:val="BodyText"/>
        <w:spacing w:line="316" w:lineRule="auto" w:before="56"/>
        <w:ind w:right="190" w:firstLine="360"/>
        <w:jc w:val="both"/>
      </w:pPr>
      <w:r>
        <w:rPr>
          <w:spacing w:val="-2"/>
        </w:rPr>
        <w:t>流动风险，是指企业在履行以交付现金或其他金融资产的方式结算的义务时发生资金短缺的风险。本公司的政策是确保</w:t>
      </w:r>
      <w:r>
        <w:rPr/>
        <w:t> </w:t>
      </w:r>
      <w:r>
        <w:rPr>
          <w:spacing w:val="-2"/>
        </w:rPr>
        <w:t>拥有充足的现金以偿还到期债务。流动风险由本公司的财务部门集中控制。财务部门通过监控现金余额、可随时变现的有价</w:t>
      </w:r>
      <w:r>
        <w:rPr>
          <w:spacing w:val="-63"/>
        </w:rPr>
        <w:t> </w:t>
      </w:r>
      <w:r>
        <w:rPr>
          <w:spacing w:val="-63"/>
        </w:rPr>
      </w:r>
      <w:r>
        <w:rPr/>
        <w:t>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Heading4"/>
        <w:spacing w:line="255" w:lineRule="exact"/>
        <w:ind w:left="597" w:right="102"/>
        <w:jc w:val="left"/>
        <w:rPr>
          <w:b w:val="0"/>
          <w:bCs w:val="0"/>
        </w:rPr>
      </w:pPr>
      <w:r>
        <w:rPr>
          <w:rFonts w:ascii="Times New Roman" w:hAnsi="Times New Roman" w:cs="Times New Roman" w:eastAsia="Times New Roman" w:hint="default"/>
        </w:rPr>
        <w:t>3</w:t>
      </w:r>
      <w:r>
        <w:rPr/>
        <w:t>、市场风险</w:t>
      </w:r>
      <w:r>
        <w:rPr>
          <w:b w:val="0"/>
          <w:bCs w:val="0"/>
        </w:rPr>
      </w:r>
    </w:p>
    <w:p>
      <w:pPr>
        <w:pStyle w:val="BodyText"/>
        <w:spacing w:line="316" w:lineRule="auto" w:before="56"/>
        <w:ind w:right="102" w:firstLine="360"/>
        <w:jc w:val="left"/>
      </w:pPr>
      <w:r>
        <w:rPr>
          <w:spacing w:val="-2"/>
        </w:rPr>
        <w:t>金融工具的市场风险，是指金融工具的公允价值或未来现金流量因市场价格变动而发生波动的风险，包括外汇风险、利</w:t>
      </w:r>
      <w:r>
        <w:rPr/>
        <w:t> 率风险和其他价格风险。</w:t>
      </w:r>
    </w:p>
    <w:p>
      <w:pPr>
        <w:pStyle w:val="BodyText"/>
        <w:spacing w:line="284" w:lineRule="exact"/>
        <w:ind w:left="513" w:right="102"/>
        <w:jc w:val="left"/>
        <w:rPr>
          <w:sz w:val="24"/>
          <w:szCs w:val="24"/>
        </w:rPr>
      </w:pPr>
      <w:r>
        <w:rPr/>
        <w:t>公司董事会全面负责风险管理目标和政策的确定，并对风险管理目标和政策承担最终责</w:t>
      </w:r>
      <w:r>
        <w:rPr>
          <w:sz w:val="24"/>
          <w:szCs w:val="24"/>
        </w:rPr>
        <w:t>任。</w:t>
      </w:r>
    </w:p>
    <w:p>
      <w:pPr>
        <w:spacing w:after="0" w:line="284" w:lineRule="exact"/>
        <w:jc w:val="left"/>
        <w:rPr>
          <w:sz w:val="24"/>
          <w:szCs w:val="24"/>
        </w:rPr>
        <w:sectPr>
          <w:pgSz w:w="11910" w:h="16840"/>
          <w:pgMar w:header="781" w:footer="979" w:top="1080" w:bottom="1160" w:left="980" w:right="940"/>
        </w:sectPr>
      </w:pPr>
    </w:p>
    <w:p>
      <w:pPr>
        <w:spacing w:line="240" w:lineRule="auto" w:before="8"/>
        <w:rPr>
          <w:rFonts w:ascii="宋体" w:hAnsi="宋体" w:cs="宋体" w:eastAsia="宋体" w:hint="default"/>
          <w:sz w:val="21"/>
          <w:szCs w:val="21"/>
        </w:rPr>
      </w:pPr>
    </w:p>
    <w:p>
      <w:pPr>
        <w:pStyle w:val="Heading2"/>
        <w:spacing w:line="367" w:lineRule="exact"/>
        <w:ind w:right="3012"/>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713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北京北信源软件股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软件业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sz w:val="18"/>
              </w:rPr>
              <w:t>270,226,124.00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77" w:right="0"/>
              <w:jc w:val="left"/>
              <w:rPr>
                <w:rFonts w:ascii="宋体" w:hAnsi="宋体" w:cs="宋体" w:eastAsia="宋体" w:hint="default"/>
                <w:sz w:val="18"/>
                <w:szCs w:val="18"/>
              </w:rPr>
            </w:pPr>
            <w:r>
              <w:rPr>
                <w:rFonts w:ascii="宋体"/>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77" w:right="0"/>
              <w:jc w:val="left"/>
              <w:rPr>
                <w:rFonts w:ascii="宋体" w:hAnsi="宋体" w:cs="宋体" w:eastAsia="宋体" w:hint="default"/>
                <w:sz w:val="18"/>
                <w:szCs w:val="18"/>
              </w:rPr>
            </w:pPr>
            <w:r>
              <w:rPr>
                <w:rFonts w:ascii="宋体"/>
                <w:sz w:val="18"/>
              </w:rPr>
              <w:t>100.00%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3012"/>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3012"/>
        <w:jc w:val="left"/>
      </w:pPr>
      <w:r>
        <w:rPr/>
        <w:t>本企业子公司的情况详见附注八、在子公司中的权益。</w:t>
      </w:r>
    </w:p>
    <w:p>
      <w:pPr>
        <w:spacing w:line="240" w:lineRule="auto" w:before="2"/>
        <w:rPr>
          <w:rFonts w:ascii="宋体" w:hAnsi="宋体" w:cs="宋体" w:eastAsia="宋体" w:hint="default"/>
          <w:sz w:val="22"/>
          <w:szCs w:val="22"/>
        </w:rPr>
      </w:pPr>
    </w:p>
    <w:p>
      <w:pPr>
        <w:pStyle w:val="Heading3"/>
        <w:spacing w:line="240" w:lineRule="auto"/>
        <w:ind w:right="3012"/>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关键管理人员亲属</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16"/>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北京金天城保密技术有限公司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上海无寻网络科技有限公司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3012"/>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301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5,316.24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28,717.95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301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231,991.46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70,470.09</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2,515,660.24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2,822,178.71</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北京双洲科技有限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12,571.50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7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pStyle w:val="BodyText"/>
        <w:spacing w:line="240" w:lineRule="auto" w:before="174"/>
        <w:ind w:right="3012"/>
        <w:jc w:val="left"/>
      </w:pPr>
      <w:r>
        <w:rPr/>
        <w:t>□ 适用 √</w:t>
      </w:r>
      <w:r>
        <w:rPr>
          <w:spacing w:val="3"/>
        </w:rPr>
        <w:t> </w:t>
      </w:r>
      <w:r>
        <w:rPr/>
        <w:t>不适用</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2"/>
        <w:rPr>
          <w:rFonts w:ascii="宋体" w:hAnsi="宋体" w:cs="宋体" w:eastAsia="宋体" w:hint="default"/>
          <w:sz w:val="21"/>
          <w:szCs w:val="21"/>
        </w:rPr>
      </w:pPr>
    </w:p>
    <w:p>
      <w:pPr>
        <w:pStyle w:val="Heading3"/>
        <w:spacing w:line="240" w:lineRule="auto"/>
        <w:ind w:right="3012"/>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1"/>
        <w:rPr>
          <w:rFonts w:ascii="宋体" w:hAnsi="宋体" w:cs="宋体" w:eastAsia="宋体" w:hint="default"/>
          <w:sz w:val="22"/>
          <w:szCs w:val="22"/>
        </w:rPr>
      </w:pPr>
    </w:p>
    <w:p>
      <w:pPr>
        <w:pStyle w:val="Heading3"/>
        <w:spacing w:line="240" w:lineRule="auto"/>
        <w:ind w:right="3012"/>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无</w:t>
      </w:r>
    </w:p>
    <w:p>
      <w:pPr>
        <w:spacing w:after="0" w:line="240" w:lineRule="auto"/>
        <w:jc w:val="left"/>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3012"/>
        <w:jc w:val="left"/>
        <w:rPr>
          <w:b w:val="0"/>
          <w:bCs w:val="0"/>
        </w:rPr>
      </w:pPr>
      <w:r>
        <w:rPr/>
        <w:t>十四、承诺及或有事项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5094"/>
        <w:jc w:val="left"/>
      </w:pPr>
      <w:r>
        <w:rPr/>
        <w:t>资产负债表日存在的重要承诺 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日，本公司无需要披露的重大承诺事项。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3"/>
        <w:spacing w:line="240" w:lineRule="auto"/>
        <w:ind w:right="301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3012"/>
        <w:jc w:val="left"/>
      </w:pPr>
      <w:r>
        <w:rPr/>
        <w:t>公司不存在需要披露的重要或有事项。</w:t>
      </w:r>
    </w:p>
    <w:p>
      <w:pPr>
        <w:spacing w:line="240" w:lineRule="auto" w:before="2"/>
        <w:rPr>
          <w:rFonts w:ascii="宋体" w:hAnsi="宋体" w:cs="宋体" w:eastAsia="宋体" w:hint="default"/>
          <w:sz w:val="22"/>
          <w:szCs w:val="22"/>
        </w:rPr>
      </w:pPr>
    </w:p>
    <w:p>
      <w:pPr>
        <w:spacing w:line="376" w:lineRule="auto" w:before="0"/>
        <w:ind w:left="152" w:right="68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pStyle w:val="Heading3"/>
        <w:spacing w:line="240" w:lineRule="auto" w:before="89"/>
        <w:ind w:right="3012"/>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12,160,175.58</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12,160,175.58</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56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、其他资产负债表日后事项说明</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pacing w:val="-27"/>
          <w:sz w:val="21"/>
          <w:szCs w:val="21"/>
        </w:rPr>
      </w:r>
      <w:r>
        <w:rPr>
          <w:rFonts w:ascii="Microsoft JhengHei" w:hAnsi="Microsoft JhengHei" w:cs="Microsoft JhengHei" w:eastAsia="Microsoft JhengHei" w:hint="default"/>
          <w:b/>
          <w:bCs/>
          <w:sz w:val="24"/>
          <w:szCs w:val="24"/>
        </w:rPr>
        <w:t>十六、其他重要事项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pStyle w:val="Heading3"/>
        <w:spacing w:line="240" w:lineRule="auto" w:before="87"/>
        <w:ind w:right="301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593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pStyle w:val="Heading3"/>
        <w:spacing w:line="240" w:lineRule="auto" w:before="87"/>
        <w:ind w:right="301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515,766,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185.43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70,625,8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05.08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15.79%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445,140,3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80.35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408,212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,233.47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43,687,33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6.81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364,524,89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6.66</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515,766,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185.43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70,625,8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05.08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15.79%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445,140,3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80.35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408,212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,233.47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43,687,33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6.81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364,524,89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6.66</w:t>
            </w:r>
          </w:p>
        </w:tc>
      </w:tr>
    </w:tbl>
    <w:p>
      <w:pPr>
        <w:spacing w:after="0" w:line="240" w:lineRule="auto"/>
        <w:jc w:val="left"/>
        <w:rPr>
          <w:rFonts w:ascii="Times New Roman" w:hAnsi="Times New Roman" w:cs="Times New Roman" w:eastAsia="Times New Roman" w:hint="default"/>
          <w:sz w:val="18"/>
          <w:szCs w:val="18"/>
        </w:rPr>
        <w:sectPr>
          <w:pgSz w:w="11910" w:h="16840"/>
          <w:pgMar w:header="781" w:footer="979" w:top="108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60" w:lineRule="auto" w:before="115"/>
        <w:ind w:right="160"/>
        <w:jc w:val="left"/>
      </w:pPr>
      <w:r>
        <w:rPr/>
        <w:t>□ 适用 √</w:t>
      </w:r>
      <w:r>
        <w:rPr>
          <w:spacing w:val="3"/>
        </w:rPr>
        <w:t> </w:t>
      </w:r>
      <w:r>
        <w:rPr/>
        <w:t>不适用</w:t>
      </w:r>
      <w:r>
        <w:rPr/>
        <w:t> 组合中，按账龄分析法计提坏账准备的应收账款：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8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207,431,695.65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10,371,584.78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207,431,695.65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10,371,584.78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124,565,569.10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12,456,556.91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78,510,515.71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23,553,154.71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36,868,544.35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24,244,508.68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20,459,708.95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10,229,854.48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11,970,906.00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9,576,724.80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4,437,929.40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4,437,929.40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447,376,324.81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70,625,805.08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15.79%</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240" w:lineRule="auto" w:before="29"/>
        <w:ind w:right="3012"/>
        <w:jc w:val="left"/>
      </w:pPr>
      <w:r>
        <w:rPr/>
        <w:t>□ 适用 √</w:t>
      </w:r>
      <w:r>
        <w:rPr>
          <w:spacing w:val="3"/>
        </w:rPr>
        <w:t> </w:t>
      </w:r>
      <w:r>
        <w:rPr/>
        <w:t>不适用</w:t>
      </w:r>
    </w:p>
    <w:p>
      <w:pPr>
        <w:spacing w:line="240" w:lineRule="auto" w:before="5"/>
        <w:rPr>
          <w:rFonts w:ascii="宋体" w:hAnsi="宋体" w:cs="宋体" w:eastAsia="宋体" w:hint="default"/>
          <w:sz w:val="24"/>
          <w:szCs w:val="24"/>
        </w:rPr>
      </w:pPr>
    </w:p>
    <w:p>
      <w:pPr>
        <w:pStyle w:val="Heading4"/>
        <w:spacing w:line="240" w:lineRule="auto"/>
        <w:ind w:right="3012"/>
        <w:jc w:val="left"/>
        <w:rPr>
          <w:b w:val="0"/>
          <w:bCs w:val="0"/>
        </w:rPr>
      </w:pPr>
      <w:r>
        <w:rPr/>
        <w:t>（</w:t>
      </w:r>
      <w:r>
        <w:rPr>
          <w:rFonts w:ascii="Trebuchet MS" w:hAnsi="Trebuchet MS" w:cs="Trebuchet MS" w:eastAsia="Trebuchet MS" w:hint="default"/>
        </w:rPr>
        <w:t>2</w:t>
      </w:r>
      <w:r>
        <w:rPr/>
        <w:t>）本期计提、收回或转回的坏账准备情况</w:t>
      </w:r>
      <w:r>
        <w:rPr>
          <w:b w:val="0"/>
          <w:bCs w:val="0"/>
        </w:rPr>
      </w:r>
    </w:p>
    <w:p>
      <w:pPr>
        <w:spacing w:line="240" w:lineRule="auto" w:before="8"/>
        <w:rPr>
          <w:rFonts w:ascii="Microsoft JhengHei" w:hAnsi="Microsoft JhengHei" w:cs="Microsoft JhengHei" w:eastAsia="Microsoft JhengHei" w:hint="default"/>
          <w:b/>
          <w:bCs/>
          <w:sz w:val="20"/>
          <w:szCs w:val="20"/>
        </w:rPr>
      </w:pPr>
    </w:p>
    <w:p>
      <w:pPr>
        <w:pStyle w:val="BodyText"/>
        <w:spacing w:line="240" w:lineRule="auto"/>
        <w:ind w:right="3012"/>
        <w:jc w:val="left"/>
      </w:pPr>
      <w:r>
        <w:rPr/>
        <w:t>本期计提坏账准备金额</w:t>
      </w:r>
      <w:r>
        <w:rPr>
          <w:spacing w:val="-47"/>
        </w:rPr>
        <w:t> </w:t>
      </w:r>
      <w:r>
        <w:rPr>
          <w:rFonts w:ascii="宋体" w:hAnsi="宋体" w:cs="宋体" w:eastAsia="宋体" w:hint="default"/>
        </w:rPr>
        <w:t>26,938,468.27</w:t>
      </w:r>
      <w:r>
        <w:rPr>
          <w:rFonts w:ascii="宋体" w:hAnsi="宋体" w:cs="宋体" w:eastAsia="宋体" w:hint="default"/>
          <w:spacing w:val="-45"/>
        </w:rPr>
        <w:t> </w:t>
      </w:r>
      <w:r>
        <w:rPr/>
        <w:t>元；本期收回或转回坏账准备金额</w:t>
      </w:r>
      <w:r>
        <w:rPr>
          <w:spacing w:val="-48"/>
        </w:rPr>
        <w:t> </w:t>
      </w:r>
      <w:r>
        <w:rPr>
          <w:rFonts w:ascii="宋体" w:hAnsi="宋体" w:cs="宋体" w:eastAsia="宋体" w:hint="default"/>
        </w:rPr>
        <w:t>0.00</w:t>
      </w:r>
      <w:r>
        <w:rPr>
          <w:rFonts w:ascii="宋体" w:hAnsi="宋体" w:cs="宋体" w:eastAsia="宋体" w:hint="default"/>
          <w:spacing w:val="-46"/>
        </w:rPr>
        <w:t> </w:t>
      </w:r>
      <w:r>
        <w:rPr/>
        <w:t>元。</w:t>
      </w:r>
    </w:p>
    <w:p>
      <w:pPr>
        <w:spacing w:after="0" w:line="240" w:lineRule="auto"/>
        <w:jc w:val="left"/>
        <w:sectPr>
          <w:type w:val="continuous"/>
          <w:pgSz w:w="11910" w:h="16840"/>
          <w:pgMar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504" w:firstLine="360"/>
        <w:jc w:val="left"/>
      </w:pPr>
      <w:r>
        <w:rPr/>
        <w:t>本公司本年按欠款方归集的年末余额前五名应收账款汇总金额</w:t>
      </w:r>
      <w:r>
        <w:rPr>
          <w:rFonts w:ascii="宋体" w:hAnsi="宋体" w:cs="宋体" w:eastAsia="宋体" w:hint="default"/>
        </w:rPr>
        <w:t>60,379,630.00</w:t>
      </w:r>
      <w:r>
        <w:rPr/>
        <w:t>元，占应收账款年末余额合计数的比 例为</w:t>
      </w:r>
      <w:r>
        <w:rPr>
          <w:rFonts w:ascii="宋体" w:hAnsi="宋体" w:cs="宋体" w:eastAsia="宋体" w:hint="default"/>
        </w:rPr>
        <w:t>11.71</w:t>
      </w:r>
      <w:r>
        <w:rPr>
          <w:rFonts w:ascii="宋体" w:hAnsi="宋体" w:cs="宋体" w:eastAsia="宋体" w:hint="default"/>
          <w:spacing w:val="-1"/>
        </w:rPr>
        <w:t> </w:t>
      </w:r>
      <w:r>
        <w:rPr>
          <w:rFonts w:ascii="宋体" w:hAnsi="宋体" w:cs="宋体" w:eastAsia="宋体" w:hint="default"/>
        </w:rPr>
        <w:t>%</w:t>
      </w:r>
      <w:r>
        <w:rPr/>
        <w:t>，相应计提的坏账准备年末余额汇总金额</w:t>
      </w:r>
      <w:r>
        <w:rPr>
          <w:rFonts w:ascii="宋体" w:hAnsi="宋体" w:cs="宋体" w:eastAsia="宋体" w:hint="default"/>
        </w:rPr>
        <w:t>7,503,363.00</w:t>
      </w:r>
      <w:r>
        <w:rPr/>
        <w:t>元。</w:t>
      </w:r>
    </w:p>
    <w:p>
      <w:pPr>
        <w:spacing w:line="240" w:lineRule="auto" w:before="9"/>
        <w:rPr>
          <w:rFonts w:ascii="宋体" w:hAnsi="宋体" w:cs="宋体" w:eastAsia="宋体" w:hint="default"/>
          <w:sz w:val="17"/>
          <w:szCs w:val="17"/>
        </w:rPr>
      </w:pPr>
    </w:p>
    <w:p>
      <w:pPr>
        <w:pStyle w:val="Heading3"/>
        <w:spacing w:line="240" w:lineRule="auto"/>
        <w:ind w:right="3012"/>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03" w:lineRule="auto" w:before="0"/>
        <w:ind w:left="152" w:right="549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rebuchet MS" w:hAnsi="Trebuchet MS" w:cs="Trebuchet MS" w:eastAsia="Trebuchet MS" w:hint="default"/>
          <w:b/>
          <w:bCs/>
          <w:sz w:val="18"/>
          <w:szCs w:val="18"/>
        </w:rPr>
        <w:t>6</w:t>
      </w:r>
      <w:r>
        <w:rPr>
          <w:rFonts w:ascii="Microsoft JhengHei" w:hAnsi="Microsoft JhengHei" w:cs="Microsoft JhengHei" w:eastAsia="Microsoft JhengHei" w:hint="default"/>
          <w:b/>
          <w:bCs/>
          <w:sz w:val="18"/>
          <w:szCs w:val="18"/>
        </w:rPr>
        <w:t>）转移应收账款且继续涉入形成的资产、负债金额 </w:t>
      </w:r>
      <w:r>
        <w:rPr>
          <w:rFonts w:ascii="Trebuchet MS" w:hAnsi="Trebuchet MS" w:cs="Trebuchet MS" w:eastAsia="Trebuchet MS" w:hint="default"/>
          <w:b/>
          <w:bCs/>
          <w:sz w:val="21"/>
          <w:szCs w:val="21"/>
        </w:rPr>
        <w:t>2</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pStyle w:val="Heading4"/>
        <w:spacing w:line="240" w:lineRule="auto" w:before="91"/>
        <w:ind w:right="3012"/>
        <w:jc w:val="left"/>
        <w:rPr>
          <w:b w:val="0"/>
          <w:bCs w:val="0"/>
        </w:rPr>
      </w:pPr>
      <w:r>
        <w:rPr/>
        <w:t>（</w:t>
      </w:r>
      <w:r>
        <w:rPr>
          <w:rFonts w:ascii="Trebuchet MS" w:hAnsi="Trebuchet MS" w:cs="Trebuchet MS" w:eastAsia="Trebuchet MS" w:hint="default"/>
        </w:rPr>
        <w:t>1</w:t>
      </w:r>
      <w:r>
        <w:rPr/>
        <w:t>）其他应收款分类披露</w:t>
      </w:r>
      <w:r>
        <w:rPr>
          <w:b w:val="0"/>
          <w:bCs w:val="0"/>
        </w:rPr>
      </w:r>
    </w:p>
    <w:p>
      <w:pPr>
        <w:spacing w:line="240" w:lineRule="auto" w:before="5"/>
        <w:rPr>
          <w:rFonts w:ascii="Microsoft JhengHei" w:hAnsi="Microsoft JhengHei" w:cs="Microsoft JhengHei" w:eastAsia="Microsoft JhengHei" w:hint="default"/>
          <w:b/>
          <w:bCs/>
          <w:sz w:val="20"/>
          <w:szCs w:val="20"/>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4,688,6</w:t>
            </w:r>
          </w:p>
          <w:p>
            <w:pPr>
              <w:pStyle w:val="TableParagraph"/>
              <w:spacing w:line="240" w:lineRule="auto" w:before="74"/>
              <w:ind w:left="259" w:right="0"/>
              <w:jc w:val="center"/>
              <w:rPr>
                <w:rFonts w:ascii="宋体" w:hAnsi="宋体" w:cs="宋体" w:eastAsia="宋体" w:hint="default"/>
                <w:sz w:val="18"/>
                <w:szCs w:val="18"/>
              </w:rPr>
            </w:pPr>
            <w:r>
              <w:rPr>
                <w:rFonts w:ascii="宋体"/>
                <w:sz w:val="18"/>
              </w:rPr>
              <w:t>55.50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583,978</w:t>
            </w:r>
          </w:p>
          <w:p>
            <w:pPr>
              <w:pStyle w:val="TableParagraph"/>
              <w:spacing w:line="240" w:lineRule="auto" w:before="74"/>
              <w:ind w:left="458" w:right="0"/>
              <w:jc w:val="left"/>
              <w:rPr>
                <w:rFonts w:ascii="宋体" w:hAnsi="宋体" w:cs="宋体" w:eastAsia="宋体" w:hint="default"/>
                <w:sz w:val="18"/>
                <w:szCs w:val="18"/>
              </w:rPr>
            </w:pPr>
            <w:r>
              <w:rPr>
                <w:rFonts w:ascii="宋体"/>
                <w:sz w:val="18"/>
              </w:rPr>
              <w:t>.53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15.83%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4,104,67</w:t>
            </w:r>
          </w:p>
          <w:p>
            <w:pPr>
              <w:pStyle w:val="TableParagraph"/>
              <w:spacing w:line="240" w:lineRule="auto" w:before="74"/>
              <w:ind w:left="395" w:right="0"/>
              <w:jc w:val="left"/>
              <w:rPr>
                <w:rFonts w:ascii="宋体" w:hAnsi="宋体" w:cs="宋体" w:eastAsia="宋体" w:hint="default"/>
                <w:sz w:val="18"/>
                <w:szCs w:val="18"/>
              </w:rPr>
            </w:pPr>
            <w:r>
              <w:rPr>
                <w:rFonts w:ascii="宋体"/>
                <w:sz w:val="18"/>
              </w:rPr>
              <w:t>6.97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8,803,</w:t>
            </w:r>
          </w:p>
          <w:p>
            <w:pPr>
              <w:pStyle w:val="TableParagraph"/>
              <w:spacing w:line="240" w:lineRule="auto" w:before="74"/>
              <w:ind w:left="83" w:right="0"/>
              <w:jc w:val="left"/>
              <w:rPr>
                <w:rFonts w:ascii="宋体" w:hAnsi="宋体" w:cs="宋体" w:eastAsia="宋体" w:hint="default"/>
                <w:sz w:val="18"/>
                <w:szCs w:val="18"/>
              </w:rPr>
            </w:pPr>
            <w:r>
              <w:rPr>
                <w:rFonts w:ascii="宋体"/>
                <w:sz w:val="18"/>
              </w:rPr>
              <w:t>619.99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7" w:right="0"/>
              <w:jc w:val="center"/>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sz w:val="18"/>
              </w:rPr>
              <w:t>1,268,03</w:t>
            </w:r>
          </w:p>
          <w:p>
            <w:pPr>
              <w:pStyle w:val="TableParagraph"/>
              <w:spacing w:line="240" w:lineRule="auto" w:before="74"/>
              <w:ind w:left="422" w:right="0"/>
              <w:jc w:val="left"/>
              <w:rPr>
                <w:rFonts w:ascii="宋体" w:hAnsi="宋体" w:cs="宋体" w:eastAsia="宋体" w:hint="default"/>
                <w:sz w:val="18"/>
                <w:szCs w:val="18"/>
              </w:rPr>
            </w:pPr>
            <w:r>
              <w:rPr>
                <w:rFonts w:ascii="宋体"/>
                <w:sz w:val="18"/>
              </w:rPr>
              <w:t>1.69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16.56%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7,535,588</w:t>
            </w:r>
          </w:p>
          <w:p>
            <w:pPr>
              <w:pStyle w:val="TableParagraph"/>
              <w:spacing w:line="240" w:lineRule="auto" w:before="74"/>
              <w:ind w:right="17"/>
              <w:jc w:val="right"/>
              <w:rPr>
                <w:rFonts w:ascii="宋体" w:hAnsi="宋体" w:cs="宋体" w:eastAsia="宋体" w:hint="default"/>
                <w:sz w:val="18"/>
                <w:szCs w:val="18"/>
              </w:rPr>
            </w:pPr>
            <w:r>
              <w:rPr>
                <w:rFonts w:ascii="宋体"/>
                <w:sz w:val="18"/>
              </w:rPr>
              <w:t>.30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center"/>
              <w:rPr>
                <w:rFonts w:ascii="宋体" w:hAnsi="宋体" w:cs="宋体" w:eastAsia="宋体" w:hint="default"/>
                <w:sz w:val="18"/>
                <w:szCs w:val="18"/>
              </w:rPr>
            </w:pPr>
            <w:r>
              <w:rPr>
                <w:rFonts w:ascii="宋体"/>
                <w:sz w:val="18"/>
              </w:rPr>
              <w:t>4,688,6</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55.50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583,978</w:t>
            </w:r>
          </w:p>
          <w:p>
            <w:pPr>
              <w:pStyle w:val="TableParagraph"/>
              <w:spacing w:line="240" w:lineRule="auto" w:before="76"/>
              <w:ind w:left="458" w:right="0"/>
              <w:jc w:val="left"/>
              <w:rPr>
                <w:rFonts w:ascii="宋体" w:hAnsi="宋体" w:cs="宋体" w:eastAsia="宋体" w:hint="default"/>
                <w:sz w:val="18"/>
                <w:szCs w:val="18"/>
              </w:rPr>
            </w:pPr>
            <w:r>
              <w:rPr>
                <w:rFonts w:ascii="宋体"/>
                <w:sz w:val="18"/>
              </w:rPr>
              <w:t>.53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15.83%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sz w:val="18"/>
              </w:rPr>
              <w:t>4,104,67</w:t>
            </w:r>
          </w:p>
          <w:p>
            <w:pPr>
              <w:pStyle w:val="TableParagraph"/>
              <w:spacing w:line="240" w:lineRule="auto" w:before="76"/>
              <w:ind w:left="395" w:right="0"/>
              <w:jc w:val="left"/>
              <w:rPr>
                <w:rFonts w:ascii="宋体" w:hAnsi="宋体" w:cs="宋体" w:eastAsia="宋体" w:hint="default"/>
                <w:sz w:val="18"/>
                <w:szCs w:val="18"/>
              </w:rPr>
            </w:pPr>
            <w:r>
              <w:rPr>
                <w:rFonts w:ascii="宋体"/>
                <w:sz w:val="18"/>
              </w:rPr>
              <w:t>6.97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 w:right="0"/>
              <w:jc w:val="left"/>
              <w:rPr>
                <w:rFonts w:ascii="宋体" w:hAnsi="宋体" w:cs="宋体" w:eastAsia="宋体" w:hint="default"/>
                <w:sz w:val="18"/>
                <w:szCs w:val="18"/>
              </w:rPr>
            </w:pPr>
            <w:r>
              <w:rPr>
                <w:rFonts w:ascii="宋体"/>
                <w:sz w:val="18"/>
              </w:rPr>
              <w:t>8,803,</w:t>
            </w:r>
          </w:p>
          <w:p>
            <w:pPr>
              <w:pStyle w:val="TableParagraph"/>
              <w:spacing w:line="240" w:lineRule="auto" w:before="76"/>
              <w:ind w:left="83" w:right="0"/>
              <w:jc w:val="left"/>
              <w:rPr>
                <w:rFonts w:ascii="宋体" w:hAnsi="宋体" w:cs="宋体" w:eastAsia="宋体" w:hint="default"/>
                <w:sz w:val="18"/>
                <w:szCs w:val="18"/>
              </w:rPr>
            </w:pPr>
            <w:r>
              <w:rPr>
                <w:rFonts w:ascii="宋体"/>
                <w:sz w:val="18"/>
              </w:rPr>
              <w:t>619.99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 w:right="0"/>
              <w:jc w:val="center"/>
              <w:rPr>
                <w:rFonts w:ascii="宋体" w:hAnsi="宋体" w:cs="宋体" w:eastAsia="宋体" w:hint="default"/>
                <w:sz w:val="18"/>
                <w:szCs w:val="18"/>
              </w:rPr>
            </w:pPr>
            <w:r>
              <w:rPr>
                <w:rFonts w:ascii="宋体"/>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1,268,03</w:t>
            </w:r>
          </w:p>
          <w:p>
            <w:pPr>
              <w:pStyle w:val="TableParagraph"/>
              <w:spacing w:line="240" w:lineRule="auto" w:before="76"/>
              <w:ind w:left="422" w:right="0"/>
              <w:jc w:val="left"/>
              <w:rPr>
                <w:rFonts w:ascii="宋体" w:hAnsi="宋体" w:cs="宋体" w:eastAsia="宋体" w:hint="default"/>
                <w:sz w:val="18"/>
                <w:szCs w:val="18"/>
              </w:rPr>
            </w:pPr>
            <w:r>
              <w:rPr>
                <w:rFonts w:ascii="宋体"/>
                <w:sz w:val="18"/>
              </w:rPr>
              <w:t>1.69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7,535,588</w:t>
            </w:r>
          </w:p>
          <w:p>
            <w:pPr>
              <w:pStyle w:val="TableParagraph"/>
              <w:spacing w:line="240" w:lineRule="auto" w:before="76"/>
              <w:ind w:right="17"/>
              <w:jc w:val="right"/>
              <w:rPr>
                <w:rFonts w:ascii="宋体" w:hAnsi="宋体" w:cs="宋体" w:eastAsia="宋体" w:hint="default"/>
                <w:sz w:val="18"/>
                <w:szCs w:val="18"/>
              </w:rPr>
            </w:pPr>
            <w:r>
              <w:rPr>
                <w:rFonts w:ascii="宋体"/>
                <w:sz w:val="18"/>
              </w:rPr>
              <w:t>.30</w:t>
            </w:r>
          </w:p>
        </w:tc>
      </w:tr>
    </w:tbl>
    <w:p>
      <w:pPr>
        <w:spacing w:after="0" w:line="240" w:lineRule="auto"/>
        <w:jc w:val="right"/>
        <w:rPr>
          <w:rFonts w:ascii="宋体" w:hAnsi="宋体" w:cs="宋体" w:eastAsia="宋体" w:hint="default"/>
          <w:sz w:val="18"/>
          <w:szCs w:val="18"/>
        </w:rPr>
        <w:sectPr>
          <w:pgSz w:w="11910" w:h="16840"/>
          <w:pgMar w:header="781" w:footer="979" w:top="108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60" w:lineRule="auto" w:before="115"/>
        <w:ind w:right="160"/>
        <w:jc w:val="left"/>
      </w:pPr>
      <w:r>
        <w:rPr/>
        <w:t>□ 适用 √</w:t>
      </w:r>
      <w:r>
        <w:rPr>
          <w:spacing w:val="3"/>
        </w:rPr>
        <w:t> </w:t>
      </w:r>
      <w:r>
        <w:rPr/>
        <w:t>不适用</w:t>
      </w:r>
      <w:r>
        <w:rPr/>
        <w:t> 组合中，按账龄分析法计提坏账准备的其他应收款：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80" w:bottom="1160" w:left="980" w:right="980"/>
          <w:cols w:num="2" w:equalWidth="0">
            <w:col w:w="4473" w:space="4356"/>
            <w:col w:w="112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2,575,458.01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128,772.90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2,575,458.01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128,772.90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490,338.10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209,789.39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62,936.82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343,235.00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80" w:bottom="116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3,688,655.50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583,978.53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15.83%</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57" w:lineRule="auto" w:before="29"/>
        <w:ind w:right="5634"/>
        <w:jc w:val="left"/>
      </w:pPr>
      <w:r>
        <w:rPr/>
        <w:t>□ 适用 √</w:t>
      </w:r>
      <w:r>
        <w:rPr>
          <w:spacing w:val="3"/>
        </w:rPr>
        <w:t> </w:t>
      </w:r>
      <w:r>
        <w:rPr/>
        <w:t>不适用</w:t>
      </w:r>
      <w:r>
        <w:rPr/>
        <w:t> 组合中，采用其他方法计提坏账准备的其他应收款：</w:t>
      </w:r>
    </w:p>
    <w:p>
      <w:pPr>
        <w:pStyle w:val="BodyText"/>
        <w:spacing w:line="240" w:lineRule="auto" w:before="29"/>
        <w:ind w:right="3012"/>
        <w:jc w:val="left"/>
      </w:pPr>
      <w:r>
        <w:rPr/>
        <w:t>□ 适用 √</w:t>
      </w:r>
      <w:r>
        <w:rPr>
          <w:spacing w:val="3"/>
        </w:rPr>
        <w:t> </w:t>
      </w:r>
      <w:r>
        <w:rPr/>
        <w:t>不适用</w:t>
      </w:r>
    </w:p>
    <w:p>
      <w:pPr>
        <w:spacing w:line="240" w:lineRule="auto" w:before="2"/>
        <w:rPr>
          <w:rFonts w:ascii="宋体" w:hAnsi="宋体" w:cs="宋体" w:eastAsia="宋体" w:hint="default"/>
          <w:sz w:val="22"/>
          <w:szCs w:val="22"/>
        </w:rPr>
      </w:pPr>
    </w:p>
    <w:p>
      <w:pPr>
        <w:pStyle w:val="Heading3"/>
        <w:spacing w:line="240" w:lineRule="auto"/>
        <w:ind w:right="301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684,053.16 </w:t>
      </w:r>
      <w:r>
        <w:rPr/>
        <w:t>元。</w:t>
      </w:r>
    </w:p>
    <w:p>
      <w:pPr>
        <w:spacing w:line="240" w:lineRule="auto" w:before="11"/>
        <w:rPr>
          <w:rFonts w:ascii="宋体" w:hAnsi="宋体" w:cs="宋体" w:eastAsia="宋体" w:hint="default"/>
          <w:sz w:val="20"/>
          <w:szCs w:val="20"/>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应收日常经营款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4,688,655.50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8,803,619.99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4,688,655.50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8,803,619.99</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国网国际招标有限公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北京北岳伟业数码科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上海铁路公安局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176,160.00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8,808.00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北京天融信科技有限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中电技国际招标有限 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766,160.00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313,108.00</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10"/>
        <w:rPr>
          <w:rFonts w:ascii="宋体" w:hAnsi="宋体" w:cs="宋体" w:eastAsia="宋体" w:hint="default"/>
          <w:sz w:val="22"/>
          <w:szCs w:val="22"/>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189,999,995.40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189,999,995.40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90,000,000.00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189,999,995.40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189,999,995.40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90,000,000.00</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上海北信源信息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江苏神州信源系 统工程有限公司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北信源（马来西 </w:t>
            </w:r>
            <w:r>
              <w:rPr>
                <w:rFonts w:ascii="宋体" w:hAnsi="宋体" w:cs="宋体" w:eastAsia="宋体" w:hint="default"/>
                <w:spacing w:val="-7"/>
                <w:sz w:val="18"/>
                <w:szCs w:val="18"/>
              </w:rPr>
              <w:t>亚）信息技术公司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北京中软华泰信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99,999,995.40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99,999,995.40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90,000,000.00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99,999,995.40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189,999,995.40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301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239,996,038.17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12,235,602.15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227,852,426.00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13,004,509.67</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4,733,462.68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3,997,775.33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3,809,410.06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2,668,592.73</w:t>
            </w:r>
          </w:p>
        </w:tc>
      </w:tr>
    </w:tbl>
    <w:p>
      <w:pPr>
        <w:spacing w:after="0" w:line="240" w:lineRule="auto"/>
        <w:jc w:val="right"/>
        <w:rPr>
          <w:rFonts w:ascii="Times New Roman" w:hAnsi="Times New Roman" w:cs="Times New Roman" w:eastAsia="Times New Roman" w:hint="default"/>
          <w:sz w:val="18"/>
          <w:szCs w:val="18"/>
        </w:rPr>
        <w:sectPr>
          <w:pgSz w:w="11910" w:h="16840"/>
          <w:pgMar w:header="781" w:footer="979" w:top="1080" w:bottom="1160" w:left="980" w:right="980"/>
        </w:sectPr>
      </w:pPr>
    </w:p>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244,729,500.85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16,233,377.48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231,661,836.06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15,673,102.40</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226,667.00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226,667.00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Heading2"/>
        <w:spacing w:line="240" w:lineRule="auto"/>
        <w:ind w:right="3012"/>
        <w:jc w:val="left"/>
        <w:rPr>
          <w:b w:val="0"/>
          <w:bCs w:val="0"/>
        </w:rPr>
      </w:pPr>
      <w:r>
        <w:rPr/>
        <w:t>十八、补充资料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3012"/>
        <w:jc w:val="left"/>
      </w:pPr>
      <w:r>
        <w:rPr/>
        <w:t>√ 适用 □</w:t>
      </w:r>
      <w:r>
        <w:rPr>
          <w:spacing w:val="3"/>
        </w:rPr>
        <w:t> </w:t>
      </w:r>
      <w:r>
        <w:rPr/>
        <w:t>不适用</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60"/>
        <w:gridCol w:w="3185"/>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-79,793.10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8"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3,568,050.00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hAnsi="宋体" w:cs="宋体" w:eastAsia="宋体" w:hint="default"/>
                <w:sz w:val="18"/>
                <w:szCs w:val="18"/>
              </w:rPr>
              <w:t>政府补贴款</w:t>
            </w:r>
          </w:p>
        </w:tc>
      </w:tr>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16,311.92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525,685.32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2,978,883.50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pStyle w:val="BodyText"/>
        <w:spacing w:line="240" w:lineRule="auto" w:before="49"/>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7"/>
        </w:rPr>
        <w:t>号——非经常性损益》定义界定的非经常性损益项目，以及把《公</w:t>
      </w:r>
    </w:p>
    <w:p>
      <w:pPr>
        <w:pStyle w:val="BodyText"/>
        <w:spacing w:line="316" w:lineRule="auto" w:before="74"/>
        <w:ind w:right="139"/>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0"/>
        </w:rPr>
        <w:t> </w:t>
      </w:r>
      <w:r>
        <w:rPr>
          <w:spacing w:val="-3"/>
        </w:rPr>
        <w:t>号——非经常性损益》中列举的非经常性损益项目界定为经常性损益的项目，应</w:t>
      </w:r>
      <w:r>
        <w:rPr/>
        <w:t> 说明原因。</w:t>
      </w:r>
    </w:p>
    <w:p>
      <w:pPr>
        <w:pStyle w:val="BodyText"/>
        <w:spacing w:line="240" w:lineRule="auto" w:before="60"/>
        <w:ind w:right="3012"/>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371"/>
        <w:gridCol w:w="3099"/>
        <w:gridCol w:w="3229"/>
      </w:tblGrid>
      <w:tr>
        <w:trPr>
          <w:trHeight w:val="401"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增值税退税</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60" w:right="0"/>
              <w:jc w:val="left"/>
              <w:rPr>
                <w:rFonts w:ascii="宋体" w:hAnsi="宋体" w:cs="宋体" w:eastAsia="宋体" w:hint="default"/>
                <w:sz w:val="18"/>
                <w:szCs w:val="18"/>
              </w:rPr>
            </w:pPr>
            <w:r>
              <w:rPr>
                <w:rFonts w:ascii="宋体"/>
                <w:sz w:val="18"/>
              </w:rPr>
              <w:t>17,444,329.95</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pacing w:val="-4"/>
                <w:sz w:val="18"/>
                <w:szCs w:val="18"/>
              </w:rPr>
              <w:t>依据国家对软件行业的总体政策导向，预</w:t>
            </w:r>
            <w:r>
              <w:rPr>
                <w:rFonts w:ascii="宋体" w:hAnsi="宋体" w:cs="宋体" w:eastAsia="宋体" w:hint="default"/>
                <w:sz w:val="18"/>
                <w:szCs w:val="18"/>
              </w:rPr>
              <w:t> 期软件增值税退税的税收优惠政策在较 长时间内保持稳定，故定义为经常性损 益。</w:t>
            </w:r>
          </w:p>
        </w:tc>
      </w:tr>
    </w:tbl>
    <w:p>
      <w:pPr>
        <w:spacing w:line="240" w:lineRule="auto" w:before="3"/>
        <w:rPr>
          <w:rFonts w:ascii="宋体" w:hAnsi="宋体" w:cs="宋体" w:eastAsia="宋体" w:hint="default"/>
          <w:sz w:val="19"/>
          <w:szCs w:val="19"/>
        </w:rPr>
      </w:pPr>
    </w:p>
    <w:p>
      <w:pPr>
        <w:pStyle w:val="Heading3"/>
        <w:spacing w:line="335" w:lineRule="exact"/>
        <w:ind w:right="301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6"/>
      </w:tblGrid>
      <w:tr>
        <w:trPr>
          <w:trHeight w:val="402" w:hRule="exact"/>
        </w:trPr>
        <w:tc>
          <w:tcPr>
            <w:tcW w:w="2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1" w:type="dxa"/>
            <w:vMerge/>
            <w:tcBorders>
              <w:left w:val="single" w:sz="4" w:space="0" w:color="000000"/>
              <w:bottom w:val="single" w:sz="4" w:space="0" w:color="000000"/>
              <w:right w:val="single" w:sz="4" w:space="0" w:color="000000"/>
            </w:tcBorders>
            <w:shd w:val="clear" w:color="auto" w:fill="D2D2D2"/>
          </w:tcPr>
          <w:p>
            <w:pPr/>
          </w:p>
        </w:tc>
        <w:tc>
          <w:tcPr>
            <w:tcW w:w="3083"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81" w:footer="979" w:top="1080" w:bottom="1160" w:left="980" w:right="980"/>
        </w:sectPr>
      </w:pPr>
    </w:p>
    <w:p>
      <w:pPr>
        <w:spacing w:line="240" w:lineRule="auto" w:before="16"/>
        <w:rPr>
          <w:rFonts w:ascii="Microsoft JhengHei" w:hAnsi="Microsoft JhengHei" w:cs="Microsoft JhengHei" w:eastAsia="Microsoft JhengHei"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3"/>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0.260</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301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3012"/>
        <w:jc w:val="left"/>
      </w:pPr>
      <w:r>
        <w:rPr/>
        <w:t>□ 适用 √</w:t>
      </w:r>
      <w:r>
        <w:rPr>
          <w:spacing w:val="3"/>
        </w:rPr>
        <w:t> </w:t>
      </w:r>
      <w:r>
        <w:rPr/>
        <w:t>不适用</w:t>
      </w:r>
    </w:p>
    <w:p>
      <w:pPr>
        <w:spacing w:line="240" w:lineRule="auto" w:before="7"/>
        <w:rPr>
          <w:rFonts w:ascii="宋体" w:hAnsi="宋体" w:cs="宋体" w:eastAsia="宋体" w:hint="default"/>
          <w:sz w:val="26"/>
          <w:szCs w:val="26"/>
        </w:rPr>
      </w:pPr>
    </w:p>
    <w:p>
      <w:pPr>
        <w:pStyle w:val="Heading3"/>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5"/>
        </w:rPr>
        <w:t> </w:t>
      </w:r>
      <w:r>
        <w:rPr>
          <w:spacing w:val="25"/>
        </w:rPr>
      </w:r>
      <w:r>
        <w:rPr/>
        <w:t>明该境外机构的名称</w:t>
      </w:r>
      <w:r>
        <w:rPr>
          <w:b w:val="0"/>
          <w:bCs w:val="0"/>
        </w:rPr>
      </w:r>
    </w:p>
    <w:p>
      <w:pPr>
        <w:spacing w:line="240" w:lineRule="auto" w:before="13"/>
        <w:rPr>
          <w:rFonts w:ascii="Microsoft JhengHei" w:hAnsi="Microsoft JhengHei" w:cs="Microsoft JhengHei" w:eastAsia="Microsoft JhengHei" w:hint="default"/>
          <w:b/>
          <w:bCs/>
          <w:sz w:val="13"/>
          <w:szCs w:val="13"/>
        </w:rPr>
      </w:pPr>
    </w:p>
    <w:p>
      <w:pPr>
        <w:pStyle w:val="Heading3"/>
        <w:spacing w:line="240" w:lineRule="auto"/>
        <w:ind w:right="3012"/>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81" w:footer="979" w:top="1080" w:bottom="1160" w:left="980" w:right="980"/>
        </w:sectPr>
      </w:pPr>
    </w:p>
    <w:p>
      <w:pPr>
        <w:spacing w:line="240" w:lineRule="auto" w:before="13"/>
        <w:rPr>
          <w:rFonts w:ascii="Microsoft JhengHei" w:hAnsi="Microsoft JhengHei" w:cs="Microsoft JhengHei" w:eastAsia="Microsoft JhengHei" w:hint="default"/>
          <w:b/>
          <w:bCs/>
          <w:sz w:val="28"/>
          <w:szCs w:val="28"/>
        </w:rPr>
      </w:pPr>
    </w:p>
    <w:p>
      <w:pPr>
        <w:pStyle w:val="Heading1"/>
        <w:spacing w:line="456" w:lineRule="exact"/>
        <w:ind w:left="3285" w:right="3012"/>
        <w:jc w:val="left"/>
        <w:rPr>
          <w:b w:val="0"/>
          <w:bCs w:val="0"/>
        </w:rPr>
      </w:pPr>
      <w:bookmarkStart w:name="_TOC_250000" w:id="9"/>
      <w:r>
        <w:rPr/>
        <w:t>第十一节 </w:t>
      </w:r>
      <w:r>
        <w:rPr>
          <w:spacing w:val="8"/>
        </w:rPr>
        <w:t> </w:t>
      </w:r>
      <w:r>
        <w:rPr/>
        <w:t>备查文件目录</w:t>
      </w:r>
      <w:bookmarkEnd w:id="9"/>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316" w:lineRule="auto"/>
        <w:ind w:right="1134"/>
        <w:jc w:val="left"/>
      </w:pPr>
      <w:r>
        <w:rPr/>
        <w:t>一、载有公司法定代表人、主管会计工作负责人、会计机构负责人（会计主管人员）签名并盖章的财务报表。 二、载有会计师事务盖章、注册会计师签名并盖章的审计报告原件。 三、报告期内在中国证监会指定网站上公开披露过的所有公司文件的正本及公告的原稿。 四、载有公司法定代表人签名的</w:t>
      </w:r>
      <w:r>
        <w:rPr>
          <w:rFonts w:ascii="宋体" w:hAnsi="宋体" w:cs="宋体" w:eastAsia="宋体" w:hint="default"/>
        </w:rPr>
        <w:t>2015</w:t>
      </w:r>
      <w:r>
        <w:rPr/>
        <w:t>年年度报告文本。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pStyle w:val="BodyText"/>
        <w:spacing w:line="477" w:lineRule="auto"/>
        <w:ind w:left="6727" w:right="1488" w:hanging="629"/>
        <w:jc w:val="left"/>
      </w:pPr>
      <w:r>
        <w:rPr/>
        <w:t>北京北信源软件股份有限公司 董事长：林皓 </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18</w:t>
      </w:r>
      <w:r>
        <w:rPr/>
        <w:t>日</w:t>
      </w:r>
    </w:p>
    <w:sectPr>
      <w:pgSz w:w="11910" w:h="16840"/>
      <w:pgMar w:header="781" w:footer="979" w:top="108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755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55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54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754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754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754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8.425598pt;width:483.95pt;height:11pt;mso-position-horizontal-relative:page;mso-position-vertical-relative:page;z-index:-754888" type="#_x0000_t202" filled="false" stroked="false">
          <v:textbox inset="0,0,0,0">
            <w:txbxContent>
              <w:p>
                <w:pPr>
                  <w:pStyle w:val="BodyText"/>
                  <w:spacing w:line="200" w:lineRule="exact"/>
                  <w:ind w:left="20" w:right="0"/>
                  <w:jc w:val="left"/>
                </w:pPr>
                <w:r>
                  <w:rPr>
                    <w:spacing w:val="-2"/>
                  </w:rPr>
                  <w:t>转回的期间内，涉及的纳税主体意图以净额结算当期所得税资产和负债或是同时取得资产、清偿负债时，本公司递延所得税</w:t>
                </w:r>
              </w:p>
            </w:txbxContent>
          </v:textbox>
          <w10:wrap type="none"/>
        </v:shape>
      </w:pict>
    </w:r>
    <w:r>
      <w:rPr/>
      <w:pict>
        <v:shape style="position:absolute;margin-left:523.460022pt;margin-top:781.957947pt;width:17.3pt;height:11pt;mso-position-horizontal-relative:page;mso-position-vertical-relative:page;z-index:-754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754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754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90002pt;margin-top:38.065609pt;width:204.5pt;height:11pt;mso-position-horizontal-relative:page;mso-position-vertical-relative:page;z-index:-755056" type="#_x0000_t202" filled="false" stroked="false">
          <v:textbox inset="0,0,0,0">
            <w:txbxContent>
              <w:p>
                <w:pPr>
                  <w:pStyle w:val="BodyText"/>
                  <w:spacing w:line="200" w:lineRule="exact"/>
                  <w:ind w:left="20" w:right="0"/>
                  <w:jc w:val="left"/>
                </w:pPr>
                <w:r>
                  <w:rPr/>
                  <w:t>北京北信源软件股份有限公司</w:t>
                </w:r>
                <w:r>
                  <w:rPr>
                    <w:spacing w:val="-46"/>
                  </w:rPr>
                  <w:t> </w:t>
                </w:r>
                <w:r>
                  <w:rPr>
                    <w:rFonts w:ascii="宋体" w:hAnsi="宋体" w:cs="宋体" w:eastAsia="宋体" w:hint="default"/>
                  </w:rPr>
                  <w:t>2015</w:t>
                </w:r>
                <w:r>
                  <w:rPr>
                    <w:rFonts w:ascii="宋体" w:hAnsi="宋体" w:cs="宋体" w:eastAsia="宋体" w:hint="default"/>
                    <w:spacing w:val="-48"/>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6"/>
      <w:ind w:left="152"/>
    </w:pPr>
    <w:rPr>
      <w:rFonts w:ascii="Microsoft JhengHei" w:hAnsi="Microsoft JhengHei" w:eastAsia="Microsoft JhengHei"/>
      <w:b/>
      <w:bCs/>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152"/>
      <w:outlineLvl w:val="4"/>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image" Target="media/image3.jpeg"/><Relationship Id="rId11" Type="http://schemas.openxmlformats.org/officeDocument/2006/relationships/hyperlink" Target="http://www.vrv.com.cn/" TargetMode="External"/><Relationship Id="rId12" Type="http://schemas.openxmlformats.org/officeDocument/2006/relationships/hyperlink" Target="mailto:vrvzq@vrvmail.com.cn" TargetMode="External"/><Relationship Id="rId13" Type="http://schemas.openxmlformats.org/officeDocument/2006/relationships/hyperlink" Target="http://www.cninfo.com.cn/" TargetMode="External"/><Relationship Id="rId14" Type="http://schemas.openxmlformats.org/officeDocument/2006/relationships/hyperlink" Target="http://www.cninfo.com/" TargetMode="External"/><Relationship Id="rId15" Type="http://schemas.openxmlformats.org/officeDocument/2006/relationships/footer" Target="footer3.xml"/><Relationship Id="rId16" Type="http://schemas.openxmlformats.org/officeDocument/2006/relationships/hyperlink" Target="http://www.cninfo.com.cn/%E5%B7%A8%E6%BD%AE%E8%B5%84%E8%AE%AF" TargetMode="External"/><Relationship Id="rId17" Type="http://schemas.openxmlformats.org/officeDocument/2006/relationships/hyperlink" Target="http://www.cninfo.com.cn&#20844;&#21578;&#20102;/" TargetMode="External"/><Relationship Id="rId18" Type="http://schemas.openxmlformats.org/officeDocument/2006/relationships/hyperlink" Target="http://www.cninfo.com.cn&#20026;&#20844;&#21496;&#20449;&#24687;&#25259;&#38706;&#30340;&#25253;&#32440;&#21644;&#32593;&#31449;/" TargetMode="Externa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北京北信源软件股份有限公司</dc:creator>
  <dc:title>北京北信源软件股份有限公司2015年年度报告全文</dc:title>
  <dcterms:created xsi:type="dcterms:W3CDTF">2020-05-04T16:45:22Z</dcterms:created>
  <dcterms:modified xsi:type="dcterms:W3CDTF">2020-05-04T16:45:22Z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Microsoft® Word 2013</vt:lpwstr>
  </property>
  <property fmtid="{D5CDD505-2E9C-101B-9397-08002B2CF9AE}" pid="4" name="LastSaved">
    <vt:filetime>2020-05-04T00:00:00Z</vt:filetime>
  </property>
</Properties>
</file>