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png" ContentType="image/png"/>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020"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drawing>
          <wp:inline distT="0" distB="0" distL="0" distR="0">
            <wp:extent cx="1409700" cy="6477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09700" cy="647700"/>
                    </a:xfrm>
                    <a:prstGeom prst="rect">
                      <a:avLst/>
                    </a:prstGeom>
                  </pic:spPr>
                </pic:pic>
              </a:graphicData>
            </a:graphic>
          </wp:inline>
        </w:drawing>
      </w:r>
      <w:r>
        <w:rPr>
          <w:rFonts w:ascii="Times New Roman" w:hAnsi="Times New Roman" w:cs="Times New Roman" w:eastAsia="Times New Roman" w:hint="default"/>
          <w:position w:val="-19"/>
          <w:sz w:val="20"/>
          <w:szCs w:val="20"/>
        </w:rPr>
      </w:r>
    </w:p>
    <w:p>
      <w:pPr>
        <w:spacing w:line="240" w:lineRule="auto" w:before="3"/>
        <w:rPr>
          <w:rFonts w:ascii="Times New Roman" w:hAnsi="Times New Roman" w:cs="Times New Roman" w:eastAsia="Times New Roman" w:hint="default"/>
          <w:sz w:val="13"/>
          <w:szCs w:val="13"/>
        </w:rPr>
      </w:pPr>
    </w:p>
    <w:p>
      <w:pPr>
        <w:spacing w:line="501" w:lineRule="exact" w:before="0"/>
        <w:ind w:left="350" w:right="356"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北京北信源软件股份有限公司</w:t>
      </w:r>
      <w:r>
        <w:rPr>
          <w:rFonts w:ascii="Microsoft JhengHei" w:hAnsi="Microsoft JhengHei" w:cs="Microsoft JhengHei" w:eastAsia="Microsoft JhengHei" w:hint="default"/>
          <w:sz w:val="36"/>
          <w:szCs w:val="36"/>
        </w:rPr>
      </w:r>
    </w:p>
    <w:p>
      <w:pPr>
        <w:spacing w:before="259"/>
        <w:ind w:left="350" w:right="351"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3"/>
          <w:sz w:val="32"/>
          <w:szCs w:val="32"/>
        </w:rPr>
        <w:t> </w:t>
      </w:r>
      <w:r>
        <w:rPr>
          <w:rFonts w:ascii="Microsoft JhengHei" w:hAnsi="Microsoft JhengHei" w:cs="Microsoft JhengHei" w:eastAsia="Microsoft JhengHei" w:hint="default"/>
          <w:b/>
          <w:bCs/>
          <w:sz w:val="32"/>
          <w:szCs w:val="32"/>
        </w:rPr>
        <w:t>年年度报告</w:t>
      </w:r>
      <w:r>
        <w:rPr>
          <w:rFonts w:ascii="Microsoft JhengHei" w:hAnsi="Microsoft JhengHei" w:cs="Microsoft JhengHei" w:eastAsia="Microsoft JhengHei" w:hint="default"/>
          <w:sz w:val="32"/>
          <w:szCs w:val="32"/>
        </w:rPr>
      </w:r>
    </w:p>
    <w:p>
      <w:pPr>
        <w:spacing w:line="240" w:lineRule="auto" w:before="16"/>
        <w:rPr>
          <w:rFonts w:ascii="Microsoft JhengHei" w:hAnsi="Microsoft JhengHei" w:cs="Microsoft JhengHei" w:eastAsia="Microsoft JhengHei" w:hint="default"/>
          <w:b/>
          <w:bCs/>
          <w:sz w:val="24"/>
          <w:szCs w:val="24"/>
        </w:rPr>
      </w:pPr>
    </w:p>
    <w:p>
      <w:pPr>
        <w:spacing w:before="0"/>
        <w:ind w:left="350" w:right="350" w:firstLine="0"/>
        <w:jc w:val="center"/>
        <w:rPr>
          <w:rFonts w:ascii="Times New Roman" w:hAnsi="Times New Roman" w:cs="Times New Roman" w:eastAsia="Times New Roman" w:hint="default"/>
          <w:sz w:val="32"/>
          <w:szCs w:val="32"/>
        </w:rPr>
      </w:pPr>
      <w:r>
        <w:rPr>
          <w:rFonts w:ascii="Times New Roman"/>
          <w:b/>
          <w:w w:val="105"/>
          <w:sz w:val="32"/>
        </w:rPr>
        <w:t>2018-030</w:t>
      </w:r>
      <w:r>
        <w:rPr>
          <w:rFonts w:ascii="Times New Roman"/>
          <w:sz w:val="32"/>
        </w:rPr>
      </w: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7"/>
        <w:rPr>
          <w:rFonts w:ascii="Times New Roman" w:hAnsi="Times New Roman" w:cs="Times New Roman" w:eastAsia="Times New Roman" w:hint="default"/>
          <w:b/>
          <w:bCs/>
          <w:sz w:val="30"/>
          <w:szCs w:val="30"/>
        </w:rPr>
      </w:pPr>
    </w:p>
    <w:p>
      <w:pPr>
        <w:spacing w:before="0"/>
        <w:ind w:left="350" w:right="350"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2018 </w:t>
      </w:r>
      <w:r>
        <w:rPr>
          <w:rFonts w:ascii="Microsoft JhengHei" w:hAnsi="Microsoft JhengHei" w:cs="Microsoft JhengHei" w:eastAsia="Microsoft JhengHei" w:hint="default"/>
          <w:b/>
          <w:bCs/>
          <w:sz w:val="32"/>
          <w:szCs w:val="32"/>
        </w:rPr>
        <w:t>年 </w:t>
      </w:r>
      <w:r>
        <w:rPr>
          <w:rFonts w:ascii="Times New Roman" w:hAnsi="Times New Roman" w:cs="Times New Roman" w:eastAsia="Times New Roman" w:hint="default"/>
          <w:b/>
          <w:bCs/>
          <w:sz w:val="32"/>
          <w:szCs w:val="32"/>
        </w:rPr>
        <w:t>04 </w:t>
      </w:r>
      <w:r>
        <w:rPr>
          <w:rFonts w:ascii="Microsoft JhengHei" w:hAnsi="Microsoft JhengHei" w:cs="Microsoft JhengHei" w:eastAsia="Microsoft JhengHei" w:hint="default"/>
          <w:b/>
          <w:bCs/>
          <w:sz w:val="32"/>
          <w:szCs w:val="32"/>
        </w:rPr>
        <w:t>月</w:t>
      </w:r>
      <w:r>
        <w:rPr>
          <w:rFonts w:ascii="Microsoft JhengHei" w:hAnsi="Microsoft JhengHei" w:cs="Microsoft JhengHei" w:eastAsia="Microsoft JhengHei" w:hint="default"/>
          <w:sz w:val="32"/>
          <w:szCs w:val="32"/>
        </w:rPr>
      </w:r>
    </w:p>
    <w:p>
      <w:pPr>
        <w:spacing w:after="0"/>
        <w:jc w:val="center"/>
        <w:rPr>
          <w:rFonts w:ascii="Microsoft JhengHei" w:hAnsi="Microsoft JhengHei" w:cs="Microsoft JhengHei" w:eastAsia="Microsoft JhengHei" w:hint="default"/>
          <w:sz w:val="32"/>
          <w:szCs w:val="32"/>
        </w:rPr>
        <w:sectPr>
          <w:headerReference w:type="default" r:id="rId5"/>
          <w:footerReference w:type="default" r:id="rId6"/>
          <w:type w:val="continuous"/>
          <w:pgSz w:w="11910" w:h="16840"/>
          <w:pgMar w:header="745" w:footer="1133" w:top="1060" w:bottom="1320" w:left="980" w:right="980"/>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4"/>
          <w:szCs w:val="24"/>
        </w:rPr>
      </w:pPr>
    </w:p>
    <w:p>
      <w:pPr>
        <w:pStyle w:val="Heading1"/>
        <w:spacing w:line="456" w:lineRule="exact"/>
        <w:ind w:left="2803" w:right="0"/>
        <w:jc w:val="left"/>
        <w:rPr>
          <w:b w:val="0"/>
          <w:bCs w:val="0"/>
        </w:rPr>
      </w:pPr>
      <w:bookmarkStart w:name="_TOC_250011" w:id="1"/>
      <w:r>
        <w:rPr/>
        <w:t>第一节 </w:t>
      </w:r>
      <w:r>
        <w:rPr>
          <w:spacing w:val="12"/>
        </w:rPr>
        <w:t> </w:t>
      </w:r>
      <w:r>
        <w:rPr/>
        <w:t>重要提示、目录和释义</w:t>
      </w:r>
      <w:bookmarkEnd w:id="1"/>
      <w:r>
        <w:rPr>
          <w:b w:val="0"/>
          <w:bCs w:val="0"/>
        </w:rPr>
      </w:r>
    </w:p>
    <w:p>
      <w:pPr>
        <w:spacing w:line="240" w:lineRule="auto" w:before="3"/>
        <w:rPr>
          <w:rFonts w:ascii="Microsoft JhengHei" w:hAnsi="Microsoft JhengHei" w:cs="Microsoft JhengHei" w:eastAsia="Microsoft JhengHei" w:hint="default"/>
          <w:b/>
          <w:bCs/>
          <w:sz w:val="29"/>
          <w:szCs w:val="29"/>
        </w:rPr>
      </w:pPr>
    </w:p>
    <w:p>
      <w:pPr>
        <w:spacing w:line="307" w:lineRule="auto" w:before="0"/>
        <w:ind w:left="152" w:right="256"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公司董事会、监事会及董事、监事、高级管理人员保证年度报告内容的真</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pacing w:val="2"/>
          <w:sz w:val="28"/>
          <w:szCs w:val="28"/>
        </w:rPr>
        <w:t>实、准确、完整，不存在虚假记载、误导性陈述或重大遗漏，并承担个别和连</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z w:val="28"/>
          <w:szCs w:val="28"/>
        </w:rPr>
        <w:t>带的法律责任。</w:t>
      </w:r>
      <w:r>
        <w:rPr>
          <w:rFonts w:ascii="Microsoft JhengHei" w:hAnsi="Microsoft JhengHei" w:cs="Microsoft JhengHei" w:eastAsia="Microsoft JhengHei" w:hint="default"/>
          <w:sz w:val="28"/>
          <w:szCs w:val="28"/>
        </w:rPr>
      </w:r>
    </w:p>
    <w:p>
      <w:pPr>
        <w:spacing w:line="307" w:lineRule="auto" w:before="133"/>
        <w:ind w:left="152" w:right="251"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公司负责人林皓、主管会计工作负责人邓华明及会计机构负责人</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会计主管</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z w:val="28"/>
          <w:szCs w:val="28"/>
        </w:rPr>
        <w:t>人员</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李丹声明：保证年度报告中财务报告的真实、准确、完整。</w:t>
      </w:r>
      <w:r>
        <w:rPr>
          <w:rFonts w:ascii="Microsoft JhengHei" w:hAnsi="Microsoft JhengHei" w:cs="Microsoft JhengHei" w:eastAsia="Microsoft JhengHei" w:hint="default"/>
          <w:sz w:val="28"/>
          <w:szCs w:val="28"/>
        </w:rPr>
      </w:r>
    </w:p>
    <w:p>
      <w:pPr>
        <w:spacing w:line="355" w:lineRule="auto" w:before="133"/>
        <w:ind w:left="714"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所有董事均已出席了审议本报告的董事会会议。</w:t>
      </w:r>
      <w:r>
        <w:rPr>
          <w:rFonts w:ascii="Microsoft JhengHei" w:hAnsi="Microsoft JhengHei" w:cs="Microsoft JhengHei" w:eastAsia="Microsoft JhengHei" w:hint="default"/>
          <w:b/>
          <w:bCs/>
          <w:spacing w:val="-48"/>
          <w:sz w:val="28"/>
          <w:szCs w:val="28"/>
        </w:rPr>
        <w:t> </w:t>
      </w:r>
      <w:r>
        <w:rPr>
          <w:rFonts w:ascii="Microsoft JhengHei" w:hAnsi="Microsoft JhengHei" w:cs="Microsoft JhengHei" w:eastAsia="Microsoft JhengHei" w:hint="default"/>
          <w:b/>
          <w:bCs/>
          <w:spacing w:val="-48"/>
          <w:sz w:val="28"/>
          <w:szCs w:val="28"/>
        </w:rPr>
      </w:r>
      <w:r>
        <w:rPr>
          <w:rFonts w:ascii="Microsoft JhengHei" w:hAnsi="Microsoft JhengHei" w:cs="Microsoft JhengHei" w:eastAsia="Microsoft JhengHei" w:hint="default"/>
          <w:b/>
          <w:bCs/>
          <w:spacing w:val="-2"/>
          <w:sz w:val="28"/>
          <w:szCs w:val="28"/>
        </w:rPr>
        <w:t>本年度报告涉及未来计划等前瞻性陈述，不构成公司对投资者的实质承诺，</w:t>
      </w:r>
      <w:r>
        <w:rPr>
          <w:rFonts w:ascii="Microsoft JhengHei" w:hAnsi="Microsoft JhengHei" w:cs="Microsoft JhengHei" w:eastAsia="Microsoft JhengHei" w:hint="default"/>
          <w:spacing w:val="-2"/>
          <w:sz w:val="28"/>
          <w:szCs w:val="28"/>
        </w:rPr>
      </w:r>
    </w:p>
    <w:p>
      <w:pPr>
        <w:spacing w:line="445" w:lineRule="exact" w:before="0"/>
        <w:ind w:left="152"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投资者及相关人士均应对此保持足够的风险认识，并且应当理解计划、预测与</w:t>
      </w:r>
      <w:r>
        <w:rPr>
          <w:rFonts w:ascii="Microsoft JhengHei" w:hAnsi="Microsoft JhengHei" w:cs="Microsoft JhengHei" w:eastAsia="Microsoft JhengHei" w:hint="default"/>
          <w:spacing w:val="2"/>
          <w:sz w:val="28"/>
          <w:szCs w:val="28"/>
        </w:rPr>
      </w:r>
    </w:p>
    <w:p>
      <w:pPr>
        <w:spacing w:before="137"/>
        <w:ind w:left="152"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承诺之间的差异。</w:t>
      </w:r>
      <w:r>
        <w:rPr>
          <w:rFonts w:ascii="Microsoft JhengHei" w:hAnsi="Microsoft JhengHei" w:cs="Microsoft JhengHei" w:eastAsia="Microsoft JhengHei" w:hint="default"/>
          <w:sz w:val="28"/>
          <w:szCs w:val="28"/>
        </w:rPr>
      </w:r>
    </w:p>
    <w:p>
      <w:pPr>
        <w:spacing w:line="307" w:lineRule="auto" w:before="237"/>
        <w:ind w:left="152" w:right="251"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公司在本报告第四节</w:t>
      </w:r>
      <w:r>
        <w:rPr>
          <w:rFonts w:ascii="Times New Roman" w:hAnsi="Times New Roman" w:cs="Times New Roman" w:eastAsia="Times New Roman" w:hint="default"/>
          <w:b/>
          <w:bCs/>
          <w:spacing w:val="2"/>
          <w:sz w:val="28"/>
          <w:szCs w:val="28"/>
        </w:rPr>
        <w:t>“ </w:t>
      </w:r>
      <w:r>
        <w:rPr>
          <w:rFonts w:ascii="Microsoft JhengHei" w:hAnsi="Microsoft JhengHei" w:cs="Microsoft JhengHei" w:eastAsia="Microsoft JhengHei" w:hint="default"/>
          <w:b/>
          <w:bCs/>
          <w:spacing w:val="2"/>
          <w:sz w:val="28"/>
          <w:szCs w:val="28"/>
        </w:rPr>
        <w:t>经营情况讨论与分析</w:t>
      </w:r>
      <w:r>
        <w:rPr>
          <w:rFonts w:ascii="Times New Roman" w:hAnsi="Times New Roman" w:cs="Times New Roman" w:eastAsia="Times New Roman" w:hint="default"/>
          <w:b/>
          <w:bCs/>
          <w:spacing w:val="2"/>
          <w:sz w:val="28"/>
          <w:szCs w:val="28"/>
        </w:rPr>
        <w:t>”</w:t>
      </w:r>
      <w:r>
        <w:rPr>
          <w:rFonts w:ascii="Times New Roman" w:hAnsi="Times New Roman" w:cs="Times New Roman" w:eastAsia="Times New Roman" w:hint="default"/>
          <w:b/>
          <w:bCs/>
          <w:spacing w:val="32"/>
          <w:sz w:val="28"/>
          <w:szCs w:val="28"/>
        </w:rPr>
        <w:t> </w:t>
      </w:r>
      <w:r>
        <w:rPr>
          <w:rFonts w:ascii="Microsoft JhengHei" w:hAnsi="Microsoft JhengHei" w:cs="Microsoft JhengHei" w:eastAsia="Microsoft JhengHei" w:hint="default"/>
          <w:b/>
          <w:bCs/>
          <w:spacing w:val="2"/>
          <w:sz w:val="28"/>
          <w:szCs w:val="28"/>
        </w:rPr>
        <w:t>中</w:t>
      </w:r>
      <w:r>
        <w:rPr>
          <w:rFonts w:ascii="Times New Roman" w:hAnsi="Times New Roman" w:cs="Times New Roman" w:eastAsia="Times New Roman" w:hint="default"/>
          <w:b/>
          <w:bCs/>
          <w:spacing w:val="2"/>
          <w:sz w:val="28"/>
          <w:szCs w:val="28"/>
        </w:rPr>
        <w:t>“</w:t>
      </w:r>
      <w:r>
        <w:rPr>
          <w:rFonts w:ascii="Microsoft JhengHei" w:hAnsi="Microsoft JhengHei" w:cs="Microsoft JhengHei" w:eastAsia="Microsoft JhengHei" w:hint="default"/>
          <w:b/>
          <w:bCs/>
          <w:spacing w:val="2"/>
          <w:sz w:val="28"/>
          <w:szCs w:val="28"/>
        </w:rPr>
        <w:t>公司未来发展的展望</w:t>
      </w:r>
      <w:r>
        <w:rPr>
          <w:rFonts w:ascii="Times New Roman" w:hAnsi="Times New Roman" w:cs="Times New Roman" w:eastAsia="Times New Roman" w:hint="default"/>
          <w:b/>
          <w:bCs/>
          <w:spacing w:val="2"/>
          <w:sz w:val="28"/>
          <w:szCs w:val="28"/>
        </w:rPr>
        <w:t>”</w:t>
      </w:r>
      <w:r>
        <w:rPr>
          <w:rFonts w:ascii="Microsoft JhengHei" w:hAnsi="Microsoft JhengHei" w:cs="Microsoft JhengHei" w:eastAsia="Microsoft JhengHei" w:hint="default"/>
          <w:b/>
          <w:bCs/>
          <w:spacing w:val="2"/>
          <w:sz w:val="28"/>
          <w:szCs w:val="28"/>
        </w:rPr>
        <w:t>部</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pacing w:val="2"/>
          <w:sz w:val="28"/>
          <w:szCs w:val="28"/>
        </w:rPr>
        <w:t>分，详细描述了公司经营中可能存在的风险及应对措施，敬请投资者关注相关</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z w:val="28"/>
          <w:szCs w:val="28"/>
        </w:rPr>
        <w:t>内容。</w:t>
      </w:r>
      <w:r>
        <w:rPr>
          <w:rFonts w:ascii="Microsoft JhengHei" w:hAnsi="Microsoft JhengHei" w:cs="Microsoft JhengHei" w:eastAsia="Microsoft JhengHei" w:hint="default"/>
          <w:sz w:val="28"/>
          <w:szCs w:val="28"/>
        </w:rPr>
      </w:r>
    </w:p>
    <w:p>
      <w:pPr>
        <w:spacing w:before="133"/>
        <w:ind w:left="714"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3"/>
          <w:sz w:val="28"/>
          <w:szCs w:val="28"/>
        </w:rPr>
        <w:t>公司经本次董事会审议通过的利润分配预案为：以 </w:t>
      </w:r>
      <w:r>
        <w:rPr>
          <w:rFonts w:ascii="Times New Roman" w:hAnsi="Times New Roman" w:cs="Times New Roman" w:eastAsia="Times New Roman" w:hint="default"/>
          <w:b/>
          <w:bCs/>
          <w:sz w:val="28"/>
          <w:szCs w:val="28"/>
        </w:rPr>
        <w:t>1,449,824,087.00</w:t>
      </w:r>
      <w:r>
        <w:rPr>
          <w:rFonts w:ascii="Times New Roman" w:hAnsi="Times New Roman" w:cs="Times New Roman" w:eastAsia="Times New Roman" w:hint="default"/>
          <w:b/>
          <w:bCs/>
          <w:spacing w:val="34"/>
          <w:sz w:val="28"/>
          <w:szCs w:val="28"/>
        </w:rPr>
        <w:t> </w:t>
      </w:r>
      <w:r>
        <w:rPr>
          <w:rFonts w:ascii="Microsoft JhengHei" w:hAnsi="Microsoft JhengHei" w:cs="Microsoft JhengHei" w:eastAsia="Microsoft JhengHei" w:hint="default"/>
          <w:b/>
          <w:bCs/>
          <w:sz w:val="28"/>
          <w:szCs w:val="28"/>
        </w:rPr>
        <w:t>股为基</w:t>
      </w:r>
      <w:r>
        <w:rPr>
          <w:rFonts w:ascii="Microsoft JhengHei" w:hAnsi="Microsoft JhengHei" w:cs="Microsoft JhengHei" w:eastAsia="Microsoft JhengHei" w:hint="default"/>
          <w:sz w:val="28"/>
          <w:szCs w:val="28"/>
        </w:rPr>
      </w:r>
    </w:p>
    <w:p>
      <w:pPr>
        <w:spacing w:before="137"/>
        <w:ind w:left="152"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w w:val="100"/>
          <w:sz w:val="28"/>
          <w:szCs w:val="28"/>
        </w:rPr>
        <w:t>数</w:t>
      </w:r>
      <w:r>
        <w:rPr>
          <w:rFonts w:ascii="Microsoft JhengHei" w:hAnsi="Microsoft JhengHei" w:cs="Microsoft JhengHei" w:eastAsia="Microsoft JhengHei" w:hint="default"/>
          <w:b/>
          <w:bCs/>
          <w:spacing w:val="-27"/>
          <w:w w:val="100"/>
          <w:sz w:val="28"/>
          <w:szCs w:val="28"/>
        </w:rPr>
        <w:t>，</w:t>
      </w:r>
      <w:r>
        <w:rPr>
          <w:rFonts w:ascii="Microsoft JhengHei" w:hAnsi="Microsoft JhengHei" w:cs="Microsoft JhengHei" w:eastAsia="Microsoft JhengHei" w:hint="default"/>
          <w:b/>
          <w:bCs/>
          <w:w w:val="100"/>
          <w:sz w:val="28"/>
          <w:szCs w:val="28"/>
        </w:rPr>
        <w:t>向全体股</w:t>
      </w:r>
      <w:r>
        <w:rPr>
          <w:rFonts w:ascii="Microsoft JhengHei" w:hAnsi="Microsoft JhengHei" w:cs="Microsoft JhengHei" w:eastAsia="Microsoft JhengHei" w:hint="default"/>
          <w:b/>
          <w:bCs/>
          <w:spacing w:val="2"/>
          <w:w w:val="100"/>
          <w:sz w:val="28"/>
          <w:szCs w:val="28"/>
        </w:rPr>
        <w:t>东</w:t>
      </w:r>
      <w:r>
        <w:rPr>
          <w:rFonts w:ascii="Microsoft JhengHei" w:hAnsi="Microsoft JhengHei" w:cs="Microsoft JhengHei" w:eastAsia="Microsoft JhengHei" w:hint="default"/>
          <w:b/>
          <w:bCs/>
          <w:w w:val="100"/>
          <w:sz w:val="28"/>
          <w:szCs w:val="28"/>
        </w:rPr>
        <w:t>每</w:t>
      </w:r>
      <w:r>
        <w:rPr>
          <w:rFonts w:ascii="Microsoft JhengHei" w:hAnsi="Microsoft JhengHei" w:cs="Microsoft JhengHei" w:eastAsia="Microsoft JhengHei" w:hint="default"/>
          <w:b/>
          <w:bCs/>
          <w:sz w:val="28"/>
          <w:szCs w:val="28"/>
        </w:rPr>
        <w:t> </w:t>
      </w:r>
      <w:r>
        <w:rPr>
          <w:rFonts w:ascii="Times New Roman" w:hAnsi="Times New Roman" w:cs="Times New Roman" w:eastAsia="Times New Roman" w:hint="default"/>
          <w:b/>
          <w:bCs/>
          <w:spacing w:val="-2"/>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
          <w:sz w:val="28"/>
          <w:szCs w:val="28"/>
        </w:rPr>
        <w:t> </w:t>
      </w:r>
      <w:r>
        <w:rPr>
          <w:rFonts w:ascii="Microsoft JhengHei" w:hAnsi="Microsoft JhengHei" w:cs="Microsoft JhengHei" w:eastAsia="Microsoft JhengHei" w:hint="default"/>
          <w:b/>
          <w:bCs/>
          <w:w w:val="100"/>
          <w:sz w:val="28"/>
          <w:szCs w:val="28"/>
        </w:rPr>
        <w:t>股派发现金</w:t>
      </w:r>
      <w:r>
        <w:rPr>
          <w:rFonts w:ascii="Microsoft JhengHei" w:hAnsi="Microsoft JhengHei" w:cs="Microsoft JhengHei" w:eastAsia="Microsoft JhengHei" w:hint="default"/>
          <w:b/>
          <w:bCs/>
          <w:spacing w:val="2"/>
          <w:w w:val="100"/>
          <w:sz w:val="28"/>
          <w:szCs w:val="28"/>
        </w:rPr>
        <w:t>红</w:t>
      </w:r>
      <w:r>
        <w:rPr>
          <w:rFonts w:ascii="Microsoft JhengHei" w:hAnsi="Microsoft JhengHei" w:cs="Microsoft JhengHei" w:eastAsia="Microsoft JhengHei" w:hint="default"/>
          <w:b/>
          <w:bCs/>
          <w:w w:val="100"/>
          <w:sz w:val="28"/>
          <w:szCs w:val="28"/>
        </w:rPr>
        <w:t>利</w:t>
      </w:r>
      <w:r>
        <w:rPr>
          <w:rFonts w:ascii="Microsoft JhengHei" w:hAnsi="Microsoft JhengHei" w:cs="Microsoft JhengHei" w:eastAsia="Microsoft JhengHei" w:hint="default"/>
          <w:b/>
          <w:bCs/>
          <w:spacing w:val="-1"/>
          <w:sz w:val="28"/>
          <w:szCs w:val="28"/>
        </w:rPr>
        <w:t> </w:t>
      </w:r>
      <w:r>
        <w:rPr>
          <w:rFonts w:ascii="Times New Roman" w:hAnsi="Times New Roman" w:cs="Times New Roman" w:eastAsia="Times New Roman" w:hint="default"/>
          <w:b/>
          <w:bCs/>
          <w:spacing w:val="-2"/>
          <w:w w:val="100"/>
          <w:sz w:val="28"/>
          <w:szCs w:val="28"/>
        </w:rPr>
        <w:t>0</w:t>
      </w:r>
      <w:r>
        <w:rPr>
          <w:rFonts w:ascii="Times New Roman" w:hAnsi="Times New Roman" w:cs="Times New Roman" w:eastAsia="Times New Roman" w:hint="default"/>
          <w:b/>
          <w:bCs/>
          <w:w w:val="100"/>
          <w:sz w:val="28"/>
          <w:szCs w:val="28"/>
        </w:rPr>
        <w:t>.12</w:t>
      </w:r>
      <w:r>
        <w:rPr>
          <w:rFonts w:ascii="Times New Roman" w:hAnsi="Times New Roman" w:cs="Times New Roman" w:eastAsia="Times New Roman" w:hint="default"/>
          <w:b/>
          <w:bCs/>
          <w:spacing w:val="-1"/>
          <w:sz w:val="28"/>
          <w:szCs w:val="28"/>
        </w:rPr>
        <w:t> </w:t>
      </w:r>
      <w:r>
        <w:rPr>
          <w:rFonts w:ascii="Microsoft JhengHei" w:hAnsi="Microsoft JhengHei" w:cs="Microsoft JhengHei" w:eastAsia="Microsoft JhengHei" w:hint="default"/>
          <w:b/>
          <w:bCs/>
          <w:spacing w:val="-24"/>
          <w:w w:val="100"/>
          <w:sz w:val="28"/>
          <w:szCs w:val="28"/>
        </w:rPr>
        <w:t>元</w:t>
      </w:r>
      <w:r>
        <w:rPr>
          <w:rFonts w:ascii="Microsoft JhengHei" w:hAnsi="Microsoft JhengHei" w:cs="Microsoft JhengHei" w:eastAsia="Microsoft JhengHei" w:hint="default"/>
          <w:b/>
          <w:bCs/>
          <w:w w:val="100"/>
          <w:sz w:val="28"/>
          <w:szCs w:val="28"/>
        </w:rPr>
        <w:t>（含</w:t>
      </w:r>
      <w:r>
        <w:rPr>
          <w:rFonts w:ascii="Microsoft JhengHei" w:hAnsi="Microsoft JhengHei" w:cs="Microsoft JhengHei" w:eastAsia="Microsoft JhengHei" w:hint="default"/>
          <w:b/>
          <w:bCs/>
          <w:spacing w:val="2"/>
          <w:w w:val="100"/>
          <w:sz w:val="28"/>
          <w:szCs w:val="28"/>
        </w:rPr>
        <w:t>税</w:t>
      </w:r>
      <w:r>
        <w:rPr>
          <w:rFonts w:ascii="Microsoft JhengHei" w:hAnsi="Microsoft JhengHei" w:cs="Microsoft JhengHei" w:eastAsia="Microsoft JhengHei" w:hint="default"/>
          <w:b/>
          <w:bCs/>
          <w:spacing w:val="-142"/>
          <w:w w:val="100"/>
          <w:sz w:val="28"/>
          <w:szCs w:val="28"/>
        </w:rPr>
        <w:t>）</w:t>
      </w:r>
      <w:r>
        <w:rPr>
          <w:rFonts w:ascii="Microsoft JhengHei" w:hAnsi="Microsoft JhengHei" w:cs="Microsoft JhengHei" w:eastAsia="Microsoft JhengHei" w:hint="default"/>
          <w:b/>
          <w:bCs/>
          <w:spacing w:val="-27"/>
          <w:w w:val="100"/>
          <w:sz w:val="28"/>
          <w:szCs w:val="28"/>
        </w:rPr>
        <w:t>，</w:t>
      </w:r>
      <w:r>
        <w:rPr>
          <w:rFonts w:ascii="Microsoft JhengHei" w:hAnsi="Microsoft JhengHei" w:cs="Microsoft JhengHei" w:eastAsia="Microsoft JhengHei" w:hint="default"/>
          <w:b/>
          <w:bCs/>
          <w:w w:val="100"/>
          <w:sz w:val="28"/>
          <w:szCs w:val="28"/>
        </w:rPr>
        <w:t>送</w:t>
      </w:r>
      <w:r>
        <w:rPr>
          <w:rFonts w:ascii="Microsoft JhengHei" w:hAnsi="Microsoft JhengHei" w:cs="Microsoft JhengHei" w:eastAsia="Microsoft JhengHei" w:hint="default"/>
          <w:b/>
          <w:bCs/>
          <w:spacing w:val="2"/>
          <w:w w:val="100"/>
          <w:sz w:val="28"/>
          <w:szCs w:val="28"/>
        </w:rPr>
        <w:t>红</w:t>
      </w:r>
      <w:r>
        <w:rPr>
          <w:rFonts w:ascii="Microsoft JhengHei" w:hAnsi="Microsoft JhengHei" w:cs="Microsoft JhengHei" w:eastAsia="Microsoft JhengHei" w:hint="default"/>
          <w:b/>
          <w:bCs/>
          <w:w w:val="100"/>
          <w:sz w:val="28"/>
          <w:szCs w:val="28"/>
        </w:rPr>
        <w:t>股</w:t>
      </w:r>
      <w:r>
        <w:rPr>
          <w:rFonts w:ascii="Microsoft JhengHei" w:hAnsi="Microsoft JhengHei" w:cs="Microsoft JhengHei" w:eastAsia="Microsoft JhengHei" w:hint="default"/>
          <w:b/>
          <w:bCs/>
          <w:spacing w:val="-1"/>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
          <w:sz w:val="28"/>
          <w:szCs w:val="28"/>
        </w:rPr>
        <w:t> </w:t>
      </w:r>
      <w:r>
        <w:rPr>
          <w:rFonts w:ascii="Microsoft JhengHei" w:hAnsi="Microsoft JhengHei" w:cs="Microsoft JhengHei" w:eastAsia="Microsoft JhengHei" w:hint="default"/>
          <w:b/>
          <w:bCs/>
          <w:spacing w:val="-24"/>
          <w:w w:val="100"/>
          <w:sz w:val="28"/>
          <w:szCs w:val="28"/>
        </w:rPr>
        <w:t>股</w:t>
      </w:r>
      <w:r>
        <w:rPr>
          <w:rFonts w:ascii="Microsoft JhengHei" w:hAnsi="Microsoft JhengHei" w:cs="Microsoft JhengHei" w:eastAsia="Microsoft JhengHei" w:hint="default"/>
          <w:b/>
          <w:bCs/>
          <w:w w:val="100"/>
          <w:sz w:val="28"/>
          <w:szCs w:val="28"/>
        </w:rPr>
        <w:t>（含</w:t>
      </w:r>
      <w:r>
        <w:rPr>
          <w:rFonts w:ascii="Microsoft JhengHei" w:hAnsi="Microsoft JhengHei" w:cs="Microsoft JhengHei" w:eastAsia="Microsoft JhengHei" w:hint="default"/>
          <w:b/>
          <w:bCs/>
          <w:spacing w:val="2"/>
          <w:w w:val="100"/>
          <w:sz w:val="28"/>
          <w:szCs w:val="28"/>
        </w:rPr>
        <w:t>税</w:t>
      </w:r>
      <w:r>
        <w:rPr>
          <w:rFonts w:ascii="Microsoft JhengHei" w:hAnsi="Microsoft JhengHei" w:cs="Microsoft JhengHei" w:eastAsia="Microsoft JhengHei" w:hint="default"/>
          <w:b/>
          <w:bCs/>
          <w:spacing w:val="-142"/>
          <w:w w:val="100"/>
          <w:sz w:val="28"/>
          <w:szCs w:val="28"/>
        </w:rPr>
        <w:t>）</w:t>
      </w:r>
      <w:r>
        <w:rPr>
          <w:rFonts w:ascii="Microsoft JhengHei" w:hAnsi="Microsoft JhengHei" w:cs="Microsoft JhengHei" w:eastAsia="Microsoft JhengHei" w:hint="default"/>
          <w:b/>
          <w:bCs/>
          <w:spacing w:val="-27"/>
          <w:w w:val="100"/>
          <w:sz w:val="28"/>
          <w:szCs w:val="28"/>
        </w:rPr>
        <w:t>，</w:t>
      </w:r>
      <w:r>
        <w:rPr>
          <w:rFonts w:ascii="Microsoft JhengHei" w:hAnsi="Microsoft JhengHei" w:cs="Microsoft JhengHei" w:eastAsia="Microsoft JhengHei" w:hint="default"/>
          <w:b/>
          <w:bCs/>
          <w:w w:val="100"/>
          <w:sz w:val="28"/>
          <w:szCs w:val="28"/>
        </w:rPr>
        <w:t>以</w:t>
      </w:r>
      <w:r>
        <w:rPr>
          <w:rFonts w:ascii="Microsoft JhengHei" w:hAnsi="Microsoft JhengHei" w:cs="Microsoft JhengHei" w:eastAsia="Microsoft JhengHei" w:hint="default"/>
          <w:w w:val="100"/>
          <w:sz w:val="28"/>
          <w:szCs w:val="28"/>
        </w:rPr>
      </w:r>
    </w:p>
    <w:p>
      <w:pPr>
        <w:spacing w:before="136"/>
        <w:ind w:left="152"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资本公积金向全体股东每 </w:t>
      </w:r>
      <w:r>
        <w:rPr>
          <w:rFonts w:ascii="Times New Roman" w:hAnsi="Times New Roman" w:cs="Times New Roman" w:eastAsia="Times New Roman" w:hint="default"/>
          <w:b/>
          <w:bCs/>
          <w:sz w:val="28"/>
          <w:szCs w:val="28"/>
        </w:rPr>
        <w:t>10 </w:t>
      </w:r>
      <w:r>
        <w:rPr>
          <w:rFonts w:ascii="Microsoft JhengHei" w:hAnsi="Microsoft JhengHei" w:cs="Microsoft JhengHei" w:eastAsia="Microsoft JhengHei" w:hint="default"/>
          <w:b/>
          <w:bCs/>
          <w:sz w:val="28"/>
          <w:szCs w:val="28"/>
        </w:rPr>
        <w:t>股转增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16"/>
          <w:sz w:val="28"/>
          <w:szCs w:val="28"/>
        </w:rPr>
        <w:t> </w:t>
      </w:r>
      <w:r>
        <w:rPr>
          <w:rFonts w:ascii="Microsoft JhengHei" w:hAnsi="Microsoft JhengHei" w:cs="Microsoft JhengHei" w:eastAsia="Microsoft JhengHei" w:hint="default"/>
          <w:b/>
          <w:bCs/>
          <w:sz w:val="28"/>
          <w:szCs w:val="28"/>
        </w:rPr>
        <w:t>股。</w:t>
      </w:r>
      <w:r>
        <w:rPr>
          <w:rFonts w:ascii="Microsoft JhengHei" w:hAnsi="Microsoft JhengHei" w:cs="Microsoft JhengHei" w:eastAsia="Microsoft JhengHei" w:hint="default"/>
          <w:sz w:val="28"/>
          <w:szCs w:val="28"/>
        </w:rPr>
      </w:r>
    </w:p>
    <w:p>
      <w:pPr>
        <w:spacing w:after="0"/>
        <w:jc w:val="left"/>
        <w:rPr>
          <w:rFonts w:ascii="Microsoft JhengHei" w:hAnsi="Microsoft JhengHei" w:cs="Microsoft JhengHei" w:eastAsia="Microsoft JhengHei" w:hint="default"/>
          <w:sz w:val="28"/>
          <w:szCs w:val="28"/>
        </w:rPr>
        <w:sectPr>
          <w:footerReference w:type="default" r:id="rId8"/>
          <w:pgSz w:w="11910" w:h="16840"/>
          <w:pgMar w:footer="1133" w:header="745" w:top="1060" w:bottom="1320" w:left="980" w:right="880"/>
          <w:pgNumType w:start="2"/>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3"/>
        <w:rPr>
          <w:rFonts w:ascii="Microsoft JhengHei" w:hAnsi="Microsoft JhengHei" w:cs="Microsoft JhengHei" w:eastAsia="Microsoft JhengHei" w:hint="default"/>
          <w:b/>
          <w:bCs/>
          <w:sz w:val="14"/>
          <w:szCs w:val="14"/>
        </w:rPr>
      </w:pPr>
    </w:p>
    <w:p>
      <w:pPr>
        <w:spacing w:line="501" w:lineRule="exact" w:before="0"/>
        <w:ind w:left="350" w:right="350"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目录</w:t>
      </w:r>
      <w:r>
        <w:rPr>
          <w:rFonts w:ascii="Microsoft JhengHei" w:hAnsi="Microsoft JhengHei" w:cs="Microsoft JhengHei" w:eastAsia="Microsoft JhengHei" w:hint="default"/>
          <w:sz w:val="36"/>
          <w:szCs w:val="36"/>
        </w:rPr>
      </w:r>
    </w:p>
    <w:p>
      <w:pPr>
        <w:spacing w:line="240" w:lineRule="auto" w:before="0"/>
        <w:rPr>
          <w:rFonts w:ascii="Microsoft JhengHei" w:hAnsi="Microsoft JhengHei" w:cs="Microsoft JhengHei" w:eastAsia="Microsoft JhengHei" w:hint="default"/>
          <w:b/>
          <w:bCs/>
          <w:sz w:val="36"/>
          <w:szCs w:val="36"/>
        </w:rPr>
      </w:pPr>
    </w:p>
    <w:p>
      <w:pPr>
        <w:spacing w:line="240" w:lineRule="auto" w:before="16"/>
        <w:rPr>
          <w:rFonts w:ascii="Microsoft JhengHei" w:hAnsi="Microsoft JhengHei" w:cs="Microsoft JhengHei" w:eastAsia="Microsoft JhengHei" w:hint="default"/>
          <w:b/>
          <w:bCs/>
          <w:sz w:val="42"/>
          <w:szCs w:val="42"/>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43"/>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43"/>
              </w:rPr>
              <w:t> </w:t>
            </w:r>
            <w:r>
              <w:rPr/>
              <w:t>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43"/>
              </w:rPr>
              <w:t> </w:t>
            </w:r>
            <w:r>
              <w:rPr/>
              <w:t>公司业务概要</w:t>
            </w:r>
            <w:r>
              <w:rPr>
                <w:rFonts w:ascii="Times New Roman" w:hAnsi="Times New Roman" w:cs="Times New Roman" w:eastAsia="Times New Roman" w:hint="default"/>
              </w:rPr>
              <w:tab/>
              <w:t>20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43"/>
              </w:rPr>
              <w:t> </w:t>
            </w:r>
            <w:r>
              <w:rPr/>
              <w:t>经营情况讨论与分析</w:t>
            </w:r>
            <w:r>
              <w:rPr>
                <w:rFonts w:ascii="Times New Roman" w:hAnsi="Times New Roman" w:cs="Times New Roman" w:eastAsia="Times New Roman" w:hint="default"/>
              </w:rPr>
              <w:tab/>
              <w:t>18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43"/>
              </w:rPr>
              <w:t> </w:t>
            </w:r>
            <w:r>
              <w:rPr/>
              <w:t>重要事项</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43"/>
              </w:rPr>
              <w:t> </w:t>
            </w:r>
            <w:r>
              <w:rPr/>
              <w:t>股份变动及股东情况</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43"/>
              </w:rPr>
              <w:t> </w:t>
            </w:r>
            <w:r>
              <w:rPr/>
              <w:t>优先股相关情况</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r>
            <w:r>
              <w:rPr>
                <w:spacing w:val="43"/>
              </w:rPr>
              <w:t> </w:t>
            </w:r>
            <w:r>
              <w:rPr/>
              <w:t>董事、监事、高级管理人员和员工情况</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43"/>
              </w:rPr>
              <w:t> </w:t>
            </w:r>
            <w:r>
              <w:rPr/>
              <w:t>公司治理</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43"/>
              </w:rPr>
              <w:t> </w:t>
            </w:r>
            <w:r>
              <w:rPr/>
              <w:t>公司债券相关情况</w:t>
            </w:r>
            <w:r>
              <w:rPr>
                <w:rFonts w:ascii="Times New Roman" w:hAnsi="Times New Roman" w:cs="Times New Roman" w:eastAsia="Times New Roman" w:hint="default"/>
              </w:rPr>
              <w:tab/>
              <w:t>82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43"/>
              </w:rPr>
              <w:t> </w:t>
            </w:r>
            <w:r>
              <w:rPr/>
              <w:t>财务报告</w:t>
            </w:r>
            <w:r>
              <w:rPr>
                <w:rFonts w:ascii="Times New Roman" w:hAnsi="Times New Roman" w:cs="Times New Roman" w:eastAsia="Times New Roman" w:hint="default"/>
              </w:rPr>
              <w:tab/>
              <w:t>83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44"/>
              </w:rPr>
              <w:t> </w:t>
            </w:r>
            <w:r>
              <w:rPr/>
              <w:t>备查文件目录</w:t>
            </w:r>
            <w:r>
              <w:rPr>
                <w:rFonts w:ascii="Times New Roman" w:hAnsi="Times New Roman" w:cs="Times New Roman" w:eastAsia="Times New Roman" w:hint="default"/>
              </w:rPr>
              <w:tab/>
              <w:t>172</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1133" w:top="1060" w:bottom="1320" w:left="980" w:right="980"/>
        </w:sectPr>
      </w:pPr>
    </w:p>
    <w:p>
      <w:pPr>
        <w:spacing w:before="843"/>
        <w:ind w:left="350" w:right="350"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释义</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公司、本公司、北信源</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上海北信源</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上海北信源信息技术有限公司，公司全资子公司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神州信源</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江苏神州信源系统工程有限公司，公司全资子公司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北信源（马来西亚）信息技术公司，公司全资子公司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中软华泰</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北京中软华泰信息技术有限责任公司，公司全资子公司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北信源国际有限公司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北京子公司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北京北信源信息安全技术有限公司，公司全资子公司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信源匡恩</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北京信源匡恩工控安全科技有限公司，公司控股子公司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人工智能产业联盟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2"/>
                <w:sz w:val="18"/>
                <w:szCs w:val="18"/>
              </w:rPr>
              <w:t>人工智能产业技术创新联盟（北京）科技有限公司，公司控股子公司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深圳金城</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深圳市金城保密技术有限公司</w:t>
            </w:r>
            <w:r>
              <w:rPr>
                <w:rFonts w:ascii="宋体" w:hAnsi="宋体" w:cs="宋体" w:eastAsia="宋体" w:hint="default"/>
                <w:spacing w:val="1"/>
                <w:sz w:val="18"/>
                <w:szCs w:val="18"/>
              </w:rPr>
              <w:t> </w:t>
            </w:r>
            <w:r>
              <w:rPr>
                <w:rFonts w:ascii="宋体" w:hAnsi="宋体" w:cs="宋体" w:eastAsia="宋体" w:hint="default"/>
                <w:sz w:val="18"/>
                <w:szCs w:val="18"/>
              </w:rPr>
              <w:t>，公司参股公司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双洲科技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北京双洲科技有限公司</w:t>
            </w:r>
            <w:r>
              <w:rPr>
                <w:rFonts w:ascii="宋体" w:hAnsi="宋体" w:cs="宋体" w:eastAsia="宋体" w:hint="default"/>
                <w:spacing w:val="1"/>
                <w:sz w:val="18"/>
                <w:szCs w:val="18"/>
              </w:rPr>
              <w:t> </w:t>
            </w:r>
            <w:r>
              <w:rPr>
                <w:rFonts w:ascii="宋体" w:hAnsi="宋体" w:cs="宋体" w:eastAsia="宋体" w:hint="default"/>
                <w:sz w:val="18"/>
                <w:szCs w:val="18"/>
              </w:rPr>
              <w:t>，公司参股公司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上海无寻</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上海无寻网络科技有限公司</w:t>
            </w:r>
            <w:r>
              <w:rPr>
                <w:rFonts w:ascii="宋体" w:hAnsi="宋体" w:cs="宋体" w:eastAsia="宋体" w:hint="default"/>
                <w:spacing w:val="1"/>
                <w:sz w:val="18"/>
                <w:szCs w:val="18"/>
              </w:rPr>
              <w:t> </w:t>
            </w:r>
            <w:r>
              <w:rPr>
                <w:rFonts w:ascii="宋体" w:hAnsi="宋体" w:cs="宋体" w:eastAsia="宋体" w:hint="default"/>
                <w:sz w:val="18"/>
                <w:szCs w:val="18"/>
              </w:rPr>
              <w:t>，公司参股公司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芸品绿</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杭州芸品绿信息科技有限公司，公司参股公司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辰信领创</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北京辰信领创信息技术有限公司，公司参股公司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国保联盟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国保联盟信息安全技术有限公司，公司参股公司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大数据产业基金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浙江华睿北信源数据信息产业投资合伙企业（有限合伙）</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嘉兴北源</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嘉兴北源投资合伙企业（有限合伙）</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公司控股股东、实际控制人</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林皓</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北京北信源软件股份有限公司股东大会</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北京北信源软件股份有限公司董事会</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北京北信源软件股份有限公司监事会</w:t>
            </w:r>
          </w:p>
        </w:tc>
      </w:tr>
      <w:tr>
        <w:trPr>
          <w:trHeight w:val="165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300" w:lineRule="auto"/>
              <w:ind w:left="24" w:right="41"/>
              <w:jc w:val="left"/>
              <w:rPr>
                <w:rFonts w:ascii="宋体" w:hAnsi="宋体" w:cs="宋体" w:eastAsia="宋体" w:hint="default"/>
                <w:sz w:val="18"/>
                <w:szCs w:val="18"/>
              </w:rPr>
            </w:pPr>
            <w:r>
              <w:rPr>
                <w:rFonts w:ascii="宋体" w:hAnsi="宋体" w:cs="宋体" w:eastAsia="宋体" w:hint="default"/>
                <w:sz w:val="18"/>
                <w:szCs w:val="18"/>
              </w:rPr>
              <w:t>新一代互联网安全聚合通道</w:t>
            </w:r>
            <w:r>
              <w:rPr>
                <w:rFonts w:ascii="Times New Roman" w:hAnsi="Times New Roman" w:cs="Times New Roman" w:eastAsia="Times New Roman" w:hint="default"/>
                <w:sz w:val="18"/>
                <w:szCs w:val="18"/>
              </w:rPr>
              <w:t>-linkdood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信源豆 豆</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both"/>
              <w:rPr>
                <w:rFonts w:ascii="宋体" w:hAnsi="宋体" w:cs="宋体" w:eastAsia="宋体" w:hint="default"/>
                <w:sz w:val="18"/>
                <w:szCs w:val="18"/>
              </w:rPr>
            </w:pPr>
            <w:r>
              <w:rPr>
                <w:rFonts w:ascii="宋体" w:hAnsi="宋体" w:cs="宋体" w:eastAsia="宋体" w:hint="default"/>
                <w:spacing w:val="-1"/>
                <w:sz w:val="18"/>
                <w:szCs w:val="18"/>
              </w:rPr>
              <w:t>公司自主研发产品，以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安全连接，智慧聚合</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为核心理念，打造跨终</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端、全方位、安全可信的通信聚合平台，力图将基础网络通信、信息</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安全和互联网应用在一个新平台上进行重新整合，为企业和互联网用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户提供即时通讯、协同办公、任务管理、</w:t>
            </w:r>
            <w:r>
              <w:rPr>
                <w:rFonts w:ascii="Times New Roman" w:hAnsi="Times New Roman" w:cs="Times New Roman" w:eastAsia="Times New Roman" w:hint="default"/>
                <w:spacing w:val="-2"/>
                <w:sz w:val="18"/>
                <w:szCs w:val="18"/>
              </w:rPr>
              <w:t>ERP</w:t>
            </w:r>
            <w:r>
              <w:rPr>
                <w:rFonts w:ascii="Times New Roman" w:hAnsi="Times New Roman" w:cs="Times New Roman" w:eastAsia="Times New Roman" w:hint="default"/>
                <w:spacing w:val="11"/>
                <w:sz w:val="18"/>
                <w:szCs w:val="18"/>
              </w:rPr>
              <w:t> </w:t>
            </w:r>
            <w:r>
              <w:rPr>
                <w:rFonts w:ascii="宋体" w:hAnsi="宋体" w:cs="宋体" w:eastAsia="宋体" w:hint="default"/>
                <w:spacing w:val="-2"/>
                <w:sz w:val="18"/>
                <w:szCs w:val="18"/>
              </w:rPr>
              <w:t>改造、应用开发、万物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互联、互联互通、聚合推广等多层次的平台服务。</w:t>
            </w:r>
          </w:p>
        </w:tc>
      </w:tr>
      <w:tr>
        <w:trPr>
          <w:trHeight w:val="133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终端安全管理产品</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用于实现对网络中终端计算机的运行状态、安全进行检查分析和评 </w:t>
            </w:r>
            <w:r>
              <w:rPr>
                <w:rFonts w:ascii="宋体" w:hAnsi="宋体" w:cs="宋体" w:eastAsia="宋体" w:hint="default"/>
                <w:spacing w:val="-2"/>
                <w:sz w:val="18"/>
                <w:szCs w:val="18"/>
              </w:rPr>
              <w:t>估，并通过制定下发相应的安全管理策略实现对终端分析和评估，并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通过制定下发相应的安全管理策略实现对终端计算的安全管理、运行</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维护和安全防护的信息安全产品。</w:t>
            </w:r>
          </w:p>
        </w:tc>
      </w:tr>
    </w:tbl>
    <w:p>
      <w:pPr>
        <w:spacing w:after="0" w:line="319" w:lineRule="auto"/>
        <w:jc w:val="left"/>
        <w:rPr>
          <w:rFonts w:ascii="宋体" w:hAnsi="宋体" w:cs="宋体" w:eastAsia="宋体" w:hint="default"/>
          <w:sz w:val="18"/>
          <w:szCs w:val="18"/>
        </w:rPr>
        <w:sectPr>
          <w:pgSz w:w="11910" w:h="16840"/>
          <w:pgMar w:header="745" w:footer="1133" w:top="1060" w:bottom="13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数据安全管理产品</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
              <w:jc w:val="left"/>
              <w:rPr>
                <w:rFonts w:ascii="宋体" w:hAnsi="宋体" w:cs="宋体" w:eastAsia="宋体" w:hint="default"/>
                <w:sz w:val="18"/>
                <w:szCs w:val="18"/>
              </w:rPr>
            </w:pPr>
            <w:r>
              <w:rPr>
                <w:rFonts w:ascii="宋体" w:hAnsi="宋体" w:cs="宋体" w:eastAsia="宋体" w:hint="default"/>
                <w:sz w:val="18"/>
                <w:szCs w:val="18"/>
              </w:rPr>
              <w:t>用于对网络中终端计算机产生的文档数据、敏感信息进行安全保护， 保证该类数据信息存储和外发的安全性防止重要文档资料敏感信息 的泄露的信息安全产品。</w:t>
            </w:r>
          </w:p>
        </w:tc>
      </w:tr>
      <w:tr>
        <w:trPr>
          <w:trHeight w:val="133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安全管理平台</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2"/>
                <w:sz w:val="18"/>
                <w:szCs w:val="18"/>
              </w:rPr>
              <w:t>通过对网络中的安全设备、网络设备、服务器系统、终端系统的日志</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事件信息进行统一收集、过滤、归并和关联性分析，实现对重要信息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资产和业务系统的安全状态监控、安全风险管理和安全态势感知，并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及时进行安全预警、安全响应和管理控制的信息安全产品。</w:t>
            </w:r>
          </w:p>
        </w:tc>
      </w:tr>
      <w:tr>
        <w:trPr>
          <w:trHeight w:val="196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内网大数据</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both"/>
              <w:rPr>
                <w:rFonts w:ascii="宋体" w:hAnsi="宋体" w:cs="宋体" w:eastAsia="宋体" w:hint="default"/>
                <w:sz w:val="18"/>
                <w:szCs w:val="18"/>
              </w:rPr>
            </w:pPr>
            <w:r>
              <w:rPr>
                <w:rFonts w:ascii="宋体" w:hAnsi="宋体" w:cs="宋体" w:eastAsia="宋体" w:hint="default"/>
                <w:spacing w:val="-2"/>
                <w:sz w:val="18"/>
                <w:szCs w:val="18"/>
              </w:rPr>
              <w:t>北信源大数据分析平台是企业级大数据处理、分析、挖掘平台。它采</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用云到端的一体化、扁平式架构；结合用户场景，满足业务需求；有</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目的的产生、收集数据并把数据有效组织，解决天量安全要素信息的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采集、存储，利用平台的数据分析引擎，实时的挖掘；能够更加智能</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地洞悉安全态势，更加主动、弹性地应对威胁和风险并可对用户行为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和应用业务等各类需求进行分析评估。</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涉密信息系统集成</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涉密信息系统的规划、设计、建设、监理和运行维护等活动。</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瑞华</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r>
              <w:rPr>
                <w:rFonts w:ascii="宋体" w:hAnsi="宋体" w:cs="宋体" w:eastAsia="宋体" w:hint="default"/>
                <w:spacing w:val="1"/>
                <w:sz w:val="18"/>
                <w:szCs w:val="18"/>
              </w:rPr>
              <w:t> </w:t>
            </w:r>
            <w:r>
              <w:rPr>
                <w:rFonts w:ascii="宋体" w:hAnsi="宋体" w:cs="宋体" w:eastAsia="宋体" w:hint="default"/>
                <w:sz w:val="18"/>
                <w:szCs w:val="18"/>
              </w:rPr>
              <w:t>，公司年度审计机构</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保荐机构</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安信证券股份有限公司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人民币元、人民币万元、人民币亿元</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证监会指定创业板信息披露网站</w:t>
            </w:r>
            <w:r>
              <w:rPr>
                <w:rFonts w:ascii="宋体" w:hAnsi="宋体" w:cs="宋体" w:eastAsia="宋体" w:hint="default"/>
                <w:spacing w:val="-22"/>
                <w:sz w:val="18"/>
                <w:szCs w:val="18"/>
              </w:rPr>
              <w:t> </w:t>
            </w:r>
            <w:hyperlink r:id="rId9">
              <w:r>
                <w:rPr>
                  <w:rFonts w:ascii="Times New Roman" w:hAnsi="Times New Roman" w:cs="Times New Roman" w:eastAsia="Times New Roman" w:hint="default"/>
                  <w:sz w:val="18"/>
                  <w:szCs w:val="18"/>
                </w:rPr>
                <w:t>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5" w:footer="1133" w:top="1060" w:bottom="13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456" w:lineRule="exact"/>
        <w:ind w:left="2642" w:right="0"/>
        <w:jc w:val="left"/>
        <w:rPr>
          <w:b w:val="0"/>
          <w:bCs w:val="0"/>
        </w:rPr>
      </w:pPr>
      <w:bookmarkStart w:name="_TOC_250010" w:id="2"/>
      <w:r>
        <w:rPr/>
        <w:t>第二节 </w:t>
      </w:r>
      <w:r>
        <w:rPr>
          <w:spacing w:val="13"/>
        </w:rPr>
        <w:t> </w:t>
      </w:r>
      <w:r>
        <w:rPr/>
        <w:t>公司简介和主要财务指标</w:t>
      </w:r>
      <w:bookmarkEnd w:id="2"/>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pict>
          <v:shape style="position:absolute;margin-left:138pt;margin-top:114.702499pt;width:396.95pt;height:19.7pt;mso-position-horizontal-relative:page;mso-position-vertical-relative:paragraph;z-index:-795808" type="#_x0000_t202" filled="false" stroked="false">
            <v:textbox inset="0,0,0,0">
              <w:txbxContent>
                <w:p>
                  <w:pPr>
                    <w:pStyle w:val="BodyText"/>
                    <w:spacing w:line="240" w:lineRule="auto" w:before="49"/>
                    <w:ind w:left="0" w:right="0"/>
                    <w:jc w:val="left"/>
                  </w:pPr>
                  <w:r>
                    <w:rPr/>
                    <w:t>（如有）</w:t>
                  </w:r>
                </w:p>
              </w:txbxContent>
            </v:textbox>
            <w10:wrap type="none"/>
          </v:shape>
        </w:pict>
      </w:r>
      <w:r>
        <w:rPr/>
        <w:t>一、公司信息</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4"/>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北信源</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300352</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北信源</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Beijing </w:t>
            </w:r>
            <w:r>
              <w:rPr>
                <w:rFonts w:ascii="Times New Roman"/>
                <w:spacing w:val="-6"/>
                <w:sz w:val="18"/>
              </w:rPr>
              <w:t>VRV </w:t>
            </w:r>
            <w:r>
              <w:rPr>
                <w:rFonts w:ascii="Times New Roman"/>
                <w:sz w:val="18"/>
              </w:rPr>
              <w:t>Software Corporation</w:t>
            </w:r>
            <w:r>
              <w:rPr>
                <w:rFonts w:ascii="Times New Roman"/>
                <w:spacing w:val="-13"/>
                <w:sz w:val="18"/>
              </w:rPr>
              <w:t> </w:t>
            </w:r>
            <w:r>
              <w:rPr>
                <w:rFonts w:ascii="Times New Roman"/>
                <w:sz w:val="18"/>
              </w:rPr>
              <w:t>Limited.</w:t>
            </w:r>
          </w:p>
        </w:tc>
      </w:tr>
      <w:tr>
        <w:trPr>
          <w:trHeight w:val="403" w:hRule="exact"/>
        </w:trPr>
        <w:tc>
          <w:tcPr>
            <w:tcW w:w="22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6" w:type="dxa"/>
            <w:gridSpan w:val="3"/>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pacing w:val="-6"/>
                <w:sz w:val="18"/>
              </w:rPr>
              <w:t>VRV</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林皓</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北京市海淀区中关村南大街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号中关村科技发展大厦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100081</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北京市海淀区中关村南大街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号中关村科技发展大厦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100081</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http://www.vrv.com.cn/</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1">
              <w:r>
                <w:rPr>
                  <w:rFonts w:ascii="Times New Roman"/>
                  <w:sz w:val="18"/>
                </w:rPr>
                <w:t>vrvzq@vrvmail.com.cn</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二、联系人和联系方式</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李旭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单思齐</w:t>
            </w:r>
          </w:p>
        </w:tc>
      </w:tr>
      <w:tr>
        <w:trPr>
          <w:trHeight w:val="317"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北京市海淀区闵庄路</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号玉泉慧谷</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期</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层、北京市海淀区中关村南大街</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号中关村科技发展大厦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北京市海淀区闵庄路</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号玉泉慧谷</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期</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层、北京市海淀区中关村南大街</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号中关村科技发展大厦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010-62140485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010-62140485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010-62147259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010-62147259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hyperlink r:id="rId11">
              <w:r>
                <w:rPr>
                  <w:rFonts w:ascii="Times New Roman"/>
                  <w:sz w:val="18"/>
                </w:rPr>
                <w:t>vrvzq@vrvmail.com.cn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hyperlink r:id="rId11">
              <w:r>
                <w:rPr>
                  <w:rFonts w:ascii="Times New Roman"/>
                  <w:sz w:val="18"/>
                </w:rPr>
                <w:t>vrvzq@vrvmail.com.cn</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三、信息披露及备置地点</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  证券时报</w:t>
            </w:r>
            <w:r>
              <w:rPr>
                <w:rFonts w:ascii="宋体" w:hAnsi="宋体" w:cs="宋体" w:eastAsia="宋体" w:hint="default"/>
                <w:spacing w:val="89"/>
                <w:sz w:val="18"/>
                <w:szCs w:val="18"/>
              </w:rPr>
              <w:t> </w:t>
            </w:r>
            <w:r>
              <w:rPr>
                <w:rFonts w:ascii="宋体" w:hAnsi="宋体" w:cs="宋体" w:eastAsia="宋体" w:hint="default"/>
                <w:sz w:val="18"/>
                <w:szCs w:val="18"/>
              </w:rPr>
              <w:t>证券日报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北京北信源软件股份有限公司证券投资部</w:t>
            </w:r>
          </w:p>
        </w:tc>
      </w:tr>
    </w:tbl>
    <w:p>
      <w:pPr>
        <w:spacing w:after="0" w:line="240" w:lineRule="auto"/>
        <w:jc w:val="left"/>
        <w:rPr>
          <w:rFonts w:ascii="宋体" w:hAnsi="宋体" w:cs="宋体" w:eastAsia="宋体" w:hint="default"/>
          <w:sz w:val="18"/>
          <w:szCs w:val="18"/>
        </w:rPr>
        <w:sectPr>
          <w:pgSz w:w="11910" w:h="16840"/>
          <w:pgMar w:header="745" w:footer="1133" w:top="1060" w:bottom="1320" w:left="980" w:right="980"/>
        </w:sectPr>
      </w:pPr>
    </w:p>
    <w:p>
      <w:pPr>
        <w:spacing w:line="240" w:lineRule="auto" w:before="14"/>
        <w:rPr>
          <w:rFonts w:ascii="Microsoft JhengHei" w:hAnsi="Microsoft JhengHei" w:cs="Microsoft JhengHei" w:eastAsia="Microsoft JhengHei" w:hint="default"/>
          <w:b/>
          <w:bCs/>
          <w:sz w:val="17"/>
          <w:szCs w:val="17"/>
        </w:rPr>
      </w:pPr>
    </w:p>
    <w:p>
      <w:pPr>
        <w:pStyle w:val="Heading2"/>
        <w:spacing w:line="367" w:lineRule="exact"/>
        <w:ind w:right="0"/>
        <w:jc w:val="left"/>
        <w:rPr>
          <w:b w:val="0"/>
          <w:bCs w:val="0"/>
        </w:rPr>
      </w:pPr>
      <w:r>
        <w:rPr/>
        <w:t>四、其他有关资料</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北京市东城区永定门西滨河路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号院中海地产广场西塔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荣健、单大信</w:t>
            </w:r>
          </w:p>
        </w:tc>
      </w:tr>
    </w:tbl>
    <w:p>
      <w:pPr>
        <w:pStyle w:val="BodyText"/>
        <w:spacing w:line="240" w:lineRule="auto" w:before="49"/>
        <w:ind w:right="0"/>
        <w:jc w:val="left"/>
      </w:pPr>
      <w:r>
        <w:rPr/>
        <w:t>公司聘请的报告期内履行持续督导职责的保荐机构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安信证券股份有限公司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深圳市福田区金田路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安联大厦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05" w:right="0"/>
              <w:jc w:val="left"/>
              <w:rPr>
                <w:rFonts w:ascii="宋体" w:hAnsi="宋体" w:cs="宋体" w:eastAsia="宋体" w:hint="default"/>
                <w:sz w:val="18"/>
                <w:szCs w:val="18"/>
              </w:rPr>
            </w:pPr>
            <w:r>
              <w:rPr>
                <w:rFonts w:ascii="宋体" w:hAnsi="宋体" w:cs="宋体" w:eastAsia="宋体" w:hint="default"/>
                <w:sz w:val="18"/>
                <w:szCs w:val="18"/>
              </w:rPr>
              <w:t>徐荣健</w:t>
            </w:r>
            <w:r>
              <w:rPr>
                <w:rFonts w:ascii="宋体" w:hAnsi="宋体" w:cs="宋体" w:eastAsia="宋体" w:hint="default"/>
                <w:spacing w:val="1"/>
                <w:sz w:val="18"/>
                <w:szCs w:val="18"/>
              </w:rPr>
              <w:t> </w:t>
            </w:r>
            <w:r>
              <w:rPr>
                <w:rFonts w:ascii="宋体" w:hAnsi="宋体" w:cs="宋体" w:eastAsia="宋体" w:hint="default"/>
                <w:sz w:val="18"/>
                <w:szCs w:val="18"/>
              </w:rPr>
              <w:t>赵冬冬</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2"/>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&amp;</w:t>
            </w:r>
            <w:r>
              <w:rPr>
                <w:rFonts w:ascii="宋体" w:hAnsi="宋体" w:cs="宋体" w:eastAsia="宋体" w:hint="default"/>
                <w:sz w:val="18"/>
                <w:szCs w:val="18"/>
              </w:rPr>
              <w:t>直至募集 资金使用完毕</w:t>
            </w:r>
          </w:p>
        </w:tc>
      </w:tr>
    </w:tbl>
    <w:p>
      <w:pPr>
        <w:pStyle w:val="BodyText"/>
        <w:spacing w:line="240" w:lineRule="auto" w:before="49"/>
        <w:ind w:right="0"/>
        <w:jc w:val="left"/>
      </w:pPr>
      <w:r>
        <w:rPr/>
        <w:t>公司聘请的报告期内履行持续督导职责的财务顾问</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五、主要会计数据和财务指标</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公司是否需追溯调整或重述以前年度会计数据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2646"/>
        <w:gridCol w:w="1762"/>
        <w:gridCol w:w="1760"/>
        <w:gridCol w:w="1760"/>
        <w:gridCol w:w="1759"/>
      </w:tblGrid>
      <w:tr>
        <w:trPr>
          <w:trHeight w:val="404" w:hRule="exact"/>
        </w:trPr>
        <w:tc>
          <w:tcPr>
            <w:tcW w:w="26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514,852,610.92</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492,299,777.56</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470,015,347.51</w:t>
            </w:r>
          </w:p>
        </w:tc>
      </w:tr>
      <w:tr>
        <w:trPr>
          <w:trHeight w:val="715" w:hRule="exact"/>
        </w:trPr>
        <w:tc>
          <w:tcPr>
            <w:tcW w:w="2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91,451,980.39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80,347,228.14</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13.82%</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70,719,566.59</w:t>
            </w:r>
          </w:p>
        </w:tc>
      </w:tr>
      <w:tr>
        <w:trPr>
          <w:trHeight w:val="713" w:hRule="exact"/>
        </w:trPr>
        <w:tc>
          <w:tcPr>
            <w:tcW w:w="2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63,661,402.33</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78,251,513.10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-18.65%</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67,740,683.09</w:t>
            </w:r>
          </w:p>
        </w:tc>
      </w:tr>
      <w:tr>
        <w:trPr>
          <w:trHeight w:val="715" w:hRule="exact"/>
        </w:trPr>
        <w:tc>
          <w:tcPr>
            <w:tcW w:w="2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-88,215,326.20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-20,320,955.30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-334.11%</w:t>
            </w:r>
            <w:r>
              <w:rPr>
                <w:rFonts w:ascii="Times New Roman"/>
                <w:spacing w:val="-1"/>
                <w:sz w:val="18"/>
              </w:rPr>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-2,619,422.27</w:t>
            </w:r>
          </w:p>
        </w:tc>
      </w:tr>
      <w:tr>
        <w:trPr>
          <w:trHeight w:val="401" w:hRule="exact"/>
        </w:trPr>
        <w:tc>
          <w:tcPr>
            <w:tcW w:w="2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0.0631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0.0619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0.0554</w:t>
            </w:r>
          </w:p>
        </w:tc>
      </w:tr>
      <w:tr>
        <w:trPr>
          <w:trHeight w:val="404" w:hRule="exact"/>
        </w:trPr>
        <w:tc>
          <w:tcPr>
            <w:tcW w:w="2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0.0631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0.0619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0.0554</w:t>
            </w:r>
          </w:p>
        </w:tc>
      </w:tr>
      <w:tr>
        <w:trPr>
          <w:trHeight w:val="401" w:hRule="exact"/>
        </w:trPr>
        <w:tc>
          <w:tcPr>
            <w:tcW w:w="2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9.54%</w:t>
            </w:r>
          </w:p>
        </w:tc>
      </w:tr>
      <w:tr>
        <w:trPr>
          <w:trHeight w:val="403" w:hRule="exact"/>
        </w:trPr>
        <w:tc>
          <w:tcPr>
            <w:tcW w:w="26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2,494,353,509.47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2,314,317,659.87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7.78%</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971,347,262.17</w:t>
            </w:r>
          </w:p>
        </w:tc>
      </w:tr>
      <w:tr>
        <w:trPr>
          <w:trHeight w:val="715" w:hRule="exact"/>
        </w:trPr>
        <w:tc>
          <w:tcPr>
            <w:tcW w:w="2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2,212,720,654.05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2,144,254,191.36</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3.19%</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837,645,081.33</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六、分季度主要财务指标</w:t>
      </w:r>
      <w:r>
        <w:rPr>
          <w:b w:val="0"/>
          <w:bCs w:val="0"/>
        </w:rPr>
      </w:r>
    </w:p>
    <w:p>
      <w:pPr>
        <w:spacing w:line="240" w:lineRule="auto" w:before="12"/>
        <w:rPr>
          <w:rFonts w:ascii="Microsoft JhengHei" w:hAnsi="Microsoft JhengHei" w:cs="Microsoft JhengHei" w:eastAsia="Microsoft JhengHei" w:hint="default"/>
          <w:b/>
          <w:bCs/>
          <w:sz w:val="15"/>
          <w:szCs w:val="15"/>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2657"/>
        <w:gridCol w:w="1764"/>
        <w:gridCol w:w="1762"/>
        <w:gridCol w:w="1762"/>
        <w:gridCol w:w="1752"/>
      </w:tblGrid>
      <w:tr>
        <w:trPr>
          <w:trHeight w:val="403"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第四季度</w:t>
            </w:r>
          </w:p>
        </w:tc>
      </w:tr>
    </w:tbl>
    <w:p>
      <w:pPr>
        <w:spacing w:after="0" w:line="240" w:lineRule="auto"/>
        <w:jc w:val="left"/>
        <w:rPr>
          <w:rFonts w:ascii="宋体" w:hAnsi="宋体" w:cs="宋体" w:eastAsia="宋体" w:hint="default"/>
          <w:sz w:val="18"/>
          <w:szCs w:val="18"/>
        </w:rPr>
        <w:sectPr>
          <w:pgSz w:w="11910" w:h="16840"/>
          <w:pgMar w:header="745" w:footer="1133" w:top="1060" w:bottom="1320" w:left="980" w:right="980"/>
        </w:sectPr>
      </w:pPr>
    </w:p>
    <w:p>
      <w:pPr>
        <w:spacing w:line="240" w:lineRule="auto" w:before="6"/>
        <w:rPr>
          <w:rFonts w:ascii="宋体" w:hAnsi="宋体" w:cs="宋体" w:eastAsia="宋体" w:hint="default"/>
          <w:sz w:val="28"/>
          <w:szCs w:val="28"/>
        </w:rPr>
      </w:pPr>
    </w:p>
    <w:tbl>
      <w:tblPr>
        <w:tblW w:w="0" w:type="auto"/>
        <w:jc w:val="left"/>
        <w:tblInd w:w="120" w:type="dxa"/>
        <w:tblLayout w:type="fixed"/>
        <w:tblCellMar>
          <w:top w:w="0" w:type="dxa"/>
          <w:left w:w="0" w:type="dxa"/>
          <w:bottom w:w="0" w:type="dxa"/>
          <w:right w:w="0" w:type="dxa"/>
        </w:tblCellMar>
        <w:tblLook w:val="01E0"/>
      </w:tblPr>
      <w:tblGrid>
        <w:gridCol w:w="2657"/>
        <w:gridCol w:w="1764"/>
        <w:gridCol w:w="1762"/>
        <w:gridCol w:w="1762"/>
        <w:gridCol w:w="1752"/>
      </w:tblGrid>
      <w:tr>
        <w:trPr>
          <w:trHeight w:val="401"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62,275,313.16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168,723,168.68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110,971,866.14</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172,882,262.94</w:t>
            </w:r>
          </w:p>
        </w:tc>
      </w:tr>
      <w:tr>
        <w:trPr>
          <w:trHeight w:val="403"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823,536.18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17,753,161.28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7,385,079.45</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65,490,203.48</w:t>
            </w:r>
          </w:p>
        </w:tc>
      </w:tr>
      <w:tr>
        <w:trPr>
          <w:trHeight w:val="713"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-99,210.06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7,621,422.88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290,227.43</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55,848,962.08</w:t>
            </w:r>
          </w:p>
        </w:tc>
      </w:tr>
      <w:tr>
        <w:trPr>
          <w:trHeight w:val="403"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-50,961,001.02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-28,357,720.64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-27,916,341.76</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19,019,737.22</w:t>
            </w:r>
          </w:p>
        </w:tc>
      </w:tr>
    </w:tbl>
    <w:p>
      <w:pPr>
        <w:pStyle w:val="BodyText"/>
        <w:spacing w:line="240" w:lineRule="auto" w:before="49"/>
        <w:ind w:right="0"/>
        <w:jc w:val="left"/>
      </w:pPr>
      <w:r>
        <w:rPr/>
        <w:t>上述财务指标或其加总数是否与公司已披露季度报告、半年度报告相关财务指标存在重大差异</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七、境内外会计准则下会计数据差异</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5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1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10"/>
        <w:rPr>
          <w:rFonts w:ascii="宋体" w:hAnsi="宋体" w:cs="宋体" w:eastAsia="宋体" w:hint="default"/>
          <w:sz w:val="13"/>
          <w:szCs w:val="13"/>
        </w:rPr>
      </w:pPr>
    </w:p>
    <w:p>
      <w:pPr>
        <w:pStyle w:val="Heading2"/>
        <w:spacing w:line="240" w:lineRule="auto"/>
        <w:ind w:right="0"/>
        <w:jc w:val="left"/>
        <w:rPr>
          <w:b w:val="0"/>
          <w:bCs w:val="0"/>
        </w:rPr>
      </w:pPr>
      <w:r>
        <w:rPr/>
        <w:t>八、非经常性损益项目及金额</w:t>
      </w:r>
      <w:r>
        <w:rPr>
          <w:b w:val="0"/>
          <w:bCs w:val="0"/>
        </w:rPr>
      </w:r>
    </w:p>
    <w:p>
      <w:pPr>
        <w:spacing w:line="240" w:lineRule="auto" w:before="14"/>
        <w:rPr>
          <w:rFonts w:ascii="Microsoft JhengHei" w:hAnsi="Microsoft JhengHei" w:cs="Microsoft JhengHei" w:eastAsia="Microsoft JhengHei" w:hint="default"/>
          <w:b/>
          <w:bCs/>
          <w:sz w:val="15"/>
          <w:szCs w:val="1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344"/>
        <w:gridCol w:w="1541"/>
        <w:gridCol w:w="1539"/>
        <w:gridCol w:w="1541"/>
        <w:gridCol w:w="1733"/>
      </w:tblGrid>
      <w:tr>
        <w:trPr>
          <w:trHeight w:val="403" w:hRule="exact"/>
        </w:trPr>
        <w:tc>
          <w:tcPr>
            <w:tcW w:w="3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8"/>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122,990.26</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17,277.35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-79,793.10</w:t>
            </w:r>
          </w:p>
        </w:tc>
        <w:tc>
          <w:tcPr>
            <w:tcW w:w="173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6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2,596,496.67</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2,338,763.14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3,568,050.00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7"/>
              <w:jc w:val="left"/>
              <w:rPr>
                <w:rFonts w:ascii="宋体" w:hAnsi="宋体" w:cs="宋体" w:eastAsia="宋体" w:hint="default"/>
                <w:sz w:val="18"/>
                <w:szCs w:val="18"/>
              </w:rPr>
            </w:pPr>
            <w:r>
              <w:rPr>
                <w:rFonts w:ascii="宋体" w:hAnsi="宋体" w:cs="宋体" w:eastAsia="宋体" w:hint="default"/>
                <w:sz w:val="18"/>
                <w:szCs w:val="18"/>
              </w:rPr>
              <w:t>非经常性连续政府补 助</w:t>
            </w:r>
          </w:p>
        </w:tc>
      </w:tr>
      <w:tr>
        <w:trPr>
          <w:trHeight w:val="161" w:hRule="exact"/>
        </w:trPr>
        <w:tc>
          <w:tcPr>
            <w:tcW w:w="3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30,740,781.88</w:t>
            </w:r>
          </w:p>
        </w:tc>
        <w:tc>
          <w:tcPr>
            <w:tcW w:w="153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6" w:right="0"/>
              <w:jc w:val="left"/>
              <w:rPr>
                <w:rFonts w:ascii="Times New Roman" w:hAnsi="Times New Roman" w:cs="Times New Roman" w:eastAsia="Times New Roman" w:hint="default"/>
                <w:sz w:val="18"/>
                <w:szCs w:val="18"/>
              </w:rPr>
            </w:pPr>
            <w:r>
              <w:rPr>
                <w:rFonts w:ascii="Times New Roman"/>
                <w:sz w:val="18"/>
              </w:rPr>
              <w:t>144,780.83</w:t>
            </w:r>
          </w:p>
        </w:tc>
        <w:tc>
          <w:tcPr>
            <w:tcW w:w="1541" w:type="dxa"/>
            <w:vMerge w:val="restart"/>
            <w:tcBorders>
              <w:top w:val="single" w:sz="4" w:space="0" w:color="000000"/>
              <w:left w:val="single" w:sz="4" w:space="0" w:color="000000"/>
              <w:right w:val="single" w:sz="4" w:space="0" w:color="000000"/>
            </w:tcBorders>
          </w:tcPr>
          <w:p>
            <w:pPr/>
          </w:p>
        </w:tc>
        <w:tc>
          <w:tcPr>
            <w:tcW w:w="1733"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结构性存款及理财收 益</w:t>
            </w:r>
          </w:p>
        </w:tc>
      </w:tr>
      <w:tr>
        <w:trPr>
          <w:trHeight w:val="391" w:hRule="exact"/>
        </w:trPr>
        <w:tc>
          <w:tcPr>
            <w:tcW w:w="3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41" w:type="dxa"/>
            <w:vMerge/>
            <w:tcBorders>
              <w:left w:val="single" w:sz="4" w:space="0" w:color="000000"/>
              <w:right w:val="single" w:sz="4" w:space="0" w:color="000000"/>
            </w:tcBorders>
          </w:tcPr>
          <w:p>
            <w:pPr/>
          </w:p>
        </w:tc>
        <w:tc>
          <w:tcPr>
            <w:tcW w:w="1539" w:type="dxa"/>
            <w:vMerge/>
            <w:tcBorders>
              <w:left w:val="single" w:sz="4" w:space="0" w:color="000000"/>
              <w:right w:val="single" w:sz="4" w:space="0" w:color="000000"/>
            </w:tcBorders>
          </w:tcPr>
          <w:p>
            <w:pPr/>
          </w:p>
        </w:tc>
        <w:tc>
          <w:tcPr>
            <w:tcW w:w="1541" w:type="dxa"/>
            <w:vMerge/>
            <w:tcBorders>
              <w:left w:val="single" w:sz="4" w:space="0" w:color="000000"/>
              <w:right w:val="single" w:sz="4" w:space="0" w:color="000000"/>
            </w:tcBorders>
          </w:tcPr>
          <w:p>
            <w:pPr/>
          </w:p>
        </w:tc>
        <w:tc>
          <w:tcPr>
            <w:tcW w:w="1733" w:type="dxa"/>
            <w:vMerge/>
            <w:tcBorders>
              <w:left w:val="single" w:sz="4" w:space="0" w:color="000000"/>
              <w:right w:val="single" w:sz="4" w:space="0" w:color="000000"/>
            </w:tcBorders>
          </w:tcPr>
          <w:p>
            <w:pPr/>
          </w:p>
        </w:tc>
      </w:tr>
      <w:tr>
        <w:trPr>
          <w:trHeight w:val="161" w:hRule="exact"/>
        </w:trPr>
        <w:tc>
          <w:tcPr>
            <w:tcW w:w="3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41" w:type="dxa"/>
            <w:vMerge/>
            <w:tcBorders>
              <w:left w:val="single" w:sz="4" w:space="0" w:color="000000"/>
              <w:bottom w:val="single" w:sz="4" w:space="0" w:color="000000"/>
              <w:right w:val="single" w:sz="4" w:space="0" w:color="000000"/>
            </w:tcBorders>
          </w:tcPr>
          <w:p>
            <w:pPr/>
          </w:p>
        </w:tc>
        <w:tc>
          <w:tcPr>
            <w:tcW w:w="1539" w:type="dxa"/>
            <w:vMerge/>
            <w:tcBorders>
              <w:left w:val="single" w:sz="4" w:space="0" w:color="000000"/>
              <w:bottom w:val="single" w:sz="4" w:space="0" w:color="000000"/>
              <w:right w:val="single" w:sz="4" w:space="0" w:color="000000"/>
            </w:tcBorders>
          </w:tcPr>
          <w:p>
            <w:pPr/>
          </w:p>
        </w:tc>
        <w:tc>
          <w:tcPr>
            <w:tcW w:w="1541" w:type="dxa"/>
            <w:vMerge/>
            <w:tcBorders>
              <w:left w:val="single" w:sz="4" w:space="0" w:color="000000"/>
              <w:bottom w:val="single" w:sz="4" w:space="0" w:color="000000"/>
              <w:right w:val="single" w:sz="4" w:space="0" w:color="000000"/>
            </w:tcBorders>
          </w:tcPr>
          <w:p>
            <w:pPr/>
          </w:p>
        </w:tc>
        <w:tc>
          <w:tcPr>
            <w:tcW w:w="1733" w:type="dxa"/>
            <w:vMerge/>
            <w:tcBorders>
              <w:left w:val="single" w:sz="4" w:space="0" w:color="000000"/>
              <w:bottom w:val="single" w:sz="4" w:space="0" w:color="000000"/>
              <w:right w:val="single" w:sz="4" w:space="0" w:color="000000"/>
            </w:tcBorders>
          </w:tcPr>
          <w:p>
            <w:pPr/>
          </w:p>
        </w:tc>
      </w:tr>
      <w:tr>
        <w:trPr>
          <w:trHeight w:val="403" w:hRule="exact"/>
        </w:trPr>
        <w:tc>
          <w:tcPr>
            <w:tcW w:w="3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-765,508.74</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595.97</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16,311.92</w:t>
            </w:r>
          </w:p>
        </w:tc>
        <w:tc>
          <w:tcPr>
            <w:tcW w:w="17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4,904,182.01</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405,702.25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525,685.32</w:t>
            </w:r>
          </w:p>
        </w:tc>
        <w:tc>
          <w:tcPr>
            <w:tcW w:w="17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27,790,578.06</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2,095,715.04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2,978,883.50</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0"/>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p>
    <w:p>
      <w:pPr>
        <w:spacing w:after="0" w:line="240" w:lineRule="auto"/>
        <w:jc w:val="left"/>
        <w:sectPr>
          <w:pgSz w:w="11910" w:h="16840"/>
          <w:pgMar w:header="745" w:footer="1133" w:top="1060" w:bottom="132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项目界定为经常性损益的项目的情形。</w:t>
      </w:r>
    </w:p>
    <w:p>
      <w:pPr>
        <w:spacing w:after="0" w:line="240" w:lineRule="auto"/>
        <w:jc w:val="left"/>
        <w:sectPr>
          <w:pgSz w:w="11910" w:h="16840"/>
          <w:pgMar w:header="745" w:footer="1133" w:top="1060" w:bottom="13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right="351"/>
        <w:jc w:val="center"/>
        <w:rPr>
          <w:b w:val="0"/>
          <w:bCs w:val="0"/>
        </w:rPr>
      </w:pPr>
      <w:bookmarkStart w:name="_TOC_250009" w:id="3"/>
      <w:r>
        <w:rPr/>
        <w:t>第三节 </w:t>
      </w:r>
      <w:r>
        <w:rPr>
          <w:spacing w:val="7"/>
        </w:rPr>
        <w:t> </w:t>
      </w:r>
      <w:r>
        <w:rPr/>
        <w:t>公司业务概要</w:t>
      </w:r>
      <w:bookmarkEnd w:id="3"/>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both"/>
        <w:rPr>
          <w:b w:val="0"/>
          <w:bCs w:val="0"/>
        </w:rPr>
      </w:pPr>
      <w:r>
        <w:rPr/>
        <w:t>一、报告期内公司从事的主要业务</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60" w:lineRule="auto"/>
        <w:ind w:right="6714"/>
        <w:jc w:val="left"/>
      </w:pPr>
      <w:r>
        <w:rPr/>
        <w:t>公司是否需要遵守特殊行业的披露要求 否</w:t>
      </w:r>
    </w:p>
    <w:p>
      <w:pPr>
        <w:spacing w:line="240" w:lineRule="auto" w:before="6"/>
        <w:rPr>
          <w:rFonts w:ascii="宋体" w:hAnsi="宋体" w:cs="宋体" w:eastAsia="宋体" w:hint="default"/>
          <w:sz w:val="24"/>
          <w:szCs w:val="24"/>
        </w:rPr>
      </w:pPr>
    </w:p>
    <w:p>
      <w:pPr>
        <w:pStyle w:val="BodyText"/>
        <w:spacing w:line="374" w:lineRule="auto"/>
        <w:ind w:left="513" w:right="0" w:hanging="89"/>
        <w:jc w:val="left"/>
      </w:pPr>
      <w:r>
        <w:rPr>
          <w:rFonts w:ascii="Microsoft JhengHei" w:hAnsi="Microsoft JhengHei" w:cs="Microsoft JhengHei" w:eastAsia="Microsoft JhengHei" w:hint="default"/>
          <w:b/>
          <w:bCs/>
        </w:rPr>
        <w:t>（一）主营业务概况</w:t>
      </w:r>
      <w:r>
        <w:rPr>
          <w:rFonts w:ascii="Microsoft JhengHei" w:hAnsi="Microsoft JhengHei" w:cs="Microsoft JhengHei" w:eastAsia="Microsoft JhengHei" w:hint="default"/>
          <w:b/>
          <w:bCs/>
          <w:spacing w:val="-40"/>
        </w:rPr>
        <w:t> </w:t>
      </w:r>
      <w:r>
        <w:rPr>
          <w:rFonts w:ascii="Microsoft JhengHei" w:hAnsi="Microsoft JhengHei" w:cs="Microsoft JhengHei" w:eastAsia="Microsoft JhengHei" w:hint="default"/>
          <w:b/>
          <w:bCs/>
          <w:spacing w:val="-40"/>
        </w:rPr>
      </w:r>
      <w:r>
        <w:rPr>
          <w:spacing w:val="-2"/>
        </w:rPr>
        <w:t>公司是国内终端安全管理领域龙头企业，是国内信息安全领域领先的解决方案提供商，围绕信息安全产业链，为客户提</w:t>
      </w:r>
    </w:p>
    <w:p>
      <w:pPr>
        <w:pStyle w:val="BodyText"/>
        <w:spacing w:line="468" w:lineRule="auto" w:before="131"/>
        <w:ind w:right="148"/>
        <w:jc w:val="both"/>
      </w:pPr>
      <w:r>
        <w:rPr>
          <w:spacing w:val="-2"/>
        </w:rPr>
        <w:t>供涵盖安全的软件开发、安全可控的解决方案、维护服务以及安全系统集成在内的一整套信息化服务，用户涉及政府、军队</w:t>
      </w:r>
      <w:r>
        <w:rPr>
          <w:spacing w:val="-62"/>
        </w:rPr>
        <w:t> </w:t>
      </w:r>
      <w:r>
        <w:rPr>
          <w:spacing w:val="-62"/>
        </w:rPr>
      </w:r>
      <w:r>
        <w:rPr>
          <w:spacing w:val="-2"/>
        </w:rPr>
        <w:t>军工、金融、能源等重要行业数千家单位，成功部署数千万终端，连续十二年稳居中国终端安全管理市场占有率第一的领导</w:t>
      </w:r>
      <w:r>
        <w:rPr>
          <w:spacing w:val="-63"/>
        </w:rPr>
        <w:t> </w:t>
      </w:r>
      <w:r>
        <w:rPr>
          <w:spacing w:val="-63"/>
        </w:rPr>
      </w:r>
      <w:r>
        <w:rPr>
          <w:spacing w:val="-3"/>
          <w:w w:val="100"/>
        </w:rPr>
        <w:t>地位（数据来源：</w:t>
      </w:r>
      <w:r>
        <w:rPr>
          <w:rFonts w:ascii="Times New Roman" w:hAnsi="Times New Roman" w:cs="Times New Roman" w:eastAsia="Times New Roman" w:hint="default"/>
          <w:spacing w:val="-3"/>
          <w:w w:val="100"/>
        </w:rPr>
        <w:t>CCID</w:t>
      </w:r>
      <w:r>
        <w:rPr>
          <w:spacing w:val="-3"/>
          <w:w w:val="100"/>
        </w:rPr>
        <w:t>）。目前公司产品体系已经完成</w:t>
      </w:r>
      <w:r>
        <w:rPr>
          <w:rFonts w:ascii="Times New Roman" w:hAnsi="Times New Roman" w:cs="Times New Roman" w:eastAsia="Times New Roman" w:hint="default"/>
          <w:spacing w:val="-3"/>
          <w:w w:val="100"/>
        </w:rPr>
        <w:t>“</w:t>
      </w:r>
      <w:r>
        <w:rPr>
          <w:spacing w:val="-3"/>
          <w:w w:val="100"/>
        </w:rPr>
        <w:t>信息安全、大数据和互联网</w:t>
      </w:r>
      <w:r>
        <w:rPr>
          <w:rFonts w:ascii="Times New Roman" w:hAnsi="Times New Roman" w:cs="Times New Roman" w:eastAsia="Times New Roman" w:hint="default"/>
          <w:spacing w:val="-3"/>
          <w:w w:val="100"/>
        </w:rPr>
        <w:t>”</w:t>
      </w:r>
      <w:r>
        <w:rPr>
          <w:spacing w:val="-3"/>
          <w:w w:val="100"/>
        </w:rPr>
        <w:t>格局的打造，使公司从传统的终端安全</w:t>
      </w:r>
      <w:r>
        <w:rPr>
          <w:spacing w:val="-59"/>
          <w:w w:val="100"/>
        </w:rPr>
        <w:t> </w:t>
      </w:r>
      <w:r>
        <w:rPr>
          <w:spacing w:val="-59"/>
          <w:w w:val="100"/>
        </w:rPr>
      </w:r>
      <w:r>
        <w:rPr/>
        <w:t>领导者逐步成为物联网时代下智慧安全的全面解决方案提供商。</w:t>
      </w:r>
    </w:p>
    <w:p>
      <w:pPr>
        <w:pStyle w:val="Heading4"/>
        <w:spacing w:line="277" w:lineRule="exact"/>
        <w:ind w:left="424" w:right="0"/>
        <w:jc w:val="left"/>
        <w:rPr>
          <w:b w:val="0"/>
          <w:bCs w:val="0"/>
        </w:rPr>
      </w:pPr>
      <w:r>
        <w:rPr/>
        <w:t>（二）主要产品及用途</w:t>
      </w:r>
      <w:r>
        <w:rPr>
          <w:b w:val="0"/>
          <w:bCs w:val="0"/>
        </w:rPr>
      </w:r>
    </w:p>
    <w:p>
      <w:pPr>
        <w:pStyle w:val="BodyText"/>
        <w:spacing w:line="403" w:lineRule="auto" w:before="78"/>
        <w:ind w:left="522" w:right="224"/>
        <w:jc w:val="left"/>
      </w:pPr>
      <w:r>
        <w:rPr>
          <w:rFonts w:ascii="Times New Roman" w:hAnsi="Times New Roman" w:cs="Times New Roman" w:eastAsia="Times New Roman" w:hint="default"/>
          <w:b/>
          <w:bCs/>
          <w:w w:val="105"/>
        </w:rPr>
        <w:t>1.</w:t>
      </w:r>
      <w:r>
        <w:rPr>
          <w:rFonts w:ascii="Microsoft JhengHei" w:hAnsi="Microsoft JhengHei" w:cs="Microsoft JhengHei" w:eastAsia="Microsoft JhengHei" w:hint="default"/>
          <w:b/>
          <w:bCs/>
          <w:w w:val="105"/>
        </w:rPr>
        <w:t>信息安全</w:t>
      </w:r>
      <w:r>
        <w:rPr>
          <w:rFonts w:ascii="Microsoft JhengHei" w:hAnsi="Microsoft JhengHei" w:cs="Microsoft JhengHei" w:eastAsia="Microsoft JhengHei" w:hint="default"/>
          <w:b/>
          <w:bCs/>
          <w:spacing w:val="-41"/>
          <w:w w:val="105"/>
        </w:rPr>
        <w:t> </w:t>
      </w:r>
      <w:r>
        <w:rPr>
          <w:rFonts w:ascii="Microsoft JhengHei" w:hAnsi="Microsoft JhengHei" w:cs="Microsoft JhengHei" w:eastAsia="Microsoft JhengHei" w:hint="default"/>
          <w:b/>
          <w:bCs/>
          <w:spacing w:val="-41"/>
          <w:w w:val="105"/>
        </w:rPr>
      </w:r>
      <w:r>
        <w:rPr/>
        <w:t>在信息安全领域，公司依托中国终端安全管理市场的龙头企业地位，积极创新，锐意进取，将原有终端安全扩展成为</w:t>
      </w:r>
    </w:p>
    <w:p>
      <w:pPr>
        <w:pStyle w:val="BodyText"/>
        <w:spacing w:line="477" w:lineRule="auto" w:before="110"/>
        <w:ind w:left="522" w:right="224" w:hanging="371"/>
        <w:jc w:val="left"/>
      </w:pPr>
      <w:r>
        <w:rPr/>
        <w:t>包含边界安全、主机安全和数据安全三个层次的完整产品体系。 边界安全产品线产品主要用于保障终端接入内网边界的完整性和安全性，包括北信源网络接入控制系统、北信源视频</w:t>
      </w:r>
    </w:p>
    <w:p>
      <w:pPr>
        <w:pStyle w:val="BodyText"/>
        <w:spacing w:line="477" w:lineRule="auto" w:before="54"/>
        <w:ind w:right="153"/>
        <w:jc w:val="both"/>
      </w:pPr>
      <w:r>
        <w:rPr>
          <w:spacing w:val="-2"/>
        </w:rPr>
        <w:t>安全监控系统和北信源网络边界监测系统等多款产品。边界安全是北信源信息安全产品体系当前发展最迅速的产品线。边界</w:t>
      </w:r>
      <w:r>
        <w:rPr>
          <w:spacing w:val="-64"/>
        </w:rPr>
        <w:t> </w:t>
      </w:r>
      <w:r>
        <w:rPr>
          <w:spacing w:val="-64"/>
        </w:rPr>
      </w:r>
      <w:r>
        <w:rPr>
          <w:spacing w:val="-2"/>
        </w:rPr>
        <w:t>安全产品线产品不仅随着办公信息网络终端种类和数量大幅增长而扩展到泛终端边界接入管理，而且成为视频监控专网等跨</w:t>
      </w:r>
      <w:r>
        <w:rPr>
          <w:spacing w:val="-64"/>
        </w:rPr>
        <w:t> </w:t>
      </w:r>
      <w:r>
        <w:rPr>
          <w:spacing w:val="-64"/>
        </w:rPr>
      </w:r>
      <w:r>
        <w:rPr/>
        <w:t>地域专用网络的基础安全保障。</w:t>
      </w:r>
    </w:p>
    <w:p>
      <w:pPr>
        <w:pStyle w:val="BodyText"/>
        <w:spacing w:line="477" w:lineRule="auto" w:before="54"/>
        <w:ind w:right="151" w:firstLine="370"/>
        <w:jc w:val="both"/>
      </w:pPr>
      <w:r>
        <w:rPr/>
        <w:t>主机安全产品线用于内网终端安全管理，除传统的</w:t>
      </w:r>
      <w:r>
        <w:rPr>
          <w:rFonts w:ascii="宋体" w:hAnsi="宋体" w:cs="宋体" w:eastAsia="宋体" w:hint="default"/>
        </w:rPr>
        <w:t>Windows</w:t>
      </w:r>
      <w:r>
        <w:rPr/>
        <w:t>终端外，主机安全产品线已经覆盖国产化、虚拟化、移动工 </w:t>
      </w:r>
      <w:r>
        <w:rPr>
          <w:spacing w:val="-2"/>
        </w:rPr>
        <w:t>控等主流终端类型。随着内网管理理念的升级，内网安全产品从按照国家、行业和企业终端安全标准进行合规管理，逐步扩</w:t>
      </w:r>
      <w:r>
        <w:rPr>
          <w:spacing w:val="-65"/>
        </w:rPr>
        <w:t> </w:t>
      </w:r>
      <w:r>
        <w:rPr>
          <w:spacing w:val="-65"/>
        </w:rPr>
      </w:r>
      <w:r>
        <w:rPr/>
        <w:t>展成为包括主机防护、行为合规监管和终端安全运维的新一代内网终端安全产品。</w:t>
      </w:r>
    </w:p>
    <w:p>
      <w:pPr>
        <w:pStyle w:val="BodyText"/>
        <w:spacing w:line="477" w:lineRule="auto" w:before="54"/>
        <w:ind w:right="150" w:firstLine="360"/>
        <w:jc w:val="both"/>
      </w:pPr>
      <w:r>
        <w:rPr>
          <w:spacing w:val="-2"/>
        </w:rPr>
        <w:t>数据安全产品线用于保障内网数据资产安全，包括</w:t>
      </w:r>
      <w:r>
        <w:rPr>
          <w:rFonts w:ascii="宋体" w:hAnsi="宋体" w:cs="宋体" w:eastAsia="宋体" w:hint="default"/>
          <w:spacing w:val="-2"/>
        </w:rPr>
        <w:t>DLP</w:t>
      </w:r>
      <w:r>
        <w:rPr>
          <w:spacing w:val="-2"/>
        </w:rPr>
        <w:t>数据泄露防护、打印及光盘刻录审计、安全</w:t>
      </w:r>
      <w:r>
        <w:rPr>
          <w:rFonts w:ascii="宋体" w:hAnsi="宋体" w:cs="宋体" w:eastAsia="宋体" w:hint="default"/>
          <w:spacing w:val="-2"/>
        </w:rPr>
        <w:t>U</w:t>
      </w:r>
      <w:r>
        <w:rPr>
          <w:spacing w:val="-2"/>
        </w:rPr>
        <w:t>盘、保密检查工具和</w:t>
      </w:r>
      <w:r>
        <w:rPr/>
        <w:t> </w:t>
      </w:r>
      <w:r>
        <w:rPr>
          <w:spacing w:val="-2"/>
        </w:rPr>
        <w:t>文档加密等多种产品。随着客户的数据资产意识的深化，数据安全产品已经成为用户关注的公司安全产品体系的焦点。数据</w:t>
      </w:r>
      <w:r>
        <w:rPr>
          <w:spacing w:val="-63"/>
        </w:rPr>
        <w:t> </w:t>
      </w:r>
      <w:r>
        <w:rPr>
          <w:spacing w:val="-63"/>
        </w:rPr>
      </w:r>
      <w:r>
        <w:rPr/>
        <w:t>安全产品线是目前北信源信息安全产品方向最具发展潜力的产品线。</w:t>
      </w:r>
    </w:p>
    <w:p>
      <w:pPr>
        <w:pStyle w:val="BodyText"/>
        <w:spacing w:line="477" w:lineRule="auto" w:before="54"/>
        <w:ind w:right="148" w:firstLine="360"/>
        <w:jc w:val="both"/>
      </w:pPr>
      <w:r>
        <w:rPr>
          <w:spacing w:val="-2"/>
        </w:rPr>
        <w:t>在信息安全产品体系逐步成熟的基础上，针对目前终端种类、数量和覆盖地域快速扩大的现状，公司推出了泛终端一体</w:t>
      </w:r>
      <w:r>
        <w:rPr/>
        <w:t> </w:t>
      </w:r>
      <w:r>
        <w:rPr>
          <w:spacing w:val="-2"/>
        </w:rPr>
        <w:t>化解决方案和平台。泛终端一体化解决方案突破了传统的终端范畴，极大的扩充了终端管理的范围和数量，扩展了客户的安</w:t>
      </w:r>
      <w:r>
        <w:rPr>
          <w:spacing w:val="-63"/>
        </w:rPr>
        <w:t> </w:t>
      </w:r>
      <w:r>
        <w:rPr>
          <w:spacing w:val="-63"/>
        </w:rPr>
      </w:r>
      <w:r>
        <w:rPr>
          <w:spacing w:val="-2"/>
        </w:rPr>
        <w:t>全管理视野，提升了网络的安全防护等级。在这个理念的指引下，国产主机的普及、视频专网高速建设智慧城市的发展都为</w:t>
      </w:r>
    </w:p>
    <w:p>
      <w:pPr>
        <w:pStyle w:val="BodyText"/>
        <w:spacing w:line="240" w:lineRule="auto" w:before="54"/>
        <w:ind w:right="0"/>
        <w:jc w:val="both"/>
      </w:pPr>
      <w:r>
        <w:rPr/>
        <w:t>公司信息安全产品体系的进一步发展和市场的拓展带来了新的契机。</w:t>
      </w:r>
    </w:p>
    <w:p>
      <w:pPr>
        <w:spacing w:after="0" w:line="240" w:lineRule="auto"/>
        <w:jc w:val="both"/>
        <w:sectPr>
          <w:pgSz w:w="11910" w:h="16840"/>
          <w:pgMar w:header="745" w:footer="1133" w:top="1060" w:bottom="1320" w:left="980" w:right="980"/>
        </w:sectPr>
      </w:pPr>
    </w:p>
    <w:p>
      <w:pPr>
        <w:spacing w:line="240" w:lineRule="auto" w:before="0"/>
        <w:rPr>
          <w:rFonts w:ascii="宋体" w:hAnsi="宋体" w:cs="宋体" w:eastAsia="宋体" w:hint="default"/>
          <w:sz w:val="20"/>
          <w:szCs w:val="20"/>
        </w:rPr>
      </w:pPr>
    </w:p>
    <w:p>
      <w:pPr>
        <w:pStyle w:val="BodyText"/>
        <w:spacing w:line="403" w:lineRule="auto" w:before="141"/>
        <w:ind w:left="510" w:right="94"/>
        <w:jc w:val="left"/>
      </w:pPr>
      <w:r>
        <w:rPr>
          <w:rFonts w:ascii="Times New Roman" w:hAnsi="Times New Roman" w:cs="Times New Roman" w:eastAsia="Times New Roman" w:hint="default"/>
          <w:b/>
          <w:bCs/>
          <w:w w:val="105"/>
        </w:rPr>
        <w:t>2.</w:t>
      </w:r>
      <w:r>
        <w:rPr>
          <w:rFonts w:ascii="Microsoft JhengHei" w:hAnsi="Microsoft JhengHei" w:cs="Microsoft JhengHei" w:eastAsia="Microsoft JhengHei" w:hint="default"/>
          <w:b/>
          <w:bCs/>
          <w:w w:val="105"/>
        </w:rPr>
        <w:t>大数据</w:t>
      </w:r>
      <w:r>
        <w:rPr>
          <w:rFonts w:ascii="Microsoft JhengHei" w:hAnsi="Microsoft JhengHei" w:cs="Microsoft JhengHei" w:eastAsia="Microsoft JhengHei" w:hint="default"/>
          <w:b/>
          <w:bCs/>
          <w:spacing w:val="-34"/>
          <w:w w:val="105"/>
        </w:rPr>
        <w:t> </w:t>
      </w:r>
      <w:r>
        <w:rPr>
          <w:spacing w:val="-2"/>
        </w:rPr>
        <w:t>在大数据领域，公司以“大数据驱动内网安全，大数据提升管理效率”的全新理念，加快大数据技术与现有产品的深度</w:t>
      </w:r>
    </w:p>
    <w:p>
      <w:pPr>
        <w:pStyle w:val="BodyText"/>
        <w:spacing w:line="477" w:lineRule="auto" w:before="110"/>
        <w:ind w:right="190"/>
        <w:jc w:val="both"/>
      </w:pPr>
      <w:r>
        <w:rPr>
          <w:spacing w:val="-2"/>
        </w:rPr>
        <w:t>融合，利用大数据技术不断强化终端安全管理的广度和深度，努力以打造以“大数据”为基础的新一代内网安全产品生态体</w:t>
      </w:r>
      <w:r>
        <w:rPr>
          <w:spacing w:val="-63"/>
        </w:rPr>
        <w:t> </w:t>
      </w:r>
      <w:r>
        <w:rPr>
          <w:spacing w:val="-63"/>
        </w:rPr>
      </w:r>
      <w:r>
        <w:rPr>
          <w:spacing w:val="-2"/>
        </w:rPr>
        <w:t>系。公司网络与终端安全和行为大数据分析系统采用企业级大数据处理、分析、挖掘平台和云到端一体化、扁平式架构，该</w:t>
      </w:r>
      <w:r>
        <w:rPr>
          <w:spacing w:val="-67"/>
        </w:rPr>
        <w:t> </w:t>
      </w:r>
      <w:r>
        <w:rPr>
          <w:spacing w:val="-67"/>
        </w:rPr>
      </w:r>
      <w:r>
        <w:rPr>
          <w:spacing w:val="-2"/>
        </w:rPr>
        <w:t>系统在前端可进行更大时空范围的数据采集与存储，在后端可进行基于大数据安全分析模型的挖掘分析，从而实现基于大数</w:t>
      </w:r>
      <w:r>
        <w:rPr>
          <w:spacing w:val="-64"/>
        </w:rPr>
        <w:t> </w:t>
      </w:r>
      <w:r>
        <w:rPr>
          <w:spacing w:val="-64"/>
        </w:rPr>
      </w:r>
      <w:r>
        <w:rPr>
          <w:spacing w:val="-2"/>
        </w:rPr>
        <w:t>据的网络安全管理、应用性能监控、安全态势感知和威胁情报获取。基于公司终端安全管理产品已大规模部署于政府、军队</w:t>
      </w:r>
      <w:r>
        <w:rPr>
          <w:spacing w:val="-65"/>
        </w:rPr>
        <w:t> </w:t>
      </w:r>
      <w:r>
        <w:rPr>
          <w:spacing w:val="-65"/>
        </w:rPr>
      </w:r>
      <w:r>
        <w:rPr>
          <w:spacing w:val="-2"/>
        </w:rPr>
        <w:t>军工、金融、能源等重要行业数千万终端的强大基础，北信源大数据分析系统能够快速进行部署，为国家关键信息基础设施</w:t>
      </w:r>
      <w:r>
        <w:rPr>
          <w:spacing w:val="-63"/>
        </w:rPr>
        <w:t> </w:t>
      </w:r>
      <w:r>
        <w:rPr>
          <w:spacing w:val="-63"/>
        </w:rPr>
      </w:r>
      <w:r>
        <w:rPr/>
        <w:t>和重要信息系统提供安全保障。</w:t>
      </w:r>
    </w:p>
    <w:p>
      <w:pPr>
        <w:pStyle w:val="BodyText"/>
        <w:spacing w:line="468" w:lineRule="auto" w:before="54"/>
        <w:ind w:right="188" w:firstLine="358"/>
        <w:jc w:val="both"/>
      </w:pPr>
      <w:r>
        <w:rPr>
          <w:spacing w:val="-2"/>
        </w:rPr>
        <w:t>报告期内，公司大数据技术和产品得到行业广泛认可，参投项目屡屡中标。其中，中标公安部“公安信息网安全监测大</w:t>
      </w:r>
      <w:r>
        <w:rPr/>
        <w:t> 数据平台项目”是公司大数据项目的标杆。</w:t>
      </w:r>
      <w:r>
        <w:rPr>
          <w:rFonts w:ascii="宋体" w:hAnsi="宋体" w:cs="宋体" w:eastAsia="宋体" w:hint="default"/>
        </w:rPr>
        <w:t>2017</w:t>
      </w:r>
      <w:r>
        <w:rPr/>
        <w:t>年，大数据实现收入</w:t>
      </w:r>
      <w:r>
        <w:rPr>
          <w:rFonts w:ascii="Times New Roman" w:hAnsi="Times New Roman" w:cs="Times New Roman" w:eastAsia="Times New Roman" w:hint="default"/>
        </w:rPr>
        <w:t>2,544.69</w:t>
      </w:r>
      <w:r>
        <w:rPr/>
        <w:t>万元，公司大数据项目应用于湖南省公安厅、 </w:t>
      </w:r>
      <w:r>
        <w:rPr>
          <w:spacing w:val="-2"/>
        </w:rPr>
        <w:t>泸州市公安局、四川省国防科学技术工业办公室等客户。大数据平台随着经验的积累，产品化程度有很大提升，产品标准化</w:t>
      </w:r>
      <w:r>
        <w:rPr>
          <w:spacing w:val="-65"/>
        </w:rPr>
        <w:t> </w:t>
      </w:r>
      <w:r>
        <w:rPr>
          <w:spacing w:val="-65"/>
        </w:rPr>
      </w:r>
      <w:r>
        <w:rPr/>
        <w:t>加上原有的数据积累，为北信源大数据产品的腾飞打下了坚实的基础。</w:t>
      </w:r>
    </w:p>
    <w:p>
      <w:pPr>
        <w:pStyle w:val="Heading4"/>
        <w:spacing w:line="240" w:lineRule="auto" w:before="4"/>
        <w:ind w:right="94"/>
        <w:jc w:val="left"/>
        <w:rPr>
          <w:b w:val="0"/>
          <w:bCs w:val="0"/>
        </w:rPr>
      </w:pPr>
      <w:r>
        <w:rPr>
          <w:rFonts w:ascii="Times New Roman" w:hAnsi="Times New Roman" w:cs="Times New Roman" w:eastAsia="Times New Roman" w:hint="default"/>
          <w:w w:val="115"/>
        </w:rPr>
        <w:t>3.</w:t>
      </w:r>
      <w:r>
        <w:rPr>
          <w:w w:val="115"/>
        </w:rPr>
        <w:t>互联网</w:t>
      </w:r>
      <w:r>
        <w:rPr>
          <w:b w:val="0"/>
          <w:bCs w:val="0"/>
          <w:w w:val="115"/>
        </w:rPr>
      </w:r>
    </w:p>
    <w:p>
      <w:pPr>
        <w:spacing w:line="240" w:lineRule="auto" w:before="3"/>
        <w:rPr>
          <w:rFonts w:ascii="Microsoft JhengHei" w:hAnsi="Microsoft JhengHei" w:cs="Microsoft JhengHei" w:eastAsia="Microsoft JhengHei" w:hint="default"/>
          <w:b/>
          <w:bCs/>
          <w:sz w:val="12"/>
          <w:szCs w:val="12"/>
        </w:rPr>
      </w:pPr>
    </w:p>
    <w:p>
      <w:pPr>
        <w:pStyle w:val="BodyText"/>
        <w:spacing w:line="477" w:lineRule="auto"/>
        <w:ind w:right="191" w:firstLine="360"/>
        <w:jc w:val="both"/>
      </w:pPr>
      <w:r>
        <w:rPr/>
        <w:t>在移动互联领域，公司全力打造的“新一代互联网安全聚合通道</w:t>
      </w:r>
      <w:r>
        <w:rPr>
          <w:rFonts w:ascii="宋体" w:hAnsi="宋体" w:cs="宋体" w:eastAsia="宋体" w:hint="default"/>
        </w:rPr>
        <w:t>-</w:t>
      </w:r>
      <w:r>
        <w:rPr/>
        <w:t>信源豆豆</w:t>
      </w:r>
      <w:r>
        <w:rPr>
          <w:rFonts w:ascii="宋体" w:hAnsi="宋体" w:cs="宋体" w:eastAsia="宋体" w:hint="default"/>
        </w:rPr>
        <w:t>Linkdood</w:t>
      </w:r>
      <w:r>
        <w:rPr/>
        <w:t>”，是以“安全连接，智慧聚合” </w:t>
      </w:r>
      <w:r>
        <w:rPr>
          <w:spacing w:val="-2"/>
        </w:rPr>
        <w:t>为核心理念，私有服务器为载体，即时通信为基础的安全可信聚合平台，有效满足了万物互联时代的通信需求。此外，信源</w:t>
      </w:r>
      <w:r>
        <w:rPr>
          <w:spacing w:val="-67"/>
        </w:rPr>
        <w:t> </w:t>
      </w:r>
      <w:r>
        <w:rPr>
          <w:spacing w:val="-67"/>
        </w:rPr>
      </w:r>
      <w:r>
        <w:rPr>
          <w:spacing w:val="-2"/>
        </w:rPr>
        <w:t>豆豆</w:t>
      </w:r>
      <w:r>
        <w:rPr>
          <w:rFonts w:ascii="宋体" w:hAnsi="宋体" w:cs="宋体" w:eastAsia="宋体" w:hint="default"/>
          <w:spacing w:val="-2"/>
        </w:rPr>
        <w:t>Linkdood</w:t>
      </w:r>
      <w:r>
        <w:rPr>
          <w:spacing w:val="-2"/>
        </w:rPr>
        <w:t>还填补了企业安全通信聚合平台的空白，其具有安全性高、私有化部署、互联、开放平台技术、易用性高等技</w:t>
      </w:r>
      <w:r>
        <w:rPr>
          <w:spacing w:val="-63"/>
        </w:rPr>
        <w:t> </w:t>
      </w:r>
      <w:r>
        <w:rPr>
          <w:spacing w:val="-63"/>
        </w:rPr>
      </w:r>
      <w:r>
        <w:rPr/>
        <w:t>术特色；通过</w:t>
      </w:r>
      <w:r>
        <w:rPr>
          <w:rFonts w:ascii="宋体" w:hAnsi="宋体" w:cs="宋体" w:eastAsia="宋体" w:hint="default"/>
        </w:rPr>
        <w:t>DDIO</w:t>
      </w:r>
      <w:r>
        <w:rPr/>
        <w:t>接口，信源豆豆通过提供</w:t>
      </w:r>
      <w:r>
        <w:rPr>
          <w:rFonts w:ascii="宋体" w:hAnsi="宋体" w:cs="宋体" w:eastAsia="宋体" w:hint="default"/>
        </w:rPr>
        <w:t>SDK</w:t>
      </w:r>
      <w:r>
        <w:rPr/>
        <w:t>开发包的方式，使网络应用快速具备安全即时通信功能；同时还能够以</w:t>
      </w:r>
      <w:r>
        <w:rPr>
          <w:rFonts w:ascii="宋体" w:hAnsi="宋体" w:cs="宋体" w:eastAsia="宋体" w:hint="default"/>
        </w:rPr>
        <w:t>H5</w:t>
      </w:r>
      <w:r>
        <w:rPr/>
        <w:t>的</w:t>
      </w:r>
      <w:r>
        <w:rPr>
          <w:spacing w:val="-85"/>
        </w:rPr>
        <w:t> </w:t>
      </w:r>
      <w:r>
        <w:rPr/>
        <w:t>方式支持网络应用在</w:t>
      </w:r>
      <w:r>
        <w:rPr>
          <w:rFonts w:ascii="宋体" w:hAnsi="宋体" w:cs="宋体" w:eastAsia="宋体" w:hint="default"/>
        </w:rPr>
        <w:t>Linkdood</w:t>
      </w:r>
      <w:r>
        <w:rPr/>
        <w:t>平台上的聚合，实现统一入口和数据分享。</w:t>
      </w:r>
    </w:p>
    <w:p>
      <w:pPr>
        <w:pStyle w:val="BodyText"/>
        <w:spacing w:line="477" w:lineRule="auto" w:before="95"/>
        <w:ind w:right="94" w:firstLine="360"/>
        <w:jc w:val="left"/>
      </w:pPr>
      <w:r>
        <w:rPr>
          <w:spacing w:val="-2"/>
        </w:rPr>
        <w:t>信源豆豆</w:t>
      </w:r>
      <w:r>
        <w:rPr>
          <w:rFonts w:ascii="宋体" w:hAnsi="宋体" w:cs="宋体" w:eastAsia="宋体" w:hint="default"/>
          <w:spacing w:val="-2"/>
        </w:rPr>
        <w:t>Linkdood</w:t>
      </w:r>
      <w:r>
        <w:rPr>
          <w:spacing w:val="-2"/>
        </w:rPr>
        <w:t>丰富的客户类型包括小团体和相关衍生平台用户、中小型客户、大型客户与特殊行业客户，针对不同</w:t>
      </w:r>
      <w:r>
        <w:rPr/>
        <w:t> </w:t>
      </w:r>
      <w:r>
        <w:rPr>
          <w:spacing w:val="-2"/>
        </w:rPr>
        <w:t>客户的需求和应用模式，信源豆豆给出了完善的解决方案，其拥有安全架构体系、全流程符合加密标准、客户的特殊账号体</w:t>
      </w:r>
      <w:r>
        <w:rPr>
          <w:spacing w:val="-65"/>
        </w:rPr>
        <w:t> </w:t>
      </w:r>
      <w:r>
        <w:rPr>
          <w:spacing w:val="-65"/>
        </w:rPr>
      </w:r>
      <w:r>
        <w:rPr/>
        <w:t>系和针对特殊行业客户的专门网络、设备进行软件定制开发，受到了客户的一致好评。目前信源豆豆已应用于北京网信办、 </w:t>
      </w:r>
      <w:r>
        <w:rPr>
          <w:spacing w:val="-2"/>
        </w:rPr>
        <w:t>中国地质科学院地质科学数据网络建设中心、中国人民银行清算总中心、华夏银行股份有限公司、湖北省财政厅等客户，同</w:t>
      </w:r>
      <w:r>
        <w:rPr>
          <w:spacing w:val="-64"/>
        </w:rPr>
        <w:t> </w:t>
      </w:r>
      <w:r>
        <w:rPr>
          <w:spacing w:val="-64"/>
        </w:rPr>
      </w:r>
      <w:r>
        <w:rPr>
          <w:spacing w:val="-2"/>
        </w:rPr>
        <w:t>时在公安、军工、军队等特殊行业客户中进行了示范性部署，融入了国内安全可信等技术理念，满足特殊行业客户的要求和</w:t>
      </w:r>
      <w:r>
        <w:rPr>
          <w:spacing w:val="-63"/>
        </w:rPr>
        <w:t> </w:t>
      </w:r>
      <w:r>
        <w:rPr>
          <w:spacing w:val="-63"/>
        </w:rPr>
      </w:r>
      <w:r>
        <w:rPr/>
        <w:t>应用，</w:t>
      </w:r>
      <w:r>
        <w:rPr>
          <w:rFonts w:ascii="宋体" w:hAnsi="宋体" w:cs="宋体" w:eastAsia="宋体" w:hint="default"/>
        </w:rPr>
        <w:t>2017</w:t>
      </w:r>
      <w:r>
        <w:rPr/>
        <w:t>年信源豆豆实现销售收入</w:t>
      </w:r>
      <w:r>
        <w:rPr>
          <w:rFonts w:ascii="宋体" w:hAnsi="宋体" w:cs="宋体" w:eastAsia="宋体" w:hint="default"/>
        </w:rPr>
        <w:t>2,489.38</w:t>
      </w:r>
      <w:r>
        <w:rPr/>
        <w:t>万元。</w:t>
      </w:r>
    </w:p>
    <w:p>
      <w:pPr>
        <w:pStyle w:val="BodyText"/>
        <w:spacing w:line="240" w:lineRule="auto" w:before="92"/>
        <w:ind w:left="515" w:right="94"/>
        <w:jc w:val="left"/>
      </w:pPr>
      <w:r>
        <w:rPr/>
        <w:t>未来信源豆豆会在已有的产品和市场优势的基础上，积极拓展行业用户和互联网市场，以期有更好的市场回报。</w:t>
      </w:r>
    </w:p>
    <w:p>
      <w:pPr>
        <w:spacing w:line="240" w:lineRule="auto" w:before="7"/>
        <w:rPr>
          <w:rFonts w:ascii="宋体" w:hAnsi="宋体" w:cs="宋体" w:eastAsia="宋体" w:hint="default"/>
          <w:sz w:val="16"/>
          <w:szCs w:val="16"/>
        </w:rPr>
      </w:pPr>
    </w:p>
    <w:p>
      <w:pPr>
        <w:pStyle w:val="BodyText"/>
        <w:spacing w:line="403" w:lineRule="auto"/>
        <w:ind w:left="551" w:right="235" w:hanging="128"/>
        <w:jc w:val="left"/>
      </w:pPr>
      <w:r>
        <w:rPr>
          <w:rFonts w:ascii="Microsoft JhengHei" w:hAnsi="Microsoft JhengHei" w:cs="Microsoft JhengHei" w:eastAsia="Microsoft JhengHei" w:hint="default"/>
          <w:b/>
          <w:bCs/>
        </w:rPr>
        <w:t>（三）经营模式</w:t>
      </w:r>
      <w:r>
        <w:rPr>
          <w:rFonts w:ascii="Microsoft JhengHei" w:hAnsi="Microsoft JhengHei" w:cs="Microsoft JhengHei" w:eastAsia="Microsoft JhengHei" w:hint="default"/>
          <w:b/>
          <w:bCs/>
          <w:spacing w:val="-41"/>
        </w:rPr>
        <w:t> </w:t>
      </w:r>
      <w:r>
        <w:rPr>
          <w:rFonts w:ascii="Microsoft JhengHei" w:hAnsi="Microsoft JhengHei" w:cs="Microsoft JhengHei" w:eastAsia="Microsoft JhengHei" w:hint="default"/>
          <w:b/>
          <w:bCs/>
          <w:spacing w:val="-41"/>
        </w:rPr>
      </w:r>
      <w:r>
        <w:rPr/>
        <w:t>报告期内，公司采取“重技术研发、重营销服务”经营模式，集中管控、专业经营、精细管理，有力地推动了公司业</w:t>
      </w:r>
    </w:p>
    <w:p>
      <w:pPr>
        <w:pStyle w:val="BodyText"/>
        <w:spacing w:line="477" w:lineRule="auto" w:before="110"/>
        <w:ind w:right="191"/>
        <w:jc w:val="both"/>
      </w:pPr>
      <w:r>
        <w:rPr>
          <w:spacing w:val="-2"/>
        </w:rPr>
        <w:t>务提升和管理优化。随着财务、采购、销售的集中管理和各项规范流程的完善和执行、信息化管理平台的搭建以及管理工作</w:t>
      </w:r>
      <w:r>
        <w:rPr>
          <w:spacing w:val="-64"/>
        </w:rPr>
        <w:t> </w:t>
      </w:r>
      <w:r>
        <w:rPr>
          <w:spacing w:val="-64"/>
        </w:rPr>
      </w:r>
      <w:r>
        <w:rPr>
          <w:spacing w:val="-2"/>
        </w:rPr>
        <w:t>的推进，进一步理顺了管理机制，夯实了管理基础，提升了管理运营效率；公司进一步优化了管理团队，使公司的规范化经</w:t>
      </w:r>
    </w:p>
    <w:p>
      <w:pPr>
        <w:spacing w:after="0" w:line="477" w:lineRule="auto"/>
        <w:jc w:val="both"/>
        <w:sectPr>
          <w:pgSz w:w="11910" w:h="16840"/>
          <w:pgMar w:header="745" w:footer="1133" w:top="1060" w:bottom="132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94"/>
        <w:jc w:val="left"/>
      </w:pPr>
      <w:r>
        <w:rPr/>
        <w:t>营水平又迈上了一个新的台阶。</w:t>
      </w:r>
    </w:p>
    <w:p>
      <w:pPr>
        <w:spacing w:line="240" w:lineRule="auto" w:before="5"/>
        <w:rPr>
          <w:rFonts w:ascii="宋体" w:hAnsi="宋体" w:cs="宋体" w:eastAsia="宋体" w:hint="default"/>
          <w:sz w:val="13"/>
          <w:szCs w:val="13"/>
        </w:rPr>
      </w:pPr>
    </w:p>
    <w:p>
      <w:pPr>
        <w:spacing w:line="340" w:lineRule="auto" w:before="0"/>
        <w:ind w:left="515" w:right="5854" w:hanging="9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（四）主要业绩驱动因素</w:t>
      </w:r>
      <w:r>
        <w:rPr>
          <w:rFonts w:ascii="Microsoft JhengHei" w:hAnsi="Microsoft JhengHei" w:cs="Microsoft JhengHei" w:eastAsia="Microsoft JhengHei" w:hint="default"/>
          <w:b/>
          <w:bCs/>
          <w:spacing w:val="-40"/>
          <w:sz w:val="18"/>
          <w:szCs w:val="18"/>
        </w:rPr>
        <w:t> </w:t>
      </w:r>
      <w:r>
        <w:rPr>
          <w:rFonts w:ascii="Microsoft JhengHei" w:hAnsi="Microsoft JhengHei" w:cs="Microsoft JhengHei" w:eastAsia="Microsoft JhengHei" w:hint="default"/>
          <w:b/>
          <w:bCs/>
          <w:spacing w:val="-40"/>
          <w:sz w:val="18"/>
          <w:szCs w:val="18"/>
        </w:rPr>
      </w:r>
      <w:r>
        <w:rPr>
          <w:rFonts w:ascii="宋体" w:hAnsi="宋体" w:cs="宋体" w:eastAsia="宋体" w:hint="default"/>
          <w:sz w:val="18"/>
          <w:szCs w:val="18"/>
        </w:rPr>
        <w:t>报告期内，主要驱动业绩因素如下： </w:t>
      </w: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行业发展推动因素</w:t>
      </w:r>
      <w:r>
        <w:rPr>
          <w:rFonts w:ascii="Microsoft JhengHei" w:hAnsi="Microsoft JhengHei" w:cs="Microsoft JhengHei" w:eastAsia="Microsoft JhengHei" w:hint="default"/>
          <w:sz w:val="18"/>
          <w:szCs w:val="18"/>
        </w:rPr>
      </w:r>
    </w:p>
    <w:p>
      <w:pPr>
        <w:pStyle w:val="BodyText"/>
        <w:spacing w:line="477" w:lineRule="auto" w:before="111"/>
        <w:ind w:right="111" w:firstLine="360"/>
        <w:jc w:val="both"/>
      </w:pPr>
      <w:r>
        <w:rPr>
          <w:spacing w:val="-2"/>
        </w:rPr>
        <w:t>信息安全已上升至国家战略高度，随着《网络安全法》等一系列政策文件的颁布，说明我国对网络安全问题的重视已上</w:t>
      </w:r>
      <w:r>
        <w:rPr/>
        <w:t> </w:t>
      </w:r>
      <w:r>
        <w:rPr>
          <w:spacing w:val="-2"/>
        </w:rPr>
        <w:t>升至国家层面，并成为重要的国家战略。与此同时，多个重要的政策和文件还提出，在网络安全领域，要加快安全可信网络</w:t>
      </w:r>
      <w:r>
        <w:rPr>
          <w:spacing w:val="-66"/>
        </w:rPr>
        <w:t> </w:t>
      </w:r>
      <w:r>
        <w:rPr>
          <w:spacing w:val="-66"/>
        </w:rPr>
      </w:r>
      <w:r>
        <w:rPr>
          <w:spacing w:val="-2"/>
        </w:rPr>
        <w:t>产品的推广应用，这意味着我国在网络安全领域正向自主可控的大方向努力。通过使用安全可信的网络产品，大数据、物联</w:t>
      </w:r>
      <w:r>
        <w:rPr>
          <w:spacing w:val="-64"/>
        </w:rPr>
        <w:t> </w:t>
      </w:r>
      <w:r>
        <w:rPr>
          <w:spacing w:val="-64"/>
        </w:rPr>
      </w:r>
      <w:r>
        <w:rPr>
          <w:spacing w:val="-2"/>
        </w:rPr>
        <w:t>网、人工智能等各类重要的信息技术和应用，都将得到可靠的安全保护，为我国未来的网络安全环境的建设奠定基础。更为</w:t>
      </w:r>
      <w:r>
        <w:rPr>
          <w:spacing w:val="-64"/>
        </w:rPr>
        <w:t> </w:t>
      </w:r>
      <w:r>
        <w:rPr>
          <w:spacing w:val="-64"/>
        </w:rPr>
      </w:r>
      <w:r>
        <w:rPr/>
        <w:t>重要的是，应用安全可信的网络产品还能确保我国大量经济基础设施和重大项目的安全。网络安全的应用市场将越发广阔。</w:t>
      </w:r>
    </w:p>
    <w:p>
      <w:pPr>
        <w:pStyle w:val="BodyText"/>
        <w:spacing w:line="477" w:lineRule="auto" w:before="54"/>
        <w:ind w:right="190" w:firstLine="360"/>
        <w:jc w:val="both"/>
      </w:pPr>
      <w:r>
        <w:rPr>
          <w:spacing w:val="-2"/>
        </w:rPr>
        <w:t>十九大报告提出“推动互联网、大数据、人工智能和实体经济深度融合”。在此“新常态”形势下，公司积极践行大数</w:t>
      </w:r>
      <w:r>
        <w:rPr/>
        <w:t> </w:t>
      </w:r>
      <w:r>
        <w:rPr>
          <w:spacing w:val="-2"/>
        </w:rPr>
        <w:t>据发展战略，建立符合公司发展需要的数据驱动管理模式，提升整体运营效率，并为企业经营决策提供有力的数据支持和保</w:t>
      </w:r>
      <w:r>
        <w:rPr>
          <w:spacing w:val="-63"/>
        </w:rPr>
        <w:t> </w:t>
      </w:r>
      <w:r>
        <w:rPr>
          <w:spacing w:val="-63"/>
        </w:rPr>
      </w:r>
      <w:r>
        <w:rPr/>
        <w:t>障。</w:t>
      </w:r>
    </w:p>
    <w:p>
      <w:pPr>
        <w:pStyle w:val="BodyText"/>
        <w:spacing w:line="477" w:lineRule="auto" w:before="54"/>
        <w:ind w:right="198" w:firstLine="360"/>
        <w:jc w:val="both"/>
      </w:pPr>
      <w:r>
        <w:rPr/>
        <w:t>实施“互联网</w:t>
      </w:r>
      <w:r>
        <w:rPr>
          <w:rFonts w:ascii="宋体" w:hAnsi="宋体" w:cs="宋体" w:eastAsia="宋体" w:hint="default"/>
        </w:rPr>
        <w:t>+</w:t>
      </w:r>
      <w:r>
        <w:rPr/>
        <w:t>”，“互联网</w:t>
      </w:r>
      <w:r>
        <w:rPr>
          <w:rFonts w:ascii="宋体" w:hAnsi="宋体" w:cs="宋体" w:eastAsia="宋体" w:hint="default"/>
        </w:rPr>
        <w:t>+</w:t>
      </w:r>
      <w:r>
        <w:rPr/>
        <w:t>”战略对于移动互联产品产生积极影响。在“互联网</w:t>
      </w:r>
      <w:r>
        <w:rPr>
          <w:rFonts w:ascii="宋体" w:hAnsi="宋体" w:cs="宋体" w:eastAsia="宋体" w:hint="default"/>
        </w:rPr>
        <w:t>+</w:t>
      </w:r>
      <w:r>
        <w:rPr/>
        <w:t>”国家行动计划的背景下，传统企 业拥抱“互联网</w:t>
      </w:r>
      <w:r>
        <w:rPr>
          <w:rFonts w:ascii="宋体" w:hAnsi="宋体" w:cs="宋体" w:eastAsia="宋体" w:hint="default"/>
        </w:rPr>
        <w:t>+</w:t>
      </w:r>
      <w:r>
        <w:rPr/>
        <w:t>”进行信息化再造，投资基于移动化、社交化和大数据的创新应用，企业互联网营销、</w:t>
      </w:r>
      <w:r>
        <w:rPr>
          <w:rFonts w:ascii="宋体" w:hAnsi="宋体" w:cs="宋体" w:eastAsia="宋体" w:hint="default"/>
        </w:rPr>
        <w:t>SaaS</w:t>
      </w:r>
      <w:r>
        <w:rPr/>
        <w:t>和云服务也获 得更广阔的市场空间。</w:t>
      </w:r>
    </w:p>
    <w:p>
      <w:pPr>
        <w:pStyle w:val="BodyText"/>
        <w:spacing w:line="477" w:lineRule="auto" w:before="95"/>
        <w:ind w:right="190" w:firstLine="360"/>
        <w:jc w:val="both"/>
      </w:pPr>
      <w:r>
        <w:rPr>
          <w:spacing w:val="-2"/>
        </w:rPr>
        <w:t>公司根据年初总体战略和年度经营计划，在不断加大研发投入的基础上，通过自主创新与技术引进相组合，在终端安全</w:t>
      </w:r>
      <w:r>
        <w:rPr/>
        <w:t> </w:t>
      </w:r>
      <w:r>
        <w:rPr>
          <w:spacing w:val="-2"/>
        </w:rPr>
        <w:t>管理、数据防泄漏、网络准入控制、终端大数据分析、平台化的安全即时通信、云安全管理平台等方向取得了显著的科技优</w:t>
      </w:r>
      <w:r>
        <w:rPr>
          <w:spacing w:val="-67"/>
        </w:rPr>
        <w:t> </w:t>
      </w:r>
      <w:r>
        <w:rPr>
          <w:spacing w:val="-67"/>
        </w:rPr>
      </w:r>
      <w:r>
        <w:rPr>
          <w:spacing w:val="-2"/>
        </w:rPr>
        <w:t>势，发布了系列创新性的产品。同时，以满足用户需求为引领，通过向用户提供定制化的安全解决方案，为用户提供一流的</w:t>
      </w:r>
      <w:r>
        <w:rPr>
          <w:spacing w:val="-67"/>
        </w:rPr>
        <w:t> </w:t>
      </w:r>
      <w:r>
        <w:rPr>
          <w:spacing w:val="-67"/>
        </w:rPr>
      </w:r>
      <w:r>
        <w:rPr>
          <w:spacing w:val="-2"/>
        </w:rPr>
        <w:t>产品和服务。公司立足自身终端安全管理技术和数据资源优势，积极巩固和拓展政府、军队、军工、金融行业和大企业客户</w:t>
      </w:r>
      <w:r>
        <w:rPr>
          <w:spacing w:val="-66"/>
        </w:rPr>
        <w:t> </w:t>
      </w:r>
      <w:r>
        <w:rPr>
          <w:spacing w:val="-66"/>
        </w:rPr>
      </w:r>
      <w:r>
        <w:rPr/>
        <w:t>重点市场，布局大数据服务、移动互联网等新型业务，持续加强技术研发、提高市场竞争力、推行行业应用落地。</w:t>
      </w:r>
    </w:p>
    <w:p>
      <w:pPr>
        <w:spacing w:line="434" w:lineRule="auto" w:before="35"/>
        <w:ind w:left="513" w:right="9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Microsoft JhengHei" w:hAnsi="Microsoft JhengHei" w:cs="Microsoft JhengHei" w:eastAsia="Microsoft JhengHei" w:hint="default"/>
          <w:b/>
          <w:bCs/>
          <w:sz w:val="18"/>
          <w:szCs w:val="18"/>
        </w:rPr>
        <w:t>研发持续投入，技术不断创新</w:t>
      </w:r>
      <w:r>
        <w:rPr>
          <w:rFonts w:ascii="Microsoft JhengHei" w:hAnsi="Microsoft JhengHei" w:cs="Microsoft JhengHei" w:eastAsia="Microsoft JhengHei" w:hint="default"/>
          <w:b/>
          <w:bCs/>
          <w:spacing w:val="7"/>
          <w:sz w:val="18"/>
          <w:szCs w:val="18"/>
        </w:rPr>
        <w:t> </w:t>
      </w:r>
      <w:r>
        <w:rPr>
          <w:rFonts w:ascii="Microsoft JhengHei" w:hAnsi="Microsoft JhengHei" w:cs="Microsoft JhengHei" w:eastAsia="Microsoft JhengHei" w:hint="default"/>
          <w:b/>
          <w:bCs/>
          <w:spacing w:val="7"/>
          <w:sz w:val="18"/>
          <w:szCs w:val="18"/>
        </w:rPr>
      </w:r>
      <w:r>
        <w:rPr>
          <w:rFonts w:ascii="宋体" w:hAnsi="宋体" w:cs="宋体" w:eastAsia="宋体" w:hint="default"/>
          <w:spacing w:val="-2"/>
          <w:sz w:val="18"/>
          <w:szCs w:val="18"/>
        </w:rPr>
        <w:t>公司自成立以来，将研发和创新视为企业发展的源动力一直注重技术研发工作，不断加大研发投入力度，不断夯实公司</w:t>
      </w:r>
    </w:p>
    <w:p>
      <w:pPr>
        <w:pStyle w:val="BodyText"/>
        <w:spacing w:line="477" w:lineRule="auto" w:before="86"/>
        <w:ind w:right="94"/>
        <w:jc w:val="left"/>
      </w:pPr>
      <w:r>
        <w:rPr>
          <w:spacing w:val="-2"/>
        </w:rPr>
        <w:t>在行业中的高壁垒，使得在行业中更具竞争力。经过多年的研发累积，公司在信息安全、大数据、互联网等方面具有国内领</w:t>
      </w:r>
      <w:r>
        <w:rPr>
          <w:spacing w:val="-67"/>
        </w:rPr>
        <w:t> </w:t>
      </w:r>
      <w:r>
        <w:rPr>
          <w:spacing w:val="-67"/>
        </w:rPr>
      </w:r>
      <w:r>
        <w:rPr>
          <w:spacing w:val="-2"/>
        </w:rPr>
        <w:t>先的自主研发核心技术，在终端管理、数据防泄漏、终端大数据分析、平台化的安全即时通讯、云安全管理平台、互联网舆</w:t>
      </w:r>
      <w:r>
        <w:rPr>
          <w:spacing w:val="-68"/>
        </w:rPr>
        <w:t> </w:t>
      </w:r>
      <w:r>
        <w:rPr>
          <w:spacing w:val="-68"/>
        </w:rPr>
      </w:r>
      <w:r>
        <w:rPr/>
        <w:t>情分析等方向具有先进成熟的产品线，产品和行业应用解决方案都有较多的成果积累，同时，公司以满足用户需求为引领， 紧贴客户需求，为用户提供一流的产品和服务。</w:t>
      </w:r>
    </w:p>
    <w:p>
      <w:pPr>
        <w:spacing w:line="403" w:lineRule="auto" w:before="37"/>
        <w:ind w:left="513" w:right="94" w:firstLine="2"/>
        <w:jc w:val="left"/>
        <w:rPr>
          <w:rFonts w:ascii="宋体" w:hAnsi="宋体" w:cs="宋体" w:eastAsia="宋体" w:hint="default"/>
          <w:sz w:val="18"/>
          <w:szCs w:val="18"/>
        </w:rPr>
      </w:pPr>
      <w:r>
        <w:rPr>
          <w:rFonts w:ascii="Times New Roman" w:hAnsi="Times New Roman" w:cs="Times New Roman" w:eastAsia="Times New Roman" w:hint="default"/>
          <w:b/>
          <w:bCs/>
          <w:w w:val="120"/>
          <w:sz w:val="18"/>
          <w:szCs w:val="18"/>
        </w:rPr>
        <w:t>3.</w:t>
      </w:r>
      <w:r>
        <w:rPr>
          <w:rFonts w:ascii="Times New Roman" w:hAnsi="Times New Roman" w:cs="Times New Roman" w:eastAsia="Times New Roman" w:hint="default"/>
          <w:b/>
          <w:bCs/>
          <w:spacing w:val="34"/>
          <w:w w:val="120"/>
          <w:sz w:val="18"/>
          <w:szCs w:val="18"/>
        </w:rPr>
        <w:t> </w:t>
      </w:r>
      <w:r>
        <w:rPr>
          <w:rFonts w:ascii="Microsoft JhengHei" w:hAnsi="Microsoft JhengHei" w:cs="Microsoft JhengHei" w:eastAsia="Microsoft JhengHei" w:hint="default"/>
          <w:b/>
          <w:bCs/>
          <w:w w:val="110"/>
          <w:sz w:val="18"/>
          <w:szCs w:val="18"/>
        </w:rPr>
        <w:t>不断加大市场拓展力度</w:t>
      </w:r>
      <w:r>
        <w:rPr>
          <w:rFonts w:ascii="Microsoft JhengHei" w:hAnsi="Microsoft JhengHei" w:cs="Microsoft JhengHei" w:eastAsia="Microsoft JhengHei" w:hint="default"/>
          <w:b/>
          <w:bCs/>
          <w:sz w:val="18"/>
          <w:szCs w:val="18"/>
        </w:rPr>
        <w:t> </w:t>
      </w:r>
      <w:r>
        <w:rPr>
          <w:rFonts w:ascii="宋体" w:hAnsi="宋体" w:cs="宋体" w:eastAsia="宋体" w:hint="default"/>
          <w:spacing w:val="-2"/>
          <w:sz w:val="18"/>
          <w:szCs w:val="18"/>
        </w:rPr>
        <w:t>公司不断强化市场工作，加强专业化推广、提高产品策划和推广水平，提高品牌和产品的知名度；同时顺应政策调整营</w:t>
      </w:r>
    </w:p>
    <w:p>
      <w:pPr>
        <w:pStyle w:val="BodyText"/>
        <w:spacing w:line="240" w:lineRule="auto" w:before="110"/>
        <w:ind w:right="0"/>
        <w:jc w:val="left"/>
      </w:pPr>
      <w:r>
        <w:rPr/>
        <w:t>销模式加强自营队伍发展，精细化管理、强化计划执行落地，坚持合规发展、加强风险控制，实现提升产品盈利能力、稳步</w:t>
      </w:r>
    </w:p>
    <w:p>
      <w:pPr>
        <w:spacing w:line="240" w:lineRule="auto" w:before="10"/>
        <w:rPr>
          <w:rFonts w:ascii="宋体" w:hAnsi="宋体" w:cs="宋体" w:eastAsia="宋体" w:hint="default"/>
          <w:sz w:val="17"/>
          <w:szCs w:val="17"/>
        </w:rPr>
      </w:pPr>
    </w:p>
    <w:p>
      <w:pPr>
        <w:pStyle w:val="BodyText"/>
        <w:spacing w:line="240" w:lineRule="auto"/>
        <w:ind w:right="94"/>
        <w:jc w:val="left"/>
      </w:pPr>
      <w:r>
        <w:rPr/>
        <w:t>增长市场份额、提升市场覆盖率。</w:t>
      </w:r>
    </w:p>
    <w:p>
      <w:pPr>
        <w:spacing w:after="0" w:line="240" w:lineRule="auto"/>
        <w:jc w:val="left"/>
        <w:sectPr>
          <w:pgSz w:w="11910" w:h="16840"/>
          <w:pgMar w:header="745" w:footer="1133" w:top="1060" w:bottom="1320" w:left="980" w:right="940"/>
        </w:sectPr>
      </w:pPr>
    </w:p>
    <w:p>
      <w:pPr>
        <w:spacing w:line="240" w:lineRule="auto" w:before="10"/>
        <w:rPr>
          <w:rFonts w:ascii="宋体" w:hAnsi="宋体" w:cs="宋体" w:eastAsia="宋体" w:hint="default"/>
          <w:sz w:val="25"/>
          <w:szCs w:val="25"/>
        </w:rPr>
      </w:pPr>
    </w:p>
    <w:p>
      <w:pPr>
        <w:pStyle w:val="Heading4"/>
        <w:spacing w:line="300" w:lineRule="exact"/>
        <w:ind w:right="94"/>
        <w:jc w:val="left"/>
        <w:rPr>
          <w:b w:val="0"/>
          <w:bCs w:val="0"/>
        </w:rPr>
      </w:pPr>
      <w:r>
        <w:rPr/>
        <w:t>（五）公司所属行业发展阶段及公司所处行业地位</w:t>
      </w:r>
      <w:r>
        <w:rPr>
          <w:b w:val="0"/>
          <w:bCs w:val="0"/>
        </w:rPr>
      </w:r>
    </w:p>
    <w:p>
      <w:pPr>
        <w:spacing w:line="240" w:lineRule="auto" w:before="7"/>
        <w:rPr>
          <w:rFonts w:ascii="Microsoft JhengHei" w:hAnsi="Microsoft JhengHei" w:cs="Microsoft JhengHei" w:eastAsia="Microsoft JhengHei" w:hint="default"/>
          <w:b/>
          <w:bCs/>
          <w:sz w:val="22"/>
          <w:szCs w:val="22"/>
        </w:rPr>
      </w:pPr>
    </w:p>
    <w:p>
      <w:pPr>
        <w:pStyle w:val="Heading4"/>
        <w:spacing w:line="240" w:lineRule="auto"/>
        <w:ind w:left="606" w:right="94"/>
        <w:jc w:val="left"/>
        <w:rPr>
          <w:b w:val="0"/>
          <w:bCs w:val="0"/>
        </w:rPr>
      </w:pPr>
      <w:r>
        <w:rPr>
          <w:rFonts w:ascii="Times New Roman" w:hAnsi="Times New Roman" w:cs="Times New Roman" w:eastAsia="Times New Roman" w:hint="default"/>
          <w:w w:val="110"/>
        </w:rPr>
        <w:t>1.</w:t>
      </w:r>
      <w:r>
        <w:rPr>
          <w:w w:val="110"/>
        </w:rPr>
        <w:t>行业发展阶段</w:t>
      </w:r>
      <w:r>
        <w:rPr>
          <w:b w:val="0"/>
          <w:bCs w:val="0"/>
          <w:w w:val="110"/>
        </w:rPr>
      </w:r>
    </w:p>
    <w:p>
      <w:pPr>
        <w:spacing w:line="403" w:lineRule="auto" w:before="154"/>
        <w:ind w:left="453" w:right="94" w:firstLine="64"/>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）信息安全上升至国家战略层面，自主创新推进网络强国建设 </w:t>
      </w:r>
      <w:r>
        <w:rPr>
          <w:rFonts w:ascii="宋体" w:hAnsi="宋体" w:cs="宋体" w:eastAsia="宋体" w:hint="default"/>
          <w:spacing w:val="-1"/>
          <w:sz w:val="18"/>
          <w:szCs w:val="18"/>
        </w:rPr>
        <w:t>“十三五”规划明确提出，要完善国家网络安全保障体系，保障国家信息安全。信息化和网络信息安全已列入了国家发</w:t>
      </w:r>
    </w:p>
    <w:p>
      <w:pPr>
        <w:pStyle w:val="BodyText"/>
        <w:spacing w:line="477" w:lineRule="auto" w:before="110"/>
        <w:ind w:left="513" w:right="94" w:hanging="361"/>
        <w:jc w:val="left"/>
      </w:pPr>
      <w:r>
        <w:rPr/>
        <w:t>展的战略方向之一，信息安全已上升至国家战略层面。 </w:t>
      </w:r>
      <w:r>
        <w:rPr>
          <w:spacing w:val="-2"/>
        </w:rPr>
        <w:t>层出不穷的国内信息安全事件给社会大众带来了严重损失，令信息安全受到社会的广泛关注，同时也引起政府部门的高</w:t>
      </w:r>
    </w:p>
    <w:p>
      <w:pPr>
        <w:pStyle w:val="BodyText"/>
        <w:spacing w:line="477" w:lineRule="auto" w:before="54"/>
        <w:ind w:right="189"/>
        <w:jc w:val="both"/>
      </w:pPr>
      <w:r>
        <w:rPr/>
        <w:t>度重视。</w:t>
      </w:r>
      <w:r>
        <w:rPr>
          <w:rFonts w:ascii="宋体" w:hAnsi="宋体" w:cs="宋体" w:eastAsia="宋体" w:hint="default"/>
        </w:rPr>
        <w:t>2013</w:t>
      </w:r>
      <w:r>
        <w:rPr/>
        <w:t>年</w:t>
      </w:r>
      <w:r>
        <w:rPr>
          <w:rFonts w:ascii="宋体" w:hAnsi="宋体" w:cs="宋体" w:eastAsia="宋体" w:hint="default"/>
        </w:rPr>
        <w:t>11</w:t>
      </w:r>
      <w:r>
        <w:rPr/>
        <w:t>月国家安全委员会成立，在此基础上中央网络安全和信息化领导小组</w:t>
      </w:r>
      <w:r>
        <w:rPr>
          <w:rFonts w:ascii="宋体" w:hAnsi="宋体" w:cs="宋体" w:eastAsia="宋体" w:hint="default"/>
        </w:rPr>
        <w:t>2014</w:t>
      </w:r>
      <w:r>
        <w:rPr/>
        <w:t>年</w:t>
      </w:r>
      <w:r>
        <w:rPr>
          <w:rFonts w:ascii="宋体" w:hAnsi="宋体" w:cs="宋体" w:eastAsia="宋体" w:hint="default"/>
        </w:rPr>
        <w:t>2</w:t>
      </w:r>
      <w:r>
        <w:rPr/>
        <w:t>月成立，负责制定实施国家 网络安全和信息化发展战略。</w:t>
      </w:r>
      <w:r>
        <w:rPr>
          <w:rFonts w:ascii="宋体" w:hAnsi="宋体" w:cs="宋体" w:eastAsia="宋体" w:hint="default"/>
        </w:rPr>
        <w:t>2016</w:t>
      </w:r>
      <w:r>
        <w:rPr/>
        <w:t>年</w:t>
      </w:r>
      <w:r>
        <w:rPr>
          <w:rFonts w:ascii="宋体" w:hAnsi="宋体" w:cs="宋体" w:eastAsia="宋体" w:hint="default"/>
        </w:rPr>
        <w:t>4</w:t>
      </w:r>
      <w:r>
        <w:rPr/>
        <w:t>月，国家领导人在网络安全和信息化工作座谈会上提出，要加快构建关键信息基础设 </w:t>
      </w:r>
      <w:r>
        <w:rPr>
          <w:spacing w:val="-2"/>
        </w:rPr>
        <w:t>施安全保障体系，还在集体学习时指出，要加快推进网络信息技术的自主创新，加快增强网络空间安全防御能力。</w:t>
      </w:r>
      <w:r>
        <w:rPr>
          <w:rFonts w:ascii="宋体" w:hAnsi="宋体" w:cs="宋体" w:eastAsia="宋体" w:hint="default"/>
          <w:spacing w:val="-2"/>
        </w:rPr>
        <w:t>2016</w:t>
      </w:r>
      <w:r>
        <w:rPr>
          <w:spacing w:val="-2"/>
        </w:rPr>
        <w:t>年底</w:t>
      </w:r>
      <w:r>
        <w:rPr>
          <w:spacing w:val="-62"/>
        </w:rPr>
        <w:t> </w:t>
      </w:r>
      <w:r>
        <w:rPr>
          <w:spacing w:val="-2"/>
        </w:rPr>
        <w:t>到</w:t>
      </w:r>
      <w:r>
        <w:rPr>
          <w:rFonts w:ascii="宋体" w:hAnsi="宋体" w:cs="宋体" w:eastAsia="宋体" w:hint="default"/>
          <w:spacing w:val="-2"/>
        </w:rPr>
        <w:t>2017</w:t>
      </w:r>
      <w:r>
        <w:rPr>
          <w:spacing w:val="-2"/>
        </w:rPr>
        <w:t>年，《网络安全法》等多部法令法规出台，和国家互联网信息办公室发布《国家网络空间安全战略》，近期，习近平</w:t>
      </w:r>
      <w:r>
        <w:rPr>
          <w:spacing w:val="-64"/>
        </w:rPr>
        <w:t> </w:t>
      </w:r>
      <w:r>
        <w:rPr>
          <w:spacing w:val="-64"/>
        </w:rPr>
      </w:r>
      <w:r>
        <w:rPr>
          <w:spacing w:val="-2"/>
        </w:rPr>
        <w:t>总书记在全国网络安全和信息化工作会议中指出：“没有网络安全就没有国家安全，就没有经济社会稳定运行，广大人民群</w:t>
      </w:r>
      <w:r>
        <w:rPr>
          <w:spacing w:val="-62"/>
        </w:rPr>
        <w:t> </w:t>
      </w:r>
      <w:r>
        <w:rPr>
          <w:spacing w:val="-62"/>
        </w:rPr>
      </w:r>
      <w:r>
        <w:rPr/>
        <w:t>众利益也难以得到保障”。</w:t>
      </w:r>
    </w:p>
    <w:p>
      <w:pPr>
        <w:pStyle w:val="BodyText"/>
        <w:spacing w:line="477" w:lineRule="auto" w:before="54"/>
        <w:ind w:right="192" w:firstLine="360"/>
        <w:jc w:val="both"/>
      </w:pPr>
      <w:r>
        <w:rPr>
          <w:spacing w:val="-2"/>
        </w:rPr>
        <w:t>随着信息安全立法的完善和信息安全意识的强化，信息安全产品的需求程度也逐渐提升，这为我国的信息安全产业持续</w:t>
      </w:r>
      <w:r>
        <w:rPr/>
        <w:t> 发展奠定了巨大的市场基础，近年我国信息安全产业快速发展，市场规模呈持续增长态势。</w:t>
      </w:r>
    </w:p>
    <w:p>
      <w:pPr>
        <w:pStyle w:val="BodyText"/>
        <w:spacing w:line="477" w:lineRule="auto" w:before="95"/>
        <w:ind w:right="100" w:firstLine="360"/>
        <w:jc w:val="both"/>
      </w:pPr>
      <w:r>
        <w:rPr>
          <w:spacing w:val="-2"/>
        </w:rPr>
        <w:t>自主可控和国家信息安全紧密相关，也是中国信息化产业发展的必经之路，网络空间安全已成为国家安全战略高地，国</w:t>
      </w:r>
      <w:r>
        <w:rPr/>
        <w:t> </w:t>
      </w:r>
      <w:r>
        <w:rPr>
          <w:spacing w:val="-2"/>
        </w:rPr>
        <w:t>家坚定发展自主可控产业，并进行一系列的政策牵引。</w:t>
      </w:r>
      <w:r>
        <w:rPr>
          <w:rFonts w:ascii="宋体" w:hAnsi="宋体" w:cs="宋体" w:eastAsia="宋体" w:hint="default"/>
          <w:spacing w:val="-2"/>
        </w:rPr>
        <w:t>2015</w:t>
      </w:r>
      <w:r>
        <w:rPr>
          <w:spacing w:val="-2"/>
        </w:rPr>
        <w:t>年《中共中央关于制定国民经济和社会发展第十三个五年规划的</w:t>
      </w:r>
      <w:r>
        <w:rPr>
          <w:spacing w:val="-59"/>
        </w:rPr>
        <w:t> </w:t>
      </w:r>
      <w:r>
        <w:rPr>
          <w:spacing w:val="-59"/>
        </w:rPr>
      </w:r>
      <w:r>
        <w:rPr>
          <w:spacing w:val="-2"/>
        </w:rPr>
        <w:t>建议》中提到，要集中支持事关发展全局的基础研究和共性关键技术研究，加快突破新一代信息通信等核心技术。</w:t>
      </w:r>
      <w:r>
        <w:rPr>
          <w:rFonts w:ascii="宋体" w:hAnsi="宋体" w:cs="宋体" w:eastAsia="宋体" w:hint="default"/>
          <w:spacing w:val="-2"/>
        </w:rPr>
        <w:t>2017</w:t>
      </w:r>
      <w:r>
        <w:rPr>
          <w:spacing w:val="-2"/>
        </w:rPr>
        <w:t>年正</w:t>
      </w:r>
      <w:r>
        <w:rPr>
          <w:spacing w:val="-59"/>
        </w:rPr>
        <w:t> </w:t>
      </w:r>
      <w:r>
        <w:rPr>
          <w:spacing w:val="-2"/>
        </w:rPr>
        <w:t>式执行的《网络安全法》提出“推广安全可信的网络产品和服务，保护网络技术知识产权，支持企业、研究机构和高等学校</w:t>
      </w:r>
      <w:r>
        <w:rPr>
          <w:spacing w:val="-67"/>
        </w:rPr>
        <w:t> </w:t>
      </w:r>
      <w:r>
        <w:rPr>
          <w:spacing w:val="-67"/>
        </w:rPr>
      </w:r>
      <w:r>
        <w:rPr>
          <w:spacing w:val="-4"/>
        </w:rPr>
        <w:t>等参与国家网络安全技术创新项目。”“实现网络和信息核心技术、关键基础设施和重要领域信息系统及数据的安全可控”。</w:t>
      </w:r>
    </w:p>
    <w:p>
      <w:pPr>
        <w:pStyle w:val="BodyText"/>
        <w:spacing w:line="477" w:lineRule="auto" w:before="92"/>
        <w:ind w:right="111" w:firstLine="360"/>
        <w:jc w:val="both"/>
      </w:pPr>
      <w:r>
        <w:rPr/>
        <w:t>习近平总书记也指出：“核心技术是国之重器。要下定决心、保持恒心、找准重心，加速推动信息领域核心技术突破。 要抓产业体系建设，在技术、产业、政策上共同发力”。</w:t>
      </w:r>
    </w:p>
    <w:p>
      <w:pPr>
        <w:pStyle w:val="BodyText"/>
        <w:spacing w:line="477" w:lineRule="auto" w:before="95"/>
        <w:ind w:right="188" w:firstLine="360"/>
        <w:jc w:val="both"/>
      </w:pPr>
      <w:r>
        <w:rPr>
          <w:spacing w:val="-2"/>
        </w:rPr>
        <w:t>公司作为信息安全产业领军企业之一，在网络安全上升为国家战略的形势下，以创新驱动发展，全面掌握核心技术跟随</w:t>
      </w:r>
      <w:r>
        <w:rPr/>
        <w:t> 建设网络强国的国家战略，打造安全的自主可控生态体系。</w:t>
      </w:r>
    </w:p>
    <w:p>
      <w:pPr>
        <w:spacing w:line="403" w:lineRule="auto" w:before="37"/>
        <w:ind w:left="513" w:right="94" w:hanging="60"/>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2</w:t>
      </w:r>
      <w:r>
        <w:rPr>
          <w:rFonts w:ascii="Microsoft JhengHei" w:hAnsi="Microsoft JhengHei" w:cs="Microsoft JhengHei" w:eastAsia="Microsoft JhengHei" w:hint="default"/>
          <w:b/>
          <w:bCs/>
          <w:sz w:val="18"/>
          <w:szCs w:val="18"/>
        </w:rPr>
        <w:t>）大数据技术引领作用进一步凸显</w:t>
      </w:r>
      <w:r>
        <w:rPr>
          <w:rFonts w:ascii="Microsoft JhengHei" w:hAnsi="Microsoft JhengHei" w:cs="Microsoft JhengHei" w:eastAsia="Microsoft JhengHei" w:hint="default"/>
          <w:b/>
          <w:bCs/>
          <w:spacing w:val="-35"/>
          <w:sz w:val="18"/>
          <w:szCs w:val="18"/>
        </w:rPr>
        <w:t> </w:t>
      </w:r>
      <w:r>
        <w:rPr>
          <w:rFonts w:ascii="Microsoft JhengHei" w:hAnsi="Microsoft JhengHei" w:cs="Microsoft JhengHei" w:eastAsia="Microsoft JhengHei" w:hint="default"/>
          <w:b/>
          <w:bCs/>
          <w:spacing w:val="-35"/>
          <w:sz w:val="18"/>
          <w:szCs w:val="18"/>
        </w:rPr>
      </w:r>
      <w:r>
        <w:rPr>
          <w:rFonts w:ascii="宋体" w:hAnsi="宋体" w:cs="宋体" w:eastAsia="宋体" w:hint="default"/>
          <w:spacing w:val="-2"/>
          <w:sz w:val="18"/>
          <w:szCs w:val="18"/>
        </w:rPr>
        <w:t>随着信息化和网络化的发展，数据爆炸式增长，大数据时代已经到来。大数据被誉为是“21世纪的钻石矿”，是国家基</w:t>
      </w:r>
    </w:p>
    <w:p>
      <w:pPr>
        <w:pStyle w:val="BodyText"/>
        <w:spacing w:line="477" w:lineRule="auto" w:before="110"/>
        <w:ind w:left="515" w:right="181" w:hanging="363"/>
        <w:jc w:val="left"/>
      </w:pPr>
      <w:r>
        <w:rPr/>
        <w:t>础性战略资源，正日益对经济运行机制、社会生活方式及各领域的生产、流通、分配、消费活动产生重要影响。 </w:t>
      </w:r>
      <w:r>
        <w:rPr>
          <w:rFonts w:ascii="宋体" w:hAnsi="宋体" w:cs="宋体" w:eastAsia="宋体" w:hint="default"/>
        </w:rPr>
        <w:t>2015</w:t>
      </w:r>
      <w:r>
        <w:rPr/>
        <w:t>年</w:t>
      </w:r>
      <w:r>
        <w:rPr>
          <w:rFonts w:ascii="宋体" w:hAnsi="宋体" w:cs="宋体" w:eastAsia="宋体" w:hint="default"/>
        </w:rPr>
        <w:t>8</w:t>
      </w:r>
      <w:r>
        <w:rPr/>
        <w:t>月，国务院发布《促进大数据发展行动纲要》，要求“完善法规制度和标准体系”，并“推进大数据产业标准</w:t>
      </w:r>
    </w:p>
    <w:p>
      <w:pPr>
        <w:pStyle w:val="BodyText"/>
        <w:spacing w:line="477" w:lineRule="auto" w:before="54"/>
        <w:ind w:right="193"/>
        <w:jc w:val="both"/>
      </w:pPr>
      <w:r>
        <w:rPr>
          <w:spacing w:val="-2"/>
        </w:rPr>
        <w:t>体系建设”，全面阐述我国发展大数据产业的意义、目标、任务、政策，将大数据产业提升为国家战略，为大数据发展提供</w:t>
      </w:r>
      <w:r>
        <w:rPr>
          <w:spacing w:val="-69"/>
        </w:rPr>
        <w:t> </w:t>
      </w:r>
      <w:r>
        <w:rPr>
          <w:spacing w:val="-69"/>
        </w:rPr>
      </w:r>
      <w:r>
        <w:rPr>
          <w:spacing w:val="-2"/>
        </w:rPr>
        <w:t>了良好条件。</w:t>
      </w:r>
      <w:r>
        <w:rPr>
          <w:rFonts w:ascii="宋体" w:hAnsi="宋体" w:cs="宋体" w:eastAsia="宋体" w:hint="default"/>
          <w:spacing w:val="-2"/>
        </w:rPr>
        <w:t>2016</w:t>
      </w:r>
      <w:r>
        <w:rPr>
          <w:spacing w:val="-2"/>
        </w:rPr>
        <w:t>年</w:t>
      </w:r>
      <w:r>
        <w:rPr>
          <w:rFonts w:ascii="宋体" w:hAnsi="宋体" w:cs="宋体" w:eastAsia="宋体" w:hint="default"/>
          <w:spacing w:val="-2"/>
        </w:rPr>
        <w:t>11</w:t>
      </w:r>
      <w:r>
        <w:rPr>
          <w:spacing w:val="-2"/>
        </w:rPr>
        <w:t>月，第十二届人民代表大会常务委员会通过的《中华人民共和国网络安全法》中，鼓励开发网络数据</w:t>
      </w:r>
    </w:p>
    <w:p>
      <w:pPr>
        <w:spacing w:after="0" w:line="477" w:lineRule="auto"/>
        <w:jc w:val="both"/>
        <w:sectPr>
          <w:footerReference w:type="default" r:id="rId12"/>
          <w:pgSz w:w="11910" w:h="16840"/>
          <w:pgMar w:footer="1133" w:header="745" w:top="1060" w:bottom="1320" w:left="980" w:right="940"/>
          <w:pgNumType w:start="13"/>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92"/>
        <w:jc w:val="both"/>
      </w:pPr>
      <w:r>
        <w:rPr>
          <w:spacing w:val="-2"/>
        </w:rPr>
        <w:t>安全保护和利用技术。</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月，国家互联网信息办公室发布《国家网络空间安全战略》，并在夯实网络安全基础的战略</w:t>
      </w:r>
      <w:r>
        <w:rPr>
          <w:spacing w:val="-61"/>
        </w:rPr>
        <w:t> </w:t>
      </w:r>
      <w:r>
        <w:rPr>
          <w:spacing w:val="-61"/>
        </w:rPr>
      </w:r>
      <w:r>
        <w:rPr>
          <w:spacing w:val="-2"/>
        </w:rPr>
        <w:t>任务中，提出实施国家大数据战略、建立大数据安全管理制度、支持大数据信息技术创新和应用要求。</w:t>
      </w:r>
      <w:r>
        <w:rPr>
          <w:rFonts w:ascii="宋体" w:hAnsi="宋体" w:cs="宋体" w:eastAsia="宋体" w:hint="default"/>
          <w:spacing w:val="-2"/>
        </w:rPr>
        <w:t>2017</w:t>
      </w:r>
      <w:r>
        <w:rPr>
          <w:spacing w:val="-2"/>
        </w:rPr>
        <w:t>年发布了《大数</w:t>
      </w:r>
      <w:r>
        <w:rPr>
          <w:spacing w:val="-63"/>
        </w:rPr>
        <w:t> </w:t>
      </w:r>
      <w:r>
        <w:rPr>
          <w:spacing w:val="-63"/>
        </w:rPr>
      </w:r>
      <w:r>
        <w:rPr/>
        <w:t>据标准白皮书》，标志着我国大数据政策体系日臻完善，大数据标准的技术支撑和引领作用也进一步凸显。</w:t>
      </w:r>
    </w:p>
    <w:p>
      <w:pPr>
        <w:pStyle w:val="BodyText"/>
        <w:spacing w:line="477" w:lineRule="auto" w:before="54"/>
        <w:ind w:right="94" w:firstLine="360"/>
        <w:jc w:val="left"/>
      </w:pPr>
      <w:r>
        <w:rPr>
          <w:spacing w:val="-2"/>
        </w:rPr>
        <w:t>大数据对国家的改革与发展产生很大影响。习近平总书记在党的十九大报告提出，要“推动互联网、大数据、人工智能</w:t>
      </w:r>
      <w:r>
        <w:rPr/>
        <w:t> </w:t>
      </w:r>
      <w:r>
        <w:rPr>
          <w:spacing w:val="-2"/>
        </w:rPr>
        <w:t>和实体经济深度融合”。在此“新常态”形势下，公司积极践行大数据发展战略，建立符合公司发展需要的数据驱动管理模</w:t>
      </w:r>
      <w:r>
        <w:rPr>
          <w:spacing w:val="-63"/>
        </w:rPr>
        <w:t> </w:t>
      </w:r>
      <w:r>
        <w:rPr>
          <w:spacing w:val="-63"/>
        </w:rPr>
      </w:r>
      <w:r>
        <w:rPr/>
        <w:t>式，提升公司整体运营效率，并为企业经营决策提供有力的数据支持和保障。 </w:t>
      </w:r>
      <w:r>
        <w:rPr>
          <w:spacing w:val="-2"/>
        </w:rPr>
        <w:t>公司坚定实施国家大数据战略，把大数据作为基础性战略资源，全面实施促进大数据发展，加快推动大数据资源共享开放和</w:t>
      </w:r>
      <w:r>
        <w:rPr>
          <w:spacing w:val="-63"/>
        </w:rPr>
        <w:t> </w:t>
      </w:r>
      <w:r>
        <w:rPr>
          <w:spacing w:val="-63"/>
        </w:rPr>
      </w:r>
      <w:r>
        <w:rPr>
          <w:spacing w:val="-2"/>
        </w:rPr>
        <w:t>开发应用，助力产业转型升级和社会治理创新，深化大数据在各行业的创新应用，探索与传统产业协同发展，加快完善布局</w:t>
      </w:r>
      <w:r>
        <w:rPr>
          <w:spacing w:val="-65"/>
        </w:rPr>
        <w:t> </w:t>
      </w:r>
      <w:r>
        <w:rPr>
          <w:spacing w:val="-65"/>
        </w:rPr>
      </w:r>
      <w:r>
        <w:rPr/>
        <w:t>大数据产业链。</w:t>
      </w:r>
    </w:p>
    <w:p>
      <w:pPr>
        <w:spacing w:line="403" w:lineRule="auto" w:before="0"/>
        <w:ind w:left="513" w:right="94" w:hanging="60"/>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3</w:t>
      </w:r>
      <w:r>
        <w:rPr>
          <w:rFonts w:ascii="Microsoft JhengHei" w:hAnsi="Microsoft JhengHei" w:cs="Microsoft JhengHei" w:eastAsia="Microsoft JhengHei" w:hint="default"/>
          <w:b/>
          <w:bCs/>
          <w:sz w:val="18"/>
          <w:szCs w:val="18"/>
        </w:rPr>
        <w:t>） “互联网</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”产业未来空间巨大 </w:t>
      </w:r>
      <w:r>
        <w:rPr>
          <w:rFonts w:ascii="宋体" w:hAnsi="宋体" w:cs="宋体" w:eastAsia="宋体" w:hint="default"/>
          <w:spacing w:val="-2"/>
          <w:sz w:val="18"/>
          <w:szCs w:val="18"/>
        </w:rPr>
        <w:t>十三五规划指出：实施“互联网</w:t>
      </w:r>
      <w:r>
        <w:rPr>
          <w:rFonts w:ascii="宋体" w:hAnsi="宋体" w:cs="宋体" w:eastAsia="宋体" w:hint="default"/>
          <w:spacing w:val="-2"/>
          <w:sz w:val="18"/>
          <w:szCs w:val="18"/>
        </w:rPr>
        <w:t>+</w:t>
      </w:r>
      <w:r>
        <w:rPr>
          <w:rFonts w:ascii="宋体" w:hAnsi="宋体" w:cs="宋体" w:eastAsia="宋体" w:hint="default"/>
          <w:spacing w:val="-2"/>
          <w:sz w:val="18"/>
          <w:szCs w:val="18"/>
        </w:rPr>
        <w:t>”行动计划，促进互联网深度广泛应用，带动生产模式和组织方式变革，形成网络化、</w:t>
      </w:r>
    </w:p>
    <w:p>
      <w:pPr>
        <w:pStyle w:val="BodyText"/>
        <w:spacing w:line="477" w:lineRule="auto" w:before="110"/>
        <w:ind w:right="94"/>
        <w:jc w:val="left"/>
      </w:pPr>
      <w:r>
        <w:rPr>
          <w:spacing w:val="-2"/>
        </w:rPr>
        <w:t>智能化、服务化、协同化的产业发展新形态。组织实施“互联网</w:t>
      </w:r>
      <w:r>
        <w:rPr>
          <w:rFonts w:ascii="宋体" w:hAnsi="宋体" w:cs="宋体" w:eastAsia="宋体" w:hint="default"/>
          <w:spacing w:val="-2"/>
        </w:rPr>
        <w:t>+</w:t>
      </w:r>
      <w:r>
        <w:rPr>
          <w:spacing w:val="-2"/>
        </w:rPr>
        <w:t>”重大工程，加快推进基于互联网的商业模式、服务模式、</w:t>
      </w:r>
      <w:r>
        <w:rPr>
          <w:spacing w:val="-65"/>
        </w:rPr>
        <w:t> </w:t>
      </w:r>
      <w:r>
        <w:rPr>
          <w:spacing w:val="-65"/>
        </w:rPr>
      </w:r>
      <w:r>
        <w:rPr/>
        <w:t>管理模式及供应链、物流链等各类创新，培育“互联网</w:t>
      </w:r>
      <w:r>
        <w:rPr>
          <w:rFonts w:ascii="宋体" w:hAnsi="宋体" w:cs="宋体" w:eastAsia="宋体" w:hint="default"/>
        </w:rPr>
        <w:t>+</w:t>
      </w:r>
      <w:r>
        <w:rPr/>
        <w:t>”生态体系，形成网络化协同分工新格局。</w:t>
      </w:r>
      <w:r>
        <w:rPr>
          <w:spacing w:val="2"/>
        </w:rPr>
        <w:t> </w:t>
      </w:r>
      <w:r>
        <w:rPr/>
        <w:t>“互联网</w:t>
      </w:r>
      <w:r>
        <w:rPr>
          <w:rFonts w:ascii="宋体" w:hAnsi="宋体" w:cs="宋体" w:eastAsia="宋体" w:hint="default"/>
        </w:rPr>
        <w:t>+</w:t>
      </w:r>
      <w:r>
        <w:rPr/>
        <w:t>”是两化融 </w:t>
      </w:r>
      <w:r>
        <w:rPr>
          <w:spacing w:val="-2"/>
        </w:rPr>
        <w:t>合的升级版，不仅仅是工业化，而是将以互联网作为当前信息化发展的核心特征提取出来，并与工业、商业、金融业等服务</w:t>
      </w:r>
      <w:r>
        <w:rPr>
          <w:spacing w:val="-65"/>
        </w:rPr>
        <w:t> </w:t>
      </w:r>
      <w:r>
        <w:rPr>
          <w:spacing w:val="-65"/>
        </w:rPr>
      </w:r>
      <w:r>
        <w:rPr>
          <w:spacing w:val="-2"/>
        </w:rPr>
        <w:t>业的全面融合。在“互联网</w:t>
      </w:r>
      <w:r>
        <w:rPr>
          <w:rFonts w:ascii="宋体" w:hAnsi="宋体" w:cs="宋体" w:eastAsia="宋体" w:hint="default"/>
          <w:spacing w:val="-2"/>
        </w:rPr>
        <w:t>+</w:t>
      </w:r>
      <w:r>
        <w:rPr>
          <w:spacing w:val="-2"/>
        </w:rPr>
        <w:t>”国家行动计划的背景下，传统企业拥抱“互联网</w:t>
      </w:r>
      <w:r>
        <w:rPr>
          <w:rFonts w:ascii="宋体" w:hAnsi="宋体" w:cs="宋体" w:eastAsia="宋体" w:hint="default"/>
          <w:spacing w:val="-2"/>
        </w:rPr>
        <w:t>+</w:t>
      </w:r>
      <w:r>
        <w:rPr>
          <w:spacing w:val="-2"/>
        </w:rPr>
        <w:t>”进行信息化再造，投资基于移动化、社交</w:t>
      </w:r>
      <w:r>
        <w:rPr>
          <w:spacing w:val="-65"/>
        </w:rPr>
        <w:t> </w:t>
      </w:r>
      <w:r>
        <w:rPr>
          <w:spacing w:val="-65"/>
        </w:rPr>
      </w:r>
      <w:r>
        <w:rPr>
          <w:spacing w:val="-2"/>
        </w:rPr>
        <w:t>化和大数据的创新应用，企业互联网营销、</w:t>
      </w:r>
      <w:r>
        <w:rPr>
          <w:rFonts w:ascii="宋体" w:hAnsi="宋体" w:cs="宋体" w:eastAsia="宋体" w:hint="default"/>
          <w:spacing w:val="-2"/>
        </w:rPr>
        <w:t>SaaS</w:t>
      </w:r>
      <w:r>
        <w:rPr>
          <w:spacing w:val="-2"/>
        </w:rPr>
        <w:t>和云服务也获得更广阔的市场空间。公司作为国内拥有互联网和大数据核心</w:t>
      </w:r>
      <w:r>
        <w:rPr>
          <w:spacing w:val="-60"/>
        </w:rPr>
        <w:t> </w:t>
      </w:r>
      <w:r>
        <w:rPr>
          <w:spacing w:val="-60"/>
        </w:rPr>
      </w:r>
      <w:r>
        <w:rPr/>
        <w:t>技术的领导厂商，正在积极布局和推动，以把握新的增长机遇。</w:t>
      </w:r>
    </w:p>
    <w:p>
      <w:pPr>
        <w:pStyle w:val="BodyText"/>
        <w:spacing w:line="477" w:lineRule="auto" w:before="54"/>
        <w:ind w:right="186" w:firstLine="360"/>
        <w:jc w:val="both"/>
      </w:pPr>
      <w:r>
        <w:rPr>
          <w:spacing w:val="-2"/>
        </w:rPr>
        <w:t>互联网模式不断创新、线上线下服务融合加速以及公共服务线上化步伐加快，成为网民规模增长推动力。</w:t>
      </w:r>
      <w:r>
        <w:rPr>
          <w:rFonts w:ascii="宋体" w:hAnsi="宋体" w:cs="宋体" w:eastAsia="宋体" w:hint="default"/>
          <w:spacing w:val="-2"/>
        </w:rPr>
        <w:t>2017</w:t>
      </w:r>
      <w:r>
        <w:rPr>
          <w:spacing w:val="-2"/>
        </w:rPr>
        <w:t>年，习近</w:t>
      </w:r>
      <w:r>
        <w:rPr/>
        <w:t> </w:t>
      </w:r>
      <w:r>
        <w:rPr>
          <w:spacing w:val="-2"/>
        </w:rPr>
        <w:t>平总书记在十九大报告中多次提及互联网，互联网在经济社会发展中的重要地位更加凸显，我国向网络强国建设目标持续迈</w:t>
      </w:r>
      <w:r>
        <w:rPr>
          <w:spacing w:val="-64"/>
        </w:rPr>
        <w:t> </w:t>
      </w:r>
      <w:r>
        <w:rPr>
          <w:spacing w:val="-64"/>
        </w:rPr>
      </w:r>
      <w:r>
        <w:rPr/>
        <w:t>进。过去一年，中国互联网产业发展加快融合，“中国制造</w:t>
      </w:r>
      <w:r>
        <w:rPr>
          <w:rFonts w:ascii="宋体" w:hAnsi="宋体" w:cs="宋体" w:eastAsia="宋体" w:hint="default"/>
        </w:rPr>
        <w:t>2025</w:t>
      </w:r>
      <w:r>
        <w:rPr/>
        <w:t>”全面实施、工业互联网全力推进，“互联网</w:t>
      </w:r>
      <w:r>
        <w:rPr>
          <w:rFonts w:ascii="宋体" w:hAnsi="宋体" w:cs="宋体" w:eastAsia="宋体" w:hint="default"/>
        </w:rPr>
        <w:t>+</w:t>
      </w:r>
      <w:r>
        <w:rPr/>
        <w:t>”持续助推</w:t>
      </w:r>
      <w:r>
        <w:rPr>
          <w:spacing w:val="-87"/>
        </w:rPr>
        <w:t> </w:t>
      </w:r>
      <w:r>
        <w:rPr/>
        <w:t>传统产业升级；互联网、大数据、人工智能和实体经济从初步融合迈向深度融合的阶段，转型升级的澎湃动力加速汇集。</w:t>
      </w:r>
    </w:p>
    <w:p>
      <w:pPr>
        <w:spacing w:line="403" w:lineRule="auto" w:before="0"/>
        <w:ind w:left="513" w:right="93" w:hanging="89"/>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4</w:t>
      </w:r>
      <w:r>
        <w:rPr>
          <w:rFonts w:ascii="Microsoft JhengHei" w:hAnsi="Microsoft JhengHei" w:cs="Microsoft JhengHei" w:eastAsia="Microsoft JhengHei" w:hint="default"/>
          <w:b/>
          <w:bCs/>
          <w:sz w:val="18"/>
          <w:szCs w:val="18"/>
        </w:rPr>
        <w:t>）人工智能应用蓄势待发</w:t>
      </w:r>
      <w:r>
        <w:rPr>
          <w:rFonts w:ascii="Microsoft JhengHei" w:hAnsi="Microsoft JhengHei" w:cs="Microsoft JhengHei" w:eastAsia="Microsoft JhengHei" w:hint="default"/>
          <w:b/>
          <w:bCs/>
          <w:spacing w:val="-39"/>
          <w:sz w:val="18"/>
          <w:szCs w:val="18"/>
        </w:rPr>
        <w:t> </w:t>
      </w:r>
      <w:r>
        <w:rPr>
          <w:rFonts w:ascii="Microsoft JhengHei" w:hAnsi="Microsoft JhengHei" w:cs="Microsoft JhengHei" w:eastAsia="Microsoft JhengHei" w:hint="default"/>
          <w:b/>
          <w:bCs/>
          <w:spacing w:val="-39"/>
          <w:sz w:val="18"/>
          <w:szCs w:val="18"/>
        </w:rPr>
      </w:r>
      <w:r>
        <w:rPr>
          <w:rFonts w:ascii="宋体" w:hAnsi="宋体" w:cs="宋体" w:eastAsia="宋体" w:hint="default"/>
          <w:sz w:val="18"/>
          <w:szCs w:val="18"/>
        </w:rPr>
        <w:t>2017</w:t>
      </w:r>
      <w:r>
        <w:rPr>
          <w:rFonts w:ascii="宋体" w:hAnsi="宋体" w:cs="宋体" w:eastAsia="宋体" w:hint="default"/>
          <w:sz w:val="18"/>
          <w:szCs w:val="18"/>
        </w:rPr>
        <w:t>年，我国在人工智能领域取得重要进展。作为引领未来的战略性技术，围绕人工智能发展的全球竞争日益白热化，</w:t>
      </w:r>
    </w:p>
    <w:p>
      <w:pPr>
        <w:pStyle w:val="BodyText"/>
        <w:spacing w:line="477" w:lineRule="auto" w:before="110"/>
        <w:ind w:right="189"/>
        <w:jc w:val="both"/>
      </w:pPr>
      <w:r>
        <w:rPr>
          <w:spacing w:val="-2"/>
        </w:rPr>
        <w:t>世界主要发达国家把发展人工智能作为提升国家竞争力、维护国家安全的重大战略。我国也加紧出台规划政策。习近平总书</w:t>
      </w:r>
      <w:r>
        <w:rPr>
          <w:spacing w:val="-63"/>
        </w:rPr>
        <w:t> </w:t>
      </w:r>
      <w:r>
        <w:rPr>
          <w:spacing w:val="-63"/>
        </w:rPr>
      </w:r>
      <w:r>
        <w:rPr>
          <w:spacing w:val="-2"/>
        </w:rPr>
        <w:t>记在十九大报告中明确提出，要“推动互联、大数据、人工智能和实体经济深度融合”。我国以人工智能为核心的新一轮科</w:t>
      </w:r>
      <w:r>
        <w:rPr>
          <w:spacing w:val="-64"/>
        </w:rPr>
        <w:t> </w:t>
      </w:r>
      <w:r>
        <w:rPr>
          <w:spacing w:val="-64"/>
        </w:rPr>
      </w:r>
      <w:r>
        <w:rPr>
          <w:spacing w:val="-2"/>
        </w:rPr>
        <w:t>技和产业革命蓄势待发，人工智能、虚拟现实等新技术日新月异，虚拟经济与实体经济相结合，给人们的生产方式和生活方</w:t>
      </w:r>
      <w:r>
        <w:rPr>
          <w:spacing w:val="-65"/>
        </w:rPr>
        <w:t> </w:t>
      </w:r>
      <w:r>
        <w:rPr>
          <w:spacing w:val="-65"/>
        </w:rPr>
      </w:r>
      <w:r>
        <w:rPr/>
        <w:t>式带来了革命性的变化。《中国制造</w:t>
      </w:r>
      <w:r>
        <w:rPr>
          <w:rFonts w:ascii="宋体" w:hAnsi="宋体" w:cs="宋体" w:eastAsia="宋体" w:hint="default"/>
        </w:rPr>
        <w:t>2025</w:t>
      </w:r>
      <w:r>
        <w:rPr/>
        <w:t>》、《“互联网</w:t>
      </w:r>
      <w:r>
        <w:rPr>
          <w:rFonts w:ascii="宋体" w:hAnsi="宋体" w:cs="宋体" w:eastAsia="宋体" w:hint="default"/>
        </w:rPr>
        <w:t>+</w:t>
      </w:r>
      <w:r>
        <w:rPr/>
        <w:t>”行动指导意见》、《“十三五”国家科技创新规划》等国家战 略表明了我国对人工智能发展的重视和决心。</w:t>
      </w:r>
    </w:p>
    <w:p>
      <w:pPr>
        <w:pStyle w:val="BodyText"/>
        <w:spacing w:line="240" w:lineRule="auto" w:before="54"/>
        <w:ind w:left="513" w:right="0"/>
        <w:jc w:val="left"/>
      </w:pPr>
      <w:r>
        <w:rPr/>
        <w:t>国务院于</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8</w:t>
      </w:r>
      <w:r>
        <w:rPr/>
        <w:t>日印发的《新一代人工智能发展规划》正式提出了我国人工智能发展顶层战略设想。</w:t>
      </w:r>
      <w:r>
        <w:rPr>
          <w:rFonts w:ascii="宋体" w:hAnsi="宋体" w:cs="宋体" w:eastAsia="宋体" w:hint="default"/>
        </w:rPr>
        <w:t>2018</w:t>
      </w:r>
      <w:r>
        <w:rPr/>
        <w:t>年全国两</w:t>
      </w:r>
    </w:p>
    <w:p>
      <w:pPr>
        <w:spacing w:line="240" w:lineRule="auto" w:before="10"/>
        <w:rPr>
          <w:rFonts w:ascii="宋体" w:hAnsi="宋体" w:cs="宋体" w:eastAsia="宋体" w:hint="default"/>
          <w:sz w:val="17"/>
          <w:szCs w:val="17"/>
        </w:rPr>
      </w:pPr>
    </w:p>
    <w:p>
      <w:pPr>
        <w:pStyle w:val="BodyText"/>
        <w:spacing w:line="240" w:lineRule="auto"/>
        <w:ind w:right="0"/>
        <w:jc w:val="both"/>
      </w:pPr>
      <w:r>
        <w:rPr>
          <w:spacing w:val="-2"/>
        </w:rPr>
        <w:t>会的政府工作报告中也提出，“加强新一代人工智能研发应用”，在医疗、养老、教育、文化、体育等多领域推进互联网</w:t>
      </w:r>
      <w:r>
        <w:rPr>
          <w:rFonts w:ascii="宋体" w:hAnsi="宋体" w:cs="宋体" w:eastAsia="宋体" w:hint="default"/>
          <w:spacing w:val="-2"/>
        </w:rPr>
        <w:t>+</w:t>
      </w:r>
      <w:r>
        <w:rPr>
          <w:spacing w:val="-2"/>
        </w:rPr>
        <w:t>，</w:t>
      </w:r>
    </w:p>
    <w:p>
      <w:pPr>
        <w:spacing w:after="0" w:line="240" w:lineRule="auto"/>
        <w:jc w:val="both"/>
        <w:sectPr>
          <w:footerReference w:type="default" r:id="rId13"/>
          <w:pgSz w:w="11910" w:h="16840"/>
          <w:pgMar w:footer="1133" w:header="745" w:top="1060" w:bottom="1320" w:left="980" w:right="940"/>
          <w:pgNumType w:start="14"/>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513" w:right="0" w:hanging="361"/>
        <w:jc w:val="left"/>
      </w:pPr>
      <w:r>
        <w:rPr/>
        <w:t>发展智能产业，拓展智能生活。 </w:t>
      </w:r>
      <w:r>
        <w:rPr>
          <w:spacing w:val="-2"/>
        </w:rPr>
        <w:t>报告期内，公司通过投资控股公司人工智能产业技术创新联盟（北京）科技有限公司，布局人工智能基础性技术攻关和</w:t>
      </w:r>
    </w:p>
    <w:p>
      <w:pPr>
        <w:pStyle w:val="BodyText"/>
        <w:spacing w:line="477" w:lineRule="auto" w:before="54"/>
        <w:ind w:right="0"/>
        <w:jc w:val="left"/>
      </w:pPr>
      <w:r>
        <w:rPr>
          <w:spacing w:val="-2"/>
        </w:rPr>
        <w:t>行业应用开发，精准把握客户需求，加大研发投入和资源投入，通过持续的自主研发、产品创新、技术合作、服务创新及投</w:t>
      </w:r>
      <w:r>
        <w:rPr>
          <w:spacing w:val="-67"/>
        </w:rPr>
        <w:t> </w:t>
      </w:r>
      <w:r>
        <w:rPr>
          <w:spacing w:val="-67"/>
        </w:rPr>
      </w:r>
      <w:r>
        <w:rPr/>
        <w:t>资参、控股公司，促进公司人工智能技术应用的深度创新。</w:t>
      </w:r>
    </w:p>
    <w:p>
      <w:pPr>
        <w:pStyle w:val="BodyText"/>
        <w:spacing w:line="477" w:lineRule="auto" w:before="54"/>
        <w:ind w:right="153" w:firstLine="360"/>
        <w:jc w:val="both"/>
      </w:pPr>
      <w:r>
        <w:rPr>
          <w:spacing w:val="-2"/>
        </w:rPr>
        <w:t>同时，为了更好地发展人工智能，公司牵头成立了人工智能产业技术创新战略联盟，搭建了一个合作发展平台。联盟特</w:t>
      </w:r>
      <w:r>
        <w:rPr/>
        <w:t> </w:t>
      </w:r>
      <w:r>
        <w:rPr>
          <w:spacing w:val="-2"/>
        </w:rPr>
        <w:t>邀来自清华大学、北京大学和中国科学院的新锐科技团队共同参与，形成“产、学、研、资、用”有机融合的产业和技术创</w:t>
      </w:r>
      <w:r>
        <w:rPr>
          <w:spacing w:val="-69"/>
        </w:rPr>
        <w:t> </w:t>
      </w:r>
      <w:r>
        <w:rPr>
          <w:spacing w:val="-69"/>
        </w:rPr>
      </w:r>
      <w:r>
        <w:rPr/>
        <w:t>新联盟，未来，随着更多的行业伙伴加入，将进一步共同推动人工智能产业技术创新和发展。</w:t>
      </w:r>
    </w:p>
    <w:p>
      <w:pPr>
        <w:pStyle w:val="BodyText"/>
        <w:spacing w:line="403" w:lineRule="auto"/>
        <w:ind w:left="513" w:right="0"/>
        <w:jc w:val="left"/>
      </w:pPr>
      <w:r>
        <w:rPr>
          <w:rFonts w:ascii="Times New Roman" w:hAnsi="Times New Roman" w:cs="Times New Roman" w:eastAsia="Times New Roman" w:hint="default"/>
          <w:b/>
          <w:bCs/>
          <w:w w:val="105"/>
        </w:rPr>
        <w:t>2.</w:t>
      </w:r>
      <w:r>
        <w:rPr>
          <w:rFonts w:ascii="Microsoft JhengHei" w:hAnsi="Microsoft JhengHei" w:cs="Microsoft JhengHei" w:eastAsia="Microsoft JhengHei" w:hint="default"/>
          <w:b/>
          <w:bCs/>
          <w:w w:val="105"/>
        </w:rPr>
        <w:t>公司行业地位</w:t>
      </w:r>
      <w:r>
        <w:rPr>
          <w:rFonts w:ascii="Microsoft JhengHei" w:hAnsi="Microsoft JhengHei" w:cs="Microsoft JhengHei" w:eastAsia="Microsoft JhengHei" w:hint="default"/>
          <w:b/>
          <w:bCs/>
        </w:rPr>
        <w:t> </w:t>
      </w:r>
      <w:r>
        <w:rPr>
          <w:spacing w:val="-2"/>
        </w:rPr>
        <w:t>公司积累了丰富的客户资源、充足的技术储备以及良好的市场口碑，并凝聚了行业内优秀的技术、营销和管理团队；公</w:t>
      </w:r>
    </w:p>
    <w:p>
      <w:pPr>
        <w:pStyle w:val="BodyText"/>
        <w:spacing w:line="477" w:lineRule="auto" w:before="110"/>
        <w:ind w:right="0"/>
        <w:jc w:val="left"/>
      </w:pPr>
      <w:r>
        <w:rPr>
          <w:spacing w:val="-2"/>
        </w:rPr>
        <w:t>司在信息安全行业拥有领先的核心技术，并取得了具有自主知识产权的核心专利技术；公司已连续十二年居于中国终端安全</w:t>
      </w:r>
      <w:r>
        <w:rPr>
          <w:spacing w:val="-63"/>
        </w:rPr>
        <w:t> </w:t>
      </w:r>
      <w:r>
        <w:rPr>
          <w:spacing w:val="-63"/>
        </w:rPr>
      </w:r>
      <w:r>
        <w:rPr/>
        <w:t>管理市场占有率第一的领导地位（数据来源：</w:t>
      </w:r>
      <w:r>
        <w:rPr>
          <w:rFonts w:ascii="宋体" w:hAnsi="宋体" w:cs="宋体" w:eastAsia="宋体" w:hint="default"/>
        </w:rPr>
        <w:t>CCID</w:t>
      </w:r>
      <w:r>
        <w:rPr/>
        <w:t>）。</w:t>
      </w:r>
    </w:p>
    <w:p>
      <w:pPr>
        <w:pStyle w:val="BodyText"/>
        <w:spacing w:line="477" w:lineRule="auto" w:before="54"/>
        <w:ind w:right="154" w:firstLine="360"/>
        <w:jc w:val="both"/>
      </w:pPr>
      <w:r>
        <w:rPr/>
        <w:t>公司作为信息安全产业领军企业之一，在网络安全上升为国家战略的形势下，</w:t>
      </w:r>
      <w:r>
        <w:rPr>
          <w:spacing w:val="2"/>
        </w:rPr>
        <w:t> </w:t>
      </w:r>
      <w:r>
        <w:rPr/>
        <w:t>以“信息安全、大数据、互联网”为三</w:t>
      </w:r>
      <w:r>
        <w:rPr/>
        <w:t> </w:t>
      </w:r>
      <w:r>
        <w:rPr>
          <w:spacing w:val="-2"/>
        </w:rPr>
        <w:t>大方向发展战略，高度符合国家战略需求。报告期内，公司以信息安全领域的优势为基石，对大数据、移动互联领域持续发</w:t>
      </w:r>
      <w:r>
        <w:rPr>
          <w:spacing w:val="-67"/>
        </w:rPr>
        <w:t> </w:t>
      </w:r>
      <w:r>
        <w:rPr>
          <w:spacing w:val="-67"/>
        </w:rPr>
      </w:r>
      <w:r>
        <w:rPr>
          <w:spacing w:val="-2"/>
        </w:rPr>
        <w:t>力，整体实力不断增强。未来公司将继续围绕主营业务深化战略布局，同时以信息安全、互联网、大数据作为依托进行人工</w:t>
      </w:r>
    </w:p>
    <w:p>
      <w:pPr>
        <w:pStyle w:val="BodyText"/>
        <w:spacing w:line="311" w:lineRule="exact"/>
        <w:ind w:right="0"/>
        <w:jc w:val="left"/>
      </w:pPr>
      <w:r>
        <w:rPr/>
        <w:t>智能、自主可控等业务领域的拓展，为客户提供更完善、更优质的服务</w:t>
      </w:r>
      <w:r>
        <w:rPr>
          <w:rFonts w:ascii="Microsoft JhengHei" w:hAnsi="Microsoft JhengHei" w:cs="Microsoft JhengHei" w:eastAsia="Microsoft JhengHei" w:hint="default"/>
          <w:b/>
          <w:bCs/>
        </w:rPr>
        <w:t>，</w:t>
      </w:r>
      <w:r>
        <w:rPr/>
        <w:t>促进公司持续、快速、健康发展。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3"/>
          <w:szCs w:val="23"/>
        </w:rPr>
      </w:pPr>
    </w:p>
    <w:p>
      <w:pPr>
        <w:pStyle w:val="Heading2"/>
        <w:spacing w:line="240" w:lineRule="auto"/>
        <w:ind w:right="0"/>
        <w:jc w:val="left"/>
        <w:rPr>
          <w:b w:val="0"/>
          <w:bCs w:val="0"/>
        </w:rPr>
      </w:pPr>
      <w:r>
        <w:rPr/>
        <w:t>二、主要资产重大变化情况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2"/>
        <w:rPr>
          <w:rFonts w:ascii="Microsoft JhengHei" w:hAnsi="Microsoft JhengHei" w:cs="Microsoft JhengHei" w:eastAsia="Microsoft JhengHei" w:hint="default"/>
          <w:b/>
          <w:bCs/>
          <w:sz w:val="23"/>
          <w:szCs w:val="23"/>
        </w:rPr>
      </w:pPr>
    </w:p>
    <w:p>
      <w:pPr>
        <w:pStyle w:val="BodyText"/>
        <w:spacing w:line="240" w:lineRule="auto" w:before="44"/>
        <w:ind w:left="0" w:right="159"/>
        <w:jc w:val="right"/>
      </w:pPr>
      <w:r>
        <w:rPr/>
        <w:pict>
          <v:shape style="position:absolute;margin-left:56.400002pt;margin-top:-39.038315pt;width:479.3pt;height:241.8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1"/>
                    <w:gridCol w:w="6519"/>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同比下降</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47</w:t>
                        </w:r>
                        <w:r>
                          <w:rPr>
                            <w:rFonts w:ascii="Times New Roman" w:hAnsi="Times New Roman" w:cs="Times New Roman" w:eastAsia="Times New Roman" w:hint="default"/>
                            <w:spacing w:val="-1"/>
                            <w:sz w:val="18"/>
                            <w:szCs w:val="18"/>
                          </w:rPr>
                          <w:t>%</w:t>
                        </w:r>
                        <w:r>
                          <w:rPr>
                            <w:rFonts w:ascii="宋体" w:hAnsi="宋体" w:cs="宋体" w:eastAsia="宋体" w:hint="default"/>
                            <w:spacing w:val="-85"/>
                            <w:sz w:val="18"/>
                            <w:szCs w:val="18"/>
                          </w:rPr>
                          <w:t>，</w:t>
                        </w:r>
                        <w:r>
                          <w:rPr>
                            <w:rFonts w:ascii="宋体" w:hAnsi="宋体" w:cs="宋体" w:eastAsia="宋体" w:hint="default"/>
                            <w:sz w:val="18"/>
                            <w:szCs w:val="18"/>
                          </w:rPr>
                          <w:t>主要原因是</w:t>
                        </w:r>
                        <w:r>
                          <w:rPr>
                            <w:rFonts w:ascii="宋体" w:hAnsi="宋体" w:cs="宋体" w:eastAsia="宋体" w:hint="default"/>
                            <w:spacing w:val="-87"/>
                            <w:sz w:val="18"/>
                            <w:szCs w:val="18"/>
                          </w:rPr>
                          <w:t>：</w:t>
                        </w:r>
                        <w:r>
                          <w:rPr>
                            <w:rFonts w:ascii="宋体" w:hAnsi="宋体" w:cs="宋体" w:eastAsia="宋体" w:hint="default"/>
                            <w:sz w:val="18"/>
                            <w:szCs w:val="18"/>
                          </w:rPr>
                          <w:t>参股公司北京辰信领创信息技术有限公司亏损所致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同比增长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22.95%</w:t>
                        </w:r>
                        <w:r>
                          <w:rPr>
                            <w:rFonts w:ascii="宋体" w:hAnsi="宋体" w:cs="宋体" w:eastAsia="宋体" w:hint="default"/>
                            <w:sz w:val="18"/>
                            <w:szCs w:val="18"/>
                          </w:rPr>
                          <w:t>，主要原因是：开发支出转入无形资产所致。</w:t>
                        </w:r>
                      </w:p>
                    </w:tc>
                  </w:tr>
                  <w:tr>
                    <w:trPr>
                      <w:trHeight w:val="161"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4" w:space="0" w:color="000000"/>
                          <w:right w:val="single" w:sz="4" w:space="0" w:color="000000"/>
                        </w:tcBorders>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同比增长</w:t>
                        </w:r>
                        <w:r>
                          <w:rPr>
                            <w:rFonts w:ascii="宋体" w:hAnsi="宋体" w:cs="宋体" w:eastAsia="宋体" w:hint="default"/>
                            <w:spacing w:val="-39"/>
                            <w:sz w:val="18"/>
                            <w:szCs w:val="18"/>
                          </w:rPr>
                          <w:t> </w:t>
                        </w:r>
                        <w:r>
                          <w:rPr>
                            <w:rFonts w:ascii="Times New Roman" w:hAnsi="Times New Roman" w:cs="Times New Roman" w:eastAsia="Times New Roman" w:hint="default"/>
                            <w:spacing w:val="-2"/>
                            <w:sz w:val="18"/>
                            <w:szCs w:val="18"/>
                          </w:rPr>
                          <w:t>1088.48%</w:t>
                        </w:r>
                        <w:r>
                          <w:rPr>
                            <w:rFonts w:ascii="宋体" w:hAnsi="宋体" w:cs="宋体" w:eastAsia="宋体" w:hint="default"/>
                            <w:spacing w:val="-2"/>
                            <w:sz w:val="18"/>
                            <w:szCs w:val="18"/>
                          </w:rPr>
                          <w:t>，主要原因是：</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北信源（南京）研发运营基地项目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发生工程建</w:t>
                        </w:r>
                        <w:r>
                          <w:rPr>
                            <w:rFonts w:ascii="宋体" w:hAnsi="宋体" w:cs="宋体" w:eastAsia="宋体" w:hint="default"/>
                            <w:spacing w:val="-88"/>
                            <w:sz w:val="18"/>
                            <w:szCs w:val="18"/>
                          </w:rPr>
                          <w:t> </w:t>
                        </w:r>
                        <w:r>
                          <w:rPr>
                            <w:rFonts w:ascii="宋体" w:hAnsi="宋体" w:cs="宋体" w:eastAsia="宋体" w:hint="default"/>
                            <w:sz w:val="18"/>
                            <w:szCs w:val="18"/>
                          </w:rPr>
                          <w:t>设投入所致。</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vMerge/>
                        <w:tcBorders>
                          <w:left w:val="single" w:sz="4" w:space="0" w:color="000000"/>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4" w:space="0" w:color="000000"/>
                          <w:bottom w:val="single" w:sz="4" w:space="0" w:color="000000"/>
                          <w:right w:val="single" w:sz="4" w:space="0" w:color="000000"/>
                        </w:tcBorders>
                      </w:tcPr>
                      <w:p>
                        <w:pP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同比增长</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194.27%</w:t>
                        </w:r>
                        <w:r>
                          <w:rPr>
                            <w:rFonts w:ascii="宋体" w:hAnsi="宋体" w:cs="宋体" w:eastAsia="宋体" w:hint="default"/>
                            <w:sz w:val="18"/>
                            <w:szCs w:val="18"/>
                          </w:rPr>
                          <w:t>，主要原因是：</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北信源（南京）研发运营基地项目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预付工程款 项所致。</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同比增长</w:t>
                        </w:r>
                        <w:r>
                          <w:rPr>
                            <w:rFonts w:ascii="宋体" w:hAnsi="宋体" w:cs="宋体" w:eastAsia="宋体" w:hint="default"/>
                            <w:spacing w:val="-29"/>
                            <w:sz w:val="18"/>
                            <w:szCs w:val="18"/>
                          </w:rPr>
                          <w:t> </w:t>
                        </w:r>
                        <w:r>
                          <w:rPr>
                            <w:rFonts w:ascii="Times New Roman" w:hAnsi="Times New Roman" w:cs="Times New Roman" w:eastAsia="Times New Roman" w:hint="default"/>
                            <w:spacing w:val="-3"/>
                            <w:sz w:val="18"/>
                            <w:szCs w:val="18"/>
                          </w:rPr>
                          <w:t>49.36%</w:t>
                        </w:r>
                        <w:r>
                          <w:rPr>
                            <w:rFonts w:ascii="宋体" w:hAnsi="宋体" w:cs="宋体" w:eastAsia="宋体" w:hint="default"/>
                            <w:spacing w:val="-3"/>
                            <w:sz w:val="18"/>
                            <w:szCs w:val="18"/>
                          </w:rPr>
                          <w:t>，主要原因是：公司业务增长以致投标保证金、差旅费等经营性暂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借款项增加。</w:t>
                        </w:r>
                      </w:p>
                    </w:tc>
                  </w:tr>
                  <w:tr>
                    <w:trPr>
                      <w:trHeight w:val="716"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32"/>
                          <w:jc w:val="left"/>
                          <w:rPr>
                            <w:rFonts w:ascii="宋体" w:hAnsi="宋体" w:cs="宋体" w:eastAsia="宋体" w:hint="default"/>
                            <w:sz w:val="18"/>
                            <w:szCs w:val="18"/>
                          </w:rPr>
                        </w:pPr>
                        <w:r>
                          <w:rPr>
                            <w:rFonts w:ascii="宋体" w:hAnsi="宋体" w:cs="宋体" w:eastAsia="宋体" w:hint="default"/>
                            <w:sz w:val="18"/>
                            <w:szCs w:val="18"/>
                          </w:rPr>
                          <w:t>同比增长</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，主要原因</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）年末集成项目存货发出但未完工，不能确认收 入、结转成本</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）为支撑业务发展增加库存备货。</w:t>
                        </w:r>
                      </w:p>
                    </w:tc>
                  </w:tr>
                </w:tbl>
                <w:p>
                  <w:pPr/>
                </w:p>
              </w:txbxContent>
            </v:textbox>
            <w10:wrap type="none"/>
          </v:shape>
        </w:pict>
      </w:r>
      <w:r>
        <w:rPr/>
        <w:t>。</w:t>
      </w:r>
    </w:p>
    <w:p>
      <w:pPr>
        <w:spacing w:after="0" w:line="240" w:lineRule="auto"/>
        <w:jc w:val="right"/>
        <w:sectPr>
          <w:pgSz w:w="11910" w:h="16840"/>
          <w:pgMar w:header="745" w:footer="1133" w:top="1060" w:bottom="13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spacing w:line="240" w:lineRule="auto" w:before="44"/>
        <w:ind w:left="0" w:right="159"/>
        <w:jc w:val="right"/>
      </w:pPr>
      <w:r>
        <w:rPr/>
        <w:pict>
          <v:shape style="position:absolute;margin-left:56.400002pt;margin-top:-163.738312pt;width:479.3pt;height:183.5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1"/>
                    <w:gridCol w:w="6519"/>
                  </w:tblGrid>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同比增长</w:t>
                        </w:r>
                        <w:r>
                          <w:rPr>
                            <w:rFonts w:ascii="宋体" w:hAnsi="宋体" w:cs="宋体" w:eastAsia="宋体" w:hint="default"/>
                            <w:spacing w:val="-29"/>
                            <w:sz w:val="18"/>
                            <w:szCs w:val="18"/>
                          </w:rPr>
                          <w:t> </w:t>
                        </w:r>
                        <w:r>
                          <w:rPr>
                            <w:rFonts w:ascii="Times New Roman" w:hAnsi="Times New Roman" w:cs="Times New Roman" w:eastAsia="Times New Roman" w:hint="default"/>
                            <w:spacing w:val="-3"/>
                            <w:sz w:val="18"/>
                            <w:szCs w:val="18"/>
                          </w:rPr>
                          <w:t>35.49%</w:t>
                        </w:r>
                        <w:r>
                          <w:rPr>
                            <w:rFonts w:ascii="宋体" w:hAnsi="宋体" w:cs="宋体" w:eastAsia="宋体" w:hint="default"/>
                            <w:spacing w:val="-3"/>
                            <w:sz w:val="18"/>
                            <w:szCs w:val="18"/>
                          </w:rPr>
                          <w:t>，主要原因是：本年新增两家参股公司，杭州芸品绿信息科技有限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公司和国保联盟信息安全技术有限公司所致。</w:t>
                        </w:r>
                      </w:p>
                    </w:tc>
                  </w:tr>
                  <w:tr>
                    <w:trPr>
                      <w:trHeight w:val="1027"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9"/>
                          <w:jc w:val="both"/>
                          <w:rPr>
                            <w:rFonts w:ascii="宋体" w:hAnsi="宋体" w:cs="宋体" w:eastAsia="宋体" w:hint="default"/>
                            <w:sz w:val="18"/>
                            <w:szCs w:val="18"/>
                          </w:rPr>
                        </w:pPr>
                        <w:r>
                          <w:rPr>
                            <w:rFonts w:ascii="宋体" w:hAnsi="宋体" w:cs="宋体" w:eastAsia="宋体" w:hint="default"/>
                            <w:sz w:val="18"/>
                            <w:szCs w:val="18"/>
                          </w:rPr>
                          <w:t>同比增长</w:t>
                        </w:r>
                        <w:r>
                          <w:rPr>
                            <w:rFonts w:ascii="宋体" w:hAnsi="宋体" w:cs="宋体" w:eastAsia="宋体" w:hint="default"/>
                            <w:spacing w:val="-29"/>
                            <w:sz w:val="18"/>
                            <w:szCs w:val="18"/>
                          </w:rPr>
                          <w:t> </w:t>
                        </w:r>
                        <w:r>
                          <w:rPr>
                            <w:rFonts w:ascii="Times New Roman" w:hAnsi="Times New Roman" w:cs="Times New Roman" w:eastAsia="Times New Roman" w:hint="default"/>
                            <w:spacing w:val="-3"/>
                            <w:sz w:val="18"/>
                            <w:szCs w:val="18"/>
                          </w:rPr>
                          <w:t>76.20%</w:t>
                        </w:r>
                        <w:r>
                          <w:rPr>
                            <w:rFonts w:ascii="宋体" w:hAnsi="宋体" w:cs="宋体" w:eastAsia="宋体" w:hint="default"/>
                            <w:spacing w:val="-3"/>
                            <w:sz w:val="18"/>
                            <w:szCs w:val="18"/>
                          </w:rPr>
                          <w:t>，主要原因是：公司继续加大新产品、新技术的研发投入，信源豆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豆即时通讯平台、服务器安全运营管理平台、北信源</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CEMS</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统一平台、特权账号监 管系统四个研发项目进行资本化所致。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同比增长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393.03%</w:t>
                        </w:r>
                        <w:r>
                          <w:rPr>
                            <w:rFonts w:ascii="宋体" w:hAnsi="宋体" w:cs="宋体" w:eastAsia="宋体" w:hint="default"/>
                            <w:sz w:val="18"/>
                            <w:szCs w:val="18"/>
                          </w:rPr>
                          <w:t>，主要原因是：本报告期待摊销的技术服务费金额增加所致。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同比增长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56.95%</w:t>
                        </w:r>
                        <w:r>
                          <w:rPr>
                            <w:rFonts w:ascii="宋体" w:hAnsi="宋体" w:cs="宋体" w:eastAsia="宋体" w:hint="default"/>
                            <w:sz w:val="18"/>
                            <w:szCs w:val="18"/>
                          </w:rPr>
                          <w:t>，主要原因是：本年应收账款增加导致坏账准备增加所致。</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8"/>
                          <w:jc w:val="left"/>
                          <w:rPr>
                            <w:rFonts w:ascii="宋体" w:hAnsi="宋体" w:cs="宋体" w:eastAsia="宋体" w:hint="default"/>
                            <w:sz w:val="18"/>
                            <w:szCs w:val="18"/>
                          </w:rPr>
                        </w:pPr>
                        <w:r>
                          <w:rPr>
                            <w:rFonts w:ascii="宋体" w:hAnsi="宋体" w:cs="宋体" w:eastAsia="宋体" w:hint="default"/>
                            <w:sz w:val="18"/>
                            <w:szCs w:val="18"/>
                          </w:rPr>
                          <w:t>同比增长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，主要原因是：公司以有限合伙人身份共同发起设立嘉兴北源投资 合伙企业（有限合伙）所致。</w:t>
                        </w:r>
                      </w:p>
                    </w:tc>
                  </w:tr>
                  <w:tr>
                    <w:trPr>
                      <w:trHeight w:val="40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同比增长</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90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84</w:t>
                        </w:r>
                        <w:r>
                          <w:rPr>
                            <w:rFonts w:ascii="Times New Roman" w:hAnsi="Times New Roman" w:cs="Times New Roman" w:eastAsia="Times New Roman" w:hint="default"/>
                            <w:spacing w:val="-1"/>
                            <w:sz w:val="18"/>
                            <w:szCs w:val="18"/>
                          </w:rPr>
                          <w:t>%</w:t>
                        </w:r>
                        <w:r>
                          <w:rPr>
                            <w:rFonts w:ascii="宋体" w:hAnsi="宋体" w:cs="宋体" w:eastAsia="宋体" w:hint="default"/>
                            <w:spacing w:val="-85"/>
                            <w:sz w:val="18"/>
                            <w:szCs w:val="18"/>
                          </w:rPr>
                          <w:t>，</w:t>
                        </w:r>
                        <w:r>
                          <w:rPr>
                            <w:rFonts w:ascii="宋体" w:hAnsi="宋体" w:cs="宋体" w:eastAsia="宋体" w:hint="default"/>
                            <w:sz w:val="18"/>
                            <w:szCs w:val="18"/>
                          </w:rPr>
                          <w:t>主要原</w:t>
                        </w:r>
                        <w:r>
                          <w:rPr>
                            <w:rFonts w:ascii="宋体" w:hAnsi="宋体" w:cs="宋体" w:eastAsia="宋体" w:hint="default"/>
                            <w:spacing w:val="-3"/>
                            <w:sz w:val="18"/>
                            <w:szCs w:val="18"/>
                          </w:rPr>
                          <w:t>因</w:t>
                        </w:r>
                        <w:r>
                          <w:rPr>
                            <w:rFonts w:ascii="宋体" w:hAnsi="宋体" w:cs="宋体" w:eastAsia="宋体" w:hint="default"/>
                            <w:sz w:val="18"/>
                            <w:szCs w:val="18"/>
                          </w:rPr>
                          <w:t>是</w:t>
                        </w:r>
                        <w:r>
                          <w:rPr>
                            <w:rFonts w:ascii="宋体" w:hAnsi="宋体" w:cs="宋体" w:eastAsia="宋体" w:hint="default"/>
                            <w:spacing w:val="-85"/>
                            <w:sz w:val="18"/>
                            <w:szCs w:val="18"/>
                          </w:rPr>
                          <w:t>：</w:t>
                        </w:r>
                        <w:r>
                          <w:rPr>
                            <w:rFonts w:ascii="宋体" w:hAnsi="宋体" w:cs="宋体" w:eastAsia="宋体" w:hint="default"/>
                            <w:sz w:val="18"/>
                            <w:szCs w:val="18"/>
                          </w:rPr>
                          <w:t>公司存放于银行的现金管理产品计入该项目所致</w:t>
                        </w:r>
                      </w:p>
                    </w:tc>
                  </w:tr>
                </w:tbl>
                <w:p>
                  <w:pPr/>
                </w:p>
              </w:txbxContent>
            </v:textbox>
            <w10:wrap type="none"/>
          </v:shape>
        </w:pict>
      </w:r>
      <w:r>
        <w:rPr/>
        <w:t>。</w:t>
      </w:r>
    </w:p>
    <w:p>
      <w:pPr>
        <w:spacing w:line="240" w:lineRule="auto" w:before="1"/>
        <w:rPr>
          <w:rFonts w:ascii="宋体" w:hAnsi="宋体" w:cs="宋体" w:eastAsia="宋体" w:hint="default"/>
          <w:sz w:val="28"/>
          <w:szCs w:val="28"/>
        </w:rPr>
      </w:pPr>
    </w:p>
    <w:p>
      <w:pPr>
        <w:pStyle w:val="Heading3"/>
        <w:spacing w:line="335" w:lineRule="exact"/>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589"/>
        <w:gridCol w:w="852"/>
        <w:gridCol w:w="848"/>
        <w:gridCol w:w="994"/>
        <w:gridCol w:w="994"/>
        <w:gridCol w:w="1416"/>
        <w:gridCol w:w="857"/>
        <w:gridCol w:w="1078"/>
        <w:gridCol w:w="1070"/>
      </w:tblGrid>
      <w:tr>
        <w:trPr>
          <w:trHeight w:val="1026" w:hRule="exact"/>
        </w:trPr>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58" w:right="0"/>
              <w:jc w:val="left"/>
              <w:rPr>
                <w:rFonts w:ascii="宋体" w:hAnsi="宋体" w:cs="宋体" w:eastAsia="宋体" w:hint="default"/>
                <w:sz w:val="18"/>
                <w:szCs w:val="18"/>
              </w:rPr>
            </w:pPr>
            <w:r>
              <w:rPr>
                <w:rFonts w:ascii="宋体" w:hAnsi="宋体" w:cs="宋体" w:eastAsia="宋体" w:hint="default"/>
                <w:sz w:val="18"/>
                <w:szCs w:val="18"/>
              </w:rPr>
              <w:t>资产的具体内容</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9"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资产规模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所在地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运营模式</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54" w:right="71" w:hanging="180"/>
              <w:jc w:val="left"/>
              <w:rPr>
                <w:rFonts w:ascii="宋体" w:hAnsi="宋体" w:cs="宋体" w:eastAsia="宋体" w:hint="default"/>
                <w:sz w:val="18"/>
                <w:szCs w:val="18"/>
              </w:rPr>
            </w:pPr>
            <w:r>
              <w:rPr>
                <w:rFonts w:ascii="宋体" w:hAnsi="宋体" w:cs="宋体" w:eastAsia="宋体" w:hint="default"/>
                <w:sz w:val="18"/>
                <w:szCs w:val="18"/>
              </w:rPr>
              <w:t>保障资产安全性 的控制措施</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收益状况</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3" w:right="82"/>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79" w:right="79"/>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716"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北信源（马来西亚 信息技术公司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49"/>
              <w:ind w:left="-12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5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533.54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马来西亚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自主经营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-236.14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sz w:val="18"/>
              </w:rPr>
              <w:t>0.24%</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367" w:lineRule="exact"/>
        <w:ind w:right="0"/>
        <w:jc w:val="both"/>
        <w:rPr>
          <w:b w:val="0"/>
          <w:bCs w:val="0"/>
        </w:rPr>
      </w:pPr>
      <w:r>
        <w:rPr/>
        <w:pict>
          <v:group style="position:absolute;margin-left:135.020004pt;margin-top:-47.591499pt;width:42pt;height:35.2pt;mso-position-horizontal-relative:page;mso-position-vertical-relative:paragraph;z-index:-795760" coordorigin="2700,-952" coordsize="840,704">
            <v:group style="position:absolute;left:2700;top:-952;width:840;height:704" coordorigin="2700,-952" coordsize="840,704">
              <v:shape style="position:absolute;left:2700;top:-952;width:840;height:704" coordorigin="2700,-952" coordsize="840,704" path="m2700,-248l3540,-248,3540,-952,2700,-952,2700,-248xe" filled="true" fillcolor="#ffffff" stroked="false">
                <v:path arrowok="t"/>
                <v:fill type="solid"/>
              </v:shape>
            </v:group>
            <v:group style="position:absolute;left:2722;top:-796;width:795;height:392" coordorigin="2722,-796" coordsize="795,392">
              <v:shape style="position:absolute;left:2722;top:-796;width:795;height:392" coordorigin="2722,-796" coordsize="795,392" path="m2722,-405l3516,-405,3516,-796,2722,-796,2722,-405xe" filled="true" fillcolor="#ffffff" stroked="false">
                <v:path arrowok="t"/>
                <v:fill type="solid"/>
              </v:shape>
            </v:group>
            <w10:wrap type="none"/>
          </v:group>
        </w:pict>
      </w:r>
      <w:r>
        <w:rPr/>
        <w:t>三、核心竞争力分析</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60" w:lineRule="auto"/>
        <w:ind w:right="6714"/>
        <w:jc w:val="left"/>
      </w:pPr>
      <w:r>
        <w:rPr/>
        <w:t>公司是否需要遵守特殊行业的披露要求 否</w:t>
      </w:r>
    </w:p>
    <w:p>
      <w:pPr>
        <w:pStyle w:val="BodyText"/>
        <w:spacing w:line="477" w:lineRule="auto" w:before="104"/>
        <w:ind w:left="513" w:right="0"/>
        <w:jc w:val="left"/>
      </w:pPr>
      <w:r>
        <w:rPr/>
        <w:t>报告期内，公司核心竞争力未发生重大变化。 </w:t>
      </w:r>
      <w:r>
        <w:rPr>
          <w:spacing w:val="-2"/>
        </w:rPr>
        <w:t>公司坚持以客户为中心，在发展中不断积累和形成自身的核心竞争力，在竞争中不断打造和强化核心竞争力，使得公司</w:t>
      </w:r>
    </w:p>
    <w:p>
      <w:pPr>
        <w:pStyle w:val="BodyText"/>
        <w:spacing w:line="240" w:lineRule="auto" w:before="54"/>
        <w:ind w:right="0"/>
        <w:jc w:val="both"/>
      </w:pPr>
      <w:r>
        <w:rPr/>
        <w:t>能够在行业内处于领先地位。公司的核心竞争力主要体现在以下几个方面：</w:t>
      </w:r>
    </w:p>
    <w:p>
      <w:pPr>
        <w:spacing w:line="240" w:lineRule="auto" w:before="6"/>
        <w:rPr>
          <w:rFonts w:ascii="宋体" w:hAnsi="宋体" w:cs="宋体" w:eastAsia="宋体" w:hint="default"/>
          <w:sz w:val="13"/>
          <w:szCs w:val="13"/>
        </w:rPr>
      </w:pPr>
    </w:p>
    <w:p>
      <w:pPr>
        <w:pStyle w:val="BodyText"/>
        <w:spacing w:line="403" w:lineRule="auto"/>
        <w:ind w:left="496" w:right="0" w:hanging="87"/>
        <w:jc w:val="left"/>
      </w:pPr>
      <w:r>
        <w:rPr>
          <w:rFonts w:ascii="Microsoft JhengHei" w:hAnsi="Microsoft JhengHei" w:cs="Microsoft JhengHei" w:eastAsia="Microsoft JhengHei" w:hint="default"/>
          <w:b/>
          <w:bCs/>
        </w:rPr>
        <w:t>（一）资质优势</w:t>
      </w:r>
      <w:r>
        <w:rPr>
          <w:rFonts w:ascii="Microsoft JhengHei" w:hAnsi="Microsoft JhengHei" w:cs="Microsoft JhengHei" w:eastAsia="Microsoft JhengHei" w:hint="default"/>
          <w:b/>
          <w:bCs/>
          <w:spacing w:val="-41"/>
        </w:rPr>
        <w:t> </w:t>
      </w:r>
      <w:r>
        <w:rPr>
          <w:rFonts w:ascii="Microsoft JhengHei" w:hAnsi="Microsoft JhengHei" w:cs="Microsoft JhengHei" w:eastAsia="Microsoft JhengHei" w:hint="default"/>
          <w:b/>
          <w:bCs/>
          <w:spacing w:val="-41"/>
        </w:rPr>
      </w:r>
      <w:r>
        <w:rPr>
          <w:spacing w:val="-2"/>
        </w:rPr>
        <w:t>由于行业的特殊性，对行业准入门槛要求较高，行业资质是衡量企业实力的重要标志，也是企业抢占市场份额的关键砝</w:t>
      </w:r>
    </w:p>
    <w:p>
      <w:pPr>
        <w:pStyle w:val="BodyText"/>
        <w:spacing w:line="477" w:lineRule="auto" w:before="110"/>
        <w:ind w:right="151"/>
        <w:jc w:val="both"/>
      </w:pPr>
      <w:r>
        <w:rPr>
          <w:spacing w:val="-2"/>
        </w:rPr>
        <w:t>码。多年来，公司取得了计算机信息系统安全专用产品销售许可证、涉密信息系统集成甲级资质证书、涉密信息系统产品检</w:t>
      </w:r>
      <w:r>
        <w:rPr>
          <w:spacing w:val="-64"/>
        </w:rPr>
        <w:t> </w:t>
      </w:r>
      <w:r>
        <w:rPr>
          <w:spacing w:val="-64"/>
        </w:rPr>
      </w:r>
      <w:r>
        <w:rPr>
          <w:spacing w:val="-2"/>
        </w:rPr>
        <w:t>测证书、商用密码产品生产定点单位证书、军用信息安全产品认证证书、装备承制单位注册证书、商用密码产品销售许可证</w:t>
      </w:r>
      <w:r>
        <w:rPr>
          <w:spacing w:val="-65"/>
        </w:rPr>
        <w:t> </w:t>
      </w:r>
      <w:r>
        <w:rPr>
          <w:spacing w:val="-65"/>
        </w:rPr>
      </w:r>
      <w:r>
        <w:rPr/>
        <w:t>及生产定点单位证书、信息安全服务资质证书、《信息安全管理体系认证证书》等各项专业资质。</w:t>
      </w:r>
    </w:p>
    <w:p>
      <w:pPr>
        <w:pStyle w:val="BodyText"/>
        <w:spacing w:line="240" w:lineRule="auto" w:before="54"/>
        <w:ind w:left="513" w:right="0"/>
        <w:jc w:val="left"/>
      </w:pPr>
      <w:r>
        <w:rPr/>
        <w:t>强有力的资质平台为公司参与行业竞争、夺取优质项目奠定了坚实基础，巩固了企业品牌知名度和行业地位。</w:t>
      </w:r>
    </w:p>
    <w:p>
      <w:pPr>
        <w:spacing w:line="240" w:lineRule="auto" w:before="5"/>
        <w:rPr>
          <w:rFonts w:ascii="宋体" w:hAnsi="宋体" w:cs="宋体" w:eastAsia="宋体" w:hint="default"/>
          <w:sz w:val="13"/>
          <w:szCs w:val="13"/>
        </w:rPr>
      </w:pPr>
    </w:p>
    <w:p>
      <w:pPr>
        <w:spacing w:line="403" w:lineRule="auto" w:before="0"/>
        <w:ind w:left="513" w:right="0" w:hanging="89"/>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（二）领先的技术应用和解决方案能力</w:t>
      </w:r>
      <w:r>
        <w:rPr>
          <w:rFonts w:ascii="Microsoft JhengHei" w:hAnsi="Microsoft JhengHei" w:cs="Microsoft JhengHei" w:eastAsia="Microsoft JhengHei" w:hint="default"/>
          <w:b/>
          <w:bCs/>
          <w:spacing w:val="-36"/>
          <w:sz w:val="18"/>
          <w:szCs w:val="18"/>
        </w:rPr>
        <w:t> </w:t>
      </w:r>
      <w:r>
        <w:rPr>
          <w:rFonts w:ascii="Microsoft JhengHei" w:hAnsi="Microsoft JhengHei" w:cs="Microsoft JhengHei" w:eastAsia="Microsoft JhengHei" w:hint="default"/>
          <w:b/>
          <w:bCs/>
          <w:spacing w:val="-36"/>
          <w:sz w:val="18"/>
          <w:szCs w:val="18"/>
        </w:rPr>
      </w:r>
      <w:r>
        <w:rPr>
          <w:rFonts w:ascii="宋体" w:hAnsi="宋体" w:cs="宋体" w:eastAsia="宋体" w:hint="default"/>
          <w:spacing w:val="-2"/>
          <w:sz w:val="18"/>
          <w:szCs w:val="18"/>
        </w:rPr>
        <w:t>公司作为国内最早进入信息安全领域的企业，长期在信息安全领域精耕细作，秉承专业、专注的技术研发传统，公司拥</w:t>
      </w:r>
    </w:p>
    <w:p>
      <w:pPr>
        <w:pStyle w:val="BodyText"/>
        <w:spacing w:line="240" w:lineRule="auto" w:before="110"/>
        <w:ind w:right="0"/>
        <w:jc w:val="both"/>
      </w:pPr>
      <w:r>
        <w:rPr/>
        <w:t>有领先的技术应用和解决方案创新能力，面对行业客户的应用需求，不断创新和完善应用解决方案，并积极将终端安全和大</w:t>
      </w:r>
    </w:p>
    <w:p>
      <w:pPr>
        <w:spacing w:after="0" w:line="240" w:lineRule="auto"/>
        <w:jc w:val="both"/>
        <w:sectPr>
          <w:pgSz w:w="11910" w:h="16840"/>
          <w:pgMar w:header="745" w:footer="1133" w:top="1060" w:bottom="132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89"/>
        <w:jc w:val="both"/>
      </w:pPr>
      <w:r>
        <w:rPr>
          <w:spacing w:val="-2"/>
        </w:rPr>
        <w:t>数据等技术创新应用到客户解决方案中，致力于为行业提供优质、可靠、成熟的软硬件产品和系统集成方案，在信息安全技</w:t>
      </w:r>
      <w:r>
        <w:rPr>
          <w:spacing w:val="-62"/>
        </w:rPr>
        <w:t> </w:t>
      </w:r>
      <w:r>
        <w:rPr>
          <w:spacing w:val="-62"/>
        </w:rPr>
      </w:r>
      <w:r>
        <w:rPr/>
        <w:t>术相关领域拥有高度的话语权和市场地位。</w:t>
      </w:r>
    </w:p>
    <w:p>
      <w:pPr>
        <w:pStyle w:val="BodyText"/>
        <w:spacing w:line="477" w:lineRule="auto" w:before="54"/>
        <w:ind w:right="94" w:firstLine="360"/>
        <w:jc w:val="left"/>
      </w:pPr>
      <w:r>
        <w:rPr/>
        <w:t>公司不仅拥有以博士、硕士为骨干的专业研发团队，同时公司建立并不断优化完善技术创新机制，从人才引进、培养、 </w:t>
      </w:r>
      <w:r>
        <w:rPr>
          <w:spacing w:val="-2"/>
        </w:rPr>
        <w:t>激励、技术和产品应用保障、知识产权保护、研发成果推广等方面入手，通过改进技术创新流程加快创新步骤，保障人才队</w:t>
      </w:r>
      <w:r>
        <w:rPr>
          <w:spacing w:val="-67"/>
        </w:rPr>
        <w:t> </w:t>
      </w:r>
      <w:r>
        <w:rPr>
          <w:spacing w:val="-67"/>
        </w:rPr>
      </w:r>
      <w:r>
        <w:rPr>
          <w:spacing w:val="-2"/>
        </w:rPr>
        <w:t>伍稳定发展，激发企业创新活力，确保公司能够根据行业需求不断推出具有前瞻性和竞争力的解决方案和服务。与此同时公</w:t>
      </w:r>
      <w:r>
        <w:rPr>
          <w:spacing w:val="-63"/>
        </w:rPr>
        <w:t> </w:t>
      </w:r>
      <w:r>
        <w:rPr>
          <w:spacing w:val="-63"/>
        </w:rPr>
      </w:r>
      <w:r>
        <w:rPr/>
        <w:t>司还拥有成熟的销售团队，为公司自主研发及市场开拓奠定了坚实基础。</w:t>
      </w:r>
    </w:p>
    <w:p>
      <w:pPr>
        <w:pStyle w:val="BodyText"/>
        <w:spacing w:line="477" w:lineRule="auto" w:before="54"/>
        <w:ind w:right="94" w:firstLine="360"/>
        <w:jc w:val="left"/>
      </w:pPr>
      <w:r>
        <w:rPr>
          <w:spacing w:val="-2"/>
        </w:rPr>
        <w:t>报告期内，公司高度重视产品研发的投入和自身研发综合实力的提升，针对行业发展趋势，大力开展技术创新，践行行</w:t>
      </w:r>
      <w:r>
        <w:rPr/>
        <w:t> 业应用实践。</w:t>
      </w:r>
    </w:p>
    <w:p>
      <w:pPr>
        <w:pStyle w:val="BodyText"/>
        <w:spacing w:line="403" w:lineRule="auto"/>
        <w:ind w:left="513" w:right="94" w:hanging="89"/>
        <w:jc w:val="left"/>
      </w:pPr>
      <w:r>
        <w:rPr>
          <w:rFonts w:ascii="Microsoft JhengHei" w:hAnsi="Microsoft JhengHei" w:cs="Microsoft JhengHei" w:eastAsia="Microsoft JhengHei" w:hint="default"/>
          <w:b/>
          <w:bCs/>
        </w:rPr>
        <w:t>（三）优质的客户资源</w:t>
      </w:r>
      <w:r>
        <w:rPr>
          <w:rFonts w:ascii="Microsoft JhengHei" w:hAnsi="Microsoft JhengHei" w:cs="Microsoft JhengHei" w:eastAsia="Microsoft JhengHei" w:hint="default"/>
          <w:b/>
          <w:bCs/>
          <w:spacing w:val="-40"/>
        </w:rPr>
        <w:t> </w:t>
      </w:r>
      <w:r>
        <w:rPr>
          <w:rFonts w:ascii="Microsoft JhengHei" w:hAnsi="Microsoft JhengHei" w:cs="Microsoft JhengHei" w:eastAsia="Microsoft JhengHei" w:hint="default"/>
          <w:b/>
          <w:bCs/>
          <w:spacing w:val="-40"/>
        </w:rPr>
      </w:r>
      <w:r>
        <w:rPr>
          <w:spacing w:val="-2"/>
        </w:rPr>
        <w:t>随着技术的持续创新、业务体系的不断完善，公司与大批优质客户形成了稳定的合作关系，庞大的客户需求促进了公司</w:t>
      </w:r>
    </w:p>
    <w:p>
      <w:pPr>
        <w:pStyle w:val="BodyText"/>
        <w:spacing w:line="477" w:lineRule="auto" w:before="110"/>
        <w:ind w:right="190"/>
        <w:jc w:val="both"/>
      </w:pPr>
      <w:r>
        <w:rPr>
          <w:spacing w:val="-2"/>
        </w:rPr>
        <w:t>业务规模效应的持续提升，公司的盈利能力得到了稳步增长，进一步巩固公司的行业地位。同时公司凭借领先的技术与卓越</w:t>
      </w:r>
      <w:r>
        <w:rPr>
          <w:spacing w:val="-63"/>
        </w:rPr>
        <w:t> </w:t>
      </w:r>
      <w:r>
        <w:rPr>
          <w:spacing w:val="-63"/>
        </w:rPr>
      </w:r>
      <w:r>
        <w:rPr>
          <w:spacing w:val="-2"/>
        </w:rPr>
        <w:t>的服务，产品被广泛应用于政府部门、军队及军工、能源、金融等不同类型的重要领域大型国有企事业单位。目前客户端的</w:t>
      </w:r>
      <w:r>
        <w:rPr>
          <w:spacing w:val="-65"/>
        </w:rPr>
        <w:t> </w:t>
      </w:r>
      <w:r>
        <w:rPr>
          <w:spacing w:val="-65"/>
        </w:rPr>
      </w:r>
      <w:r>
        <w:rPr/>
        <w:t>用户数量已超过数千万，管理的网络达数千个，涉及各行业上千家用户。</w:t>
      </w:r>
    </w:p>
    <w:p>
      <w:pPr>
        <w:pStyle w:val="BodyText"/>
        <w:spacing w:line="477" w:lineRule="auto" w:before="54"/>
        <w:ind w:right="94" w:firstLine="360"/>
        <w:jc w:val="left"/>
      </w:pPr>
      <w:r>
        <w:rPr>
          <w:spacing w:val="-2"/>
        </w:rPr>
        <w:t>基于公司终端安全管理产品已大规模部署于政府、军队军工、金融、能源等重要行业数千万终端的强大基础，北信源大</w:t>
      </w:r>
      <w:r>
        <w:rPr/>
        <w:t> 数据分析系统能够快速进行部署，为国家关键信息基础设施和重要信息系统提供安全保障。</w:t>
      </w:r>
    </w:p>
    <w:p>
      <w:pPr>
        <w:pStyle w:val="BodyText"/>
        <w:spacing w:line="477" w:lineRule="auto" w:before="54"/>
        <w:ind w:right="191" w:firstLine="360"/>
        <w:jc w:val="both"/>
      </w:pPr>
      <w:r>
        <w:rPr>
          <w:spacing w:val="-2"/>
        </w:rPr>
        <w:t>公司将以现有客户群体为基础，推广自主研发产品新一代安全、开放、互联、聚合的平台化产品信源豆豆</w:t>
      </w:r>
      <w:r>
        <w:rPr>
          <w:rFonts w:ascii="宋体" w:hAnsi="宋体" w:cs="宋体" w:eastAsia="宋体" w:hint="default"/>
          <w:spacing w:val="-2"/>
        </w:rPr>
        <w:t>Linkdood</w:t>
      </w:r>
      <w:r>
        <w:rPr>
          <w:spacing w:val="-2"/>
        </w:rPr>
        <w:t>，在</w:t>
      </w:r>
      <w:r>
        <w:rPr>
          <w:spacing w:val="-17"/>
        </w:rPr>
        <w:t> </w:t>
      </w:r>
      <w:r>
        <w:rPr>
          <w:spacing w:val="-2"/>
        </w:rPr>
        <w:t>原有安全产品、服务的基础上进一步为客户提供跨终端、全方位、安全可信的通信聚合平台，为企业和互联网用户提供即时</w:t>
      </w:r>
      <w:r>
        <w:rPr>
          <w:spacing w:val="-65"/>
        </w:rPr>
        <w:t> </w:t>
      </w:r>
      <w:r>
        <w:rPr>
          <w:spacing w:val="-65"/>
        </w:rPr>
      </w:r>
      <w:r>
        <w:rPr/>
        <w:t>通讯、协同办公、任务管理、</w:t>
      </w:r>
      <w:r>
        <w:rPr>
          <w:rFonts w:ascii="宋体" w:hAnsi="宋体" w:cs="宋体" w:eastAsia="宋体" w:hint="default"/>
        </w:rPr>
        <w:t>ERP</w:t>
      </w:r>
      <w:r>
        <w:rPr/>
        <w:t>改造、应用开发、万物互联、互联互通、聚合推广等多层的平台服务。</w:t>
      </w:r>
    </w:p>
    <w:p>
      <w:pPr>
        <w:pStyle w:val="BodyText"/>
        <w:spacing w:line="403" w:lineRule="auto"/>
        <w:ind w:left="513" w:right="94" w:hanging="89"/>
        <w:jc w:val="left"/>
      </w:pPr>
      <w:r>
        <w:rPr>
          <w:rFonts w:ascii="Microsoft JhengHei" w:hAnsi="Microsoft JhengHei" w:cs="Microsoft JhengHei" w:eastAsia="Microsoft JhengHei" w:hint="default"/>
          <w:b/>
          <w:bCs/>
        </w:rPr>
        <w:t>（四）行业经验优势</w:t>
      </w:r>
      <w:r>
        <w:rPr>
          <w:rFonts w:ascii="Microsoft JhengHei" w:hAnsi="Microsoft JhengHei" w:cs="Microsoft JhengHei" w:eastAsia="Microsoft JhengHei" w:hint="default"/>
          <w:b/>
          <w:bCs/>
          <w:spacing w:val="-40"/>
        </w:rPr>
        <w:t> </w:t>
      </w:r>
      <w:r>
        <w:rPr>
          <w:rFonts w:ascii="Microsoft JhengHei" w:hAnsi="Microsoft JhengHei" w:cs="Microsoft JhengHei" w:eastAsia="Microsoft JhengHei" w:hint="default"/>
          <w:b/>
          <w:bCs/>
          <w:spacing w:val="-40"/>
        </w:rPr>
      </w:r>
      <w:r>
        <w:rPr>
          <w:spacing w:val="-2"/>
        </w:rPr>
        <w:t>由于政府部门、军工企业以及金融、能源等行业的信息网络和系统有其特殊性，因而信息安全建设需要在遵守国家等级</w:t>
      </w:r>
    </w:p>
    <w:p>
      <w:pPr>
        <w:pStyle w:val="BodyText"/>
        <w:spacing w:line="477" w:lineRule="auto" w:before="110"/>
        <w:ind w:right="192"/>
        <w:jc w:val="both"/>
      </w:pPr>
      <w:r>
        <w:rPr>
          <w:spacing w:val="-2"/>
        </w:rPr>
        <w:t>保护和分级保护等政策规定的基础上结合行业特点进行。只有对上述行业信息系统及其管理模式、业务特点进行全面和系统</w:t>
      </w:r>
      <w:r>
        <w:rPr>
          <w:spacing w:val="-64"/>
        </w:rPr>
        <w:t> </w:t>
      </w:r>
      <w:r>
        <w:rPr>
          <w:spacing w:val="-64"/>
        </w:rPr>
      </w:r>
      <w:r>
        <w:rPr>
          <w:spacing w:val="-2"/>
        </w:rPr>
        <w:t>的分析，才能开发出满足需求的终端安全管理产品和数据安全管理产品。作为少数在终端安全管理市场和数据安全管理市场</w:t>
      </w:r>
      <w:r>
        <w:rPr>
          <w:spacing w:val="-64"/>
        </w:rPr>
        <w:t> </w:t>
      </w:r>
      <w:r>
        <w:rPr>
          <w:spacing w:val="-64"/>
        </w:rPr>
      </w:r>
      <w:r>
        <w:rPr>
          <w:spacing w:val="-2"/>
        </w:rPr>
        <w:t>具有较强自主研发能力并拥有大量优质客户资源的民族企业，公司凭借与客户长期合作积累的丰富经验，能针对客户的个性</w:t>
      </w:r>
      <w:r>
        <w:rPr>
          <w:spacing w:val="-64"/>
        </w:rPr>
        <w:t> </w:t>
      </w:r>
      <w:r>
        <w:rPr>
          <w:spacing w:val="-64"/>
        </w:rPr>
      </w:r>
      <w:r>
        <w:rPr/>
        <w:t>化需求，迅速提出完整的、优化的、个性化的解决方案，具有较强的竞争优势。</w:t>
      </w:r>
    </w:p>
    <w:p>
      <w:pPr>
        <w:pStyle w:val="BodyText"/>
        <w:spacing w:line="477" w:lineRule="auto" w:before="95"/>
        <w:ind w:right="94" w:firstLine="360"/>
        <w:jc w:val="left"/>
      </w:pPr>
      <w:r>
        <w:rPr>
          <w:spacing w:val="-2"/>
        </w:rPr>
        <w:t>公司丰富的营销服务经验、成功的实战案例、高水平的服务团队以及系统的服务支持，获得了客户的认可，具有持续行</w:t>
      </w:r>
      <w:r>
        <w:rPr/>
        <w:t> 业经验优势。</w:t>
      </w:r>
    </w:p>
    <w:p>
      <w:pPr>
        <w:spacing w:line="434" w:lineRule="auto" w:before="35"/>
        <w:ind w:left="515" w:right="94" w:hanging="92"/>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（五）稳定专业的核心团队优势</w:t>
      </w:r>
      <w:r>
        <w:rPr>
          <w:rFonts w:ascii="Microsoft JhengHei" w:hAnsi="Microsoft JhengHei" w:cs="Microsoft JhengHei" w:eastAsia="Microsoft JhengHei" w:hint="default"/>
          <w:b/>
          <w:bCs/>
          <w:spacing w:val="-37"/>
          <w:sz w:val="18"/>
          <w:szCs w:val="18"/>
        </w:rPr>
        <w:t> </w:t>
      </w:r>
      <w:r>
        <w:rPr>
          <w:rFonts w:ascii="Microsoft JhengHei" w:hAnsi="Microsoft JhengHei" w:cs="Microsoft JhengHei" w:eastAsia="Microsoft JhengHei" w:hint="default"/>
          <w:b/>
          <w:bCs/>
          <w:spacing w:val="-37"/>
          <w:sz w:val="18"/>
          <w:szCs w:val="18"/>
        </w:rPr>
      </w:r>
      <w:r>
        <w:rPr>
          <w:rFonts w:ascii="宋体" w:hAnsi="宋体" w:cs="宋体" w:eastAsia="宋体" w:hint="default"/>
          <w:spacing w:val="-2"/>
          <w:sz w:val="18"/>
          <w:szCs w:val="18"/>
        </w:rPr>
        <w:t>公司自成立以来，十分注重对人才的挖掘培养和组织的建设，目前已经建立了较为完善的研发、测试、销售、技术支持</w:t>
      </w:r>
    </w:p>
    <w:p>
      <w:pPr>
        <w:pStyle w:val="BodyText"/>
        <w:spacing w:line="240" w:lineRule="auto" w:before="87"/>
        <w:ind w:right="0"/>
        <w:jc w:val="both"/>
      </w:pPr>
      <w:r>
        <w:rPr>
          <w:spacing w:val="-4"/>
        </w:rPr>
        <w:t>与服务、管理等系统化专业体系。公司核心团队稳定，具有强大的技术实力和管理能力，能够准确把握行业发展趋势和方向，</w:t>
      </w:r>
    </w:p>
    <w:p>
      <w:pPr>
        <w:spacing w:after="0" w:line="240" w:lineRule="auto"/>
        <w:jc w:val="both"/>
        <w:sectPr>
          <w:pgSz w:w="11910" w:h="16840"/>
          <w:pgMar w:header="745" w:footer="1133" w:top="1060" w:bottom="132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515" w:right="94" w:hanging="363"/>
        <w:jc w:val="left"/>
      </w:pPr>
      <w:r>
        <w:rPr/>
        <w:t>发现行业新的利润增长点，提升公司长期持续经营能力。 </w:t>
      </w:r>
      <w:r>
        <w:rPr>
          <w:spacing w:val="-2"/>
        </w:rPr>
        <w:t>公司管理团队在管理、技术、市场等方面各有所长，分工明确，配合默契，对于公司长期发展战略和经营理念形成了共</w:t>
      </w:r>
    </w:p>
    <w:p>
      <w:pPr>
        <w:pStyle w:val="BodyText"/>
        <w:spacing w:line="477" w:lineRule="auto" w:before="54"/>
        <w:ind w:right="94"/>
        <w:jc w:val="left"/>
      </w:pPr>
      <w:r>
        <w:rPr>
          <w:spacing w:val="-2"/>
        </w:rPr>
        <w:t>识，善于把握市场机遇，勇于进取、乐于创新、富有创业精神。此外，公司通过引进人才、骨干成员持股等方式，逐步建立</w:t>
      </w:r>
      <w:r>
        <w:rPr>
          <w:spacing w:val="-65"/>
        </w:rPr>
        <w:t> </w:t>
      </w:r>
      <w:r>
        <w:rPr>
          <w:spacing w:val="-65"/>
        </w:rPr>
      </w:r>
      <w:r>
        <w:rPr/>
        <w:t>并完善了法人治理结构和激励机制，公司凝聚力和核心员工的稳定性也不断增强。</w:t>
      </w:r>
    </w:p>
    <w:p>
      <w:pPr>
        <w:pStyle w:val="BodyText"/>
        <w:spacing w:line="403" w:lineRule="auto"/>
        <w:ind w:left="515" w:right="94" w:hanging="92"/>
        <w:jc w:val="left"/>
      </w:pPr>
      <w:r>
        <w:rPr>
          <w:rFonts w:ascii="Microsoft JhengHei" w:hAnsi="Microsoft JhengHei" w:cs="Microsoft JhengHei" w:eastAsia="Microsoft JhengHei" w:hint="default"/>
          <w:b/>
          <w:bCs/>
        </w:rPr>
        <w:t>（六）品牌优势</w:t>
      </w:r>
      <w:r>
        <w:rPr>
          <w:rFonts w:ascii="Microsoft JhengHei" w:hAnsi="Microsoft JhengHei" w:cs="Microsoft JhengHei" w:eastAsia="Microsoft JhengHei" w:hint="default"/>
          <w:b/>
          <w:bCs/>
          <w:spacing w:val="-41"/>
        </w:rPr>
        <w:t> </w:t>
      </w:r>
      <w:r>
        <w:rPr>
          <w:rFonts w:ascii="Microsoft JhengHei" w:hAnsi="Microsoft JhengHei" w:cs="Microsoft JhengHei" w:eastAsia="Microsoft JhengHei" w:hint="default"/>
          <w:b/>
          <w:bCs/>
          <w:spacing w:val="-41"/>
        </w:rPr>
      </w:r>
      <w:r>
        <w:rPr>
          <w:spacing w:val="-2"/>
        </w:rPr>
        <w:t>公司自成立之初便一直注重品牌的培育和发展，致力于成为国内信息安全行业具有主导地位的产品和服务提供商。报告</w:t>
      </w:r>
    </w:p>
    <w:p>
      <w:pPr>
        <w:pStyle w:val="BodyText"/>
        <w:spacing w:line="477" w:lineRule="auto" w:before="110"/>
        <w:ind w:right="184"/>
        <w:jc w:val="left"/>
      </w:pPr>
      <w:r>
        <w:rPr/>
        <w:t>期内</w:t>
      </w:r>
      <w:r>
        <w:rPr>
          <w:rFonts w:ascii="宋体" w:hAnsi="宋体" w:cs="宋体" w:eastAsia="宋体" w:hint="default"/>
        </w:rPr>
        <w:t>,</w:t>
      </w:r>
      <w:r>
        <w:rPr/>
        <w:t>全国政协十二届五次会议及十二届全国人大五次会议先后在人民大会堂开幕，公司作为技术保障组成员单位，连续第 </w:t>
      </w:r>
      <w:r>
        <w:rPr>
          <w:rFonts w:ascii="宋体" w:hAnsi="宋体" w:cs="宋体" w:eastAsia="宋体" w:hint="default"/>
        </w:rPr>
        <w:t>17</w:t>
      </w:r>
      <w:r>
        <w:rPr/>
        <w:t>年参与两会信息安保服务工作。</w:t>
      </w:r>
    </w:p>
    <w:p>
      <w:pPr>
        <w:pStyle w:val="BodyText"/>
        <w:spacing w:line="477" w:lineRule="auto" w:before="54"/>
        <w:ind w:right="100" w:firstLine="360"/>
        <w:jc w:val="both"/>
      </w:pPr>
      <w:r>
        <w:rPr>
          <w:spacing w:val="-2"/>
        </w:rPr>
        <w:t>公司荣获“2017年度中国网络信息安全值得信赖品牌奖”，“金骏马科技创新上市公司奖”收到赛迪顾问股份有限公司</w:t>
      </w:r>
      <w:r>
        <w:rPr/>
        <w:t> </w:t>
      </w:r>
      <w:r>
        <w:rPr>
          <w:spacing w:val="-2"/>
        </w:rPr>
        <w:t>颁发的《</w:t>
      </w:r>
      <w:r>
        <w:rPr>
          <w:rFonts w:ascii="宋体" w:hAnsi="宋体" w:cs="宋体" w:eastAsia="宋体" w:hint="default"/>
          <w:spacing w:val="-2"/>
        </w:rPr>
        <w:t>2017-2018</w:t>
      </w:r>
      <w:r>
        <w:rPr>
          <w:spacing w:val="-2"/>
        </w:rPr>
        <w:t>中国终端安全管理市场市场占有率第一》证书，在终端安全管理市场公司已连续十二年市场占有率第一。</w:t>
      </w:r>
    </w:p>
    <w:p>
      <w:pPr>
        <w:pStyle w:val="BodyText"/>
        <w:spacing w:line="477" w:lineRule="auto" w:before="54"/>
        <w:ind w:right="188" w:firstLine="360"/>
        <w:jc w:val="both"/>
      </w:pPr>
      <w:r>
        <w:rPr>
          <w:spacing w:val="-2"/>
        </w:rPr>
        <w:t>报告期内，公司受邀参加“2017中国网络信息安全峰会”并荣获“</w:t>
      </w:r>
      <w:r>
        <w:rPr>
          <w:rFonts w:ascii="宋体" w:hAnsi="宋体" w:cs="宋体" w:eastAsia="宋体" w:hint="default"/>
          <w:spacing w:val="-2"/>
        </w:rPr>
        <w:t>2017</w:t>
      </w:r>
      <w:r>
        <w:rPr>
          <w:spacing w:val="-2"/>
        </w:rPr>
        <w:t>年度中国网络信息安全值得信赖品牌奖”；参加</w:t>
      </w:r>
      <w:r>
        <w:rPr/>
        <w:t> 了第六届全国网络安全等级保护技术大会；同时公司还参加了在美国旧金山莫斯康恩会展中心召开的</w:t>
      </w:r>
      <w:r>
        <w:rPr>
          <w:rFonts w:ascii="宋体" w:hAnsi="宋体" w:cs="宋体" w:eastAsia="宋体" w:hint="default"/>
        </w:rPr>
        <w:t>RSA Conference</w:t>
      </w:r>
      <w:r>
        <w:rPr>
          <w:rFonts w:ascii="宋体" w:hAnsi="宋体" w:cs="宋体" w:eastAsia="宋体" w:hint="default"/>
          <w:spacing w:val="-4"/>
        </w:rPr>
        <w:t> </w:t>
      </w:r>
      <w:r>
        <w:rPr>
          <w:rFonts w:ascii="宋体" w:hAnsi="宋体" w:cs="宋体" w:eastAsia="宋体" w:hint="default"/>
        </w:rPr>
        <w:t>2017</w:t>
      </w:r>
      <w:r>
        <w:rPr>
          <w:rFonts w:ascii="宋体" w:hAnsi="宋体" w:cs="宋体" w:eastAsia="宋体" w:hint="default"/>
        </w:rPr>
        <w:t> </w:t>
      </w:r>
      <w:r>
        <w:rPr>
          <w:spacing w:val="-2"/>
        </w:rPr>
        <w:t>信息安全大会，在大会上，向世界展示了信源豆豆</w:t>
      </w:r>
      <w:r>
        <w:rPr>
          <w:rFonts w:ascii="宋体" w:hAnsi="宋体" w:cs="宋体" w:eastAsia="宋体" w:hint="default"/>
          <w:spacing w:val="-2"/>
        </w:rPr>
        <w:t>Linkdood</w:t>
      </w:r>
      <w:r>
        <w:rPr>
          <w:spacing w:val="-2"/>
        </w:rPr>
        <w:t>、</w:t>
      </w:r>
      <w:r>
        <w:rPr>
          <w:rFonts w:ascii="宋体" w:hAnsi="宋体" w:cs="宋体" w:eastAsia="宋体" w:hint="default"/>
          <w:spacing w:val="-2"/>
        </w:rPr>
        <w:t>Smart</w:t>
      </w:r>
      <w:r>
        <w:rPr>
          <w:rFonts w:ascii="宋体" w:hAnsi="宋体" w:cs="宋体" w:eastAsia="宋体" w:hint="default"/>
        </w:rPr>
        <w:t> </w:t>
      </w:r>
      <w:r>
        <w:rPr>
          <w:rFonts w:ascii="宋体" w:hAnsi="宋体" w:cs="宋体" w:eastAsia="宋体" w:hint="default"/>
          <w:spacing w:val="-1"/>
        </w:rPr>
        <w:t>Switch</w:t>
      </w:r>
      <w:r>
        <w:rPr>
          <w:spacing w:val="-1"/>
        </w:rPr>
        <w:t>智能开关等多款自主研发安全新品及其它信息安</w:t>
      </w:r>
      <w:r>
        <w:rPr>
          <w:spacing w:val="-82"/>
        </w:rPr>
        <w:t> </w:t>
      </w:r>
      <w:r>
        <w:rPr>
          <w:spacing w:val="-82"/>
        </w:rPr>
      </w:r>
      <w:r>
        <w:rPr/>
        <w:t>全产品。</w:t>
      </w:r>
    </w:p>
    <w:p>
      <w:pPr>
        <w:pStyle w:val="BodyText"/>
        <w:spacing w:line="477" w:lineRule="auto" w:before="54"/>
        <w:ind w:right="191" w:firstLine="360"/>
        <w:jc w:val="both"/>
      </w:pPr>
      <w:r>
        <w:rPr>
          <w:spacing w:val="-2"/>
        </w:rPr>
        <w:t>随着信息安全的全球化发展，中国信息安全厂商在自主知识产权技术、产品及服务等方面已具备同外国企业同场竞争的</w:t>
      </w:r>
      <w:r>
        <w:rPr/>
        <w:t> 实力和信心。公司将适时的开拓国际市场，推动中国由网络大国向网络强国迈进。公司“北信源</w:t>
      </w:r>
      <w:r>
        <w:rPr>
          <w:rFonts w:ascii="宋体" w:hAnsi="宋体" w:cs="宋体" w:eastAsia="宋体" w:hint="default"/>
        </w:rPr>
        <w:t>VRV</w:t>
      </w:r>
      <w:r>
        <w:rPr/>
        <w:t>”品牌作为信息安全领 域的知名品牌，已成为产品质量的保证。</w:t>
      </w:r>
    </w:p>
    <w:p>
      <w:pPr>
        <w:spacing w:line="403" w:lineRule="auto" w:before="0"/>
        <w:ind w:left="513" w:right="94" w:hanging="89"/>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（七）覆盖广泛的营销服务体系优势</w:t>
      </w:r>
      <w:r>
        <w:rPr>
          <w:rFonts w:ascii="Microsoft JhengHei" w:hAnsi="Microsoft JhengHei" w:cs="Microsoft JhengHei" w:eastAsia="Microsoft JhengHei" w:hint="default"/>
          <w:b/>
          <w:bCs/>
          <w:spacing w:val="-36"/>
          <w:sz w:val="18"/>
          <w:szCs w:val="18"/>
        </w:rPr>
        <w:t> </w:t>
      </w:r>
      <w:r>
        <w:rPr>
          <w:rFonts w:ascii="Microsoft JhengHei" w:hAnsi="Microsoft JhengHei" w:cs="Microsoft JhengHei" w:eastAsia="Microsoft JhengHei" w:hint="default"/>
          <w:b/>
          <w:bCs/>
          <w:spacing w:val="-36"/>
          <w:sz w:val="18"/>
          <w:szCs w:val="18"/>
        </w:rPr>
      </w:r>
      <w:r>
        <w:rPr>
          <w:rFonts w:ascii="宋体" w:hAnsi="宋体" w:cs="宋体" w:eastAsia="宋体" w:hint="default"/>
          <w:spacing w:val="-2"/>
          <w:sz w:val="18"/>
          <w:szCs w:val="18"/>
        </w:rPr>
        <w:t>公司总部位于北京，下设多个全资子分公司及五大研发中心。拥有</w:t>
      </w:r>
      <w:r>
        <w:rPr>
          <w:rFonts w:ascii="宋体" w:hAnsi="宋体" w:cs="宋体" w:eastAsia="宋体" w:hint="default"/>
          <w:spacing w:val="-2"/>
          <w:sz w:val="18"/>
          <w:szCs w:val="18"/>
        </w:rPr>
        <w:t>1200</w:t>
      </w:r>
      <w:r>
        <w:rPr>
          <w:rFonts w:ascii="宋体" w:hAnsi="宋体" w:cs="宋体" w:eastAsia="宋体" w:hint="default"/>
          <w:spacing w:val="-2"/>
          <w:sz w:val="18"/>
          <w:szCs w:val="18"/>
        </w:rPr>
        <w:t>多名信息安全专业研发、咨询与服务人员，构建</w:t>
      </w:r>
    </w:p>
    <w:p>
      <w:pPr>
        <w:pStyle w:val="BodyText"/>
        <w:spacing w:line="477" w:lineRule="auto" w:before="110"/>
        <w:ind w:right="94"/>
        <w:jc w:val="left"/>
      </w:pPr>
      <w:r>
        <w:rPr>
          <w:spacing w:val="-2"/>
        </w:rPr>
        <w:t>了全国七大区、近三十个省市的营销与服务网络，具有较强的跨区域经营能力，经过自身业务的发展以及与各分子公司的协</w:t>
      </w:r>
      <w:r>
        <w:rPr>
          <w:spacing w:val="-63"/>
        </w:rPr>
        <w:t> </w:t>
      </w:r>
      <w:r>
        <w:rPr>
          <w:spacing w:val="-63"/>
        </w:rPr>
      </w:r>
      <w:r>
        <w:rPr/>
        <w:t>同发展，为用户提供业界领先的产品与服务。</w:t>
      </w:r>
    </w:p>
    <w:p>
      <w:pPr>
        <w:pStyle w:val="BodyText"/>
        <w:spacing w:line="477" w:lineRule="auto" w:before="55"/>
        <w:ind w:right="94" w:firstLine="360"/>
        <w:jc w:val="left"/>
      </w:pPr>
      <w:r>
        <w:rPr>
          <w:spacing w:val="-2"/>
        </w:rPr>
        <w:t>公司先后收到中国电子科技集团公司第十五研究所、国网四川电力公司、国网宁夏电力公司发来的感谢信和表扬信，四</w:t>
      </w:r>
      <w:r>
        <w:rPr/>
        <w:t> 家客户均对公司及其相关技术人员在进行桌面终端管理系统驻场运维服务中所展现出的专业素养与敬业精神给予高度肯定； 五月席卷全球的勒索病毒攻击事态渐息，公司先后收到公安部以及陕西、河南、江苏、福建、浙江、甘肃、黑龙江、北京、 </w:t>
      </w:r>
      <w:r>
        <w:rPr>
          <w:spacing w:val="-2"/>
        </w:rPr>
        <w:t>深圳、武汉、苏州、宁夏、内蒙古在内的二十多个省市、自治区、直辖市公安系统发来的感谢信函，各方均对北信源在应对</w:t>
      </w:r>
      <w:r>
        <w:rPr>
          <w:spacing w:val="-71"/>
        </w:rPr>
        <w:t> </w:t>
      </w:r>
      <w:r>
        <w:rPr>
          <w:spacing w:val="-71"/>
        </w:rPr>
      </w:r>
      <w:r>
        <w:rPr/>
        <w:t>勒索病毒事件过程中展示的专业能力与服务意识给予了高度认可与由衷感谢。</w:t>
      </w:r>
    </w:p>
    <w:p>
      <w:pPr>
        <w:pStyle w:val="BodyText"/>
        <w:spacing w:line="477" w:lineRule="auto" w:before="54"/>
        <w:ind w:right="190" w:firstLine="360"/>
        <w:jc w:val="both"/>
      </w:pPr>
      <w:r>
        <w:rPr>
          <w:spacing w:val="-2"/>
        </w:rPr>
        <w:t>公司凭借在信息安全领域的技术优势和项目经验，对行业经营特点、管理模式、业务流程有着深入而全面的理解，在长</w:t>
      </w:r>
      <w:r>
        <w:rPr/>
        <w:t> </w:t>
      </w:r>
      <w:r>
        <w:rPr>
          <w:spacing w:val="-2"/>
        </w:rPr>
        <w:t>期的服务过程中形成了稳固的客户群体，为后续开展系统维护升级、改造服务奠定了坚实的用户基础；公司打造了一支专业</w:t>
      </w:r>
      <w:r>
        <w:rPr>
          <w:spacing w:val="-63"/>
        </w:rPr>
        <w:t> </w:t>
      </w:r>
      <w:r>
        <w:rPr>
          <w:spacing w:val="-63"/>
        </w:rPr>
      </w:r>
      <w:r>
        <w:rPr>
          <w:spacing w:val="-2"/>
        </w:rPr>
        <w:t>素质高、实施能力强、服务意识优的运行维护团队，依托在各重点区域市场设立的分支机构，为客户提供多层次、低成本的</w:t>
      </w:r>
    </w:p>
    <w:p>
      <w:pPr>
        <w:pStyle w:val="BodyText"/>
        <w:spacing w:line="240" w:lineRule="auto" w:before="54"/>
        <w:ind w:right="0"/>
        <w:jc w:val="left"/>
      </w:pPr>
      <w:r>
        <w:rPr/>
        <w:t>高效本地化服务；公司根据系统运行期限和行业最新技术动态，适时引导客户进行技术升级和改造，通过提供运行维护增值</w:t>
      </w:r>
    </w:p>
    <w:p>
      <w:pPr>
        <w:spacing w:after="0" w:line="240" w:lineRule="auto"/>
        <w:jc w:val="left"/>
        <w:sectPr>
          <w:pgSz w:w="11910" w:h="16840"/>
          <w:pgMar w:header="745" w:footer="1133" w:top="1060" w:bottom="132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pPr>
      <w:r>
        <w:rPr/>
        <w:t>服务，增强公司盈利能力。</w:t>
      </w:r>
    </w:p>
    <w:p>
      <w:pPr>
        <w:spacing w:after="0" w:line="240" w:lineRule="auto"/>
        <w:jc w:val="left"/>
        <w:sectPr>
          <w:pgSz w:w="11910" w:h="16840"/>
          <w:pgMar w:header="745" w:footer="1133" w:top="1060" w:bottom="13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456" w:lineRule="exact"/>
        <w:ind w:left="2964" w:right="0"/>
        <w:jc w:val="left"/>
        <w:rPr>
          <w:b w:val="0"/>
          <w:bCs w:val="0"/>
        </w:rPr>
      </w:pPr>
      <w:bookmarkStart w:name="_TOC_250008" w:id="4"/>
      <w:r>
        <w:rPr/>
        <w:t>第四节 </w:t>
      </w:r>
      <w:r>
        <w:rPr>
          <w:spacing w:val="11"/>
        </w:rPr>
        <w:t> </w:t>
      </w:r>
      <w:r>
        <w:rPr/>
        <w:t>经营情况讨论与分析</w:t>
      </w:r>
      <w:bookmarkEnd w:id="4"/>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一、概述</w:t>
      </w:r>
      <w:r>
        <w:rPr>
          <w:b w:val="0"/>
          <w:bCs w:val="0"/>
        </w:rPr>
      </w:r>
    </w:p>
    <w:p>
      <w:pPr>
        <w:spacing w:line="240" w:lineRule="auto" w:before="15"/>
        <w:rPr>
          <w:rFonts w:ascii="Microsoft JhengHei" w:hAnsi="Microsoft JhengHei" w:cs="Microsoft JhengHei" w:eastAsia="Microsoft JhengHei" w:hint="default"/>
          <w:b/>
          <w:bCs/>
          <w:sz w:val="22"/>
          <w:szCs w:val="22"/>
        </w:rPr>
      </w:pPr>
    </w:p>
    <w:p>
      <w:pPr>
        <w:pStyle w:val="BodyText"/>
        <w:spacing w:line="477" w:lineRule="auto"/>
        <w:ind w:right="0" w:firstLine="379"/>
        <w:jc w:val="left"/>
      </w:pPr>
      <w:r>
        <w:rPr>
          <w:rFonts w:ascii="宋体" w:hAnsi="宋体" w:cs="宋体" w:eastAsia="宋体" w:hint="default"/>
        </w:rPr>
        <w:t>2017</w:t>
      </w:r>
      <w:r>
        <w:rPr/>
        <w:t>年，在公司董事会和管理层的领导和管理下，全体员工齐心协力，努力践行公司发展战略和年度经营计划，公司 </w:t>
      </w:r>
      <w:r>
        <w:rPr>
          <w:spacing w:val="-2"/>
        </w:rPr>
        <w:t>经营业绩呈持续稳步增长态势。</w:t>
      </w:r>
      <w:r>
        <w:rPr>
          <w:rFonts w:ascii="宋体" w:hAnsi="宋体" w:cs="宋体" w:eastAsia="宋体" w:hint="default"/>
          <w:spacing w:val="-2"/>
        </w:rPr>
        <w:t>2017</w:t>
      </w:r>
      <w:r>
        <w:rPr>
          <w:spacing w:val="-2"/>
        </w:rPr>
        <w:t>年，公司实现营业收入</w:t>
      </w:r>
      <w:r>
        <w:rPr>
          <w:rFonts w:ascii="宋体" w:hAnsi="宋体" w:cs="宋体" w:eastAsia="宋体" w:hint="default"/>
          <w:spacing w:val="-2"/>
        </w:rPr>
        <w:t>51,485.26</w:t>
      </w:r>
      <w:r>
        <w:rPr>
          <w:spacing w:val="-2"/>
        </w:rPr>
        <w:t>万元，比上年同期增长</w:t>
      </w:r>
      <w:r>
        <w:rPr>
          <w:rFonts w:ascii="宋体" w:hAnsi="宋体" w:cs="宋体" w:eastAsia="宋体" w:hint="default"/>
          <w:spacing w:val="-2"/>
        </w:rPr>
        <w:t>4.58%</w:t>
      </w:r>
      <w:r>
        <w:rPr>
          <w:spacing w:val="-2"/>
        </w:rPr>
        <w:t>，实现利润总额</w:t>
      </w:r>
      <w:r>
        <w:rPr>
          <w:rFonts w:ascii="宋体" w:hAnsi="宋体" w:cs="宋体" w:eastAsia="宋体" w:hint="default"/>
          <w:spacing w:val="-2"/>
        </w:rPr>
        <w:t>9,779.84</w:t>
      </w:r>
      <w:r>
        <w:rPr>
          <w:rFonts w:ascii="宋体" w:hAnsi="宋体" w:cs="宋体" w:eastAsia="宋体" w:hint="default"/>
          <w:spacing w:val="-46"/>
        </w:rPr>
        <w:t> </w:t>
      </w:r>
      <w:r>
        <w:rPr>
          <w:rFonts w:ascii="宋体" w:hAnsi="宋体" w:cs="宋体" w:eastAsia="宋体" w:hint="default"/>
          <w:spacing w:val="-46"/>
        </w:rPr>
      </w:r>
      <w:r>
        <w:rPr/>
        <w:t>万元，比上年同期增长</w:t>
      </w:r>
      <w:r>
        <w:rPr>
          <w:rFonts w:ascii="宋体" w:hAnsi="宋体" w:cs="宋体" w:eastAsia="宋体" w:hint="default"/>
        </w:rPr>
        <w:t>13.38%</w:t>
      </w:r>
      <w:r>
        <w:rPr/>
        <w:t>，实现归属于母公司股东的净利润为</w:t>
      </w:r>
      <w:r>
        <w:rPr>
          <w:rFonts w:ascii="宋体" w:hAnsi="宋体" w:cs="宋体" w:eastAsia="宋体" w:hint="default"/>
        </w:rPr>
        <w:t>9,145.20</w:t>
      </w:r>
      <w:r>
        <w:rPr/>
        <w:t>万元，比上年同期增长</w:t>
      </w:r>
      <w:r>
        <w:rPr>
          <w:rFonts w:ascii="宋体" w:hAnsi="宋体" w:cs="宋体" w:eastAsia="宋体" w:hint="default"/>
        </w:rPr>
        <w:t>13.82%</w:t>
      </w:r>
      <w:r>
        <w:rPr/>
        <w:t>。</w:t>
      </w:r>
    </w:p>
    <w:p>
      <w:pPr>
        <w:pStyle w:val="BodyText"/>
        <w:spacing w:line="477" w:lineRule="auto" w:before="55"/>
        <w:ind w:right="151" w:firstLine="362"/>
        <w:jc w:val="both"/>
      </w:pPr>
      <w:r>
        <w:rPr>
          <w:spacing w:val="-2"/>
        </w:rPr>
        <w:t>报告期内，公司“信息安全、大数据、互联网”三大发展战略逐步落地，公司以创新驱动发展，高度重视科技创新能力</w:t>
      </w:r>
      <w:r>
        <w:rPr/>
        <w:t> </w:t>
      </w:r>
      <w:r>
        <w:rPr>
          <w:spacing w:val="-2"/>
        </w:rPr>
        <w:t>的提升，将技术自主创新与集成创新有机结合起来，公司持续保持较高的技术研发投入，在大数据、互联网等前沿技术应用</w:t>
      </w:r>
      <w:r>
        <w:rPr>
          <w:spacing w:val="-65"/>
        </w:rPr>
        <w:t> </w:t>
      </w:r>
      <w:r>
        <w:rPr>
          <w:spacing w:val="-65"/>
        </w:rPr>
      </w:r>
      <w:r>
        <w:rPr>
          <w:spacing w:val="-2"/>
        </w:rPr>
        <w:t>领域重点投入，取得了良好的进展，技术成果的应用提升了公司产品和服务的技术先进性、实际效能及用户体验，有助于公</w:t>
      </w:r>
      <w:r>
        <w:rPr>
          <w:spacing w:val="-64"/>
        </w:rPr>
        <w:t> </w:t>
      </w:r>
      <w:r>
        <w:rPr>
          <w:spacing w:val="-64"/>
        </w:rPr>
      </w:r>
      <w:r>
        <w:rPr/>
        <w:t>司行业应用的推广深化和服务业务的深度覆盖。</w:t>
      </w:r>
    </w:p>
    <w:p>
      <w:pPr>
        <w:pStyle w:val="BodyText"/>
        <w:spacing w:line="477" w:lineRule="auto" w:before="54"/>
        <w:ind w:right="0" w:firstLine="360"/>
        <w:jc w:val="left"/>
      </w:pPr>
      <w:r>
        <w:rPr>
          <w:spacing w:val="-2"/>
        </w:rPr>
        <w:t>公司管理层紧密围绕年初制定的年度工作计划，贯彻执行董事会的战略安排，结合公司优势，积极开展各项工作，报告</w:t>
      </w:r>
      <w:r>
        <w:rPr/>
        <w:t> 期内，公司总体经营情况如下：</w:t>
      </w:r>
    </w:p>
    <w:p>
      <w:pPr>
        <w:pStyle w:val="BodyText"/>
        <w:spacing w:line="403" w:lineRule="auto"/>
        <w:ind w:left="515" w:right="0" w:hanging="63"/>
        <w:jc w:val="left"/>
      </w:pPr>
      <w:r>
        <w:rPr>
          <w:rFonts w:ascii="Microsoft JhengHei" w:hAnsi="Microsoft JhengHei" w:cs="Microsoft JhengHei" w:eastAsia="Microsoft JhengHei" w:hint="default"/>
          <w:b/>
          <w:bCs/>
        </w:rPr>
        <w:t>（一）加强研发创新</w:t>
      </w:r>
      <w:r>
        <w:rPr>
          <w:rFonts w:ascii="Microsoft JhengHei" w:hAnsi="Microsoft JhengHei" w:cs="Microsoft JhengHei" w:eastAsia="Microsoft JhengHei" w:hint="default"/>
          <w:b/>
          <w:bCs/>
          <w:spacing w:val="-40"/>
        </w:rPr>
        <w:t> </w:t>
      </w:r>
      <w:r>
        <w:rPr>
          <w:rFonts w:ascii="Microsoft JhengHei" w:hAnsi="Microsoft JhengHei" w:cs="Microsoft JhengHei" w:eastAsia="Microsoft JhengHei" w:hint="default"/>
          <w:b/>
          <w:bCs/>
          <w:spacing w:val="-40"/>
        </w:rPr>
      </w:r>
      <w:r>
        <w:rPr>
          <w:spacing w:val="-2"/>
        </w:rPr>
        <w:t>作为国家高新技术企业，公司深刻了解技术创新的重要性。为了更好满足客户需求，提升公司竞争力，公司通过自主研</w:t>
      </w:r>
    </w:p>
    <w:p>
      <w:pPr>
        <w:pStyle w:val="BodyText"/>
        <w:spacing w:line="477" w:lineRule="auto" w:before="110"/>
        <w:ind w:left="515" w:right="0" w:hanging="363"/>
        <w:jc w:val="left"/>
      </w:pPr>
      <w:r>
        <w:rPr/>
        <w:t>发等形式，跟踪行业技术发展前沿，取得了一定成果。 </w:t>
      </w:r>
      <w:r>
        <w:rPr>
          <w:rFonts w:ascii="宋体" w:hAnsi="宋体" w:cs="宋体" w:eastAsia="宋体" w:hint="default"/>
          <w:spacing w:val="-2"/>
        </w:rPr>
        <w:t>2017</w:t>
      </w:r>
      <w:r>
        <w:rPr>
          <w:spacing w:val="-2"/>
        </w:rPr>
        <w:t>年公司研发投入</w:t>
      </w:r>
      <w:r>
        <w:rPr>
          <w:rFonts w:ascii="宋体" w:hAnsi="宋体" w:cs="宋体" w:eastAsia="宋体" w:hint="default"/>
          <w:spacing w:val="-2"/>
        </w:rPr>
        <w:t>10,105</w:t>
      </w:r>
      <w:r>
        <w:rPr>
          <w:spacing w:val="-2"/>
        </w:rPr>
        <w:t>万元，占营业总收入的</w:t>
      </w:r>
      <w:r>
        <w:rPr>
          <w:rFonts w:ascii="宋体" w:hAnsi="宋体" w:cs="宋体" w:eastAsia="宋体" w:hint="default"/>
          <w:spacing w:val="-2"/>
        </w:rPr>
        <w:t>19.63%</w:t>
      </w:r>
      <w:r>
        <w:rPr>
          <w:spacing w:val="-2"/>
        </w:rPr>
        <w:t>，比去年同期增长</w:t>
      </w:r>
      <w:r>
        <w:rPr>
          <w:rFonts w:ascii="宋体" w:hAnsi="宋体" w:cs="宋体" w:eastAsia="宋体" w:hint="default"/>
          <w:spacing w:val="-2"/>
        </w:rPr>
        <w:t>30.89%</w:t>
      </w:r>
      <w:r>
        <w:rPr>
          <w:spacing w:val="-2"/>
        </w:rPr>
        <w:t>。报告期内，公司及子公司取得创新</w:t>
      </w:r>
    </w:p>
    <w:p>
      <w:pPr>
        <w:pStyle w:val="BodyText"/>
        <w:spacing w:line="240" w:lineRule="auto" w:before="54"/>
        <w:ind w:right="0"/>
        <w:jc w:val="left"/>
      </w:pPr>
      <w:r>
        <w:rPr/>
        <w:t>成果如下：</w:t>
      </w:r>
    </w:p>
    <w:p>
      <w:pPr>
        <w:spacing w:line="240" w:lineRule="auto" w:before="1"/>
        <w:rPr>
          <w:rFonts w:ascii="宋体" w:hAnsi="宋体" w:cs="宋体" w:eastAsia="宋体" w:hint="default"/>
          <w:sz w:val="11"/>
          <w:szCs w:val="11"/>
        </w:rPr>
      </w:pPr>
    </w:p>
    <w:tbl>
      <w:tblPr>
        <w:tblW w:w="0" w:type="auto"/>
        <w:jc w:val="left"/>
        <w:tblInd w:w="123" w:type="dxa"/>
        <w:tblLayout w:type="fixed"/>
        <w:tblCellMar>
          <w:top w:w="0" w:type="dxa"/>
          <w:left w:w="0" w:type="dxa"/>
          <w:bottom w:w="0" w:type="dxa"/>
          <w:right w:w="0" w:type="dxa"/>
        </w:tblCellMar>
        <w:tblLook w:val="01E0"/>
      </w:tblPr>
      <w:tblGrid>
        <w:gridCol w:w="980"/>
        <w:gridCol w:w="6615"/>
        <w:gridCol w:w="2074"/>
      </w:tblGrid>
      <w:tr>
        <w:trPr>
          <w:trHeight w:val="353" w:hRule="exact"/>
        </w:trPr>
        <w:tc>
          <w:tcPr>
            <w:tcW w:w="980" w:type="dxa"/>
            <w:tcBorders>
              <w:top w:val="single" w:sz="12" w:space="0" w:color="000000"/>
              <w:left w:val="single" w:sz="12" w:space="0" w:color="000000"/>
              <w:bottom w:val="single" w:sz="4" w:space="0" w:color="000000"/>
              <w:right w:val="single" w:sz="4" w:space="0" w:color="000000"/>
            </w:tcBorders>
            <w:shd w:val="clear" w:color="auto" w:fill="BEBEBE"/>
          </w:tcPr>
          <w:p>
            <w:pPr>
              <w:pStyle w:val="TableParagraph"/>
              <w:spacing w:line="274" w:lineRule="exact"/>
              <w:ind w:left="34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6615"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74"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发明专利</w:t>
            </w:r>
            <w:r>
              <w:rPr>
                <w:rFonts w:ascii="Microsoft JhengHei" w:hAnsi="Microsoft JhengHei" w:cs="Microsoft JhengHei" w:eastAsia="Microsoft JhengHei" w:hint="default"/>
                <w:sz w:val="18"/>
                <w:szCs w:val="18"/>
              </w:rPr>
            </w:r>
          </w:p>
        </w:tc>
        <w:tc>
          <w:tcPr>
            <w:tcW w:w="2074" w:type="dxa"/>
            <w:tcBorders>
              <w:top w:val="single" w:sz="12" w:space="0" w:color="000000"/>
              <w:left w:val="single" w:sz="4" w:space="0" w:color="000000"/>
              <w:bottom w:val="single" w:sz="4" w:space="0" w:color="000000"/>
              <w:right w:val="single" w:sz="12" w:space="0" w:color="000000"/>
            </w:tcBorders>
            <w:shd w:val="clear" w:color="auto" w:fill="BEBEBE"/>
          </w:tcPr>
          <w:p>
            <w:pPr>
              <w:pStyle w:val="TableParagraph"/>
              <w:spacing w:line="274" w:lineRule="exact"/>
              <w:ind w:left="9"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专利号</w:t>
            </w:r>
            <w:r>
              <w:rPr>
                <w:rFonts w:ascii="Microsoft JhengHei" w:hAnsi="Microsoft JhengHei" w:cs="Microsoft JhengHei" w:eastAsia="Microsoft JhengHei" w:hint="default"/>
                <w:sz w:val="18"/>
                <w:szCs w:val="18"/>
              </w:rPr>
            </w:r>
          </w:p>
        </w:tc>
      </w:tr>
      <w:tr>
        <w:trPr>
          <w:trHeight w:val="341" w:hRule="exact"/>
        </w:trPr>
        <w:tc>
          <w:tcPr>
            <w:tcW w:w="980" w:type="dxa"/>
            <w:tcBorders>
              <w:top w:val="single" w:sz="8" w:space="0" w:color="000000"/>
              <w:left w:val="single" w:sz="12"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1</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一种采用多线程处理业务应用的方法</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0" w:right="0"/>
              <w:jc w:val="center"/>
              <w:rPr>
                <w:rFonts w:ascii="宋体" w:hAnsi="宋体" w:cs="宋体" w:eastAsia="宋体" w:hint="default"/>
                <w:sz w:val="18"/>
                <w:szCs w:val="18"/>
              </w:rPr>
            </w:pPr>
            <w:r>
              <w:rPr>
                <w:rFonts w:ascii="宋体"/>
                <w:sz w:val="18"/>
              </w:rPr>
              <w:t>2015102476958</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一种硬磁盘拆装辅助装置</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0" w:right="0"/>
              <w:jc w:val="center"/>
              <w:rPr>
                <w:rFonts w:ascii="宋体" w:hAnsi="宋体" w:cs="宋体" w:eastAsia="宋体" w:hint="default"/>
                <w:sz w:val="18"/>
                <w:szCs w:val="18"/>
              </w:rPr>
            </w:pPr>
            <w:r>
              <w:rPr>
                <w:rFonts w:ascii="宋体"/>
                <w:sz w:val="18"/>
              </w:rPr>
              <w:t>2015105529868</w:t>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3</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支持专享服务的即时通信方法和系统</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0" w:right="0"/>
              <w:jc w:val="center"/>
              <w:rPr>
                <w:rFonts w:ascii="宋体" w:hAnsi="宋体" w:cs="宋体" w:eastAsia="宋体" w:hint="default"/>
                <w:sz w:val="18"/>
                <w:szCs w:val="18"/>
              </w:rPr>
            </w:pPr>
            <w:r>
              <w:rPr>
                <w:rFonts w:ascii="宋体"/>
                <w:sz w:val="18"/>
              </w:rPr>
              <w:t>2015101626159</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4</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用于即时通信服务器互联互通的路由器寻址方法</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0" w:right="0"/>
              <w:jc w:val="center"/>
              <w:rPr>
                <w:rFonts w:ascii="宋体" w:hAnsi="宋体" w:cs="宋体" w:eastAsia="宋体" w:hint="default"/>
                <w:sz w:val="18"/>
                <w:szCs w:val="18"/>
              </w:rPr>
            </w:pPr>
            <w:r>
              <w:rPr>
                <w:rFonts w:ascii="宋体"/>
                <w:sz w:val="18"/>
              </w:rPr>
              <w:t>2015102113649</w:t>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5</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一种实现虚拟机与管理域进程间通信的方法</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0" w:right="0"/>
              <w:jc w:val="center"/>
              <w:rPr>
                <w:rFonts w:ascii="宋体" w:hAnsi="宋体" w:cs="宋体" w:eastAsia="宋体" w:hint="default"/>
                <w:sz w:val="18"/>
                <w:szCs w:val="18"/>
              </w:rPr>
            </w:pPr>
            <w:r>
              <w:rPr>
                <w:rFonts w:ascii="宋体"/>
                <w:sz w:val="18"/>
              </w:rPr>
              <w:t>2015102466424</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shd w:val="clear" w:color="auto" w:fill="BEBEBE"/>
          </w:tcPr>
          <w:p>
            <w:pPr>
              <w:pStyle w:val="TableParagraph"/>
              <w:spacing w:line="274" w:lineRule="exact"/>
              <w:ind w:left="29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661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4"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实用新型</w:t>
            </w:r>
            <w:r>
              <w:rPr>
                <w:rFonts w:ascii="Microsoft JhengHei" w:hAnsi="Microsoft JhengHei" w:cs="Microsoft JhengHei" w:eastAsia="Microsoft JhengHei" w:hint="default"/>
                <w:sz w:val="18"/>
                <w:szCs w:val="18"/>
              </w:rPr>
            </w:r>
          </w:p>
        </w:tc>
        <w:tc>
          <w:tcPr>
            <w:tcW w:w="2074" w:type="dxa"/>
            <w:tcBorders>
              <w:top w:val="single" w:sz="4" w:space="0" w:color="000000"/>
              <w:left w:val="single" w:sz="4" w:space="0" w:color="000000"/>
              <w:bottom w:val="single" w:sz="4" w:space="0" w:color="000000"/>
              <w:right w:val="single" w:sz="12" w:space="0" w:color="000000"/>
            </w:tcBorders>
            <w:shd w:val="clear" w:color="auto" w:fill="BEBEBE"/>
          </w:tcPr>
          <w:p>
            <w:pPr>
              <w:pStyle w:val="TableParagraph"/>
              <w:spacing w:line="274" w:lineRule="exact"/>
              <w:ind w:left="9"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专利号</w:t>
            </w:r>
            <w:r>
              <w:rPr>
                <w:rFonts w:ascii="Microsoft JhengHei" w:hAnsi="Microsoft JhengHei" w:cs="Microsoft JhengHei" w:eastAsia="Microsoft JhengHei" w:hint="default"/>
                <w:sz w:val="18"/>
                <w:szCs w:val="18"/>
              </w:rPr>
            </w:r>
          </w:p>
        </w:tc>
      </w:tr>
      <w:tr>
        <w:trPr>
          <w:trHeight w:val="341" w:hRule="exact"/>
        </w:trPr>
        <w:tc>
          <w:tcPr>
            <w:tcW w:w="980" w:type="dxa"/>
            <w:tcBorders>
              <w:top w:val="single" w:sz="8" w:space="0" w:color="000000"/>
              <w:left w:val="single" w:sz="12"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1</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一种带电量监控功能的智能插座及电量监控系统</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0" w:right="0"/>
              <w:jc w:val="center"/>
              <w:rPr>
                <w:rFonts w:ascii="宋体" w:hAnsi="宋体" w:cs="宋体" w:eastAsia="宋体" w:hint="default"/>
                <w:sz w:val="18"/>
                <w:szCs w:val="18"/>
              </w:rPr>
            </w:pPr>
            <w:r>
              <w:rPr>
                <w:rFonts w:ascii="宋体"/>
                <w:sz w:val="18"/>
              </w:rPr>
              <w:t>2017201908569</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shd w:val="clear" w:color="auto" w:fill="BEBEBE"/>
          </w:tcPr>
          <w:p>
            <w:pPr>
              <w:pStyle w:val="TableParagraph"/>
              <w:spacing w:line="274" w:lineRule="exact"/>
              <w:ind w:left="29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661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4"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外观设计</w:t>
            </w:r>
            <w:r>
              <w:rPr>
                <w:rFonts w:ascii="Microsoft JhengHei" w:hAnsi="Microsoft JhengHei" w:cs="Microsoft JhengHei" w:eastAsia="Microsoft JhengHei" w:hint="default"/>
                <w:sz w:val="18"/>
                <w:szCs w:val="18"/>
              </w:rPr>
            </w:r>
          </w:p>
        </w:tc>
        <w:tc>
          <w:tcPr>
            <w:tcW w:w="2074" w:type="dxa"/>
            <w:tcBorders>
              <w:top w:val="single" w:sz="4" w:space="0" w:color="000000"/>
              <w:left w:val="single" w:sz="4" w:space="0" w:color="000000"/>
              <w:bottom w:val="single" w:sz="4" w:space="0" w:color="000000"/>
              <w:right w:val="single" w:sz="12" w:space="0" w:color="000000"/>
            </w:tcBorders>
            <w:shd w:val="clear" w:color="auto" w:fill="BEBEBE"/>
          </w:tcPr>
          <w:p>
            <w:pPr>
              <w:pStyle w:val="TableParagraph"/>
              <w:spacing w:line="274" w:lineRule="exact"/>
              <w:ind w:left="9"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专利号</w:t>
            </w:r>
            <w:r>
              <w:rPr>
                <w:rFonts w:ascii="Microsoft JhengHei" w:hAnsi="Microsoft JhengHei" w:cs="Microsoft JhengHei" w:eastAsia="Microsoft JhengHei" w:hint="default"/>
                <w:sz w:val="18"/>
                <w:szCs w:val="18"/>
              </w:rPr>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身份鉴别终端</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0" w:right="0"/>
              <w:jc w:val="center"/>
              <w:rPr>
                <w:rFonts w:ascii="宋体" w:hAnsi="宋体" w:cs="宋体" w:eastAsia="宋体" w:hint="default"/>
                <w:sz w:val="18"/>
                <w:szCs w:val="18"/>
              </w:rPr>
            </w:pPr>
            <w:r>
              <w:rPr>
                <w:rFonts w:ascii="宋体"/>
                <w:sz w:val="18"/>
              </w:rPr>
              <w:t>2016304888816</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用于移动通讯设备的图形用户界面</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0" w:right="0"/>
              <w:jc w:val="center"/>
              <w:rPr>
                <w:rFonts w:ascii="宋体" w:hAnsi="宋体" w:cs="宋体" w:eastAsia="宋体" w:hint="default"/>
                <w:sz w:val="18"/>
                <w:szCs w:val="18"/>
              </w:rPr>
            </w:pPr>
            <w:r>
              <w:rPr>
                <w:rFonts w:ascii="宋体"/>
                <w:sz w:val="18"/>
              </w:rPr>
              <w:t>2016305556786</w:t>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3</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用于移动终端的图形用户界面</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0" w:right="0"/>
              <w:jc w:val="center"/>
              <w:rPr>
                <w:rFonts w:ascii="宋体" w:hAnsi="宋体" w:cs="宋体" w:eastAsia="宋体" w:hint="default"/>
                <w:sz w:val="18"/>
                <w:szCs w:val="18"/>
              </w:rPr>
            </w:pPr>
            <w:r>
              <w:rPr>
                <w:rFonts w:ascii="宋体"/>
                <w:sz w:val="18"/>
              </w:rPr>
              <w:t>2016305579538</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4</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用于移动终端的图形用户界面</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0" w:right="0"/>
              <w:jc w:val="center"/>
              <w:rPr>
                <w:rFonts w:ascii="宋体" w:hAnsi="宋体" w:cs="宋体" w:eastAsia="宋体" w:hint="default"/>
                <w:sz w:val="18"/>
                <w:szCs w:val="18"/>
              </w:rPr>
            </w:pPr>
            <w:r>
              <w:rPr>
                <w:rFonts w:ascii="宋体"/>
                <w:sz w:val="18"/>
              </w:rPr>
              <w:t>2016305842557</w:t>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sz w:val="18"/>
              </w:rPr>
              <w:t>5</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用于移动终端的图形用户界面</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8"/>
              <w:ind w:left="10" w:right="0"/>
              <w:jc w:val="center"/>
              <w:rPr>
                <w:rFonts w:ascii="宋体" w:hAnsi="宋体" w:cs="宋体" w:eastAsia="宋体" w:hint="default"/>
                <w:sz w:val="18"/>
                <w:szCs w:val="18"/>
              </w:rPr>
            </w:pPr>
            <w:r>
              <w:rPr>
                <w:rFonts w:ascii="宋体"/>
                <w:sz w:val="18"/>
              </w:rPr>
              <w:t>2016305838388</w:t>
            </w:r>
          </w:p>
        </w:tc>
      </w:tr>
      <w:tr>
        <w:trPr>
          <w:trHeight w:val="353" w:hRule="exact"/>
        </w:trPr>
        <w:tc>
          <w:tcPr>
            <w:tcW w:w="98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6</w:t>
            </w:r>
          </w:p>
        </w:tc>
        <w:tc>
          <w:tcPr>
            <w:tcW w:w="66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手机的应用软件界面</w:t>
            </w:r>
          </w:p>
        </w:tc>
        <w:tc>
          <w:tcPr>
            <w:tcW w:w="207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7"/>
              <w:ind w:left="10" w:right="0"/>
              <w:jc w:val="center"/>
              <w:rPr>
                <w:rFonts w:ascii="宋体" w:hAnsi="宋体" w:cs="宋体" w:eastAsia="宋体" w:hint="default"/>
                <w:sz w:val="18"/>
                <w:szCs w:val="18"/>
              </w:rPr>
            </w:pPr>
            <w:r>
              <w:rPr>
                <w:rFonts w:ascii="宋体"/>
                <w:sz w:val="18"/>
              </w:rPr>
              <w:t>2016305836452</w:t>
            </w:r>
          </w:p>
        </w:tc>
      </w:tr>
    </w:tbl>
    <w:p>
      <w:pPr>
        <w:spacing w:after="0" w:line="240" w:lineRule="auto"/>
        <w:jc w:val="center"/>
        <w:rPr>
          <w:rFonts w:ascii="宋体" w:hAnsi="宋体" w:cs="宋体" w:eastAsia="宋体" w:hint="default"/>
          <w:sz w:val="18"/>
          <w:szCs w:val="18"/>
        </w:rPr>
        <w:sectPr>
          <w:pgSz w:w="11910" w:h="16840"/>
          <w:pgMar w:header="745" w:footer="1133" w:top="1060" w:bottom="13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3" w:type="dxa"/>
        <w:tblLayout w:type="fixed"/>
        <w:tblCellMar>
          <w:top w:w="0" w:type="dxa"/>
          <w:left w:w="0" w:type="dxa"/>
          <w:bottom w:w="0" w:type="dxa"/>
          <w:right w:w="0" w:type="dxa"/>
        </w:tblCellMar>
        <w:tblLook w:val="01E0"/>
      </w:tblPr>
      <w:tblGrid>
        <w:gridCol w:w="980"/>
        <w:gridCol w:w="6615"/>
        <w:gridCol w:w="2074"/>
      </w:tblGrid>
      <w:tr>
        <w:trPr>
          <w:trHeight w:val="353" w:hRule="exact"/>
        </w:trPr>
        <w:tc>
          <w:tcPr>
            <w:tcW w:w="980" w:type="dxa"/>
            <w:tcBorders>
              <w:top w:val="single" w:sz="12" w:space="0" w:color="000000"/>
              <w:left w:val="single" w:sz="12" w:space="0" w:color="000000"/>
              <w:bottom w:val="single" w:sz="4" w:space="0" w:color="000000"/>
              <w:right w:val="single" w:sz="4" w:space="0" w:color="000000"/>
            </w:tcBorders>
            <w:shd w:val="clear" w:color="auto" w:fill="BEBEBE"/>
          </w:tcPr>
          <w:p>
            <w:pPr>
              <w:pStyle w:val="TableParagraph"/>
              <w:spacing w:line="277"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6615"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77"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软件著作权</w:t>
            </w:r>
            <w:r>
              <w:rPr>
                <w:rFonts w:ascii="Microsoft JhengHei" w:hAnsi="Microsoft JhengHei" w:cs="Microsoft JhengHei" w:eastAsia="Microsoft JhengHei" w:hint="default"/>
                <w:sz w:val="18"/>
                <w:szCs w:val="18"/>
              </w:rPr>
            </w:r>
          </w:p>
        </w:tc>
        <w:tc>
          <w:tcPr>
            <w:tcW w:w="2074" w:type="dxa"/>
            <w:tcBorders>
              <w:top w:val="single" w:sz="12" w:space="0" w:color="000000"/>
              <w:left w:val="single" w:sz="4" w:space="0" w:color="000000"/>
              <w:bottom w:val="single" w:sz="4" w:space="0" w:color="000000"/>
              <w:right w:val="single" w:sz="12" w:space="0" w:color="000000"/>
            </w:tcBorders>
            <w:shd w:val="clear" w:color="auto" w:fill="BEBEBE"/>
          </w:tcPr>
          <w:p>
            <w:pPr>
              <w:pStyle w:val="TableParagraph"/>
              <w:spacing w:line="277" w:lineRule="exact"/>
              <w:ind w:left="9"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登记号</w:t>
            </w:r>
            <w:r>
              <w:rPr>
                <w:rFonts w:ascii="Microsoft JhengHei" w:hAnsi="Microsoft JhengHei" w:cs="Microsoft JhengHei" w:eastAsia="Microsoft JhengHei" w:hint="default"/>
                <w:sz w:val="18"/>
                <w:szCs w:val="18"/>
              </w:rPr>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北信源打印复印刻录监控与审计系统</w:t>
            </w:r>
            <w:r>
              <w:rPr>
                <w:rFonts w:ascii="宋体" w:hAnsi="宋体" w:cs="宋体" w:eastAsia="宋体" w:hint="default"/>
                <w:sz w:val="18"/>
                <w:szCs w:val="18"/>
              </w:rPr>
              <w:t>V2.6.01</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0" w:right="0"/>
              <w:jc w:val="center"/>
              <w:rPr>
                <w:rFonts w:ascii="宋体" w:hAnsi="宋体" w:cs="宋体" w:eastAsia="宋体" w:hint="default"/>
                <w:sz w:val="18"/>
                <w:szCs w:val="18"/>
              </w:rPr>
            </w:pPr>
            <w:r>
              <w:rPr>
                <w:rFonts w:ascii="宋体"/>
                <w:sz w:val="18"/>
              </w:rPr>
              <w:t>2017SR026496</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基于汉</w:t>
            </w:r>
            <w:r>
              <w:rPr>
                <w:rFonts w:ascii="宋体" w:hAnsi="宋体" w:cs="宋体" w:eastAsia="宋体" w:hint="default"/>
                <w:sz w:val="18"/>
                <w:szCs w:val="18"/>
              </w:rPr>
              <w:t>.</w:t>
            </w:r>
            <w:r>
              <w:rPr>
                <w:rFonts w:ascii="宋体" w:hAnsi="宋体" w:cs="宋体" w:eastAsia="宋体" w:hint="default"/>
                <w:sz w:val="18"/>
                <w:szCs w:val="18"/>
              </w:rPr>
              <w:t>维</w:t>
            </w:r>
            <w:r>
              <w:rPr>
                <w:rFonts w:ascii="宋体" w:hAnsi="宋体" w:cs="宋体" w:eastAsia="宋体" w:hint="default"/>
                <w:sz w:val="18"/>
                <w:szCs w:val="18"/>
              </w:rPr>
              <w:t>.</w:t>
            </w:r>
            <w:r>
              <w:rPr>
                <w:rFonts w:ascii="宋体" w:hAnsi="宋体" w:cs="宋体" w:eastAsia="宋体" w:hint="default"/>
                <w:sz w:val="18"/>
                <w:szCs w:val="18"/>
              </w:rPr>
              <w:t>哈文字的多文种涉密信息检查工具软件</w:t>
            </w:r>
            <w:r>
              <w:rPr>
                <w:rFonts w:ascii="宋体" w:hAnsi="宋体" w:cs="宋体" w:eastAsia="宋体" w:hint="default"/>
                <w:sz w:val="18"/>
                <w:szCs w:val="18"/>
              </w:rPr>
              <w:t>V1.0.0.7</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0" w:right="0"/>
              <w:jc w:val="center"/>
              <w:rPr>
                <w:rFonts w:ascii="宋体" w:hAnsi="宋体" w:cs="宋体" w:eastAsia="宋体" w:hint="default"/>
                <w:sz w:val="18"/>
                <w:szCs w:val="18"/>
              </w:rPr>
            </w:pPr>
            <w:r>
              <w:rPr>
                <w:rFonts w:ascii="宋体"/>
                <w:sz w:val="18"/>
              </w:rPr>
              <w:t>2017SR112652</w:t>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3</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密级标志生成与管理系统</w:t>
            </w:r>
            <w:r>
              <w:rPr>
                <w:rFonts w:ascii="宋体" w:hAnsi="宋体" w:cs="宋体" w:eastAsia="宋体" w:hint="default"/>
                <w:sz w:val="18"/>
                <w:szCs w:val="18"/>
              </w:rPr>
              <w:t>V2.0</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0" w:right="0"/>
              <w:jc w:val="center"/>
              <w:rPr>
                <w:rFonts w:ascii="宋体" w:hAnsi="宋体" w:cs="宋体" w:eastAsia="宋体" w:hint="default"/>
                <w:sz w:val="18"/>
                <w:szCs w:val="18"/>
              </w:rPr>
            </w:pPr>
            <w:r>
              <w:rPr>
                <w:rFonts w:ascii="宋体"/>
                <w:sz w:val="18"/>
              </w:rPr>
              <w:t>2017SR117701</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4</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涉密计算机及移动存储介质保密管理系统</w:t>
            </w:r>
            <w:r>
              <w:rPr>
                <w:rFonts w:ascii="宋体" w:hAnsi="宋体" w:cs="宋体" w:eastAsia="宋体" w:hint="default"/>
                <w:sz w:val="18"/>
                <w:szCs w:val="18"/>
              </w:rPr>
              <w:t>V2.0</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0" w:right="0"/>
              <w:jc w:val="center"/>
              <w:rPr>
                <w:rFonts w:ascii="宋体" w:hAnsi="宋体" w:cs="宋体" w:eastAsia="宋体" w:hint="default"/>
                <w:sz w:val="18"/>
                <w:szCs w:val="18"/>
              </w:rPr>
            </w:pPr>
            <w:r>
              <w:rPr>
                <w:rFonts w:ascii="宋体"/>
                <w:sz w:val="18"/>
              </w:rPr>
              <w:t>2017SR129324</w:t>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5</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北信源终端安全登录与文件保护系统（单机版）</w:t>
            </w:r>
            <w:r>
              <w:rPr>
                <w:rFonts w:ascii="宋体" w:hAnsi="宋体" w:cs="宋体" w:eastAsia="宋体" w:hint="default"/>
                <w:sz w:val="18"/>
                <w:szCs w:val="18"/>
              </w:rPr>
              <w:t>V6.6</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0" w:right="0"/>
              <w:jc w:val="center"/>
              <w:rPr>
                <w:rFonts w:ascii="宋体" w:hAnsi="宋体" w:cs="宋体" w:eastAsia="宋体" w:hint="default"/>
                <w:sz w:val="18"/>
                <w:szCs w:val="18"/>
              </w:rPr>
            </w:pPr>
            <w:r>
              <w:rPr>
                <w:rFonts w:ascii="宋体"/>
                <w:sz w:val="18"/>
              </w:rPr>
              <w:t>2017SR435778</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6</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北信源内网动态防御系统</w:t>
            </w:r>
            <w:r>
              <w:rPr>
                <w:rFonts w:ascii="宋体" w:hAnsi="宋体" w:cs="宋体" w:eastAsia="宋体" w:hint="default"/>
                <w:sz w:val="18"/>
                <w:szCs w:val="18"/>
              </w:rPr>
              <w:t>V1.0</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0" w:right="0"/>
              <w:jc w:val="center"/>
              <w:rPr>
                <w:rFonts w:ascii="宋体" w:hAnsi="宋体" w:cs="宋体" w:eastAsia="宋体" w:hint="default"/>
                <w:sz w:val="18"/>
                <w:szCs w:val="18"/>
              </w:rPr>
            </w:pPr>
            <w:r>
              <w:rPr>
                <w:rFonts w:ascii="宋体"/>
                <w:sz w:val="18"/>
              </w:rPr>
              <w:t>2017SR515983</w:t>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7</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北信源光盘刻录监控与审计系统</w:t>
            </w:r>
            <w:r>
              <w:rPr>
                <w:rFonts w:ascii="宋体" w:hAnsi="宋体" w:cs="宋体" w:eastAsia="宋体" w:hint="default"/>
                <w:sz w:val="18"/>
                <w:szCs w:val="18"/>
              </w:rPr>
              <w:t>(</w:t>
            </w:r>
            <w:r>
              <w:rPr>
                <w:rFonts w:ascii="宋体" w:hAnsi="宋体" w:cs="宋体" w:eastAsia="宋体" w:hint="default"/>
                <w:sz w:val="18"/>
                <w:szCs w:val="18"/>
              </w:rPr>
              <w:t>单机版</w:t>
            </w:r>
            <w:r>
              <w:rPr>
                <w:rFonts w:ascii="宋体" w:hAnsi="宋体" w:cs="宋体" w:eastAsia="宋体" w:hint="default"/>
                <w:sz w:val="18"/>
                <w:szCs w:val="18"/>
              </w:rPr>
              <w:t>)V6.0</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0" w:right="0"/>
              <w:jc w:val="center"/>
              <w:rPr>
                <w:rFonts w:ascii="宋体" w:hAnsi="宋体" w:cs="宋体" w:eastAsia="宋体" w:hint="default"/>
                <w:sz w:val="18"/>
                <w:szCs w:val="18"/>
              </w:rPr>
            </w:pPr>
            <w:r>
              <w:rPr>
                <w:rFonts w:ascii="宋体"/>
                <w:sz w:val="18"/>
              </w:rPr>
              <w:t>2017SR557985</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8</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北信源企业移动化管理平台软件</w:t>
            </w:r>
            <w:r>
              <w:rPr>
                <w:rFonts w:ascii="宋体" w:hAnsi="宋体" w:cs="宋体" w:eastAsia="宋体" w:hint="default"/>
                <w:spacing w:val="1"/>
                <w:sz w:val="18"/>
                <w:szCs w:val="18"/>
              </w:rPr>
              <w:t> </w:t>
            </w:r>
            <w:r>
              <w:rPr>
                <w:rFonts w:ascii="宋体" w:hAnsi="宋体" w:cs="宋体" w:eastAsia="宋体" w:hint="default"/>
                <w:sz w:val="18"/>
                <w:szCs w:val="18"/>
              </w:rPr>
              <w:t>V3.0</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0" w:right="0"/>
              <w:jc w:val="center"/>
              <w:rPr>
                <w:rFonts w:ascii="宋体" w:hAnsi="宋体" w:cs="宋体" w:eastAsia="宋体" w:hint="default"/>
                <w:sz w:val="18"/>
                <w:szCs w:val="18"/>
              </w:rPr>
            </w:pPr>
            <w:r>
              <w:rPr>
                <w:rFonts w:ascii="宋体"/>
                <w:sz w:val="18"/>
              </w:rPr>
              <w:t>2017SR557991</w:t>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9</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北信源数据泄露防护系统 </w:t>
            </w:r>
            <w:r>
              <w:rPr>
                <w:rFonts w:ascii="宋体" w:hAnsi="宋体" w:cs="宋体" w:eastAsia="宋体" w:hint="default"/>
                <w:sz w:val="18"/>
                <w:szCs w:val="18"/>
              </w:rPr>
              <w:t>VRV DLP</w:t>
            </w:r>
            <w:r>
              <w:rPr>
                <w:rFonts w:ascii="宋体" w:hAnsi="宋体" w:cs="宋体" w:eastAsia="宋体" w:hint="default"/>
                <w:spacing w:val="-3"/>
                <w:sz w:val="18"/>
                <w:szCs w:val="18"/>
              </w:rPr>
              <w:t> </w:t>
            </w:r>
            <w:r>
              <w:rPr>
                <w:rFonts w:ascii="宋体" w:hAnsi="宋体" w:cs="宋体" w:eastAsia="宋体" w:hint="default"/>
                <w:sz w:val="18"/>
                <w:szCs w:val="18"/>
              </w:rPr>
              <w:t>V6.0</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0" w:right="0"/>
              <w:jc w:val="center"/>
              <w:rPr>
                <w:rFonts w:ascii="宋体" w:hAnsi="宋体" w:cs="宋体" w:eastAsia="宋体" w:hint="default"/>
                <w:sz w:val="18"/>
                <w:szCs w:val="18"/>
              </w:rPr>
            </w:pPr>
            <w:r>
              <w:rPr>
                <w:rFonts w:ascii="宋体"/>
                <w:sz w:val="18"/>
              </w:rPr>
              <w:t>2017SR557987</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10</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北信源安全免疫移动硬盘系统</w:t>
            </w:r>
            <w:r>
              <w:rPr>
                <w:rFonts w:ascii="宋体" w:hAnsi="宋体" w:cs="宋体" w:eastAsia="宋体" w:hint="default"/>
                <w:spacing w:val="1"/>
                <w:sz w:val="18"/>
                <w:szCs w:val="18"/>
              </w:rPr>
              <w:t> </w:t>
            </w:r>
            <w:r>
              <w:rPr>
                <w:rFonts w:ascii="宋体" w:hAnsi="宋体" w:cs="宋体" w:eastAsia="宋体" w:hint="default"/>
                <w:sz w:val="18"/>
                <w:szCs w:val="18"/>
              </w:rPr>
              <w:t>V2.0</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0" w:right="0"/>
              <w:jc w:val="center"/>
              <w:rPr>
                <w:rFonts w:ascii="宋体" w:hAnsi="宋体" w:cs="宋体" w:eastAsia="宋体" w:hint="default"/>
                <w:sz w:val="18"/>
                <w:szCs w:val="18"/>
              </w:rPr>
            </w:pPr>
            <w:r>
              <w:rPr>
                <w:rFonts w:ascii="宋体"/>
                <w:sz w:val="18"/>
              </w:rPr>
              <w:t>2017SR576468</w:t>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11</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北信源网络安全应用行为大数据平台</w:t>
            </w:r>
            <w:r>
              <w:rPr>
                <w:rFonts w:ascii="宋体" w:hAnsi="宋体" w:cs="宋体" w:eastAsia="宋体" w:hint="default"/>
                <w:spacing w:val="1"/>
                <w:sz w:val="18"/>
                <w:szCs w:val="18"/>
              </w:rPr>
              <w:t> </w:t>
            </w:r>
            <w:r>
              <w:rPr>
                <w:rFonts w:ascii="宋体" w:hAnsi="宋体" w:cs="宋体" w:eastAsia="宋体" w:hint="default"/>
                <w:sz w:val="18"/>
                <w:szCs w:val="18"/>
              </w:rPr>
              <w:t>V3.0</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0" w:right="0"/>
              <w:jc w:val="center"/>
              <w:rPr>
                <w:rFonts w:ascii="宋体" w:hAnsi="宋体" w:cs="宋体" w:eastAsia="宋体" w:hint="default"/>
                <w:sz w:val="18"/>
                <w:szCs w:val="18"/>
              </w:rPr>
            </w:pPr>
            <w:r>
              <w:rPr>
                <w:rFonts w:ascii="宋体"/>
                <w:sz w:val="18"/>
              </w:rPr>
              <w:t>2017SR610314</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12</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北信源存储介质信息消除工具软件</w:t>
            </w:r>
            <w:r>
              <w:rPr>
                <w:rFonts w:ascii="宋体" w:hAnsi="宋体" w:cs="宋体" w:eastAsia="宋体" w:hint="default"/>
                <w:sz w:val="18"/>
                <w:szCs w:val="18"/>
              </w:rPr>
              <w:t>V2.0</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0" w:right="0"/>
              <w:jc w:val="center"/>
              <w:rPr>
                <w:rFonts w:ascii="宋体" w:hAnsi="宋体" w:cs="宋体" w:eastAsia="宋体" w:hint="default"/>
                <w:sz w:val="18"/>
                <w:szCs w:val="18"/>
              </w:rPr>
            </w:pPr>
            <w:r>
              <w:rPr>
                <w:rFonts w:ascii="宋体"/>
                <w:sz w:val="18"/>
              </w:rPr>
              <w:t>2017SR739003</w:t>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13</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信源豆豆移动互联平台软件</w:t>
            </w:r>
            <w:r>
              <w:rPr>
                <w:rFonts w:ascii="宋体" w:hAnsi="宋体" w:cs="宋体" w:eastAsia="宋体" w:hint="default"/>
                <w:sz w:val="18"/>
                <w:szCs w:val="18"/>
              </w:rPr>
              <w:t>V1.0</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0" w:right="0"/>
              <w:jc w:val="center"/>
              <w:rPr>
                <w:rFonts w:ascii="宋体" w:hAnsi="宋体" w:cs="宋体" w:eastAsia="宋体" w:hint="default"/>
                <w:sz w:val="18"/>
                <w:szCs w:val="18"/>
              </w:rPr>
            </w:pPr>
            <w:r>
              <w:rPr>
                <w:rFonts w:ascii="宋体"/>
                <w:sz w:val="18"/>
              </w:rPr>
              <w:t>2017SR215834</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14</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信源豆豆新一代互联网聚合通道软件</w:t>
            </w:r>
            <w:r>
              <w:rPr>
                <w:rFonts w:ascii="宋体" w:hAnsi="宋体" w:cs="宋体" w:eastAsia="宋体" w:hint="default"/>
                <w:sz w:val="18"/>
                <w:szCs w:val="18"/>
              </w:rPr>
              <w:t>V1.0</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0" w:right="0"/>
              <w:jc w:val="center"/>
              <w:rPr>
                <w:rFonts w:ascii="宋体" w:hAnsi="宋体" w:cs="宋体" w:eastAsia="宋体" w:hint="default"/>
                <w:sz w:val="18"/>
                <w:szCs w:val="18"/>
              </w:rPr>
            </w:pPr>
            <w:r>
              <w:rPr>
                <w:rFonts w:ascii="宋体"/>
                <w:sz w:val="18"/>
              </w:rPr>
              <w:t>2017SR215839</w:t>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shd w:val="clear" w:color="auto" w:fill="ADAAAA"/>
          </w:tcPr>
          <w:p>
            <w:pPr>
              <w:pStyle w:val="TableParagraph"/>
              <w:spacing w:line="274"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6615"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74"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销售许可证</w:t>
            </w:r>
            <w:r>
              <w:rPr>
                <w:rFonts w:ascii="Microsoft JhengHei" w:hAnsi="Microsoft JhengHei" w:cs="Microsoft JhengHei" w:eastAsia="Microsoft JhengHei" w:hint="default"/>
                <w:sz w:val="18"/>
                <w:szCs w:val="18"/>
              </w:rPr>
            </w:r>
          </w:p>
        </w:tc>
        <w:tc>
          <w:tcPr>
            <w:tcW w:w="2074" w:type="dxa"/>
            <w:tcBorders>
              <w:top w:val="single" w:sz="4" w:space="0" w:color="000000"/>
              <w:left w:val="single" w:sz="4" w:space="0" w:color="000000"/>
              <w:bottom w:val="single" w:sz="4" w:space="0" w:color="000000"/>
              <w:right w:val="single" w:sz="12" w:space="0" w:color="000000"/>
            </w:tcBorders>
            <w:shd w:val="clear" w:color="auto" w:fill="ADAAAA"/>
          </w:tcPr>
          <w:p>
            <w:pPr>
              <w:pStyle w:val="TableParagraph"/>
              <w:spacing w:line="274" w:lineRule="exact"/>
              <w:ind w:left="10"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编号</w:t>
            </w:r>
            <w:r>
              <w:rPr>
                <w:rFonts w:ascii="Microsoft JhengHei" w:hAnsi="Microsoft JhengHei" w:cs="Microsoft JhengHei" w:eastAsia="Microsoft JhengHei" w:hint="default"/>
                <w:sz w:val="18"/>
                <w:szCs w:val="18"/>
              </w:rPr>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北信源上网行为管理系统 </w:t>
            </w:r>
            <w:r>
              <w:rPr>
                <w:rFonts w:ascii="宋体" w:hAnsi="宋体" w:cs="宋体" w:eastAsia="宋体" w:hint="default"/>
                <w:sz w:val="18"/>
                <w:szCs w:val="18"/>
              </w:rPr>
              <w:t>VRV</w:t>
            </w:r>
            <w:r>
              <w:rPr>
                <w:rFonts w:ascii="宋体" w:hAnsi="宋体" w:cs="宋体" w:eastAsia="宋体" w:hint="default"/>
                <w:spacing w:val="-3"/>
                <w:sz w:val="18"/>
                <w:szCs w:val="18"/>
              </w:rPr>
              <w:t> </w:t>
            </w:r>
            <w:r>
              <w:rPr>
                <w:rFonts w:ascii="宋体" w:hAnsi="宋体" w:cs="宋体" w:eastAsia="宋体" w:hint="default"/>
                <w:sz w:val="18"/>
                <w:szCs w:val="18"/>
              </w:rPr>
              <w:t>BMG/V6.0</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0" w:right="0"/>
              <w:jc w:val="center"/>
              <w:rPr>
                <w:rFonts w:ascii="宋体" w:hAnsi="宋体" w:cs="宋体" w:eastAsia="宋体" w:hint="default"/>
                <w:sz w:val="18"/>
                <w:szCs w:val="18"/>
              </w:rPr>
            </w:pPr>
            <w:r>
              <w:rPr>
                <w:rFonts w:ascii="宋体"/>
                <w:sz w:val="18"/>
              </w:rPr>
              <w:t>XKC33280</w:t>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北信源移动存储管理系统及安全</w:t>
            </w:r>
            <w:r>
              <w:rPr>
                <w:rFonts w:ascii="宋体" w:hAnsi="宋体" w:cs="宋体" w:eastAsia="宋体" w:hint="default"/>
                <w:sz w:val="18"/>
                <w:szCs w:val="18"/>
              </w:rPr>
              <w:t>U</w:t>
            </w:r>
            <w:r>
              <w:rPr>
                <w:rFonts w:ascii="宋体" w:hAnsi="宋体" w:cs="宋体" w:eastAsia="宋体" w:hint="default"/>
                <w:sz w:val="18"/>
                <w:szCs w:val="18"/>
              </w:rPr>
              <w:t>盘</w:t>
            </w:r>
            <w:r>
              <w:rPr>
                <w:rFonts w:ascii="宋体" w:hAnsi="宋体" w:cs="宋体" w:eastAsia="宋体" w:hint="default"/>
                <w:spacing w:val="-2"/>
                <w:sz w:val="18"/>
                <w:szCs w:val="18"/>
              </w:rPr>
              <w:t> </w:t>
            </w:r>
            <w:r>
              <w:rPr>
                <w:rFonts w:ascii="宋体" w:hAnsi="宋体" w:cs="宋体" w:eastAsia="宋体" w:hint="default"/>
                <w:sz w:val="18"/>
                <w:szCs w:val="18"/>
              </w:rPr>
              <w:t>2.16.0</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0" w:right="0"/>
              <w:jc w:val="center"/>
              <w:rPr>
                <w:rFonts w:ascii="宋体" w:hAnsi="宋体" w:cs="宋体" w:eastAsia="宋体" w:hint="default"/>
                <w:sz w:val="18"/>
                <w:szCs w:val="18"/>
              </w:rPr>
            </w:pPr>
            <w:r>
              <w:rPr>
                <w:rFonts w:ascii="宋体"/>
                <w:sz w:val="18"/>
              </w:rPr>
              <w:t>XKC33322</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3</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北信源数据库审计系统</w:t>
            </w:r>
            <w:r>
              <w:rPr>
                <w:rFonts w:ascii="宋体" w:hAnsi="宋体" w:cs="宋体" w:eastAsia="宋体" w:hint="default"/>
                <w:sz w:val="18"/>
                <w:szCs w:val="18"/>
              </w:rPr>
              <w:t>VRV-DBAS</w:t>
            </w:r>
            <w:r>
              <w:rPr>
                <w:rFonts w:ascii="宋体" w:hAnsi="宋体" w:cs="宋体" w:eastAsia="宋体" w:hint="default"/>
                <w:spacing w:val="-3"/>
                <w:sz w:val="18"/>
                <w:szCs w:val="18"/>
              </w:rPr>
              <w:t> </w:t>
            </w:r>
            <w:r>
              <w:rPr>
                <w:rFonts w:ascii="宋体" w:hAnsi="宋体" w:cs="宋体" w:eastAsia="宋体" w:hint="default"/>
                <w:sz w:val="18"/>
                <w:szCs w:val="18"/>
              </w:rPr>
              <w:t>V3.0</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0" w:right="0"/>
              <w:jc w:val="center"/>
              <w:rPr>
                <w:rFonts w:ascii="宋体" w:hAnsi="宋体" w:cs="宋体" w:eastAsia="宋体" w:hint="default"/>
                <w:sz w:val="18"/>
                <w:szCs w:val="18"/>
              </w:rPr>
            </w:pPr>
            <w:r>
              <w:rPr>
                <w:rFonts w:ascii="宋体"/>
                <w:sz w:val="18"/>
              </w:rPr>
              <w:t>XKC38151</w:t>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sz w:val="18"/>
              </w:rPr>
              <w:t>4</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北信源内网安全管理及补丁分发准入控制系统</w:t>
            </w:r>
            <w:r>
              <w:rPr>
                <w:rFonts w:ascii="宋体" w:hAnsi="宋体" w:cs="宋体" w:eastAsia="宋体" w:hint="default"/>
                <w:sz w:val="18"/>
                <w:szCs w:val="18"/>
              </w:rPr>
              <w:t>V6.6.02.03</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8"/>
              <w:ind w:left="10" w:right="0"/>
              <w:jc w:val="center"/>
              <w:rPr>
                <w:rFonts w:ascii="宋体" w:hAnsi="宋体" w:cs="宋体" w:eastAsia="宋体" w:hint="default"/>
                <w:sz w:val="18"/>
                <w:szCs w:val="18"/>
              </w:rPr>
            </w:pPr>
            <w:r>
              <w:rPr>
                <w:rFonts w:ascii="宋体"/>
                <w:sz w:val="18"/>
              </w:rPr>
              <w:t>XKC38150</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5</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北信源数据泄露防护系统</w:t>
            </w:r>
            <w:r>
              <w:rPr>
                <w:rFonts w:ascii="宋体" w:hAnsi="宋体" w:cs="宋体" w:eastAsia="宋体" w:hint="default"/>
                <w:sz w:val="18"/>
                <w:szCs w:val="18"/>
              </w:rPr>
              <w:t>VRV</w:t>
            </w:r>
            <w:r>
              <w:rPr>
                <w:rFonts w:ascii="宋体" w:hAnsi="宋体" w:cs="宋体" w:eastAsia="宋体" w:hint="default"/>
                <w:spacing w:val="-2"/>
                <w:sz w:val="18"/>
                <w:szCs w:val="18"/>
              </w:rPr>
              <w:t> </w:t>
            </w:r>
            <w:r>
              <w:rPr>
                <w:rFonts w:ascii="宋体" w:hAnsi="宋体" w:cs="宋体" w:eastAsia="宋体" w:hint="default"/>
                <w:sz w:val="18"/>
                <w:szCs w:val="18"/>
              </w:rPr>
              <w:t>DLPV6.0</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0" w:right="0"/>
              <w:jc w:val="center"/>
              <w:rPr>
                <w:rFonts w:ascii="宋体" w:hAnsi="宋体" w:cs="宋体" w:eastAsia="宋体" w:hint="default"/>
                <w:sz w:val="18"/>
                <w:szCs w:val="18"/>
              </w:rPr>
            </w:pPr>
            <w:r>
              <w:rPr>
                <w:rFonts w:ascii="宋体"/>
                <w:sz w:val="18"/>
              </w:rPr>
              <w:t>XKC33651</w:t>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6</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北信源安全管理平台</w:t>
            </w:r>
            <w:r>
              <w:rPr>
                <w:rFonts w:ascii="宋体" w:hAnsi="宋体" w:cs="宋体" w:eastAsia="宋体" w:hint="default"/>
                <w:sz w:val="18"/>
                <w:szCs w:val="18"/>
              </w:rPr>
              <w:t>V2.0.0.3</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0" w:right="0"/>
              <w:jc w:val="center"/>
              <w:rPr>
                <w:rFonts w:ascii="宋体" w:hAnsi="宋体" w:cs="宋体" w:eastAsia="宋体" w:hint="default"/>
                <w:sz w:val="18"/>
                <w:szCs w:val="18"/>
              </w:rPr>
            </w:pPr>
            <w:r>
              <w:rPr>
                <w:rFonts w:ascii="宋体"/>
                <w:sz w:val="18"/>
              </w:rPr>
              <w:t>XKC38502</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7</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北信源企业移动化管理平台 </w:t>
            </w:r>
            <w:r>
              <w:rPr>
                <w:rFonts w:ascii="宋体" w:hAnsi="宋体" w:cs="宋体" w:eastAsia="宋体" w:hint="default"/>
                <w:sz w:val="18"/>
                <w:szCs w:val="18"/>
              </w:rPr>
              <w:t>VRV</w:t>
            </w:r>
            <w:r>
              <w:rPr>
                <w:rFonts w:ascii="宋体" w:hAnsi="宋体" w:cs="宋体" w:eastAsia="宋体" w:hint="default"/>
                <w:spacing w:val="-1"/>
                <w:sz w:val="18"/>
                <w:szCs w:val="18"/>
              </w:rPr>
              <w:t> </w:t>
            </w:r>
            <w:r>
              <w:rPr>
                <w:rFonts w:ascii="宋体" w:hAnsi="宋体" w:cs="宋体" w:eastAsia="宋体" w:hint="default"/>
                <w:sz w:val="18"/>
                <w:szCs w:val="18"/>
              </w:rPr>
              <w:t>EMMV3.0</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0" w:right="0"/>
              <w:jc w:val="center"/>
              <w:rPr>
                <w:rFonts w:ascii="宋体" w:hAnsi="宋体" w:cs="宋体" w:eastAsia="宋体" w:hint="default"/>
                <w:sz w:val="18"/>
                <w:szCs w:val="18"/>
              </w:rPr>
            </w:pPr>
            <w:r>
              <w:rPr>
                <w:rFonts w:ascii="宋体"/>
                <w:sz w:val="18"/>
              </w:rPr>
              <w:t>XKC33681</w:t>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8</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北信源终端安全登录与文件保护系统</w:t>
            </w:r>
            <w:r>
              <w:rPr>
                <w:rFonts w:ascii="宋体" w:hAnsi="宋体" w:cs="宋体" w:eastAsia="宋体" w:hint="default"/>
                <w:sz w:val="18"/>
                <w:szCs w:val="18"/>
              </w:rPr>
              <w:t>V6.6</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0" w:right="0"/>
              <w:jc w:val="center"/>
              <w:rPr>
                <w:rFonts w:ascii="宋体" w:hAnsi="宋体" w:cs="宋体" w:eastAsia="宋体" w:hint="default"/>
                <w:sz w:val="18"/>
                <w:szCs w:val="18"/>
              </w:rPr>
            </w:pPr>
            <w:r>
              <w:rPr>
                <w:rFonts w:ascii="宋体"/>
                <w:sz w:val="18"/>
              </w:rPr>
              <w:t>XKC33708</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9</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北信源网络接入控制系统</w:t>
            </w:r>
            <w:r>
              <w:rPr>
                <w:rFonts w:ascii="宋体" w:hAnsi="宋体" w:cs="宋体" w:eastAsia="宋体" w:hint="default"/>
                <w:sz w:val="18"/>
                <w:szCs w:val="18"/>
              </w:rPr>
              <w:t>VRV-BMG/V6.0</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0" w:right="0"/>
              <w:jc w:val="center"/>
              <w:rPr>
                <w:rFonts w:ascii="宋体" w:hAnsi="宋体" w:cs="宋体" w:eastAsia="宋体" w:hint="default"/>
                <w:sz w:val="18"/>
                <w:szCs w:val="18"/>
              </w:rPr>
            </w:pPr>
            <w:r>
              <w:rPr>
                <w:rFonts w:ascii="宋体"/>
                <w:sz w:val="18"/>
              </w:rPr>
              <w:t>XKC33747</w:t>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10</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北信源电子文档安全管理系统</w:t>
            </w:r>
            <w:r>
              <w:rPr>
                <w:rFonts w:ascii="宋体" w:hAnsi="宋体" w:cs="宋体" w:eastAsia="宋体" w:hint="default"/>
                <w:sz w:val="18"/>
                <w:szCs w:val="18"/>
              </w:rPr>
              <w:t>V2.0.0.3</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0" w:right="0"/>
              <w:jc w:val="center"/>
              <w:rPr>
                <w:rFonts w:ascii="宋体" w:hAnsi="宋体" w:cs="宋体" w:eastAsia="宋体" w:hint="default"/>
                <w:sz w:val="18"/>
                <w:szCs w:val="18"/>
              </w:rPr>
            </w:pPr>
            <w:r>
              <w:rPr>
                <w:rFonts w:ascii="宋体"/>
                <w:sz w:val="18"/>
              </w:rPr>
              <w:t>XKC33939</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shd w:val="clear" w:color="auto" w:fill="ADAAAA"/>
          </w:tcPr>
          <w:p>
            <w:pPr>
              <w:pStyle w:val="TableParagraph"/>
              <w:spacing w:line="276"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6615"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76"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军用信息安全产品认证证书</w:t>
            </w:r>
            <w:r>
              <w:rPr>
                <w:rFonts w:ascii="Microsoft JhengHei" w:hAnsi="Microsoft JhengHei" w:cs="Microsoft JhengHei" w:eastAsia="Microsoft JhengHei" w:hint="default"/>
                <w:sz w:val="18"/>
                <w:szCs w:val="18"/>
              </w:rPr>
            </w:r>
          </w:p>
        </w:tc>
        <w:tc>
          <w:tcPr>
            <w:tcW w:w="2074" w:type="dxa"/>
            <w:tcBorders>
              <w:top w:val="single" w:sz="4" w:space="0" w:color="000000"/>
              <w:left w:val="single" w:sz="4" w:space="0" w:color="000000"/>
              <w:bottom w:val="single" w:sz="4" w:space="0" w:color="000000"/>
              <w:right w:val="single" w:sz="12" w:space="0" w:color="000000"/>
            </w:tcBorders>
            <w:shd w:val="clear" w:color="auto" w:fill="ADAAAA"/>
          </w:tcPr>
          <w:p>
            <w:pPr>
              <w:pStyle w:val="TableParagraph"/>
              <w:spacing w:line="276" w:lineRule="exact"/>
              <w:ind w:left="10"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编号</w:t>
            </w:r>
            <w:r>
              <w:rPr>
                <w:rFonts w:ascii="Microsoft JhengHei" w:hAnsi="Microsoft JhengHei" w:cs="Microsoft JhengHei" w:eastAsia="Microsoft JhengHei" w:hint="default"/>
                <w:sz w:val="18"/>
                <w:szCs w:val="18"/>
              </w:rPr>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北信源主机监控审计与补丁分发系统（中标麒麟版）</w:t>
            </w:r>
            <w:r>
              <w:rPr>
                <w:rFonts w:ascii="宋体" w:hAnsi="宋体" w:cs="宋体" w:eastAsia="宋体" w:hint="default"/>
                <w:sz w:val="18"/>
                <w:szCs w:val="18"/>
              </w:rPr>
              <w:t>V6.6</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2" w:right="0"/>
              <w:jc w:val="center"/>
              <w:rPr>
                <w:rFonts w:ascii="宋体" w:hAnsi="宋体" w:cs="宋体" w:eastAsia="宋体" w:hint="default"/>
                <w:sz w:val="18"/>
                <w:szCs w:val="18"/>
              </w:rPr>
            </w:pPr>
            <w:r>
              <w:rPr>
                <w:rFonts w:ascii="宋体" w:hAnsi="宋体" w:cs="宋体" w:eastAsia="宋体" w:hint="default"/>
                <w:sz w:val="18"/>
                <w:szCs w:val="18"/>
              </w:rPr>
              <w:t>军密认字第</w:t>
            </w:r>
            <w:r>
              <w:rPr>
                <w:rFonts w:ascii="宋体" w:hAnsi="宋体" w:cs="宋体" w:eastAsia="宋体" w:hint="default"/>
                <w:sz w:val="18"/>
                <w:szCs w:val="18"/>
              </w:rPr>
              <w:t>1770</w:t>
            </w:r>
            <w:r>
              <w:rPr>
                <w:rFonts w:ascii="宋体" w:hAnsi="宋体" w:cs="宋体" w:eastAsia="宋体" w:hint="default"/>
                <w:sz w:val="18"/>
                <w:szCs w:val="18"/>
              </w:rPr>
              <w:t>号</w:t>
            </w:r>
          </w:p>
        </w:tc>
      </w:tr>
      <w:tr>
        <w:trPr>
          <w:trHeight w:val="344"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北信源安全管理平台</w:t>
            </w:r>
            <w:r>
              <w:rPr>
                <w:rFonts w:ascii="宋体" w:hAnsi="宋体" w:cs="宋体" w:eastAsia="宋体" w:hint="default"/>
                <w:sz w:val="18"/>
                <w:szCs w:val="18"/>
              </w:rPr>
              <w:t>V2.0</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2" w:right="0"/>
              <w:jc w:val="center"/>
              <w:rPr>
                <w:rFonts w:ascii="宋体" w:hAnsi="宋体" w:cs="宋体" w:eastAsia="宋体" w:hint="default"/>
                <w:sz w:val="18"/>
                <w:szCs w:val="18"/>
              </w:rPr>
            </w:pPr>
            <w:r>
              <w:rPr>
                <w:rFonts w:ascii="宋体" w:hAnsi="宋体" w:cs="宋体" w:eastAsia="宋体" w:hint="default"/>
                <w:sz w:val="18"/>
                <w:szCs w:val="18"/>
              </w:rPr>
              <w:t>军密认字第</w:t>
            </w:r>
            <w:r>
              <w:rPr>
                <w:rFonts w:ascii="宋体" w:hAnsi="宋体" w:cs="宋体" w:eastAsia="宋体" w:hint="default"/>
                <w:sz w:val="18"/>
                <w:szCs w:val="18"/>
              </w:rPr>
              <w:t>2084</w:t>
            </w:r>
            <w:r>
              <w:rPr>
                <w:rFonts w:ascii="宋体" w:hAnsi="宋体" w:cs="宋体" w:eastAsia="宋体" w:hint="default"/>
                <w:sz w:val="18"/>
                <w:szCs w:val="18"/>
              </w:rPr>
              <w:t>号</w:t>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3</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北信源光盘刻录监控与审计系统</w:t>
            </w:r>
            <w:r>
              <w:rPr>
                <w:rFonts w:ascii="宋体" w:hAnsi="宋体" w:cs="宋体" w:eastAsia="宋体" w:hint="default"/>
                <w:sz w:val="18"/>
                <w:szCs w:val="18"/>
              </w:rPr>
              <w:t>V6.0</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2" w:right="0"/>
              <w:jc w:val="center"/>
              <w:rPr>
                <w:rFonts w:ascii="宋体" w:hAnsi="宋体" w:cs="宋体" w:eastAsia="宋体" w:hint="default"/>
                <w:sz w:val="18"/>
                <w:szCs w:val="18"/>
              </w:rPr>
            </w:pPr>
            <w:r>
              <w:rPr>
                <w:rFonts w:ascii="宋体" w:hAnsi="宋体" w:cs="宋体" w:eastAsia="宋体" w:hint="default"/>
                <w:sz w:val="18"/>
                <w:szCs w:val="18"/>
              </w:rPr>
              <w:t>军密认字第</w:t>
            </w:r>
            <w:r>
              <w:rPr>
                <w:rFonts w:ascii="宋体" w:hAnsi="宋体" w:cs="宋体" w:eastAsia="宋体" w:hint="default"/>
                <w:sz w:val="18"/>
                <w:szCs w:val="18"/>
              </w:rPr>
              <w:t>2087</w:t>
            </w:r>
            <w:r>
              <w:rPr>
                <w:rFonts w:ascii="宋体" w:hAnsi="宋体" w:cs="宋体" w:eastAsia="宋体" w:hint="default"/>
                <w:sz w:val="18"/>
                <w:szCs w:val="18"/>
              </w:rPr>
              <w:t>号</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4</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北信源打印监控审计系统</w:t>
            </w:r>
            <w:r>
              <w:rPr>
                <w:rFonts w:ascii="宋体" w:hAnsi="宋体" w:cs="宋体" w:eastAsia="宋体" w:hint="default"/>
                <w:sz w:val="18"/>
                <w:szCs w:val="18"/>
              </w:rPr>
              <w:t>V2.6</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2" w:right="0"/>
              <w:jc w:val="center"/>
              <w:rPr>
                <w:rFonts w:ascii="宋体" w:hAnsi="宋体" w:cs="宋体" w:eastAsia="宋体" w:hint="default"/>
                <w:sz w:val="18"/>
                <w:szCs w:val="18"/>
              </w:rPr>
            </w:pPr>
            <w:r>
              <w:rPr>
                <w:rFonts w:ascii="宋体" w:hAnsi="宋体" w:cs="宋体" w:eastAsia="宋体" w:hint="default"/>
                <w:sz w:val="18"/>
                <w:szCs w:val="18"/>
              </w:rPr>
              <w:t>军密认字第</w:t>
            </w:r>
            <w:r>
              <w:rPr>
                <w:rFonts w:ascii="宋体" w:hAnsi="宋体" w:cs="宋体" w:eastAsia="宋体" w:hint="default"/>
                <w:sz w:val="18"/>
                <w:szCs w:val="18"/>
              </w:rPr>
              <w:t>2092</w:t>
            </w:r>
            <w:r>
              <w:rPr>
                <w:rFonts w:ascii="宋体" w:hAnsi="宋体" w:cs="宋体" w:eastAsia="宋体" w:hint="default"/>
                <w:sz w:val="18"/>
                <w:szCs w:val="18"/>
              </w:rPr>
              <w:t>号</w:t>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5</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北信源移动存储管理系统及安全</w:t>
            </w:r>
            <w:r>
              <w:rPr>
                <w:rFonts w:ascii="宋体" w:hAnsi="宋体" w:cs="宋体" w:eastAsia="宋体" w:hint="default"/>
                <w:sz w:val="18"/>
                <w:szCs w:val="18"/>
              </w:rPr>
              <w:t>U</w:t>
            </w:r>
            <w:r>
              <w:rPr>
                <w:rFonts w:ascii="宋体" w:hAnsi="宋体" w:cs="宋体" w:eastAsia="宋体" w:hint="default"/>
                <w:sz w:val="18"/>
                <w:szCs w:val="18"/>
              </w:rPr>
              <w:t>盘</w:t>
            </w:r>
            <w:r>
              <w:rPr>
                <w:rFonts w:ascii="宋体" w:hAnsi="宋体" w:cs="宋体" w:eastAsia="宋体" w:hint="default"/>
                <w:sz w:val="18"/>
                <w:szCs w:val="18"/>
              </w:rPr>
              <w:t>2.16.0</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2" w:right="0"/>
              <w:jc w:val="center"/>
              <w:rPr>
                <w:rFonts w:ascii="宋体" w:hAnsi="宋体" w:cs="宋体" w:eastAsia="宋体" w:hint="default"/>
                <w:sz w:val="18"/>
                <w:szCs w:val="18"/>
              </w:rPr>
            </w:pPr>
            <w:r>
              <w:rPr>
                <w:rFonts w:ascii="宋体" w:hAnsi="宋体" w:cs="宋体" w:eastAsia="宋体" w:hint="default"/>
                <w:sz w:val="18"/>
                <w:szCs w:val="18"/>
              </w:rPr>
              <w:t>军密认字第</w:t>
            </w:r>
            <w:r>
              <w:rPr>
                <w:rFonts w:ascii="宋体" w:hAnsi="宋体" w:cs="宋体" w:eastAsia="宋体" w:hint="default"/>
                <w:sz w:val="18"/>
                <w:szCs w:val="18"/>
              </w:rPr>
              <w:t>2126</w:t>
            </w:r>
            <w:r>
              <w:rPr>
                <w:rFonts w:ascii="宋体" w:hAnsi="宋体" w:cs="宋体" w:eastAsia="宋体" w:hint="default"/>
                <w:sz w:val="18"/>
                <w:szCs w:val="18"/>
              </w:rPr>
              <w:t>号</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6</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北信源数据泄露防护系统</w:t>
            </w:r>
            <w:r>
              <w:rPr>
                <w:rFonts w:ascii="宋体" w:hAnsi="宋体" w:cs="宋体" w:eastAsia="宋体" w:hint="default"/>
                <w:sz w:val="18"/>
                <w:szCs w:val="18"/>
              </w:rPr>
              <w:t>VRV DLP</w:t>
            </w:r>
            <w:r>
              <w:rPr>
                <w:rFonts w:ascii="宋体" w:hAnsi="宋体" w:cs="宋体" w:eastAsia="宋体" w:hint="default"/>
                <w:spacing w:val="-1"/>
                <w:sz w:val="18"/>
                <w:szCs w:val="18"/>
              </w:rPr>
              <w:t> </w:t>
            </w:r>
            <w:r>
              <w:rPr>
                <w:rFonts w:ascii="宋体" w:hAnsi="宋体" w:cs="宋体" w:eastAsia="宋体" w:hint="default"/>
                <w:sz w:val="18"/>
                <w:szCs w:val="18"/>
              </w:rPr>
              <w:t>V6.0</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2" w:right="0"/>
              <w:jc w:val="center"/>
              <w:rPr>
                <w:rFonts w:ascii="宋体" w:hAnsi="宋体" w:cs="宋体" w:eastAsia="宋体" w:hint="default"/>
                <w:sz w:val="18"/>
                <w:szCs w:val="18"/>
              </w:rPr>
            </w:pPr>
            <w:r>
              <w:rPr>
                <w:rFonts w:ascii="宋体" w:hAnsi="宋体" w:cs="宋体" w:eastAsia="宋体" w:hint="default"/>
                <w:sz w:val="18"/>
                <w:szCs w:val="18"/>
              </w:rPr>
              <w:t>军密认字第</w:t>
            </w:r>
            <w:r>
              <w:rPr>
                <w:rFonts w:ascii="宋体" w:hAnsi="宋体" w:cs="宋体" w:eastAsia="宋体" w:hint="default"/>
                <w:sz w:val="18"/>
                <w:szCs w:val="18"/>
              </w:rPr>
              <w:t>2174</w:t>
            </w:r>
            <w:r>
              <w:rPr>
                <w:rFonts w:ascii="宋体" w:hAnsi="宋体" w:cs="宋体" w:eastAsia="宋体" w:hint="default"/>
                <w:sz w:val="18"/>
                <w:szCs w:val="18"/>
              </w:rPr>
              <w:t>号</w:t>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7</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北信源网络接入控制系统 </w:t>
            </w:r>
            <w:r>
              <w:rPr>
                <w:rFonts w:ascii="宋体" w:hAnsi="宋体" w:cs="宋体" w:eastAsia="宋体" w:hint="default"/>
                <w:sz w:val="18"/>
                <w:szCs w:val="18"/>
              </w:rPr>
              <w:t>VRV BMG</w:t>
            </w:r>
            <w:r>
              <w:rPr>
                <w:rFonts w:ascii="宋体" w:hAnsi="宋体" w:cs="宋体" w:eastAsia="宋体" w:hint="default"/>
                <w:spacing w:val="-3"/>
                <w:sz w:val="18"/>
                <w:szCs w:val="18"/>
              </w:rPr>
              <w:t> </w:t>
            </w:r>
            <w:r>
              <w:rPr>
                <w:rFonts w:ascii="宋体" w:hAnsi="宋体" w:cs="宋体" w:eastAsia="宋体" w:hint="default"/>
                <w:sz w:val="18"/>
                <w:szCs w:val="18"/>
              </w:rPr>
              <w:t>V6.0</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2" w:right="0"/>
              <w:jc w:val="center"/>
              <w:rPr>
                <w:rFonts w:ascii="宋体" w:hAnsi="宋体" w:cs="宋体" w:eastAsia="宋体" w:hint="default"/>
                <w:sz w:val="18"/>
                <w:szCs w:val="18"/>
              </w:rPr>
            </w:pPr>
            <w:r>
              <w:rPr>
                <w:rFonts w:ascii="宋体" w:hAnsi="宋体" w:cs="宋体" w:eastAsia="宋体" w:hint="default"/>
                <w:sz w:val="18"/>
                <w:szCs w:val="18"/>
              </w:rPr>
              <w:t>军密认字第</w:t>
            </w:r>
            <w:r>
              <w:rPr>
                <w:rFonts w:ascii="宋体" w:hAnsi="宋体" w:cs="宋体" w:eastAsia="宋体" w:hint="default"/>
                <w:sz w:val="18"/>
                <w:szCs w:val="18"/>
              </w:rPr>
              <w:t>2137</w:t>
            </w:r>
            <w:r>
              <w:rPr>
                <w:rFonts w:ascii="宋体" w:hAnsi="宋体" w:cs="宋体" w:eastAsia="宋体" w:hint="default"/>
                <w:sz w:val="18"/>
                <w:szCs w:val="18"/>
              </w:rPr>
              <w:t>号</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shd w:val="clear" w:color="auto" w:fill="ADAAAA"/>
          </w:tcPr>
          <w:p>
            <w:pPr>
              <w:pStyle w:val="TableParagraph"/>
              <w:spacing w:line="276"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6615"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76"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涉密信息系统产品检测证书</w:t>
            </w:r>
            <w:r>
              <w:rPr>
                <w:rFonts w:ascii="Microsoft JhengHei" w:hAnsi="Microsoft JhengHei" w:cs="Microsoft JhengHei" w:eastAsia="Microsoft JhengHei" w:hint="default"/>
                <w:sz w:val="18"/>
                <w:szCs w:val="18"/>
              </w:rPr>
            </w:r>
          </w:p>
        </w:tc>
        <w:tc>
          <w:tcPr>
            <w:tcW w:w="2074" w:type="dxa"/>
            <w:tcBorders>
              <w:top w:val="single" w:sz="4" w:space="0" w:color="000000"/>
              <w:left w:val="single" w:sz="4" w:space="0" w:color="000000"/>
              <w:bottom w:val="single" w:sz="4" w:space="0" w:color="000000"/>
              <w:right w:val="single" w:sz="12" w:space="0" w:color="000000"/>
            </w:tcBorders>
            <w:shd w:val="clear" w:color="auto" w:fill="ADAAAA"/>
          </w:tcPr>
          <w:p>
            <w:pPr>
              <w:pStyle w:val="TableParagraph"/>
              <w:spacing w:line="276" w:lineRule="exact"/>
              <w:ind w:left="10"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编号</w:t>
            </w:r>
            <w:r>
              <w:rPr>
                <w:rFonts w:ascii="Microsoft JhengHei" w:hAnsi="Microsoft JhengHei" w:cs="Microsoft JhengHei" w:eastAsia="Microsoft JhengHei" w:hint="default"/>
                <w:sz w:val="18"/>
                <w:szCs w:val="18"/>
              </w:rPr>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b/>
                <w:sz w:val="18"/>
              </w:rPr>
              <w:t>1</w:t>
            </w:r>
            <w:r>
              <w:rPr>
                <w:rFonts w:ascii="Times New Roman"/>
                <w:sz w:val="18"/>
              </w:rPr>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北信源光盘刻录监控与审计系统</w:t>
            </w:r>
            <w:r>
              <w:rPr>
                <w:rFonts w:ascii="宋体" w:hAnsi="宋体" w:cs="宋体" w:eastAsia="宋体" w:hint="default"/>
                <w:sz w:val="18"/>
                <w:szCs w:val="18"/>
              </w:rPr>
              <w:t>V6.0</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0" w:right="0"/>
              <w:jc w:val="center"/>
              <w:rPr>
                <w:rFonts w:ascii="宋体" w:hAnsi="宋体" w:cs="宋体" w:eastAsia="宋体" w:hint="default"/>
                <w:sz w:val="18"/>
                <w:szCs w:val="18"/>
              </w:rPr>
            </w:pPr>
            <w:r>
              <w:rPr>
                <w:rFonts w:ascii="宋体" w:hAnsi="宋体" w:cs="宋体" w:eastAsia="宋体" w:hint="default"/>
                <w:sz w:val="18"/>
                <w:szCs w:val="18"/>
              </w:rPr>
              <w:t>国保测</w:t>
            </w:r>
            <w:r>
              <w:rPr>
                <w:rFonts w:ascii="宋体" w:hAnsi="宋体" w:cs="宋体" w:eastAsia="宋体" w:hint="default"/>
                <w:sz w:val="18"/>
                <w:szCs w:val="18"/>
              </w:rPr>
              <w:t>2017C05321</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b/>
                <w:sz w:val="18"/>
              </w:rPr>
              <w:t>2</w:t>
            </w:r>
            <w:r>
              <w:rPr>
                <w:rFonts w:ascii="Times New Roman"/>
                <w:sz w:val="18"/>
              </w:rPr>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北信源存储介质信息消除系统 </w:t>
            </w:r>
            <w:r>
              <w:rPr>
                <w:rFonts w:ascii="宋体" w:hAnsi="宋体" w:cs="宋体" w:eastAsia="宋体" w:hint="default"/>
                <w:sz w:val="18"/>
                <w:szCs w:val="18"/>
              </w:rPr>
              <w:t>VRV IES</w:t>
            </w:r>
            <w:r>
              <w:rPr>
                <w:rFonts w:ascii="宋体" w:hAnsi="宋体" w:cs="宋体" w:eastAsia="宋体" w:hint="default"/>
                <w:spacing w:val="-3"/>
                <w:sz w:val="18"/>
                <w:szCs w:val="18"/>
              </w:rPr>
              <w:t> </w:t>
            </w:r>
            <w:r>
              <w:rPr>
                <w:rFonts w:ascii="宋体" w:hAnsi="宋体" w:cs="宋体" w:eastAsia="宋体" w:hint="default"/>
                <w:sz w:val="18"/>
                <w:szCs w:val="18"/>
              </w:rPr>
              <w:t>V3.0</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0" w:right="0"/>
              <w:jc w:val="center"/>
              <w:rPr>
                <w:rFonts w:ascii="宋体" w:hAnsi="宋体" w:cs="宋体" w:eastAsia="宋体" w:hint="default"/>
                <w:sz w:val="18"/>
                <w:szCs w:val="18"/>
              </w:rPr>
            </w:pPr>
            <w:r>
              <w:rPr>
                <w:rFonts w:ascii="宋体" w:hAnsi="宋体" w:cs="宋体" w:eastAsia="宋体" w:hint="default"/>
                <w:sz w:val="18"/>
                <w:szCs w:val="18"/>
              </w:rPr>
              <w:t>国保测</w:t>
            </w:r>
            <w:r>
              <w:rPr>
                <w:rFonts w:ascii="宋体" w:hAnsi="宋体" w:cs="宋体" w:eastAsia="宋体" w:hint="default"/>
                <w:sz w:val="18"/>
                <w:szCs w:val="18"/>
              </w:rPr>
              <w:t>2017C05350</w:t>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b/>
                <w:sz w:val="18"/>
              </w:rPr>
              <w:t>3</w:t>
            </w:r>
            <w:r>
              <w:rPr>
                <w:rFonts w:ascii="Times New Roman"/>
                <w:sz w:val="18"/>
              </w:rPr>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北信源光盘刻录监控与审计系统</w:t>
            </w:r>
            <w:r>
              <w:rPr>
                <w:rFonts w:ascii="宋体" w:hAnsi="宋体" w:cs="宋体" w:eastAsia="宋体" w:hint="default"/>
                <w:sz w:val="18"/>
                <w:szCs w:val="18"/>
              </w:rPr>
              <w:t>(</w:t>
            </w:r>
            <w:r>
              <w:rPr>
                <w:rFonts w:ascii="宋体" w:hAnsi="宋体" w:cs="宋体" w:eastAsia="宋体" w:hint="default"/>
                <w:sz w:val="18"/>
                <w:szCs w:val="18"/>
              </w:rPr>
              <w:t>单机版</w:t>
            </w:r>
            <w:r>
              <w:rPr>
                <w:rFonts w:ascii="宋体" w:hAnsi="宋体" w:cs="宋体" w:eastAsia="宋体" w:hint="default"/>
                <w:sz w:val="18"/>
                <w:szCs w:val="18"/>
              </w:rPr>
              <w:t>)V6.0</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0" w:right="0"/>
              <w:jc w:val="center"/>
              <w:rPr>
                <w:rFonts w:ascii="宋体" w:hAnsi="宋体" w:cs="宋体" w:eastAsia="宋体" w:hint="default"/>
                <w:sz w:val="18"/>
                <w:szCs w:val="18"/>
              </w:rPr>
            </w:pPr>
            <w:r>
              <w:rPr>
                <w:rFonts w:ascii="宋体" w:hAnsi="宋体" w:cs="宋体" w:eastAsia="宋体" w:hint="default"/>
                <w:sz w:val="18"/>
                <w:szCs w:val="18"/>
              </w:rPr>
              <w:t>国保测</w:t>
            </w:r>
            <w:r>
              <w:rPr>
                <w:rFonts w:ascii="宋体" w:hAnsi="宋体" w:cs="宋体" w:eastAsia="宋体" w:hint="default"/>
                <w:sz w:val="18"/>
                <w:szCs w:val="18"/>
              </w:rPr>
              <w:t>2017C05425</w:t>
            </w:r>
          </w:p>
        </w:tc>
      </w:tr>
      <w:tr>
        <w:trPr>
          <w:trHeight w:val="344"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b/>
                <w:sz w:val="18"/>
              </w:rPr>
              <w:t>4</w:t>
            </w:r>
            <w:r>
              <w:rPr>
                <w:rFonts w:ascii="Times New Roman"/>
                <w:sz w:val="18"/>
              </w:rPr>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北信源终端安全登录与文件保护系统（单机版）</w:t>
            </w:r>
            <w:r>
              <w:rPr>
                <w:rFonts w:ascii="宋体" w:hAnsi="宋体" w:cs="宋体" w:eastAsia="宋体" w:hint="default"/>
                <w:sz w:val="18"/>
                <w:szCs w:val="18"/>
              </w:rPr>
              <w:t>V6.6</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0" w:right="0"/>
              <w:jc w:val="center"/>
              <w:rPr>
                <w:rFonts w:ascii="宋体" w:hAnsi="宋体" w:cs="宋体" w:eastAsia="宋体" w:hint="default"/>
                <w:sz w:val="18"/>
                <w:szCs w:val="18"/>
              </w:rPr>
            </w:pPr>
            <w:r>
              <w:rPr>
                <w:rFonts w:ascii="宋体" w:hAnsi="宋体" w:cs="宋体" w:eastAsia="宋体" w:hint="default"/>
                <w:sz w:val="18"/>
                <w:szCs w:val="18"/>
              </w:rPr>
              <w:t>国保测</w:t>
            </w:r>
            <w:r>
              <w:rPr>
                <w:rFonts w:ascii="宋体" w:hAnsi="宋体" w:cs="宋体" w:eastAsia="宋体" w:hint="default"/>
                <w:sz w:val="18"/>
                <w:szCs w:val="18"/>
              </w:rPr>
              <w:t>2017C05527</w:t>
            </w:r>
          </w:p>
        </w:tc>
      </w:tr>
      <w:tr>
        <w:trPr>
          <w:trHeight w:val="353" w:hRule="exact"/>
        </w:trPr>
        <w:tc>
          <w:tcPr>
            <w:tcW w:w="98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b/>
                <w:sz w:val="18"/>
              </w:rPr>
              <w:t>5</w:t>
            </w:r>
            <w:r>
              <w:rPr>
                <w:rFonts w:ascii="Times New Roman"/>
                <w:sz w:val="18"/>
              </w:rPr>
            </w:r>
          </w:p>
        </w:tc>
        <w:tc>
          <w:tcPr>
            <w:tcW w:w="66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北信源网络接入控制系统</w:t>
            </w:r>
            <w:r>
              <w:rPr>
                <w:rFonts w:ascii="宋体" w:hAnsi="宋体" w:cs="宋体" w:eastAsia="宋体" w:hint="default"/>
                <w:sz w:val="18"/>
                <w:szCs w:val="18"/>
              </w:rPr>
              <w:t>VRV BMG</w:t>
            </w:r>
            <w:r>
              <w:rPr>
                <w:rFonts w:ascii="宋体" w:hAnsi="宋体" w:cs="宋体" w:eastAsia="宋体" w:hint="default"/>
                <w:spacing w:val="-1"/>
                <w:sz w:val="18"/>
                <w:szCs w:val="18"/>
              </w:rPr>
              <w:t> </w:t>
            </w:r>
            <w:r>
              <w:rPr>
                <w:rFonts w:ascii="宋体" w:hAnsi="宋体" w:cs="宋体" w:eastAsia="宋体" w:hint="default"/>
                <w:sz w:val="18"/>
                <w:szCs w:val="18"/>
              </w:rPr>
              <w:t>V6.0</w:t>
            </w:r>
          </w:p>
        </w:tc>
        <w:tc>
          <w:tcPr>
            <w:tcW w:w="207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7"/>
              <w:ind w:left="10" w:right="0"/>
              <w:jc w:val="center"/>
              <w:rPr>
                <w:rFonts w:ascii="宋体" w:hAnsi="宋体" w:cs="宋体" w:eastAsia="宋体" w:hint="default"/>
                <w:sz w:val="18"/>
                <w:szCs w:val="18"/>
              </w:rPr>
            </w:pPr>
            <w:r>
              <w:rPr>
                <w:rFonts w:ascii="宋体" w:hAnsi="宋体" w:cs="宋体" w:eastAsia="宋体" w:hint="default"/>
                <w:sz w:val="18"/>
                <w:szCs w:val="18"/>
              </w:rPr>
              <w:t>国保测</w:t>
            </w:r>
            <w:r>
              <w:rPr>
                <w:rFonts w:ascii="宋体" w:hAnsi="宋体" w:cs="宋体" w:eastAsia="宋体" w:hint="default"/>
                <w:sz w:val="18"/>
                <w:szCs w:val="18"/>
              </w:rPr>
              <w:t>2017C05754</w:t>
            </w:r>
          </w:p>
        </w:tc>
      </w:tr>
    </w:tbl>
    <w:p>
      <w:pPr>
        <w:spacing w:after="0" w:line="240" w:lineRule="auto"/>
        <w:jc w:val="center"/>
        <w:rPr>
          <w:rFonts w:ascii="宋体" w:hAnsi="宋体" w:cs="宋体" w:eastAsia="宋体" w:hint="default"/>
          <w:sz w:val="18"/>
          <w:szCs w:val="18"/>
        </w:rPr>
        <w:sectPr>
          <w:pgSz w:w="11910" w:h="16840"/>
          <w:pgMar w:header="745" w:footer="1133" w:top="1060" w:bottom="13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3" w:type="dxa"/>
        <w:tblLayout w:type="fixed"/>
        <w:tblCellMar>
          <w:top w:w="0" w:type="dxa"/>
          <w:left w:w="0" w:type="dxa"/>
          <w:bottom w:w="0" w:type="dxa"/>
          <w:right w:w="0" w:type="dxa"/>
        </w:tblCellMar>
        <w:tblLook w:val="01E0"/>
      </w:tblPr>
      <w:tblGrid>
        <w:gridCol w:w="980"/>
        <w:gridCol w:w="6615"/>
        <w:gridCol w:w="2074"/>
      </w:tblGrid>
      <w:tr>
        <w:trPr>
          <w:trHeight w:val="353" w:hRule="exact"/>
        </w:trPr>
        <w:tc>
          <w:tcPr>
            <w:tcW w:w="98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6</w:t>
            </w:r>
          </w:p>
        </w:tc>
        <w:tc>
          <w:tcPr>
            <w:tcW w:w="66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北信源主机监控审计与补丁分发系统（单机版）</w:t>
            </w:r>
            <w:r>
              <w:rPr>
                <w:rFonts w:ascii="宋体" w:hAnsi="宋体" w:cs="宋体" w:eastAsia="宋体" w:hint="default"/>
                <w:sz w:val="18"/>
                <w:szCs w:val="18"/>
              </w:rPr>
              <w:t>V6.6</w:t>
            </w:r>
          </w:p>
        </w:tc>
        <w:tc>
          <w:tcPr>
            <w:tcW w:w="2074"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0"/>
              <w:ind w:left="10" w:right="0"/>
              <w:jc w:val="center"/>
              <w:rPr>
                <w:rFonts w:ascii="宋体" w:hAnsi="宋体" w:cs="宋体" w:eastAsia="宋体" w:hint="default"/>
                <w:sz w:val="18"/>
                <w:szCs w:val="18"/>
              </w:rPr>
            </w:pPr>
            <w:r>
              <w:rPr>
                <w:rFonts w:ascii="宋体" w:hAnsi="宋体" w:cs="宋体" w:eastAsia="宋体" w:hint="default"/>
                <w:sz w:val="18"/>
                <w:szCs w:val="18"/>
              </w:rPr>
              <w:t>国保测</w:t>
            </w:r>
            <w:r>
              <w:rPr>
                <w:rFonts w:ascii="宋体" w:hAnsi="宋体" w:cs="宋体" w:eastAsia="宋体" w:hint="default"/>
                <w:sz w:val="18"/>
                <w:szCs w:val="18"/>
              </w:rPr>
              <w:t>2017C05768</w:t>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7</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北信源存储介质信息消除工具</w:t>
            </w:r>
            <w:r>
              <w:rPr>
                <w:rFonts w:ascii="宋体" w:hAnsi="宋体" w:cs="宋体" w:eastAsia="宋体" w:hint="default"/>
                <w:sz w:val="18"/>
                <w:szCs w:val="18"/>
              </w:rPr>
              <w:t>V2.0</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0" w:right="0"/>
              <w:jc w:val="center"/>
              <w:rPr>
                <w:rFonts w:ascii="宋体" w:hAnsi="宋体" w:cs="宋体" w:eastAsia="宋体" w:hint="default"/>
                <w:sz w:val="18"/>
                <w:szCs w:val="18"/>
              </w:rPr>
            </w:pPr>
            <w:r>
              <w:rPr>
                <w:rFonts w:ascii="宋体" w:hAnsi="宋体" w:cs="宋体" w:eastAsia="宋体" w:hint="default"/>
                <w:sz w:val="18"/>
                <w:szCs w:val="18"/>
              </w:rPr>
              <w:t>国保测</w:t>
            </w:r>
            <w:r>
              <w:rPr>
                <w:rFonts w:ascii="宋体" w:hAnsi="宋体" w:cs="宋体" w:eastAsia="宋体" w:hint="default"/>
                <w:sz w:val="18"/>
                <w:szCs w:val="18"/>
              </w:rPr>
              <w:t>2017C05985</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shd w:val="clear" w:color="auto" w:fill="ADAAAA"/>
          </w:tcPr>
          <w:p>
            <w:pPr>
              <w:pStyle w:val="TableParagraph"/>
              <w:spacing w:line="276"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6615"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76"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北京市新技术新产品（服务）证书</w:t>
            </w:r>
            <w:r>
              <w:rPr>
                <w:rFonts w:ascii="Microsoft JhengHei" w:hAnsi="Microsoft JhengHei" w:cs="Microsoft JhengHei" w:eastAsia="Microsoft JhengHei" w:hint="default"/>
                <w:sz w:val="18"/>
                <w:szCs w:val="18"/>
              </w:rPr>
            </w:r>
          </w:p>
        </w:tc>
        <w:tc>
          <w:tcPr>
            <w:tcW w:w="2074" w:type="dxa"/>
            <w:tcBorders>
              <w:top w:val="single" w:sz="4" w:space="0" w:color="000000"/>
              <w:left w:val="single" w:sz="4" w:space="0" w:color="000000"/>
              <w:bottom w:val="single" w:sz="4" w:space="0" w:color="000000"/>
              <w:right w:val="single" w:sz="12" w:space="0" w:color="000000"/>
            </w:tcBorders>
            <w:shd w:val="clear" w:color="auto" w:fill="ADAAAA"/>
          </w:tcPr>
          <w:p>
            <w:pPr>
              <w:pStyle w:val="TableParagraph"/>
              <w:spacing w:line="276" w:lineRule="exact"/>
              <w:ind w:left="7"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证书编号</w:t>
            </w:r>
            <w:r>
              <w:rPr>
                <w:rFonts w:ascii="Microsoft JhengHei" w:hAnsi="Microsoft JhengHei" w:cs="Microsoft JhengHei" w:eastAsia="Microsoft JhengHei" w:hint="default"/>
                <w:sz w:val="18"/>
                <w:szCs w:val="18"/>
              </w:rPr>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信源豆豆即时通讯软件</w:t>
            </w:r>
            <w:r>
              <w:rPr>
                <w:rFonts w:ascii="宋体" w:hAnsi="宋体" w:cs="宋体" w:eastAsia="宋体" w:hint="default"/>
                <w:sz w:val="18"/>
                <w:szCs w:val="18"/>
              </w:rPr>
              <w:t>V1.0</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0" w:right="0"/>
              <w:jc w:val="center"/>
              <w:rPr>
                <w:rFonts w:ascii="宋体" w:hAnsi="宋体" w:cs="宋体" w:eastAsia="宋体" w:hint="default"/>
                <w:sz w:val="18"/>
                <w:szCs w:val="18"/>
              </w:rPr>
            </w:pPr>
            <w:r>
              <w:rPr>
                <w:rFonts w:ascii="宋体"/>
                <w:sz w:val="18"/>
              </w:rPr>
              <w:t>XCP2017DZ0120</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北信源主机监控审计与补丁分发系统（中标麒麟版）</w:t>
            </w:r>
            <w:r>
              <w:rPr>
                <w:rFonts w:ascii="宋体" w:hAnsi="宋体" w:cs="宋体" w:eastAsia="宋体" w:hint="default"/>
                <w:sz w:val="18"/>
                <w:szCs w:val="18"/>
              </w:rPr>
              <w:t>V6.6</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0" w:right="0"/>
              <w:jc w:val="center"/>
              <w:rPr>
                <w:rFonts w:ascii="宋体" w:hAnsi="宋体" w:cs="宋体" w:eastAsia="宋体" w:hint="default"/>
                <w:sz w:val="18"/>
                <w:szCs w:val="18"/>
              </w:rPr>
            </w:pPr>
            <w:r>
              <w:rPr>
                <w:rFonts w:ascii="宋体"/>
                <w:sz w:val="18"/>
              </w:rPr>
              <w:t>XCP2017DZ0121</w:t>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3</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北信源大数据管理与分析平台软件</w:t>
            </w:r>
            <w:r>
              <w:rPr>
                <w:rFonts w:ascii="宋体" w:hAnsi="宋体" w:cs="宋体" w:eastAsia="宋体" w:hint="default"/>
                <w:sz w:val="18"/>
                <w:szCs w:val="18"/>
              </w:rPr>
              <w:t>V1.0</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0" w:right="0"/>
              <w:jc w:val="center"/>
              <w:rPr>
                <w:rFonts w:ascii="宋体" w:hAnsi="宋体" w:cs="宋体" w:eastAsia="宋体" w:hint="default"/>
                <w:sz w:val="18"/>
                <w:szCs w:val="18"/>
              </w:rPr>
            </w:pPr>
            <w:r>
              <w:rPr>
                <w:rFonts w:ascii="宋体"/>
                <w:sz w:val="18"/>
              </w:rPr>
              <w:t>XCP2017DZ0122</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4</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北信源数据泄露防护系统</w:t>
            </w:r>
            <w:r>
              <w:rPr>
                <w:rFonts w:ascii="宋体" w:hAnsi="宋体" w:cs="宋体" w:eastAsia="宋体" w:hint="default"/>
                <w:sz w:val="18"/>
                <w:szCs w:val="18"/>
              </w:rPr>
              <w:t>V3.0</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0" w:right="0"/>
              <w:jc w:val="center"/>
              <w:rPr>
                <w:rFonts w:ascii="宋体" w:hAnsi="宋体" w:cs="宋体" w:eastAsia="宋体" w:hint="default"/>
                <w:sz w:val="18"/>
                <w:szCs w:val="18"/>
              </w:rPr>
            </w:pPr>
            <w:r>
              <w:rPr>
                <w:rFonts w:ascii="宋体"/>
                <w:sz w:val="18"/>
              </w:rPr>
              <w:t>XCP2017DZ0123</w:t>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5</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北信源电子文档安全管理系统</w:t>
            </w:r>
            <w:r>
              <w:rPr>
                <w:rFonts w:ascii="宋体" w:hAnsi="宋体" w:cs="宋体" w:eastAsia="宋体" w:hint="default"/>
                <w:sz w:val="18"/>
                <w:szCs w:val="18"/>
              </w:rPr>
              <w:t>V2.0.0.3</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0" w:right="0"/>
              <w:jc w:val="center"/>
              <w:rPr>
                <w:rFonts w:ascii="宋体" w:hAnsi="宋体" w:cs="宋体" w:eastAsia="宋体" w:hint="default"/>
                <w:sz w:val="18"/>
                <w:szCs w:val="18"/>
              </w:rPr>
            </w:pPr>
            <w:r>
              <w:rPr>
                <w:rFonts w:ascii="宋体"/>
                <w:sz w:val="18"/>
              </w:rPr>
              <w:t>XCP2017DZ0124</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6</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北信源移动化管理平台软件（</w:t>
            </w:r>
            <w:r>
              <w:rPr>
                <w:rFonts w:ascii="宋体" w:hAnsi="宋体" w:cs="宋体" w:eastAsia="宋体" w:hint="default"/>
                <w:sz w:val="18"/>
                <w:szCs w:val="18"/>
              </w:rPr>
              <w:t>VRV</w:t>
            </w:r>
            <w:r>
              <w:rPr>
                <w:rFonts w:ascii="宋体" w:hAnsi="宋体" w:cs="宋体" w:eastAsia="宋体" w:hint="default"/>
                <w:spacing w:val="1"/>
                <w:sz w:val="18"/>
                <w:szCs w:val="18"/>
              </w:rPr>
              <w:t> </w:t>
            </w:r>
            <w:r>
              <w:rPr>
                <w:rFonts w:ascii="宋体" w:hAnsi="宋体" w:cs="宋体" w:eastAsia="宋体" w:hint="default"/>
                <w:sz w:val="18"/>
                <w:szCs w:val="18"/>
              </w:rPr>
              <w:t>EMM)</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0" w:right="0"/>
              <w:jc w:val="center"/>
              <w:rPr>
                <w:rFonts w:ascii="宋体" w:hAnsi="宋体" w:cs="宋体" w:eastAsia="宋体" w:hint="default"/>
                <w:sz w:val="18"/>
                <w:szCs w:val="18"/>
              </w:rPr>
            </w:pPr>
            <w:r>
              <w:rPr>
                <w:rFonts w:ascii="宋体"/>
                <w:sz w:val="18"/>
              </w:rPr>
              <w:t>XCP2017DZ0710</w:t>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7</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北信源内网安全管理及补丁分发准入控制系统</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0" w:right="0"/>
              <w:jc w:val="center"/>
              <w:rPr>
                <w:rFonts w:ascii="宋体" w:hAnsi="宋体" w:cs="宋体" w:eastAsia="宋体" w:hint="default"/>
                <w:sz w:val="18"/>
                <w:szCs w:val="18"/>
              </w:rPr>
            </w:pPr>
            <w:r>
              <w:rPr>
                <w:rFonts w:ascii="宋体"/>
                <w:sz w:val="18"/>
              </w:rPr>
              <w:t>XCP2017DZ0711</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8</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北信源打印复印监控与审计系统</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0" w:right="0"/>
              <w:jc w:val="center"/>
              <w:rPr>
                <w:rFonts w:ascii="宋体" w:hAnsi="宋体" w:cs="宋体" w:eastAsia="宋体" w:hint="default"/>
                <w:sz w:val="18"/>
                <w:szCs w:val="18"/>
              </w:rPr>
            </w:pPr>
            <w:r>
              <w:rPr>
                <w:rFonts w:ascii="宋体"/>
                <w:sz w:val="18"/>
              </w:rPr>
              <w:t>XCP2017DZ0712</w:t>
            </w:r>
          </w:p>
        </w:tc>
      </w:tr>
      <w:tr>
        <w:trPr>
          <w:trHeight w:val="347" w:hRule="exact"/>
        </w:trPr>
        <w:tc>
          <w:tcPr>
            <w:tcW w:w="980" w:type="dxa"/>
            <w:tcBorders>
              <w:top w:val="single" w:sz="4" w:space="0" w:color="000000"/>
              <w:left w:val="single" w:sz="12" w:space="0" w:color="000000"/>
              <w:bottom w:val="single" w:sz="4" w:space="0" w:color="ADAAAA"/>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9</w:t>
            </w:r>
          </w:p>
        </w:tc>
        <w:tc>
          <w:tcPr>
            <w:tcW w:w="6615" w:type="dxa"/>
            <w:tcBorders>
              <w:top w:val="single" w:sz="4" w:space="0" w:color="000000"/>
              <w:left w:val="single" w:sz="4" w:space="0" w:color="000000"/>
              <w:bottom w:val="single" w:sz="4" w:space="0" w:color="ADAAAA"/>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北信源计算机终端保密检查系统</w:t>
            </w:r>
          </w:p>
        </w:tc>
        <w:tc>
          <w:tcPr>
            <w:tcW w:w="2074" w:type="dxa"/>
            <w:tcBorders>
              <w:top w:val="single" w:sz="4" w:space="0" w:color="000000"/>
              <w:left w:val="single" w:sz="4" w:space="0" w:color="000000"/>
              <w:bottom w:val="single" w:sz="4" w:space="0" w:color="ADAAAA"/>
              <w:right w:val="single" w:sz="12" w:space="0" w:color="000000"/>
            </w:tcBorders>
          </w:tcPr>
          <w:p>
            <w:pPr>
              <w:pStyle w:val="TableParagraph"/>
              <w:spacing w:line="240" w:lineRule="auto" w:before="17"/>
              <w:ind w:left="10" w:right="0"/>
              <w:jc w:val="center"/>
              <w:rPr>
                <w:rFonts w:ascii="宋体" w:hAnsi="宋体" w:cs="宋体" w:eastAsia="宋体" w:hint="default"/>
                <w:sz w:val="18"/>
                <w:szCs w:val="18"/>
              </w:rPr>
            </w:pPr>
            <w:r>
              <w:rPr>
                <w:rFonts w:ascii="宋体"/>
                <w:sz w:val="18"/>
              </w:rPr>
              <w:t>XCP2017DZ0713</w:t>
            </w:r>
          </w:p>
        </w:tc>
      </w:tr>
      <w:tr>
        <w:trPr>
          <w:trHeight w:val="337" w:hRule="exact"/>
        </w:trPr>
        <w:tc>
          <w:tcPr>
            <w:tcW w:w="980" w:type="dxa"/>
            <w:tcBorders>
              <w:top w:val="single" w:sz="4" w:space="0" w:color="000000"/>
              <w:left w:val="single" w:sz="12" w:space="0" w:color="000000"/>
              <w:bottom w:val="single" w:sz="4" w:space="0" w:color="000000"/>
              <w:right w:val="single" w:sz="4" w:space="0" w:color="000000"/>
            </w:tcBorders>
            <w:shd w:val="clear" w:color="auto" w:fill="ADAAAA"/>
          </w:tcPr>
          <w:p>
            <w:pPr>
              <w:pStyle w:val="TableParagraph"/>
              <w:spacing w:line="270"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6615"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70"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105"/>
                <w:sz w:val="18"/>
                <w:szCs w:val="18"/>
              </w:rPr>
              <w:t>产品资质</w:t>
            </w:r>
            <w:r>
              <w:rPr>
                <w:rFonts w:ascii="Times New Roman" w:hAnsi="Times New Roman" w:cs="Times New Roman" w:eastAsia="Times New Roman" w:hint="default"/>
                <w:b/>
                <w:bCs/>
                <w:w w:val="105"/>
                <w:sz w:val="18"/>
                <w:szCs w:val="18"/>
              </w:rPr>
              <w:t>-</w:t>
            </w:r>
            <w:r>
              <w:rPr>
                <w:rFonts w:ascii="Microsoft JhengHei" w:hAnsi="Microsoft JhengHei" w:cs="Microsoft JhengHei" w:eastAsia="Microsoft JhengHei" w:hint="default"/>
                <w:b/>
                <w:bCs/>
                <w:w w:val="105"/>
                <w:sz w:val="18"/>
                <w:szCs w:val="18"/>
              </w:rPr>
              <w:t>软件产品证书</w:t>
            </w:r>
            <w:r>
              <w:rPr>
                <w:rFonts w:ascii="Microsoft JhengHei" w:hAnsi="Microsoft JhengHei" w:cs="Microsoft JhengHei" w:eastAsia="Microsoft JhengHei" w:hint="default"/>
                <w:w w:val="105"/>
                <w:sz w:val="18"/>
                <w:szCs w:val="18"/>
              </w:rPr>
            </w:r>
          </w:p>
        </w:tc>
        <w:tc>
          <w:tcPr>
            <w:tcW w:w="2074" w:type="dxa"/>
            <w:tcBorders>
              <w:top w:val="single" w:sz="4" w:space="0" w:color="000000"/>
              <w:left w:val="single" w:sz="4" w:space="0" w:color="000000"/>
              <w:bottom w:val="single" w:sz="4" w:space="0" w:color="000000"/>
              <w:right w:val="single" w:sz="12" w:space="0" w:color="000000"/>
            </w:tcBorders>
            <w:shd w:val="clear" w:color="auto" w:fill="ADAAAA"/>
          </w:tcPr>
          <w:p>
            <w:pPr>
              <w:pStyle w:val="TableParagraph"/>
              <w:spacing w:line="270" w:lineRule="exact"/>
              <w:ind w:left="7"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证书编号</w:t>
            </w:r>
            <w:r>
              <w:rPr>
                <w:rFonts w:ascii="Microsoft JhengHei" w:hAnsi="Microsoft JhengHei" w:cs="Microsoft JhengHei" w:eastAsia="Microsoft JhengHei" w:hint="default"/>
                <w:sz w:val="18"/>
                <w:szCs w:val="18"/>
              </w:rPr>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北信源计算机终端保密检查系统</w:t>
            </w:r>
            <w:r>
              <w:rPr>
                <w:rFonts w:ascii="宋体" w:hAnsi="宋体" w:cs="宋体" w:eastAsia="宋体" w:hint="default"/>
                <w:sz w:val="18"/>
                <w:szCs w:val="18"/>
              </w:rPr>
              <w:t>V1.0</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8" w:right="0"/>
              <w:jc w:val="center"/>
              <w:rPr>
                <w:rFonts w:ascii="宋体" w:hAnsi="宋体" w:cs="宋体" w:eastAsia="宋体" w:hint="default"/>
                <w:sz w:val="18"/>
                <w:szCs w:val="18"/>
              </w:rPr>
            </w:pPr>
            <w:r>
              <w:rPr>
                <w:rFonts w:ascii="宋体" w:hAnsi="宋体" w:cs="宋体" w:eastAsia="宋体" w:hint="default"/>
                <w:sz w:val="18"/>
                <w:szCs w:val="18"/>
              </w:rPr>
              <w:t>京</w:t>
            </w:r>
            <w:r>
              <w:rPr>
                <w:rFonts w:ascii="宋体" w:hAnsi="宋体" w:cs="宋体" w:eastAsia="宋体" w:hint="default"/>
                <w:sz w:val="18"/>
                <w:szCs w:val="18"/>
              </w:rPr>
              <w:t>RC-2017-0186</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信源豆豆即时通讯软件</w:t>
            </w:r>
            <w:r>
              <w:rPr>
                <w:rFonts w:ascii="宋体" w:hAnsi="宋体" w:cs="宋体" w:eastAsia="宋体" w:hint="default"/>
                <w:sz w:val="18"/>
                <w:szCs w:val="18"/>
              </w:rPr>
              <w:t>[</w:t>
            </w:r>
            <w:r>
              <w:rPr>
                <w:rFonts w:ascii="宋体" w:hAnsi="宋体" w:cs="宋体" w:eastAsia="宋体" w:hint="default"/>
                <w:sz w:val="18"/>
                <w:szCs w:val="18"/>
              </w:rPr>
              <w:t>简称：信源豆豆</w:t>
            </w:r>
            <w:r>
              <w:rPr>
                <w:rFonts w:ascii="宋体" w:hAnsi="宋体" w:cs="宋体" w:eastAsia="宋体" w:hint="default"/>
                <w:sz w:val="18"/>
                <w:szCs w:val="18"/>
              </w:rPr>
              <w:t>]V1.0</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8" w:right="0"/>
              <w:jc w:val="center"/>
              <w:rPr>
                <w:rFonts w:ascii="宋体" w:hAnsi="宋体" w:cs="宋体" w:eastAsia="宋体" w:hint="default"/>
                <w:sz w:val="18"/>
                <w:szCs w:val="18"/>
              </w:rPr>
            </w:pPr>
            <w:r>
              <w:rPr>
                <w:rFonts w:ascii="宋体" w:hAnsi="宋体" w:cs="宋体" w:eastAsia="宋体" w:hint="default"/>
                <w:sz w:val="18"/>
                <w:szCs w:val="18"/>
              </w:rPr>
              <w:t>京</w:t>
            </w:r>
            <w:r>
              <w:rPr>
                <w:rFonts w:ascii="宋体" w:hAnsi="宋体" w:cs="宋体" w:eastAsia="宋体" w:hint="default"/>
                <w:sz w:val="18"/>
                <w:szCs w:val="18"/>
              </w:rPr>
              <w:t>RC-2017-0187</w:t>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3</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北信源计算机终端保密检查系统（单机版）</w:t>
            </w:r>
            <w:r>
              <w:rPr>
                <w:rFonts w:ascii="宋体" w:hAnsi="宋体" w:cs="宋体" w:eastAsia="宋体" w:hint="default"/>
                <w:sz w:val="18"/>
                <w:szCs w:val="18"/>
              </w:rPr>
              <w:t>[</w:t>
            </w:r>
            <w:r>
              <w:rPr>
                <w:rFonts w:ascii="宋体" w:hAnsi="宋体" w:cs="宋体" w:eastAsia="宋体" w:hint="default"/>
                <w:sz w:val="18"/>
                <w:szCs w:val="18"/>
              </w:rPr>
              <w:t>简称：</w:t>
            </w:r>
            <w:r>
              <w:rPr>
                <w:rFonts w:ascii="宋体" w:hAnsi="宋体" w:cs="宋体" w:eastAsia="宋体" w:hint="default"/>
                <w:sz w:val="18"/>
                <w:szCs w:val="18"/>
              </w:rPr>
              <w:t>VRV</w:t>
            </w:r>
            <w:r>
              <w:rPr>
                <w:rFonts w:ascii="宋体" w:hAnsi="宋体" w:cs="宋体" w:eastAsia="宋体" w:hint="default"/>
                <w:spacing w:val="-2"/>
                <w:sz w:val="18"/>
                <w:szCs w:val="18"/>
              </w:rPr>
              <w:t> </w:t>
            </w:r>
            <w:r>
              <w:rPr>
                <w:rFonts w:ascii="宋体" w:hAnsi="宋体" w:cs="宋体" w:eastAsia="宋体" w:hint="default"/>
                <w:sz w:val="18"/>
                <w:szCs w:val="18"/>
              </w:rPr>
              <w:t>CCP]V1.0</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8" w:right="0"/>
              <w:jc w:val="center"/>
              <w:rPr>
                <w:rFonts w:ascii="宋体" w:hAnsi="宋体" w:cs="宋体" w:eastAsia="宋体" w:hint="default"/>
                <w:sz w:val="18"/>
                <w:szCs w:val="18"/>
              </w:rPr>
            </w:pPr>
            <w:r>
              <w:rPr>
                <w:rFonts w:ascii="宋体" w:hAnsi="宋体" w:cs="宋体" w:eastAsia="宋体" w:hint="default"/>
                <w:sz w:val="18"/>
                <w:szCs w:val="18"/>
              </w:rPr>
              <w:t>京</w:t>
            </w:r>
            <w:r>
              <w:rPr>
                <w:rFonts w:ascii="宋体" w:hAnsi="宋体" w:cs="宋体" w:eastAsia="宋体" w:hint="default"/>
                <w:sz w:val="18"/>
                <w:szCs w:val="18"/>
              </w:rPr>
              <w:t>RC-2017-0188</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4</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北信源内网安全管理及补丁分发准入控制系统软件</w:t>
            </w:r>
            <w:r>
              <w:rPr>
                <w:rFonts w:ascii="宋体" w:hAnsi="宋体" w:cs="宋体" w:eastAsia="宋体" w:hint="default"/>
                <w:sz w:val="18"/>
                <w:szCs w:val="18"/>
              </w:rPr>
              <w:t>V6.6.02</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8" w:right="0"/>
              <w:jc w:val="center"/>
              <w:rPr>
                <w:rFonts w:ascii="宋体" w:hAnsi="宋体" w:cs="宋体" w:eastAsia="宋体" w:hint="default"/>
                <w:sz w:val="18"/>
                <w:szCs w:val="18"/>
              </w:rPr>
            </w:pPr>
            <w:r>
              <w:rPr>
                <w:rFonts w:ascii="宋体" w:hAnsi="宋体" w:cs="宋体" w:eastAsia="宋体" w:hint="default"/>
                <w:sz w:val="18"/>
                <w:szCs w:val="18"/>
              </w:rPr>
              <w:t>京</w:t>
            </w:r>
            <w:r>
              <w:rPr>
                <w:rFonts w:ascii="宋体" w:hAnsi="宋体" w:cs="宋体" w:eastAsia="宋体" w:hint="default"/>
                <w:sz w:val="18"/>
                <w:szCs w:val="18"/>
              </w:rPr>
              <w:t>RC-2017-0189</w:t>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5</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北信源虚拟化终端安全管理系统软件</w:t>
            </w:r>
            <w:r>
              <w:rPr>
                <w:rFonts w:ascii="宋体" w:hAnsi="宋体" w:cs="宋体" w:eastAsia="宋体" w:hint="default"/>
                <w:sz w:val="18"/>
                <w:szCs w:val="18"/>
              </w:rPr>
              <w:t>[</w:t>
            </w:r>
            <w:r>
              <w:rPr>
                <w:rFonts w:ascii="宋体" w:hAnsi="宋体" w:cs="宋体" w:eastAsia="宋体" w:hint="default"/>
                <w:sz w:val="18"/>
                <w:szCs w:val="18"/>
              </w:rPr>
              <w:t>简称：</w:t>
            </w:r>
            <w:r>
              <w:rPr>
                <w:rFonts w:ascii="宋体" w:hAnsi="宋体" w:cs="宋体" w:eastAsia="宋体" w:hint="default"/>
                <w:sz w:val="18"/>
                <w:szCs w:val="18"/>
              </w:rPr>
              <w:t>VRV</w:t>
            </w:r>
            <w:r>
              <w:rPr>
                <w:rFonts w:ascii="宋体" w:hAnsi="宋体" w:cs="宋体" w:eastAsia="宋体" w:hint="default"/>
                <w:spacing w:val="-5"/>
                <w:sz w:val="18"/>
                <w:szCs w:val="18"/>
              </w:rPr>
              <w:t> </w:t>
            </w:r>
            <w:r>
              <w:rPr>
                <w:rFonts w:ascii="宋体" w:hAnsi="宋体" w:cs="宋体" w:eastAsia="宋体" w:hint="default"/>
                <w:sz w:val="18"/>
                <w:szCs w:val="18"/>
              </w:rPr>
              <w:t>VDSM]V1.0</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8" w:right="0"/>
              <w:jc w:val="center"/>
              <w:rPr>
                <w:rFonts w:ascii="宋体" w:hAnsi="宋体" w:cs="宋体" w:eastAsia="宋体" w:hint="default"/>
                <w:sz w:val="18"/>
                <w:szCs w:val="18"/>
              </w:rPr>
            </w:pPr>
            <w:r>
              <w:rPr>
                <w:rFonts w:ascii="宋体" w:hAnsi="宋体" w:cs="宋体" w:eastAsia="宋体" w:hint="default"/>
                <w:sz w:val="18"/>
                <w:szCs w:val="18"/>
              </w:rPr>
              <w:t>京</w:t>
            </w:r>
            <w:r>
              <w:rPr>
                <w:rFonts w:ascii="宋体" w:hAnsi="宋体" w:cs="宋体" w:eastAsia="宋体" w:hint="default"/>
                <w:sz w:val="18"/>
                <w:szCs w:val="18"/>
              </w:rPr>
              <w:t>RC-2017-0190</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6</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北信源网络接入控制系统</w:t>
            </w:r>
            <w:r>
              <w:rPr>
                <w:rFonts w:ascii="宋体" w:hAnsi="宋体" w:cs="宋体" w:eastAsia="宋体" w:hint="default"/>
                <w:sz w:val="18"/>
                <w:szCs w:val="18"/>
              </w:rPr>
              <w:t>V6.6.02.03</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8" w:right="0"/>
              <w:jc w:val="center"/>
              <w:rPr>
                <w:rFonts w:ascii="宋体" w:hAnsi="宋体" w:cs="宋体" w:eastAsia="宋体" w:hint="default"/>
                <w:sz w:val="18"/>
                <w:szCs w:val="18"/>
              </w:rPr>
            </w:pPr>
            <w:r>
              <w:rPr>
                <w:rFonts w:ascii="宋体" w:hAnsi="宋体" w:cs="宋体" w:eastAsia="宋体" w:hint="default"/>
                <w:sz w:val="18"/>
                <w:szCs w:val="18"/>
              </w:rPr>
              <w:t>京</w:t>
            </w:r>
            <w:r>
              <w:rPr>
                <w:rFonts w:ascii="宋体" w:hAnsi="宋体" w:cs="宋体" w:eastAsia="宋体" w:hint="default"/>
                <w:sz w:val="18"/>
                <w:szCs w:val="18"/>
              </w:rPr>
              <w:t>RC-2017-0362</w:t>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sz w:val="18"/>
              </w:rPr>
              <w:t>7</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hAnsi="宋体" w:cs="宋体" w:eastAsia="宋体" w:hint="default"/>
                <w:sz w:val="18"/>
                <w:szCs w:val="18"/>
              </w:rPr>
              <w:t>北信源景云网络防病毒系统</w:t>
            </w:r>
            <w:r>
              <w:rPr>
                <w:rFonts w:ascii="宋体" w:hAnsi="宋体" w:cs="宋体" w:eastAsia="宋体" w:hint="default"/>
                <w:sz w:val="18"/>
                <w:szCs w:val="18"/>
              </w:rPr>
              <w:t>V1.0</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8"/>
              <w:ind w:left="8" w:right="0"/>
              <w:jc w:val="center"/>
              <w:rPr>
                <w:rFonts w:ascii="宋体" w:hAnsi="宋体" w:cs="宋体" w:eastAsia="宋体" w:hint="default"/>
                <w:sz w:val="18"/>
                <w:szCs w:val="18"/>
              </w:rPr>
            </w:pPr>
            <w:r>
              <w:rPr>
                <w:rFonts w:ascii="宋体" w:hAnsi="宋体" w:cs="宋体" w:eastAsia="宋体" w:hint="default"/>
                <w:sz w:val="18"/>
                <w:szCs w:val="18"/>
              </w:rPr>
              <w:t>京</w:t>
            </w:r>
            <w:r>
              <w:rPr>
                <w:rFonts w:ascii="宋体" w:hAnsi="宋体" w:cs="宋体" w:eastAsia="宋体" w:hint="default"/>
                <w:sz w:val="18"/>
                <w:szCs w:val="18"/>
              </w:rPr>
              <w:t>RC-2017-0363</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8</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北信源大数据管理与分析平台软件</w:t>
            </w:r>
            <w:r>
              <w:rPr>
                <w:rFonts w:ascii="宋体" w:hAnsi="宋体" w:cs="宋体" w:eastAsia="宋体" w:hint="default"/>
                <w:sz w:val="18"/>
                <w:szCs w:val="18"/>
              </w:rPr>
              <w:t>[</w:t>
            </w:r>
            <w:r>
              <w:rPr>
                <w:rFonts w:ascii="宋体" w:hAnsi="宋体" w:cs="宋体" w:eastAsia="宋体" w:hint="default"/>
                <w:sz w:val="18"/>
                <w:szCs w:val="18"/>
              </w:rPr>
              <w:t>简称：北信源大数据分析平台</w:t>
            </w:r>
            <w:r>
              <w:rPr>
                <w:rFonts w:ascii="宋体" w:hAnsi="宋体" w:cs="宋体" w:eastAsia="宋体" w:hint="default"/>
                <w:sz w:val="18"/>
                <w:szCs w:val="18"/>
              </w:rPr>
              <w:t>]V1.0</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8" w:right="0"/>
              <w:jc w:val="center"/>
              <w:rPr>
                <w:rFonts w:ascii="宋体" w:hAnsi="宋体" w:cs="宋体" w:eastAsia="宋体" w:hint="default"/>
                <w:sz w:val="18"/>
                <w:szCs w:val="18"/>
              </w:rPr>
            </w:pPr>
            <w:r>
              <w:rPr>
                <w:rFonts w:ascii="宋体" w:hAnsi="宋体" w:cs="宋体" w:eastAsia="宋体" w:hint="default"/>
                <w:sz w:val="18"/>
                <w:szCs w:val="18"/>
              </w:rPr>
              <w:t>京</w:t>
            </w:r>
            <w:r>
              <w:rPr>
                <w:rFonts w:ascii="宋体" w:hAnsi="宋体" w:cs="宋体" w:eastAsia="宋体" w:hint="default"/>
                <w:sz w:val="18"/>
                <w:szCs w:val="18"/>
              </w:rPr>
              <w:t>RC-2017-0364</w:t>
            </w:r>
          </w:p>
        </w:tc>
      </w:tr>
      <w:tr>
        <w:trPr>
          <w:trHeight w:val="65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9</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2988" w:right="14" w:hanging="2972"/>
              <w:jc w:val="left"/>
              <w:rPr>
                <w:rFonts w:ascii="宋体" w:hAnsi="宋体" w:cs="宋体" w:eastAsia="宋体" w:hint="default"/>
                <w:sz w:val="18"/>
                <w:szCs w:val="18"/>
              </w:rPr>
            </w:pPr>
            <w:r>
              <w:rPr>
                <w:rFonts w:ascii="宋体" w:hAnsi="宋体" w:cs="宋体" w:eastAsia="宋体" w:hint="default"/>
                <w:sz w:val="18"/>
                <w:szCs w:val="18"/>
              </w:rPr>
              <w:t>北信源主机监控审计与补丁分发系统（中标麒麟版）</w:t>
            </w:r>
            <w:r>
              <w:rPr>
                <w:rFonts w:ascii="宋体" w:hAnsi="宋体" w:cs="宋体" w:eastAsia="宋体" w:hint="default"/>
                <w:sz w:val="18"/>
                <w:szCs w:val="18"/>
              </w:rPr>
              <w:t>[</w:t>
            </w:r>
            <w:r>
              <w:rPr>
                <w:rFonts w:ascii="宋体" w:hAnsi="宋体" w:cs="宋体" w:eastAsia="宋体" w:hint="default"/>
                <w:sz w:val="18"/>
                <w:szCs w:val="18"/>
              </w:rPr>
              <w:t>简称：主机监控审计与补丁分 发</w:t>
            </w:r>
            <w:r>
              <w:rPr>
                <w:rFonts w:ascii="宋体" w:hAnsi="宋体" w:cs="宋体" w:eastAsia="宋体" w:hint="default"/>
                <w:sz w:val="18"/>
                <w:szCs w:val="18"/>
              </w:rPr>
              <w:t>]V6.6</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京</w:t>
            </w:r>
            <w:r>
              <w:rPr>
                <w:rFonts w:ascii="宋体" w:hAnsi="宋体" w:cs="宋体" w:eastAsia="宋体" w:hint="default"/>
                <w:sz w:val="18"/>
                <w:szCs w:val="18"/>
              </w:rPr>
              <w:t>RC-2017-1277</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10</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北信源金甲防线系统</w:t>
            </w:r>
            <w:r>
              <w:rPr>
                <w:rFonts w:ascii="宋体" w:hAnsi="宋体" w:cs="宋体" w:eastAsia="宋体" w:hint="default"/>
                <w:sz w:val="18"/>
                <w:szCs w:val="18"/>
              </w:rPr>
              <w:t>[</w:t>
            </w:r>
            <w:r>
              <w:rPr>
                <w:rFonts w:ascii="宋体" w:hAnsi="宋体" w:cs="宋体" w:eastAsia="宋体" w:hint="default"/>
                <w:sz w:val="18"/>
                <w:szCs w:val="18"/>
              </w:rPr>
              <w:t>简称：北信源金甲防线</w:t>
            </w:r>
            <w:r>
              <w:rPr>
                <w:rFonts w:ascii="宋体" w:hAnsi="宋体" w:cs="宋体" w:eastAsia="宋体" w:hint="default"/>
                <w:sz w:val="18"/>
                <w:szCs w:val="18"/>
              </w:rPr>
              <w:t>]V3.0.0.2</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8" w:right="0"/>
              <w:jc w:val="center"/>
              <w:rPr>
                <w:rFonts w:ascii="宋体" w:hAnsi="宋体" w:cs="宋体" w:eastAsia="宋体" w:hint="default"/>
                <w:sz w:val="18"/>
                <w:szCs w:val="18"/>
              </w:rPr>
            </w:pPr>
            <w:r>
              <w:rPr>
                <w:rFonts w:ascii="宋体" w:hAnsi="宋体" w:cs="宋体" w:eastAsia="宋体" w:hint="default"/>
                <w:sz w:val="18"/>
                <w:szCs w:val="18"/>
              </w:rPr>
              <w:t>京</w:t>
            </w:r>
            <w:r>
              <w:rPr>
                <w:rFonts w:ascii="宋体" w:hAnsi="宋体" w:cs="宋体" w:eastAsia="宋体" w:hint="default"/>
                <w:sz w:val="18"/>
                <w:szCs w:val="18"/>
              </w:rPr>
              <w:t>RC-2017-1278</w:t>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11</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北信源打印复印刻录监控与审计系统</w:t>
            </w:r>
            <w:r>
              <w:rPr>
                <w:rFonts w:ascii="宋体" w:hAnsi="宋体" w:cs="宋体" w:eastAsia="宋体" w:hint="default"/>
                <w:sz w:val="18"/>
                <w:szCs w:val="18"/>
              </w:rPr>
              <w:t>[</w:t>
            </w:r>
            <w:r>
              <w:rPr>
                <w:rFonts w:ascii="宋体" w:hAnsi="宋体" w:cs="宋体" w:eastAsia="宋体" w:hint="default"/>
                <w:sz w:val="18"/>
                <w:szCs w:val="18"/>
              </w:rPr>
              <w:t>简称：</w:t>
            </w:r>
            <w:r>
              <w:rPr>
                <w:rFonts w:ascii="宋体" w:hAnsi="宋体" w:cs="宋体" w:eastAsia="宋体" w:hint="default"/>
                <w:sz w:val="18"/>
                <w:szCs w:val="18"/>
              </w:rPr>
              <w:t>VRVIOS]V2.6.01</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8" w:right="0"/>
              <w:jc w:val="center"/>
              <w:rPr>
                <w:rFonts w:ascii="宋体" w:hAnsi="宋体" w:cs="宋体" w:eastAsia="宋体" w:hint="default"/>
                <w:sz w:val="18"/>
                <w:szCs w:val="18"/>
              </w:rPr>
            </w:pPr>
            <w:r>
              <w:rPr>
                <w:rFonts w:ascii="宋体" w:hAnsi="宋体" w:cs="宋体" w:eastAsia="宋体" w:hint="default"/>
                <w:sz w:val="18"/>
                <w:szCs w:val="18"/>
              </w:rPr>
              <w:t>京</w:t>
            </w:r>
            <w:r>
              <w:rPr>
                <w:rFonts w:ascii="宋体" w:hAnsi="宋体" w:cs="宋体" w:eastAsia="宋体" w:hint="default"/>
                <w:sz w:val="18"/>
                <w:szCs w:val="18"/>
              </w:rPr>
              <w:t>RC-2017-1279</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12</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北信源网络安全应用行为大数据平台 </w:t>
            </w:r>
            <w:r>
              <w:rPr>
                <w:rFonts w:ascii="宋体" w:hAnsi="宋体" w:cs="宋体" w:eastAsia="宋体" w:hint="default"/>
                <w:sz w:val="18"/>
                <w:szCs w:val="18"/>
              </w:rPr>
              <w:t>[</w:t>
            </w:r>
            <w:r>
              <w:rPr>
                <w:rFonts w:ascii="宋体" w:hAnsi="宋体" w:cs="宋体" w:eastAsia="宋体" w:hint="default"/>
                <w:sz w:val="18"/>
                <w:szCs w:val="18"/>
              </w:rPr>
              <w:t>简称：</w:t>
            </w:r>
            <w:r>
              <w:rPr>
                <w:rFonts w:ascii="宋体" w:hAnsi="宋体" w:cs="宋体" w:eastAsia="宋体" w:hint="default"/>
                <w:sz w:val="18"/>
                <w:szCs w:val="18"/>
              </w:rPr>
              <w:t>VAP-ES</w:t>
            </w:r>
            <w:r>
              <w:rPr>
                <w:rFonts w:ascii="宋体" w:hAnsi="宋体" w:cs="宋体" w:eastAsia="宋体" w:hint="default"/>
                <w:spacing w:val="-5"/>
                <w:sz w:val="18"/>
                <w:szCs w:val="18"/>
              </w:rPr>
              <w:t> </w:t>
            </w:r>
            <w:r>
              <w:rPr>
                <w:rFonts w:ascii="宋体" w:hAnsi="宋体" w:cs="宋体" w:eastAsia="宋体" w:hint="default"/>
                <w:sz w:val="18"/>
                <w:szCs w:val="18"/>
              </w:rPr>
              <w:t>]V3.0</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8" w:right="0"/>
              <w:jc w:val="center"/>
              <w:rPr>
                <w:rFonts w:ascii="宋体" w:hAnsi="宋体" w:cs="宋体" w:eastAsia="宋体" w:hint="default"/>
                <w:sz w:val="18"/>
                <w:szCs w:val="18"/>
              </w:rPr>
            </w:pPr>
            <w:r>
              <w:rPr>
                <w:rFonts w:ascii="宋体" w:hAnsi="宋体" w:cs="宋体" w:eastAsia="宋体" w:hint="default"/>
                <w:sz w:val="18"/>
                <w:szCs w:val="18"/>
              </w:rPr>
              <w:t>京</w:t>
            </w:r>
            <w:r>
              <w:rPr>
                <w:rFonts w:ascii="宋体" w:hAnsi="宋体" w:cs="宋体" w:eastAsia="宋体" w:hint="default"/>
                <w:sz w:val="18"/>
                <w:szCs w:val="18"/>
              </w:rPr>
              <w:t>RC-2017-1662</w:t>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13</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北信源数据泄露防护系统 </w:t>
            </w:r>
            <w:r>
              <w:rPr>
                <w:rFonts w:ascii="宋体" w:hAnsi="宋体" w:cs="宋体" w:eastAsia="宋体" w:hint="default"/>
                <w:sz w:val="18"/>
                <w:szCs w:val="18"/>
              </w:rPr>
              <w:t>[</w:t>
            </w:r>
            <w:r>
              <w:rPr>
                <w:rFonts w:ascii="宋体" w:hAnsi="宋体" w:cs="宋体" w:eastAsia="宋体" w:hint="default"/>
                <w:sz w:val="18"/>
                <w:szCs w:val="18"/>
              </w:rPr>
              <w:t>简称：</w:t>
            </w:r>
            <w:r>
              <w:rPr>
                <w:rFonts w:ascii="宋体" w:hAnsi="宋体" w:cs="宋体" w:eastAsia="宋体" w:hint="default"/>
                <w:sz w:val="18"/>
                <w:szCs w:val="18"/>
              </w:rPr>
              <w:t>VRV DLP]</w:t>
            </w:r>
            <w:r>
              <w:rPr>
                <w:rFonts w:ascii="宋体" w:hAnsi="宋体" w:cs="宋体" w:eastAsia="宋体" w:hint="default"/>
                <w:spacing w:val="83"/>
                <w:sz w:val="18"/>
                <w:szCs w:val="18"/>
              </w:rPr>
              <w:t> </w:t>
            </w:r>
            <w:r>
              <w:rPr>
                <w:rFonts w:ascii="宋体" w:hAnsi="宋体" w:cs="宋体" w:eastAsia="宋体" w:hint="default"/>
                <w:sz w:val="18"/>
                <w:szCs w:val="18"/>
              </w:rPr>
              <w:t>V6.0</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8" w:right="0"/>
              <w:jc w:val="center"/>
              <w:rPr>
                <w:rFonts w:ascii="宋体" w:hAnsi="宋体" w:cs="宋体" w:eastAsia="宋体" w:hint="default"/>
                <w:sz w:val="18"/>
                <w:szCs w:val="18"/>
              </w:rPr>
            </w:pPr>
            <w:r>
              <w:rPr>
                <w:rFonts w:ascii="宋体" w:hAnsi="宋体" w:cs="宋体" w:eastAsia="宋体" w:hint="default"/>
                <w:sz w:val="18"/>
                <w:szCs w:val="18"/>
              </w:rPr>
              <w:t>京</w:t>
            </w:r>
            <w:r>
              <w:rPr>
                <w:rFonts w:ascii="宋体" w:hAnsi="宋体" w:cs="宋体" w:eastAsia="宋体" w:hint="default"/>
                <w:sz w:val="18"/>
                <w:szCs w:val="18"/>
              </w:rPr>
              <w:t>RC-2017-1663</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14</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北信源企业移动化管理平台软件</w:t>
            </w:r>
            <w:r>
              <w:rPr>
                <w:rFonts w:ascii="宋体" w:hAnsi="宋体" w:cs="宋体" w:eastAsia="宋体" w:hint="default"/>
                <w:sz w:val="18"/>
                <w:szCs w:val="18"/>
              </w:rPr>
              <w:t>[</w:t>
            </w:r>
            <w:r>
              <w:rPr>
                <w:rFonts w:ascii="宋体" w:hAnsi="宋体" w:cs="宋体" w:eastAsia="宋体" w:hint="default"/>
                <w:sz w:val="18"/>
                <w:szCs w:val="18"/>
              </w:rPr>
              <w:t>简称：</w:t>
            </w:r>
            <w:r>
              <w:rPr>
                <w:rFonts w:ascii="宋体" w:hAnsi="宋体" w:cs="宋体" w:eastAsia="宋体" w:hint="default"/>
                <w:sz w:val="18"/>
                <w:szCs w:val="18"/>
              </w:rPr>
              <w:t>VRV EMM]</w:t>
            </w:r>
            <w:r>
              <w:rPr>
                <w:rFonts w:ascii="宋体" w:hAnsi="宋体" w:cs="宋体" w:eastAsia="宋体" w:hint="default"/>
                <w:spacing w:val="-5"/>
                <w:sz w:val="18"/>
                <w:szCs w:val="18"/>
              </w:rPr>
              <w:t> </w:t>
            </w:r>
            <w:r>
              <w:rPr>
                <w:rFonts w:ascii="宋体" w:hAnsi="宋体" w:cs="宋体" w:eastAsia="宋体" w:hint="default"/>
                <w:sz w:val="18"/>
                <w:szCs w:val="18"/>
              </w:rPr>
              <w:t>V3.0</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8" w:right="0"/>
              <w:jc w:val="center"/>
              <w:rPr>
                <w:rFonts w:ascii="宋体" w:hAnsi="宋体" w:cs="宋体" w:eastAsia="宋体" w:hint="default"/>
                <w:sz w:val="18"/>
                <w:szCs w:val="18"/>
              </w:rPr>
            </w:pPr>
            <w:r>
              <w:rPr>
                <w:rFonts w:ascii="宋体" w:hAnsi="宋体" w:cs="宋体" w:eastAsia="宋体" w:hint="default"/>
                <w:sz w:val="18"/>
                <w:szCs w:val="18"/>
              </w:rPr>
              <w:t>京</w:t>
            </w:r>
            <w:r>
              <w:rPr>
                <w:rFonts w:ascii="宋体" w:hAnsi="宋体" w:cs="宋体" w:eastAsia="宋体" w:hint="default"/>
                <w:sz w:val="18"/>
                <w:szCs w:val="18"/>
              </w:rPr>
              <w:t>RC-2017-1664</w:t>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15</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北信源终端安全登录与文件保护系统（单机版）</w:t>
            </w:r>
            <w:r>
              <w:rPr>
                <w:rFonts w:ascii="宋体" w:hAnsi="宋体" w:cs="宋体" w:eastAsia="宋体" w:hint="default"/>
                <w:sz w:val="18"/>
                <w:szCs w:val="18"/>
              </w:rPr>
              <w:t>V6.6</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8" w:right="0"/>
              <w:jc w:val="center"/>
              <w:rPr>
                <w:rFonts w:ascii="宋体" w:hAnsi="宋体" w:cs="宋体" w:eastAsia="宋体" w:hint="default"/>
                <w:sz w:val="18"/>
                <w:szCs w:val="18"/>
              </w:rPr>
            </w:pPr>
            <w:r>
              <w:rPr>
                <w:rFonts w:ascii="宋体" w:hAnsi="宋体" w:cs="宋体" w:eastAsia="宋体" w:hint="default"/>
                <w:sz w:val="18"/>
                <w:szCs w:val="18"/>
              </w:rPr>
              <w:t>京</w:t>
            </w:r>
            <w:r>
              <w:rPr>
                <w:rFonts w:ascii="宋体" w:hAnsi="宋体" w:cs="宋体" w:eastAsia="宋体" w:hint="default"/>
                <w:sz w:val="18"/>
                <w:szCs w:val="18"/>
              </w:rPr>
              <w:t>RC-2017-1665</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16</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北信源光盘刻录监控与审计系统</w:t>
            </w:r>
            <w:r>
              <w:rPr>
                <w:rFonts w:ascii="宋体" w:hAnsi="宋体" w:cs="宋体" w:eastAsia="宋体" w:hint="default"/>
                <w:sz w:val="18"/>
                <w:szCs w:val="18"/>
              </w:rPr>
              <w:t>(</w:t>
            </w:r>
            <w:r>
              <w:rPr>
                <w:rFonts w:ascii="宋体" w:hAnsi="宋体" w:cs="宋体" w:eastAsia="宋体" w:hint="default"/>
                <w:sz w:val="18"/>
                <w:szCs w:val="18"/>
              </w:rPr>
              <w:t>单机版</w:t>
            </w:r>
            <w:r>
              <w:rPr>
                <w:rFonts w:ascii="宋体" w:hAnsi="宋体" w:cs="宋体" w:eastAsia="宋体" w:hint="default"/>
                <w:sz w:val="18"/>
                <w:szCs w:val="18"/>
              </w:rPr>
              <w:t>)V6.0</w:t>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8" w:right="0"/>
              <w:jc w:val="center"/>
              <w:rPr>
                <w:rFonts w:ascii="宋体" w:hAnsi="宋体" w:cs="宋体" w:eastAsia="宋体" w:hint="default"/>
                <w:sz w:val="18"/>
                <w:szCs w:val="18"/>
              </w:rPr>
            </w:pPr>
            <w:r>
              <w:rPr>
                <w:rFonts w:ascii="宋体" w:hAnsi="宋体" w:cs="宋体" w:eastAsia="宋体" w:hint="default"/>
                <w:sz w:val="18"/>
                <w:szCs w:val="18"/>
              </w:rPr>
              <w:t>京</w:t>
            </w:r>
            <w:r>
              <w:rPr>
                <w:rFonts w:ascii="宋体" w:hAnsi="宋体" w:cs="宋体" w:eastAsia="宋体" w:hint="default"/>
                <w:sz w:val="18"/>
                <w:szCs w:val="18"/>
              </w:rPr>
              <w:t>RC-2017-1668</w:t>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shd w:val="clear" w:color="auto" w:fill="ADAAAA"/>
          </w:tcPr>
          <w:p>
            <w:pPr>
              <w:pStyle w:val="TableParagraph"/>
              <w:spacing w:line="274"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6615"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74" w:lineRule="exact"/>
              <w:ind w:left="5"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商标</w:t>
            </w:r>
            <w:r>
              <w:rPr>
                <w:rFonts w:ascii="Microsoft JhengHei" w:hAnsi="Microsoft JhengHei" w:cs="Microsoft JhengHei" w:eastAsia="Microsoft JhengHei" w:hint="default"/>
                <w:sz w:val="18"/>
                <w:szCs w:val="18"/>
              </w:rPr>
            </w:r>
          </w:p>
        </w:tc>
        <w:tc>
          <w:tcPr>
            <w:tcW w:w="2074" w:type="dxa"/>
            <w:tcBorders>
              <w:top w:val="single" w:sz="4" w:space="0" w:color="000000"/>
              <w:left w:val="single" w:sz="4" w:space="0" w:color="000000"/>
              <w:bottom w:val="single" w:sz="4" w:space="0" w:color="000000"/>
              <w:right w:val="single" w:sz="12" w:space="0" w:color="000000"/>
            </w:tcBorders>
            <w:shd w:val="clear" w:color="auto" w:fill="ADAAAA"/>
          </w:tcPr>
          <w:p>
            <w:pPr>
              <w:pStyle w:val="TableParagraph"/>
              <w:spacing w:line="274" w:lineRule="exact"/>
              <w:ind w:left="9"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注册号</w:t>
            </w:r>
            <w:r>
              <w:rPr>
                <w:rFonts w:ascii="Microsoft JhengHei" w:hAnsi="Microsoft JhengHei" w:cs="Microsoft JhengHei" w:eastAsia="Microsoft JhengHei" w:hint="default"/>
                <w:sz w:val="18"/>
                <w:szCs w:val="18"/>
              </w:rPr>
            </w:r>
          </w:p>
        </w:tc>
      </w:tr>
      <w:tr>
        <w:trPr>
          <w:trHeight w:val="655" w:hRule="exact"/>
        </w:trPr>
        <w:tc>
          <w:tcPr>
            <w:tcW w:w="980" w:type="dxa"/>
            <w:tcBorders>
              <w:top w:val="single" w:sz="8" w:space="0" w:color="000000"/>
              <w:left w:val="single" w:sz="12"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6"/>
                <w:szCs w:val="6"/>
              </w:rPr>
            </w:pPr>
          </w:p>
          <w:p>
            <w:pPr>
              <w:pStyle w:val="TableParagraph"/>
              <w:spacing w:line="501" w:lineRule="exact"/>
              <w:ind w:left="30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356968" cy="318516"/>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4" cstate="print"/>
                          <a:stretch>
                            <a:fillRect/>
                          </a:stretch>
                        </pic:blipFill>
                        <pic:spPr>
                          <a:xfrm>
                            <a:off x="0" y="0"/>
                            <a:ext cx="356968" cy="318516"/>
                          </a:xfrm>
                          <a:prstGeom prst="rect">
                            <a:avLst/>
                          </a:prstGeom>
                        </pic:spPr>
                      </pic:pic>
                    </a:graphicData>
                  </a:graphic>
                </wp:inline>
              </w:drawing>
            </w:r>
            <w:r>
              <w:rPr>
                <w:rFonts w:ascii="Times New Roman" w:hAnsi="Times New Roman" w:cs="Times New Roman" w:eastAsia="Times New Roman" w:hint="default"/>
                <w:position w:val="-9"/>
                <w:sz w:val="20"/>
                <w:szCs w:val="20"/>
              </w:rPr>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19254080</w:t>
            </w:r>
            <w:r>
              <w:rPr>
                <w:rFonts w:ascii="宋体" w:hAnsi="宋体" w:cs="宋体" w:eastAsia="宋体" w:hint="default"/>
                <w:sz w:val="18"/>
                <w:szCs w:val="18"/>
              </w:rPr>
              <w:t>号</w:t>
            </w:r>
          </w:p>
        </w:tc>
      </w:tr>
      <w:tr>
        <w:trPr>
          <w:trHeight w:val="65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6"/>
                <w:szCs w:val="6"/>
              </w:rPr>
            </w:pPr>
          </w:p>
          <w:p>
            <w:pPr>
              <w:pStyle w:val="TableParagraph"/>
              <w:spacing w:line="501" w:lineRule="exact"/>
              <w:ind w:left="30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356968" cy="318515"/>
                  <wp:effectExtent l="0" t="0" r="0" b="0"/>
                  <wp:docPr id="5" name="image2.jpeg" descr=""/>
                  <wp:cNvGraphicFramePr>
                    <a:graphicFrameLocks noChangeAspect="1"/>
                  </wp:cNvGraphicFramePr>
                  <a:graphic>
                    <a:graphicData uri="http://schemas.openxmlformats.org/drawingml/2006/picture">
                      <pic:pic>
                        <pic:nvPicPr>
                          <pic:cNvPr id="6" name="image2.jpeg"/>
                          <pic:cNvPicPr/>
                        </pic:nvPicPr>
                        <pic:blipFill>
                          <a:blip r:embed="rId14" cstate="print"/>
                          <a:stretch>
                            <a:fillRect/>
                          </a:stretch>
                        </pic:blipFill>
                        <pic:spPr>
                          <a:xfrm>
                            <a:off x="0" y="0"/>
                            <a:ext cx="356968" cy="318515"/>
                          </a:xfrm>
                          <a:prstGeom prst="rect">
                            <a:avLst/>
                          </a:prstGeom>
                        </pic:spPr>
                      </pic:pic>
                    </a:graphicData>
                  </a:graphic>
                </wp:inline>
              </w:drawing>
            </w:r>
            <w:r>
              <w:rPr>
                <w:rFonts w:ascii="Times New Roman" w:hAnsi="Times New Roman" w:cs="Times New Roman" w:eastAsia="Times New Roman" w:hint="default"/>
                <w:position w:val="-9"/>
                <w:sz w:val="20"/>
                <w:szCs w:val="20"/>
              </w:rPr>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19293021</w:t>
            </w:r>
            <w:r>
              <w:rPr>
                <w:rFonts w:ascii="宋体" w:hAnsi="宋体" w:cs="宋体" w:eastAsia="宋体" w:hint="default"/>
                <w:sz w:val="18"/>
                <w:szCs w:val="18"/>
              </w:rPr>
              <w:t>号</w:t>
            </w:r>
          </w:p>
        </w:tc>
      </w:tr>
      <w:tr>
        <w:trPr>
          <w:trHeight w:val="655"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6"/>
                <w:szCs w:val="6"/>
              </w:rPr>
            </w:pPr>
          </w:p>
          <w:p>
            <w:pPr>
              <w:pStyle w:val="TableParagraph"/>
              <w:spacing w:line="501" w:lineRule="exact"/>
              <w:ind w:left="30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356968" cy="318515"/>
                  <wp:effectExtent l="0" t="0" r="0" b="0"/>
                  <wp:docPr id="7" name="image2.jpeg" descr=""/>
                  <wp:cNvGraphicFramePr>
                    <a:graphicFrameLocks noChangeAspect="1"/>
                  </wp:cNvGraphicFramePr>
                  <a:graphic>
                    <a:graphicData uri="http://schemas.openxmlformats.org/drawingml/2006/picture">
                      <pic:pic>
                        <pic:nvPicPr>
                          <pic:cNvPr id="8" name="image2.jpeg"/>
                          <pic:cNvPicPr/>
                        </pic:nvPicPr>
                        <pic:blipFill>
                          <a:blip r:embed="rId14" cstate="print"/>
                          <a:stretch>
                            <a:fillRect/>
                          </a:stretch>
                        </pic:blipFill>
                        <pic:spPr>
                          <a:xfrm>
                            <a:off x="0" y="0"/>
                            <a:ext cx="356968" cy="318515"/>
                          </a:xfrm>
                          <a:prstGeom prst="rect">
                            <a:avLst/>
                          </a:prstGeom>
                        </pic:spPr>
                      </pic:pic>
                    </a:graphicData>
                  </a:graphic>
                </wp:inline>
              </w:drawing>
            </w:r>
            <w:r>
              <w:rPr>
                <w:rFonts w:ascii="Times New Roman" w:hAnsi="Times New Roman" w:cs="Times New Roman" w:eastAsia="Times New Roman" w:hint="default"/>
                <w:position w:val="-9"/>
                <w:sz w:val="20"/>
                <w:szCs w:val="20"/>
              </w:rPr>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19293022A</w:t>
            </w:r>
            <w:r>
              <w:rPr>
                <w:rFonts w:ascii="宋体" w:hAnsi="宋体" w:cs="宋体" w:eastAsia="宋体" w:hint="default"/>
                <w:sz w:val="18"/>
                <w:szCs w:val="18"/>
              </w:rPr>
              <w:t>号</w:t>
            </w:r>
          </w:p>
        </w:tc>
      </w:tr>
      <w:tr>
        <w:trPr>
          <w:trHeight w:val="977" w:hRule="exact"/>
        </w:trPr>
        <w:tc>
          <w:tcPr>
            <w:tcW w:w="98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sz w:val="18"/>
              </w:rPr>
              <w:t>4</w:t>
            </w:r>
          </w:p>
        </w:tc>
        <w:tc>
          <w:tcPr>
            <w:tcW w:w="66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6"/>
                <w:szCs w:val="6"/>
              </w:rPr>
            </w:pPr>
          </w:p>
          <w:p>
            <w:pPr>
              <w:pStyle w:val="TableParagraph"/>
              <w:spacing w:line="501" w:lineRule="exact"/>
              <w:ind w:left="30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356968" cy="318516"/>
                  <wp:effectExtent l="0" t="0" r="0" b="0"/>
                  <wp:docPr id="9" name="image2.jpeg" descr=""/>
                  <wp:cNvGraphicFramePr>
                    <a:graphicFrameLocks noChangeAspect="1"/>
                  </wp:cNvGraphicFramePr>
                  <a:graphic>
                    <a:graphicData uri="http://schemas.openxmlformats.org/drawingml/2006/picture">
                      <pic:pic>
                        <pic:nvPicPr>
                          <pic:cNvPr id="10" name="image2.jpeg"/>
                          <pic:cNvPicPr/>
                        </pic:nvPicPr>
                        <pic:blipFill>
                          <a:blip r:embed="rId14" cstate="print"/>
                          <a:stretch>
                            <a:fillRect/>
                          </a:stretch>
                        </pic:blipFill>
                        <pic:spPr>
                          <a:xfrm>
                            <a:off x="0" y="0"/>
                            <a:ext cx="356968" cy="318516"/>
                          </a:xfrm>
                          <a:prstGeom prst="rect">
                            <a:avLst/>
                          </a:prstGeom>
                        </pic:spPr>
                      </pic:pic>
                    </a:graphicData>
                  </a:graphic>
                </wp:inline>
              </w:drawing>
            </w:r>
            <w:r>
              <w:rPr>
                <w:rFonts w:ascii="Times New Roman" w:hAnsi="Times New Roman" w:cs="Times New Roman" w:eastAsia="Times New Roman" w:hint="default"/>
                <w:position w:val="-9"/>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207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1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19293023</w:t>
            </w:r>
            <w:r>
              <w:rPr>
                <w:rFonts w:ascii="宋体" w:hAnsi="宋体" w:cs="宋体" w:eastAsia="宋体" w:hint="default"/>
                <w:sz w:val="18"/>
                <w:szCs w:val="18"/>
              </w:rPr>
              <w:t>号</w:t>
            </w:r>
          </w:p>
        </w:tc>
      </w:tr>
    </w:tbl>
    <w:p>
      <w:pPr>
        <w:spacing w:after="0" w:line="240" w:lineRule="auto"/>
        <w:jc w:val="center"/>
        <w:rPr>
          <w:rFonts w:ascii="宋体" w:hAnsi="宋体" w:cs="宋体" w:eastAsia="宋体" w:hint="default"/>
          <w:sz w:val="18"/>
          <w:szCs w:val="18"/>
        </w:rPr>
        <w:sectPr>
          <w:pgSz w:w="11910" w:h="16840"/>
          <w:pgMar w:header="745" w:footer="1133" w:top="1060" w:bottom="13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3" w:type="dxa"/>
        <w:tblLayout w:type="fixed"/>
        <w:tblCellMar>
          <w:top w:w="0" w:type="dxa"/>
          <w:left w:w="0" w:type="dxa"/>
          <w:bottom w:w="0" w:type="dxa"/>
          <w:right w:w="0" w:type="dxa"/>
        </w:tblCellMar>
        <w:tblLook w:val="01E0"/>
      </w:tblPr>
      <w:tblGrid>
        <w:gridCol w:w="980"/>
        <w:gridCol w:w="6615"/>
        <w:gridCol w:w="2074"/>
      </w:tblGrid>
      <w:tr>
        <w:trPr>
          <w:trHeight w:val="665" w:hRule="exact"/>
        </w:trPr>
        <w:tc>
          <w:tcPr>
            <w:tcW w:w="98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w:t>
            </w:r>
          </w:p>
        </w:tc>
        <w:tc>
          <w:tcPr>
            <w:tcW w:w="66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6"/>
                <w:szCs w:val="6"/>
              </w:rPr>
            </w:pPr>
          </w:p>
          <w:p>
            <w:pPr>
              <w:pStyle w:val="TableParagraph"/>
              <w:spacing w:line="501" w:lineRule="exact"/>
              <w:ind w:left="30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356968" cy="318516"/>
                  <wp:effectExtent l="0" t="0" r="0" b="0"/>
                  <wp:docPr id="11" name="image2.jpeg" descr=""/>
                  <wp:cNvGraphicFramePr>
                    <a:graphicFrameLocks noChangeAspect="1"/>
                  </wp:cNvGraphicFramePr>
                  <a:graphic>
                    <a:graphicData uri="http://schemas.openxmlformats.org/drawingml/2006/picture">
                      <pic:pic>
                        <pic:nvPicPr>
                          <pic:cNvPr id="12" name="image2.jpeg"/>
                          <pic:cNvPicPr/>
                        </pic:nvPicPr>
                        <pic:blipFill>
                          <a:blip r:embed="rId14" cstate="print"/>
                          <a:stretch>
                            <a:fillRect/>
                          </a:stretch>
                        </pic:blipFill>
                        <pic:spPr>
                          <a:xfrm>
                            <a:off x="0" y="0"/>
                            <a:ext cx="356968" cy="318516"/>
                          </a:xfrm>
                          <a:prstGeom prst="rect">
                            <a:avLst/>
                          </a:prstGeom>
                        </pic:spPr>
                      </pic:pic>
                    </a:graphicData>
                  </a:graphic>
                </wp:inline>
              </w:drawing>
            </w:r>
            <w:r>
              <w:rPr>
                <w:rFonts w:ascii="Times New Roman" w:hAnsi="Times New Roman" w:cs="Times New Roman" w:eastAsia="Times New Roman" w:hint="default"/>
                <w:position w:val="-9"/>
                <w:sz w:val="20"/>
                <w:szCs w:val="20"/>
              </w:rPr>
            </w:r>
          </w:p>
        </w:tc>
        <w:tc>
          <w:tcPr>
            <w:tcW w:w="2074"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19293024A</w:t>
            </w:r>
            <w:r>
              <w:rPr>
                <w:rFonts w:ascii="宋体" w:hAnsi="宋体" w:cs="宋体" w:eastAsia="宋体" w:hint="default"/>
                <w:sz w:val="18"/>
                <w:szCs w:val="18"/>
              </w:rPr>
              <w:t>号</w:t>
            </w:r>
          </w:p>
        </w:tc>
      </w:tr>
      <w:tr>
        <w:trPr>
          <w:trHeight w:val="65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6</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6"/>
                <w:szCs w:val="6"/>
              </w:rPr>
            </w:pPr>
          </w:p>
          <w:p>
            <w:pPr>
              <w:pStyle w:val="TableParagraph"/>
              <w:spacing w:line="501" w:lineRule="exact"/>
              <w:ind w:left="30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356968" cy="318516"/>
                  <wp:effectExtent l="0" t="0" r="0" b="0"/>
                  <wp:docPr id="13" name="image2.jpeg" descr=""/>
                  <wp:cNvGraphicFramePr>
                    <a:graphicFrameLocks noChangeAspect="1"/>
                  </wp:cNvGraphicFramePr>
                  <a:graphic>
                    <a:graphicData uri="http://schemas.openxmlformats.org/drawingml/2006/picture">
                      <pic:pic>
                        <pic:nvPicPr>
                          <pic:cNvPr id="14" name="image2.jpeg"/>
                          <pic:cNvPicPr/>
                        </pic:nvPicPr>
                        <pic:blipFill>
                          <a:blip r:embed="rId14" cstate="print"/>
                          <a:stretch>
                            <a:fillRect/>
                          </a:stretch>
                        </pic:blipFill>
                        <pic:spPr>
                          <a:xfrm>
                            <a:off x="0" y="0"/>
                            <a:ext cx="356968" cy="318516"/>
                          </a:xfrm>
                          <a:prstGeom prst="rect">
                            <a:avLst/>
                          </a:prstGeom>
                        </pic:spPr>
                      </pic:pic>
                    </a:graphicData>
                  </a:graphic>
                </wp:inline>
              </w:drawing>
            </w:r>
            <w:r>
              <w:rPr>
                <w:rFonts w:ascii="Times New Roman" w:hAnsi="Times New Roman" w:cs="Times New Roman" w:eastAsia="Times New Roman" w:hint="default"/>
                <w:position w:val="-9"/>
                <w:sz w:val="20"/>
                <w:szCs w:val="20"/>
              </w:rPr>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19293026A</w:t>
            </w:r>
            <w:r>
              <w:rPr>
                <w:rFonts w:ascii="宋体" w:hAnsi="宋体" w:cs="宋体" w:eastAsia="宋体" w:hint="default"/>
                <w:sz w:val="18"/>
                <w:szCs w:val="18"/>
              </w:rPr>
              <w:t>号</w:t>
            </w:r>
          </w:p>
        </w:tc>
      </w:tr>
      <w:tr>
        <w:trPr>
          <w:trHeight w:val="655"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7</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6"/>
                <w:szCs w:val="6"/>
              </w:rPr>
            </w:pPr>
          </w:p>
          <w:p>
            <w:pPr>
              <w:pStyle w:val="TableParagraph"/>
              <w:spacing w:line="501" w:lineRule="exact"/>
              <w:ind w:left="30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356968" cy="318516"/>
                  <wp:effectExtent l="0" t="0" r="0" b="0"/>
                  <wp:docPr id="15" name="image2.jpeg" descr=""/>
                  <wp:cNvGraphicFramePr>
                    <a:graphicFrameLocks noChangeAspect="1"/>
                  </wp:cNvGraphicFramePr>
                  <a:graphic>
                    <a:graphicData uri="http://schemas.openxmlformats.org/drawingml/2006/picture">
                      <pic:pic>
                        <pic:nvPicPr>
                          <pic:cNvPr id="16" name="image2.jpeg"/>
                          <pic:cNvPicPr/>
                        </pic:nvPicPr>
                        <pic:blipFill>
                          <a:blip r:embed="rId14" cstate="print"/>
                          <a:stretch>
                            <a:fillRect/>
                          </a:stretch>
                        </pic:blipFill>
                        <pic:spPr>
                          <a:xfrm>
                            <a:off x="0" y="0"/>
                            <a:ext cx="356968" cy="318516"/>
                          </a:xfrm>
                          <a:prstGeom prst="rect">
                            <a:avLst/>
                          </a:prstGeom>
                        </pic:spPr>
                      </pic:pic>
                    </a:graphicData>
                  </a:graphic>
                </wp:inline>
              </w:drawing>
            </w:r>
            <w:r>
              <w:rPr>
                <w:rFonts w:ascii="Times New Roman" w:hAnsi="Times New Roman" w:cs="Times New Roman" w:eastAsia="Times New Roman" w:hint="default"/>
                <w:position w:val="-9"/>
                <w:sz w:val="20"/>
                <w:szCs w:val="20"/>
              </w:rPr>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19293027</w:t>
            </w:r>
            <w:r>
              <w:rPr>
                <w:rFonts w:ascii="宋体" w:hAnsi="宋体" w:cs="宋体" w:eastAsia="宋体" w:hint="default"/>
                <w:sz w:val="18"/>
                <w:szCs w:val="18"/>
              </w:rPr>
              <w:t>号</w:t>
            </w:r>
          </w:p>
        </w:tc>
      </w:tr>
      <w:tr>
        <w:trPr>
          <w:trHeight w:val="65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8</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6"/>
                <w:szCs w:val="6"/>
              </w:rPr>
            </w:pPr>
          </w:p>
          <w:p>
            <w:pPr>
              <w:pStyle w:val="TableParagraph"/>
              <w:spacing w:line="501" w:lineRule="exact"/>
              <w:ind w:left="30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356968" cy="318516"/>
                  <wp:effectExtent l="0" t="0" r="0" b="0"/>
                  <wp:docPr id="17" name="image2.jpeg" descr=""/>
                  <wp:cNvGraphicFramePr>
                    <a:graphicFrameLocks noChangeAspect="1"/>
                  </wp:cNvGraphicFramePr>
                  <a:graphic>
                    <a:graphicData uri="http://schemas.openxmlformats.org/drawingml/2006/picture">
                      <pic:pic>
                        <pic:nvPicPr>
                          <pic:cNvPr id="18" name="image2.jpeg"/>
                          <pic:cNvPicPr/>
                        </pic:nvPicPr>
                        <pic:blipFill>
                          <a:blip r:embed="rId14" cstate="print"/>
                          <a:stretch>
                            <a:fillRect/>
                          </a:stretch>
                        </pic:blipFill>
                        <pic:spPr>
                          <a:xfrm>
                            <a:off x="0" y="0"/>
                            <a:ext cx="356968" cy="318516"/>
                          </a:xfrm>
                          <a:prstGeom prst="rect">
                            <a:avLst/>
                          </a:prstGeom>
                        </pic:spPr>
                      </pic:pic>
                    </a:graphicData>
                  </a:graphic>
                </wp:inline>
              </w:drawing>
            </w:r>
            <w:r>
              <w:rPr>
                <w:rFonts w:ascii="Times New Roman" w:hAnsi="Times New Roman" w:cs="Times New Roman" w:eastAsia="Times New Roman" w:hint="default"/>
                <w:position w:val="-9"/>
                <w:sz w:val="20"/>
                <w:szCs w:val="20"/>
              </w:rPr>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19293028A</w:t>
            </w:r>
            <w:r>
              <w:rPr>
                <w:rFonts w:ascii="宋体" w:hAnsi="宋体" w:cs="宋体" w:eastAsia="宋体" w:hint="default"/>
                <w:sz w:val="18"/>
                <w:szCs w:val="18"/>
              </w:rPr>
              <w:t>号</w:t>
            </w:r>
          </w:p>
        </w:tc>
      </w:tr>
      <w:tr>
        <w:trPr>
          <w:trHeight w:val="655"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9</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6"/>
                <w:szCs w:val="6"/>
              </w:rPr>
            </w:pPr>
          </w:p>
          <w:p>
            <w:pPr>
              <w:pStyle w:val="TableParagraph"/>
              <w:spacing w:line="501" w:lineRule="exact"/>
              <w:ind w:left="30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356968" cy="318516"/>
                  <wp:effectExtent l="0" t="0" r="0" b="0"/>
                  <wp:docPr id="19" name="image2.jpeg" descr=""/>
                  <wp:cNvGraphicFramePr>
                    <a:graphicFrameLocks noChangeAspect="1"/>
                  </wp:cNvGraphicFramePr>
                  <a:graphic>
                    <a:graphicData uri="http://schemas.openxmlformats.org/drawingml/2006/picture">
                      <pic:pic>
                        <pic:nvPicPr>
                          <pic:cNvPr id="20" name="image2.jpeg"/>
                          <pic:cNvPicPr/>
                        </pic:nvPicPr>
                        <pic:blipFill>
                          <a:blip r:embed="rId14" cstate="print"/>
                          <a:stretch>
                            <a:fillRect/>
                          </a:stretch>
                        </pic:blipFill>
                        <pic:spPr>
                          <a:xfrm>
                            <a:off x="0" y="0"/>
                            <a:ext cx="356968" cy="318516"/>
                          </a:xfrm>
                          <a:prstGeom prst="rect">
                            <a:avLst/>
                          </a:prstGeom>
                        </pic:spPr>
                      </pic:pic>
                    </a:graphicData>
                  </a:graphic>
                </wp:inline>
              </w:drawing>
            </w:r>
            <w:r>
              <w:rPr>
                <w:rFonts w:ascii="Times New Roman" w:hAnsi="Times New Roman" w:cs="Times New Roman" w:eastAsia="Times New Roman" w:hint="default"/>
                <w:position w:val="-9"/>
                <w:sz w:val="20"/>
                <w:szCs w:val="20"/>
              </w:rPr>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19293029</w:t>
            </w:r>
            <w:r>
              <w:rPr>
                <w:rFonts w:ascii="宋体" w:hAnsi="宋体" w:cs="宋体" w:eastAsia="宋体" w:hint="default"/>
                <w:sz w:val="18"/>
                <w:szCs w:val="18"/>
              </w:rPr>
              <w:t>号</w:t>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sz w:val="18"/>
              </w:rPr>
              <w:t>10</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信源豆豆</w:t>
            </w:r>
            <w:r>
              <w:rPr>
                <w:rFonts w:ascii="Microsoft JhengHei" w:hAnsi="Microsoft JhengHei" w:cs="Microsoft JhengHei" w:eastAsia="Microsoft JhengHei" w:hint="default"/>
                <w:sz w:val="18"/>
                <w:szCs w:val="18"/>
              </w:rPr>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8"/>
              <w:ind w:left="1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19293010</w:t>
            </w:r>
            <w:r>
              <w:rPr>
                <w:rFonts w:ascii="宋体" w:hAnsi="宋体" w:cs="宋体" w:eastAsia="宋体" w:hint="default"/>
                <w:sz w:val="18"/>
                <w:szCs w:val="18"/>
              </w:rPr>
              <w:t>号</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11</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信源豆豆</w:t>
            </w:r>
            <w:r>
              <w:rPr>
                <w:rFonts w:ascii="Microsoft JhengHei" w:hAnsi="Microsoft JhengHei" w:cs="Microsoft JhengHei" w:eastAsia="Microsoft JhengHei" w:hint="default"/>
                <w:sz w:val="18"/>
                <w:szCs w:val="18"/>
              </w:rPr>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19293011</w:t>
            </w:r>
            <w:r>
              <w:rPr>
                <w:rFonts w:ascii="宋体" w:hAnsi="宋体" w:cs="宋体" w:eastAsia="宋体" w:hint="default"/>
                <w:sz w:val="18"/>
                <w:szCs w:val="18"/>
              </w:rPr>
              <w:t>号</w:t>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12</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信源豆豆</w:t>
            </w:r>
            <w:r>
              <w:rPr>
                <w:rFonts w:ascii="Microsoft JhengHei" w:hAnsi="Microsoft JhengHei" w:cs="Microsoft JhengHei" w:eastAsia="Microsoft JhengHei" w:hint="default"/>
                <w:sz w:val="18"/>
                <w:szCs w:val="18"/>
              </w:rPr>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19293012</w:t>
            </w:r>
            <w:r>
              <w:rPr>
                <w:rFonts w:ascii="宋体" w:hAnsi="宋体" w:cs="宋体" w:eastAsia="宋体" w:hint="default"/>
                <w:sz w:val="18"/>
                <w:szCs w:val="18"/>
              </w:rPr>
              <w:t>号</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13</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信源豆豆</w:t>
            </w:r>
            <w:r>
              <w:rPr>
                <w:rFonts w:ascii="Microsoft JhengHei" w:hAnsi="Microsoft JhengHei" w:cs="Microsoft JhengHei" w:eastAsia="Microsoft JhengHei" w:hint="default"/>
                <w:sz w:val="18"/>
                <w:szCs w:val="18"/>
              </w:rPr>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19293013</w:t>
            </w:r>
            <w:r>
              <w:rPr>
                <w:rFonts w:ascii="宋体" w:hAnsi="宋体" w:cs="宋体" w:eastAsia="宋体" w:hint="default"/>
                <w:sz w:val="18"/>
                <w:szCs w:val="18"/>
              </w:rPr>
              <w:t>号</w:t>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14</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信源豆豆</w:t>
            </w:r>
            <w:r>
              <w:rPr>
                <w:rFonts w:ascii="Microsoft JhengHei" w:hAnsi="Microsoft JhengHei" w:cs="Microsoft JhengHei" w:eastAsia="Microsoft JhengHei" w:hint="default"/>
                <w:sz w:val="18"/>
                <w:szCs w:val="18"/>
              </w:rPr>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19293025</w:t>
            </w:r>
            <w:r>
              <w:rPr>
                <w:rFonts w:ascii="宋体" w:hAnsi="宋体" w:cs="宋体" w:eastAsia="宋体" w:hint="default"/>
                <w:sz w:val="18"/>
                <w:szCs w:val="18"/>
              </w:rPr>
              <w:t>号</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15</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信源豆豆</w:t>
            </w:r>
            <w:r>
              <w:rPr>
                <w:rFonts w:ascii="Microsoft JhengHei" w:hAnsi="Microsoft JhengHei" w:cs="Microsoft JhengHei" w:eastAsia="Microsoft JhengHei" w:hint="default"/>
                <w:sz w:val="18"/>
                <w:szCs w:val="18"/>
              </w:rPr>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19293014</w:t>
            </w:r>
            <w:r>
              <w:rPr>
                <w:rFonts w:ascii="宋体" w:hAnsi="宋体" w:cs="宋体" w:eastAsia="宋体" w:hint="default"/>
                <w:sz w:val="18"/>
                <w:szCs w:val="18"/>
              </w:rPr>
              <w:t>号</w:t>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16</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信源豆豆</w:t>
            </w:r>
            <w:r>
              <w:rPr>
                <w:rFonts w:ascii="Microsoft JhengHei" w:hAnsi="Microsoft JhengHei" w:cs="Microsoft JhengHei" w:eastAsia="Microsoft JhengHei" w:hint="default"/>
                <w:sz w:val="18"/>
                <w:szCs w:val="18"/>
              </w:rPr>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19293015</w:t>
            </w:r>
            <w:r>
              <w:rPr>
                <w:rFonts w:ascii="宋体" w:hAnsi="宋体" w:cs="宋体" w:eastAsia="宋体" w:hint="default"/>
                <w:sz w:val="18"/>
                <w:szCs w:val="18"/>
              </w:rPr>
              <w:t>号</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17</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信源豆豆</w:t>
            </w:r>
            <w:r>
              <w:rPr>
                <w:rFonts w:ascii="Microsoft JhengHei" w:hAnsi="Microsoft JhengHei" w:cs="Microsoft JhengHei" w:eastAsia="Microsoft JhengHei" w:hint="default"/>
                <w:sz w:val="18"/>
                <w:szCs w:val="18"/>
              </w:rPr>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19293016</w:t>
            </w:r>
            <w:r>
              <w:rPr>
                <w:rFonts w:ascii="宋体" w:hAnsi="宋体" w:cs="宋体" w:eastAsia="宋体" w:hint="default"/>
                <w:sz w:val="18"/>
                <w:szCs w:val="18"/>
              </w:rPr>
              <w:t>号</w:t>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18</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信源豆豆</w:t>
            </w:r>
            <w:r>
              <w:rPr>
                <w:rFonts w:ascii="Microsoft JhengHei" w:hAnsi="Microsoft JhengHei" w:cs="Microsoft JhengHei" w:eastAsia="Microsoft JhengHei" w:hint="default"/>
                <w:sz w:val="18"/>
                <w:szCs w:val="18"/>
              </w:rPr>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19293017</w:t>
            </w:r>
            <w:r>
              <w:rPr>
                <w:rFonts w:ascii="宋体" w:hAnsi="宋体" w:cs="宋体" w:eastAsia="宋体" w:hint="default"/>
                <w:sz w:val="18"/>
                <w:szCs w:val="18"/>
              </w:rPr>
              <w:t>号</w:t>
            </w:r>
          </w:p>
        </w:tc>
      </w:tr>
      <w:tr>
        <w:trPr>
          <w:trHeight w:val="344"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19</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信源豆豆</w:t>
            </w:r>
            <w:r>
              <w:rPr>
                <w:rFonts w:ascii="Microsoft JhengHei" w:hAnsi="Microsoft JhengHei" w:cs="Microsoft JhengHei" w:eastAsia="Microsoft JhengHei" w:hint="default"/>
                <w:sz w:val="18"/>
                <w:szCs w:val="18"/>
              </w:rPr>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19293018</w:t>
            </w:r>
            <w:r>
              <w:rPr>
                <w:rFonts w:ascii="宋体" w:hAnsi="宋体" w:cs="宋体" w:eastAsia="宋体" w:hint="default"/>
                <w:sz w:val="18"/>
                <w:szCs w:val="18"/>
              </w:rPr>
              <w:t>号</w:t>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信源豆豆</w:t>
            </w:r>
            <w:r>
              <w:rPr>
                <w:rFonts w:ascii="Microsoft JhengHei" w:hAnsi="Microsoft JhengHei" w:cs="Microsoft JhengHei" w:eastAsia="Microsoft JhengHei" w:hint="default"/>
                <w:sz w:val="18"/>
                <w:szCs w:val="18"/>
              </w:rPr>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19293019</w:t>
            </w:r>
            <w:r>
              <w:rPr>
                <w:rFonts w:ascii="宋体" w:hAnsi="宋体" w:cs="宋体" w:eastAsia="宋体" w:hint="default"/>
                <w:sz w:val="18"/>
                <w:szCs w:val="18"/>
              </w:rPr>
              <w:t>号</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21</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信源豆豆</w:t>
            </w:r>
            <w:r>
              <w:rPr>
                <w:rFonts w:ascii="Microsoft JhengHei" w:hAnsi="Microsoft JhengHei" w:cs="Microsoft JhengHei" w:eastAsia="Microsoft JhengHei" w:hint="default"/>
                <w:sz w:val="18"/>
                <w:szCs w:val="18"/>
              </w:rPr>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19293020</w:t>
            </w:r>
            <w:r>
              <w:rPr>
                <w:rFonts w:ascii="宋体" w:hAnsi="宋体" w:cs="宋体" w:eastAsia="宋体" w:hint="default"/>
                <w:sz w:val="18"/>
                <w:szCs w:val="18"/>
              </w:rPr>
              <w:t>号</w:t>
            </w:r>
          </w:p>
        </w:tc>
      </w:tr>
      <w:tr>
        <w:trPr>
          <w:trHeight w:val="65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22</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7"/>
                <w:szCs w:val="7"/>
              </w:rPr>
            </w:pPr>
          </w:p>
          <w:p>
            <w:pPr>
              <w:pStyle w:val="TableParagraph"/>
              <w:spacing w:line="464" w:lineRule="exact"/>
              <w:ind w:left="255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drawing>
                <wp:inline distT="0" distB="0" distL="0" distR="0">
                  <wp:extent cx="954762" cy="294703"/>
                  <wp:effectExtent l="0" t="0" r="0" b="0"/>
                  <wp:docPr id="21" name="image3.jpeg" descr=""/>
                  <wp:cNvGraphicFramePr>
                    <a:graphicFrameLocks noChangeAspect="1"/>
                  </wp:cNvGraphicFramePr>
                  <a:graphic>
                    <a:graphicData uri="http://schemas.openxmlformats.org/drawingml/2006/picture">
                      <pic:pic>
                        <pic:nvPicPr>
                          <pic:cNvPr id="22" name="image3.jpeg"/>
                          <pic:cNvPicPr/>
                        </pic:nvPicPr>
                        <pic:blipFill>
                          <a:blip r:embed="rId15" cstate="print"/>
                          <a:stretch>
                            <a:fillRect/>
                          </a:stretch>
                        </pic:blipFill>
                        <pic:spPr>
                          <a:xfrm>
                            <a:off x="0" y="0"/>
                            <a:ext cx="954762" cy="294703"/>
                          </a:xfrm>
                          <a:prstGeom prst="rect">
                            <a:avLst/>
                          </a:prstGeom>
                        </pic:spPr>
                      </pic:pic>
                    </a:graphicData>
                  </a:graphic>
                </wp:inline>
              </w:drawing>
            </w:r>
            <w:r>
              <w:rPr>
                <w:rFonts w:ascii="Times New Roman" w:hAnsi="Times New Roman" w:cs="Times New Roman" w:eastAsia="Times New Roman" w:hint="default"/>
                <w:position w:val="-8"/>
                <w:sz w:val="20"/>
                <w:szCs w:val="20"/>
              </w:rPr>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19026053</w:t>
            </w:r>
            <w:r>
              <w:rPr>
                <w:rFonts w:ascii="宋体" w:hAnsi="宋体" w:cs="宋体" w:eastAsia="宋体" w:hint="default"/>
                <w:sz w:val="18"/>
                <w:szCs w:val="18"/>
              </w:rPr>
              <w:t>号</w:t>
            </w:r>
          </w:p>
        </w:tc>
      </w:tr>
      <w:tr>
        <w:trPr>
          <w:trHeight w:val="655"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23</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7"/>
                <w:szCs w:val="7"/>
              </w:rPr>
            </w:pPr>
          </w:p>
          <w:p>
            <w:pPr>
              <w:pStyle w:val="TableParagraph"/>
              <w:spacing w:line="464" w:lineRule="exact"/>
              <w:ind w:left="255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drawing>
                <wp:inline distT="0" distB="0" distL="0" distR="0">
                  <wp:extent cx="954762" cy="294703"/>
                  <wp:effectExtent l="0" t="0" r="0" b="0"/>
                  <wp:docPr id="23" name="image3.jpeg" descr=""/>
                  <wp:cNvGraphicFramePr>
                    <a:graphicFrameLocks noChangeAspect="1"/>
                  </wp:cNvGraphicFramePr>
                  <a:graphic>
                    <a:graphicData uri="http://schemas.openxmlformats.org/drawingml/2006/picture">
                      <pic:pic>
                        <pic:nvPicPr>
                          <pic:cNvPr id="24" name="image3.jpeg"/>
                          <pic:cNvPicPr/>
                        </pic:nvPicPr>
                        <pic:blipFill>
                          <a:blip r:embed="rId15" cstate="print"/>
                          <a:stretch>
                            <a:fillRect/>
                          </a:stretch>
                        </pic:blipFill>
                        <pic:spPr>
                          <a:xfrm>
                            <a:off x="0" y="0"/>
                            <a:ext cx="954762" cy="294703"/>
                          </a:xfrm>
                          <a:prstGeom prst="rect">
                            <a:avLst/>
                          </a:prstGeom>
                        </pic:spPr>
                      </pic:pic>
                    </a:graphicData>
                  </a:graphic>
                </wp:inline>
              </w:drawing>
            </w:r>
            <w:r>
              <w:rPr>
                <w:rFonts w:ascii="Times New Roman" w:hAnsi="Times New Roman" w:cs="Times New Roman" w:eastAsia="Times New Roman" w:hint="default"/>
                <w:position w:val="-8"/>
                <w:sz w:val="20"/>
                <w:szCs w:val="20"/>
              </w:rPr>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19026052</w:t>
            </w:r>
            <w:r>
              <w:rPr>
                <w:rFonts w:ascii="宋体" w:hAnsi="宋体" w:cs="宋体" w:eastAsia="宋体" w:hint="default"/>
                <w:sz w:val="18"/>
                <w:szCs w:val="18"/>
              </w:rPr>
              <w:t>号</w:t>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24</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b/>
                <w:spacing w:val="1"/>
                <w:w w:val="81"/>
                <w:sz w:val="18"/>
              </w:rPr>
              <w:t>P</w:t>
            </w:r>
            <w:r>
              <w:rPr>
                <w:rFonts w:ascii="Times New Roman"/>
                <w:b/>
                <w:spacing w:val="1"/>
                <w:w w:val="112"/>
                <w:sz w:val="18"/>
              </w:rPr>
              <w:t>r</w:t>
            </w:r>
            <w:r>
              <w:rPr>
                <w:rFonts w:ascii="Times New Roman"/>
                <w:b/>
                <w:spacing w:val="1"/>
                <w:w w:val="179"/>
                <w:sz w:val="18"/>
              </w:rPr>
              <w:t>i</w:t>
            </w:r>
            <w:r>
              <w:rPr>
                <w:rFonts w:ascii="Times New Roman"/>
                <w:b/>
                <w:spacing w:val="1"/>
                <w:sz w:val="18"/>
              </w:rPr>
              <w:t>va</w:t>
            </w:r>
            <w:r>
              <w:rPr>
                <w:rFonts w:ascii="Times New Roman"/>
                <w:b/>
                <w:spacing w:val="1"/>
                <w:w w:val="112"/>
                <w:sz w:val="18"/>
              </w:rPr>
              <w:t>c</w:t>
            </w:r>
            <w:r>
              <w:rPr>
                <w:rFonts w:ascii="Times New Roman"/>
                <w:b/>
                <w:spacing w:val="-2"/>
                <w:sz w:val="18"/>
              </w:rPr>
              <w:t>y</w:t>
            </w:r>
            <w:r>
              <w:rPr>
                <w:rFonts w:ascii="Times New Roman"/>
                <w:b/>
                <w:spacing w:val="1"/>
                <w:w w:val="89"/>
                <w:sz w:val="18"/>
              </w:rPr>
              <w:t>h</w:t>
            </w:r>
            <w:r>
              <w:rPr>
                <w:rFonts w:ascii="Times New Roman"/>
                <w:b/>
                <w:spacing w:val="1"/>
                <w:w w:val="179"/>
                <w:sz w:val="18"/>
              </w:rPr>
              <w:t>il</w:t>
            </w:r>
            <w:r>
              <w:rPr>
                <w:rFonts w:ascii="Times New Roman"/>
                <w:b/>
                <w:w w:val="179"/>
                <w:sz w:val="18"/>
              </w:rPr>
              <w:t>l</w:t>
            </w:r>
            <w:r>
              <w:rPr>
                <w:rFonts w:ascii="Times New Roman"/>
                <w:sz w:val="18"/>
              </w:rPr>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18575683</w:t>
            </w:r>
            <w:r>
              <w:rPr>
                <w:rFonts w:ascii="宋体" w:hAnsi="宋体" w:cs="宋体" w:eastAsia="宋体" w:hint="default"/>
                <w:sz w:val="18"/>
                <w:szCs w:val="18"/>
              </w:rPr>
              <w:t>号</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25</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b/>
                <w:spacing w:val="1"/>
                <w:w w:val="81"/>
                <w:sz w:val="18"/>
              </w:rPr>
              <w:t>P</w:t>
            </w:r>
            <w:r>
              <w:rPr>
                <w:rFonts w:ascii="Times New Roman"/>
                <w:b/>
                <w:spacing w:val="1"/>
                <w:w w:val="112"/>
                <w:sz w:val="18"/>
              </w:rPr>
              <w:t>r</w:t>
            </w:r>
            <w:r>
              <w:rPr>
                <w:rFonts w:ascii="Times New Roman"/>
                <w:b/>
                <w:spacing w:val="1"/>
                <w:w w:val="179"/>
                <w:sz w:val="18"/>
              </w:rPr>
              <w:t>i</w:t>
            </w:r>
            <w:r>
              <w:rPr>
                <w:rFonts w:ascii="Times New Roman"/>
                <w:b/>
                <w:spacing w:val="1"/>
                <w:sz w:val="18"/>
              </w:rPr>
              <w:t>va</w:t>
            </w:r>
            <w:r>
              <w:rPr>
                <w:rFonts w:ascii="Times New Roman"/>
                <w:b/>
                <w:spacing w:val="1"/>
                <w:w w:val="112"/>
                <w:sz w:val="18"/>
              </w:rPr>
              <w:t>c</w:t>
            </w:r>
            <w:r>
              <w:rPr>
                <w:rFonts w:ascii="Times New Roman"/>
                <w:b/>
                <w:spacing w:val="-2"/>
                <w:sz w:val="18"/>
              </w:rPr>
              <w:t>y</w:t>
            </w:r>
            <w:r>
              <w:rPr>
                <w:rFonts w:ascii="Times New Roman"/>
                <w:b/>
                <w:spacing w:val="1"/>
                <w:w w:val="89"/>
                <w:sz w:val="18"/>
              </w:rPr>
              <w:t>h</w:t>
            </w:r>
            <w:r>
              <w:rPr>
                <w:rFonts w:ascii="Times New Roman"/>
                <w:b/>
                <w:spacing w:val="1"/>
                <w:w w:val="179"/>
                <w:sz w:val="18"/>
              </w:rPr>
              <w:t>il</w:t>
            </w:r>
            <w:r>
              <w:rPr>
                <w:rFonts w:ascii="Times New Roman"/>
                <w:b/>
                <w:w w:val="179"/>
                <w:sz w:val="18"/>
              </w:rPr>
              <w:t>l</w:t>
            </w:r>
            <w:r>
              <w:rPr>
                <w:rFonts w:ascii="Times New Roman"/>
                <w:sz w:val="18"/>
              </w:rPr>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18575682</w:t>
            </w:r>
            <w:r>
              <w:rPr>
                <w:rFonts w:ascii="宋体" w:hAnsi="宋体" w:cs="宋体" w:eastAsia="宋体" w:hint="default"/>
                <w:sz w:val="18"/>
                <w:szCs w:val="18"/>
              </w:rPr>
              <w:t>号</w:t>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26</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b/>
                <w:spacing w:val="1"/>
                <w:w w:val="109"/>
                <w:sz w:val="18"/>
              </w:rPr>
              <w:t>Priv</w:t>
            </w:r>
            <w:r>
              <w:rPr>
                <w:rFonts w:ascii="Times New Roman"/>
                <w:b/>
                <w:spacing w:val="1"/>
                <w:sz w:val="18"/>
              </w:rPr>
              <w:t>a</w:t>
            </w:r>
            <w:r>
              <w:rPr>
                <w:rFonts w:ascii="Times New Roman"/>
                <w:b/>
                <w:spacing w:val="1"/>
                <w:w w:val="112"/>
                <w:sz w:val="18"/>
              </w:rPr>
              <w:t>c</w:t>
            </w:r>
            <w:r>
              <w:rPr>
                <w:rFonts w:ascii="Times New Roman"/>
                <w:b/>
                <w:spacing w:val="-2"/>
                <w:sz w:val="18"/>
              </w:rPr>
              <w:t>y</w:t>
            </w:r>
            <w:r>
              <w:rPr>
                <w:rFonts w:ascii="Times New Roman"/>
                <w:b/>
                <w:spacing w:val="1"/>
                <w:w w:val="89"/>
                <w:sz w:val="18"/>
              </w:rPr>
              <w:t>h</w:t>
            </w:r>
            <w:r>
              <w:rPr>
                <w:rFonts w:ascii="Times New Roman"/>
                <w:b/>
                <w:spacing w:val="1"/>
                <w:w w:val="179"/>
                <w:sz w:val="18"/>
              </w:rPr>
              <w:t>il</w:t>
            </w:r>
            <w:r>
              <w:rPr>
                <w:rFonts w:ascii="Times New Roman"/>
                <w:b/>
                <w:w w:val="179"/>
                <w:sz w:val="18"/>
              </w:rPr>
              <w:t>l</w:t>
            </w:r>
            <w:r>
              <w:rPr>
                <w:rFonts w:ascii="Times New Roman"/>
                <w:sz w:val="18"/>
              </w:rPr>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18575681</w:t>
            </w:r>
            <w:r>
              <w:rPr>
                <w:rFonts w:ascii="宋体" w:hAnsi="宋体" w:cs="宋体" w:eastAsia="宋体" w:hint="default"/>
                <w:sz w:val="18"/>
                <w:szCs w:val="18"/>
              </w:rPr>
              <w:t>号</w:t>
            </w:r>
          </w:p>
        </w:tc>
      </w:tr>
      <w:tr>
        <w:trPr>
          <w:trHeight w:val="344"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27</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 w:right="0"/>
              <w:jc w:val="center"/>
              <w:rPr>
                <w:rFonts w:ascii="Times New Roman" w:hAnsi="Times New Roman" w:cs="Times New Roman" w:eastAsia="Times New Roman" w:hint="default"/>
                <w:sz w:val="18"/>
                <w:szCs w:val="18"/>
              </w:rPr>
            </w:pPr>
            <w:r>
              <w:rPr>
                <w:rFonts w:ascii="Times New Roman"/>
                <w:b/>
                <w:w w:val="85"/>
                <w:sz w:val="18"/>
              </w:rPr>
              <w:t>IMTP</w:t>
            </w:r>
            <w:r>
              <w:rPr>
                <w:rFonts w:ascii="Times New Roman"/>
                <w:sz w:val="18"/>
              </w:rPr>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19377209</w:t>
            </w:r>
            <w:r>
              <w:rPr>
                <w:rFonts w:ascii="宋体" w:hAnsi="宋体" w:cs="宋体" w:eastAsia="宋体" w:hint="default"/>
                <w:sz w:val="18"/>
                <w:szCs w:val="18"/>
              </w:rPr>
              <w:t>号</w:t>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28</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b/>
                <w:w w:val="85"/>
                <w:sz w:val="18"/>
              </w:rPr>
              <w:t>IMTP</w:t>
            </w:r>
            <w:r>
              <w:rPr>
                <w:rFonts w:ascii="Times New Roman"/>
                <w:sz w:val="18"/>
              </w:rPr>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19377210</w:t>
            </w:r>
            <w:r>
              <w:rPr>
                <w:rFonts w:ascii="宋体" w:hAnsi="宋体" w:cs="宋体" w:eastAsia="宋体" w:hint="default"/>
                <w:sz w:val="18"/>
                <w:szCs w:val="18"/>
              </w:rPr>
              <w:t>号</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29</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b/>
                <w:w w:val="85"/>
                <w:sz w:val="18"/>
              </w:rPr>
              <w:t>IMTP</w:t>
            </w:r>
            <w:r>
              <w:rPr>
                <w:rFonts w:ascii="Times New Roman"/>
                <w:sz w:val="18"/>
              </w:rPr>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19377211</w:t>
            </w:r>
            <w:r>
              <w:rPr>
                <w:rFonts w:ascii="宋体" w:hAnsi="宋体" w:cs="宋体" w:eastAsia="宋体" w:hint="default"/>
                <w:sz w:val="18"/>
                <w:szCs w:val="18"/>
              </w:rPr>
              <w:t>号</w:t>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30</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b/>
                <w:w w:val="85"/>
                <w:sz w:val="18"/>
              </w:rPr>
              <w:t>IMTP</w:t>
            </w:r>
            <w:r>
              <w:rPr>
                <w:rFonts w:ascii="Times New Roman"/>
                <w:sz w:val="18"/>
              </w:rPr>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19377212</w:t>
            </w:r>
            <w:r>
              <w:rPr>
                <w:rFonts w:ascii="宋体" w:hAnsi="宋体" w:cs="宋体" w:eastAsia="宋体" w:hint="default"/>
                <w:sz w:val="18"/>
                <w:szCs w:val="18"/>
              </w:rPr>
              <w:t>号</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31</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b/>
                <w:w w:val="85"/>
                <w:sz w:val="18"/>
              </w:rPr>
              <w:t>IMDNS</w:t>
            </w:r>
            <w:r>
              <w:rPr>
                <w:rFonts w:ascii="Times New Roman"/>
                <w:sz w:val="18"/>
              </w:rPr>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19377213</w:t>
            </w:r>
            <w:r>
              <w:rPr>
                <w:rFonts w:ascii="宋体" w:hAnsi="宋体" w:cs="宋体" w:eastAsia="宋体" w:hint="default"/>
                <w:sz w:val="18"/>
                <w:szCs w:val="18"/>
              </w:rPr>
              <w:t>号</w:t>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32</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b/>
                <w:w w:val="85"/>
                <w:sz w:val="18"/>
              </w:rPr>
              <w:t>IMDNS</w:t>
            </w:r>
            <w:r>
              <w:rPr>
                <w:rFonts w:ascii="Times New Roman"/>
                <w:sz w:val="18"/>
              </w:rPr>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19377214</w:t>
            </w:r>
            <w:r>
              <w:rPr>
                <w:rFonts w:ascii="宋体" w:hAnsi="宋体" w:cs="宋体" w:eastAsia="宋体" w:hint="default"/>
                <w:sz w:val="18"/>
                <w:szCs w:val="18"/>
              </w:rPr>
              <w:t>号</w:t>
            </w:r>
          </w:p>
        </w:tc>
      </w:tr>
      <w:tr>
        <w:trPr>
          <w:trHeight w:val="343"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33</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b/>
                <w:w w:val="85"/>
                <w:sz w:val="18"/>
              </w:rPr>
              <w:t>IMDNS</w:t>
            </w:r>
            <w:r>
              <w:rPr>
                <w:rFonts w:ascii="Times New Roman"/>
                <w:sz w:val="18"/>
              </w:rPr>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19377215</w:t>
            </w:r>
            <w:r>
              <w:rPr>
                <w:rFonts w:ascii="宋体" w:hAnsi="宋体" w:cs="宋体" w:eastAsia="宋体" w:hint="default"/>
                <w:sz w:val="18"/>
                <w:szCs w:val="18"/>
              </w:rPr>
              <w:t>号</w:t>
            </w:r>
          </w:p>
        </w:tc>
      </w:tr>
      <w:tr>
        <w:trPr>
          <w:trHeight w:val="341" w:hRule="exact"/>
        </w:trPr>
        <w:tc>
          <w:tcPr>
            <w:tcW w:w="9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34</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b/>
                <w:w w:val="85"/>
                <w:sz w:val="18"/>
              </w:rPr>
              <w:t>IMDNS</w:t>
            </w:r>
            <w:r>
              <w:rPr>
                <w:rFonts w:ascii="Times New Roman"/>
                <w:sz w:val="18"/>
              </w:rPr>
            </w:r>
          </w:p>
        </w:tc>
        <w:tc>
          <w:tcPr>
            <w:tcW w:w="20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19377216</w:t>
            </w:r>
            <w:r>
              <w:rPr>
                <w:rFonts w:ascii="宋体" w:hAnsi="宋体" w:cs="宋体" w:eastAsia="宋体" w:hint="default"/>
                <w:sz w:val="18"/>
                <w:szCs w:val="18"/>
              </w:rPr>
              <w:t>号</w:t>
            </w:r>
          </w:p>
        </w:tc>
      </w:tr>
      <w:tr>
        <w:trPr>
          <w:trHeight w:val="353" w:hRule="exact"/>
        </w:trPr>
        <w:tc>
          <w:tcPr>
            <w:tcW w:w="98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35</w:t>
            </w:r>
          </w:p>
        </w:tc>
        <w:tc>
          <w:tcPr>
            <w:tcW w:w="66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b/>
                <w:spacing w:val="1"/>
                <w:w w:val="74"/>
                <w:sz w:val="18"/>
              </w:rPr>
              <w:t>L</w:t>
            </w:r>
            <w:r>
              <w:rPr>
                <w:rFonts w:ascii="Times New Roman"/>
                <w:b/>
                <w:spacing w:val="1"/>
                <w:w w:val="179"/>
                <w:sz w:val="18"/>
              </w:rPr>
              <w:t>i</w:t>
            </w:r>
            <w:r>
              <w:rPr>
                <w:rFonts w:ascii="Times New Roman"/>
                <w:b/>
                <w:spacing w:val="1"/>
                <w:w w:val="89"/>
                <w:sz w:val="18"/>
              </w:rPr>
              <w:t>nkd</w:t>
            </w:r>
            <w:r>
              <w:rPr>
                <w:rFonts w:ascii="Times New Roman"/>
                <w:b/>
                <w:spacing w:val="1"/>
                <w:sz w:val="18"/>
              </w:rPr>
              <w:t>o</w:t>
            </w:r>
            <w:r>
              <w:rPr>
                <w:rFonts w:ascii="Times New Roman"/>
                <w:b/>
                <w:spacing w:val="-2"/>
                <w:sz w:val="18"/>
              </w:rPr>
              <w:t>o</w:t>
            </w:r>
            <w:r>
              <w:rPr>
                <w:rFonts w:ascii="Times New Roman"/>
                <w:b/>
                <w:w w:val="89"/>
                <w:sz w:val="18"/>
              </w:rPr>
              <w:t>d</w:t>
            </w:r>
            <w:r>
              <w:rPr>
                <w:rFonts w:ascii="Times New Roman"/>
                <w:sz w:val="18"/>
              </w:rPr>
            </w:r>
          </w:p>
        </w:tc>
        <w:tc>
          <w:tcPr>
            <w:tcW w:w="207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0"/>
              <w:ind w:left="1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16519074</w:t>
            </w:r>
            <w:r>
              <w:rPr>
                <w:rFonts w:ascii="宋体" w:hAnsi="宋体" w:cs="宋体" w:eastAsia="宋体" w:hint="default"/>
                <w:sz w:val="18"/>
                <w:szCs w:val="18"/>
              </w:rPr>
              <w:t>号</w:t>
            </w:r>
          </w:p>
        </w:tc>
      </w:tr>
    </w:tbl>
    <w:p>
      <w:pPr>
        <w:spacing w:line="240" w:lineRule="auto" w:before="0"/>
        <w:rPr>
          <w:rFonts w:ascii="Times New Roman" w:hAnsi="Times New Roman" w:cs="Times New Roman" w:eastAsia="Times New Roman" w:hint="default"/>
          <w:sz w:val="20"/>
          <w:szCs w:val="20"/>
        </w:rPr>
      </w:pPr>
    </w:p>
    <w:p>
      <w:pPr>
        <w:pStyle w:val="Heading4"/>
        <w:spacing w:line="240" w:lineRule="auto" w:before="112"/>
        <w:ind w:left="474" w:right="0"/>
        <w:jc w:val="left"/>
        <w:rPr>
          <w:b w:val="0"/>
          <w:bCs w:val="0"/>
        </w:rPr>
      </w:pPr>
      <w:r>
        <w:rPr>
          <w:rFonts w:ascii="Times New Roman" w:hAnsi="Times New Roman" w:cs="Times New Roman" w:eastAsia="Times New Roman" w:hint="default"/>
          <w:w w:val="105"/>
        </w:rPr>
        <w:t>(</w:t>
      </w:r>
      <w:r>
        <w:rPr>
          <w:w w:val="105"/>
        </w:rPr>
        <w:t>二）发力重点行业，三大战略逐步落地</w:t>
      </w:r>
      <w:r>
        <w:rPr>
          <w:b w:val="0"/>
          <w:bCs w:val="0"/>
          <w:w w:val="105"/>
        </w:rPr>
      </w:r>
    </w:p>
    <w:p>
      <w:pPr>
        <w:spacing w:after="0" w:line="240" w:lineRule="auto"/>
        <w:jc w:val="left"/>
        <w:sectPr>
          <w:pgSz w:w="11910" w:h="16840"/>
          <w:pgMar w:header="745" w:footer="1133" w:top="1060" w:bottom="1320" w:left="980" w:right="980"/>
        </w:sectPr>
      </w:pPr>
    </w:p>
    <w:p>
      <w:pPr>
        <w:spacing w:line="240" w:lineRule="auto" w:before="16"/>
        <w:rPr>
          <w:rFonts w:ascii="Microsoft JhengHei" w:hAnsi="Microsoft JhengHei" w:cs="Microsoft JhengHei" w:eastAsia="Microsoft JhengHei" w:hint="default"/>
          <w:b/>
          <w:bCs/>
          <w:sz w:val="23"/>
          <w:szCs w:val="23"/>
        </w:rPr>
      </w:pPr>
    </w:p>
    <w:p>
      <w:pPr>
        <w:pStyle w:val="BodyText"/>
        <w:spacing w:line="477" w:lineRule="auto" w:before="44"/>
        <w:ind w:right="196" w:firstLine="391"/>
        <w:jc w:val="both"/>
      </w:pPr>
      <w:r>
        <w:rPr/>
        <w:t>报告期内，公司加大战略落地力度，分别在信息安全、大数据、互联网方面积累和开发了数百家各行业重点客户，包 括国家部委、政府机关、事业单位、央企及大型金融机构等客户。</w:t>
      </w:r>
    </w:p>
    <w:p>
      <w:pPr>
        <w:pStyle w:val="BodyText"/>
        <w:spacing w:line="477" w:lineRule="auto" w:before="95"/>
        <w:ind w:right="94" w:firstLine="360"/>
        <w:jc w:val="left"/>
      </w:pPr>
      <w:r>
        <w:rPr>
          <w:spacing w:val="-4"/>
        </w:rPr>
        <w:t>在传统信息安全领域，公司在</w:t>
      </w:r>
      <w:r>
        <w:rPr>
          <w:rFonts w:ascii="宋体" w:hAnsi="宋体" w:cs="宋体" w:eastAsia="宋体" w:hint="default"/>
          <w:spacing w:val="-4"/>
        </w:rPr>
        <w:t>2017</w:t>
      </w:r>
      <w:r>
        <w:rPr>
          <w:spacing w:val="-4"/>
        </w:rPr>
        <w:t>年深挖行业用户需求，得到众行业用户的广泛认可，参投项目屡屡中标。在公安行业，</w:t>
      </w:r>
      <w:r>
        <w:rPr/>
        <w:t> </w:t>
      </w:r>
      <w:r>
        <w:rPr>
          <w:spacing w:val="-2"/>
        </w:rPr>
        <w:t>公司于山西、四川、广东、浙江、湖北、吉林、湖南、福建等数十个公安省市单位实现了平台级、综合解决方案的项目落地</w:t>
      </w:r>
      <w:r>
        <w:rPr>
          <w:spacing w:val="-68"/>
        </w:rPr>
        <w:t> </w:t>
      </w:r>
      <w:r>
        <w:rPr>
          <w:spacing w:val="-68"/>
        </w:rPr>
      </w:r>
      <w:r>
        <w:rPr>
          <w:spacing w:val="-2"/>
        </w:rPr>
        <w:t>工作，同时还有几十个省市公安机关正在测试或试用北信源的各类产品和解决方案；在能源行业，公司桌面终端管理产品已</w:t>
      </w:r>
      <w:r>
        <w:rPr>
          <w:spacing w:val="-63"/>
        </w:rPr>
        <w:t> </w:t>
      </w:r>
      <w:r>
        <w:rPr>
          <w:spacing w:val="-63"/>
        </w:rPr>
      </w:r>
      <w:r>
        <w:rPr/>
        <w:t>覆盖国网系统超百万终端，并参与“智能电网信息安全防护体系关键技术研究与应用”项目，获重庆市科学技术奖；此外，</w:t>
      </w:r>
      <w:r>
        <w:rPr/>
        <w:t> 还在军工、金融等行业持续发力，获得了良好的市场表现。</w:t>
      </w:r>
    </w:p>
    <w:p>
      <w:pPr>
        <w:pStyle w:val="BodyText"/>
        <w:spacing w:line="477" w:lineRule="auto" w:before="93"/>
        <w:ind w:right="189" w:firstLine="362"/>
        <w:jc w:val="both"/>
      </w:pPr>
      <w:r>
        <w:rPr>
          <w:spacing w:val="-2"/>
        </w:rPr>
        <w:t>在大数据领域，公司的安全管理大数据平台和安全应用行为分析大数据平台等产品在报告期内在一些重点行业取得巨大</w:t>
      </w:r>
      <w:r>
        <w:rPr/>
        <w:t> 成绩，北信源中标公安部</w:t>
      </w:r>
      <w:r>
        <w:rPr>
          <w:rFonts w:ascii="宋体" w:hAnsi="宋体" w:cs="宋体" w:eastAsia="宋体" w:hint="default"/>
        </w:rPr>
        <w:t>-</w:t>
      </w:r>
      <w:r>
        <w:rPr/>
        <w:t>公安信息网安全监测大数据平台项目，通过建立公安信息网安全监测大数据平台，全面整合各类</w:t>
      </w:r>
      <w:r>
        <w:rPr>
          <w:spacing w:val="-84"/>
        </w:rPr>
        <w:t> </w:t>
      </w:r>
      <w:r>
        <w:rPr>
          <w:spacing w:val="-84"/>
        </w:rPr>
      </w:r>
      <w:r>
        <w:rPr>
          <w:spacing w:val="-2"/>
        </w:rPr>
        <w:t>安全防护手段的安全数据，利用大数据分析挖掘技术，实现威胁发现、精准预警和态势感知。在湖北省公安厅、湖南省公安</w:t>
      </w:r>
      <w:r>
        <w:rPr>
          <w:spacing w:val="-67"/>
        </w:rPr>
        <w:t> </w:t>
      </w:r>
      <w:r>
        <w:rPr>
          <w:spacing w:val="-67"/>
        </w:rPr>
      </w:r>
      <w:r>
        <w:rPr>
          <w:spacing w:val="-2"/>
        </w:rPr>
        <w:t>厅等各地公安系统的实际安全管理实践中，取得了客户的广泛认可；此外北信源的大数据系列产品也在政府、金融等行业落</w:t>
      </w:r>
      <w:r>
        <w:rPr>
          <w:spacing w:val="-62"/>
        </w:rPr>
        <w:t> </w:t>
      </w:r>
      <w:r>
        <w:rPr>
          <w:spacing w:val="-62"/>
        </w:rPr>
      </w:r>
      <w:r>
        <w:rPr/>
        <w:t>地开花。</w:t>
      </w:r>
    </w:p>
    <w:p>
      <w:pPr>
        <w:pStyle w:val="BodyText"/>
        <w:spacing w:line="477" w:lineRule="auto" w:before="95"/>
        <w:ind w:right="192" w:firstLine="360"/>
        <w:jc w:val="both"/>
      </w:pPr>
      <w:r>
        <w:rPr>
          <w:spacing w:val="-2"/>
        </w:rPr>
        <w:t>在互联网领域，公司的新一代即时通信开放聚合平台信源豆豆在人民银行清算中心的项目中，承接了客户内部沟通与移</w:t>
      </w:r>
      <w:r>
        <w:rPr/>
        <w:t> </w:t>
      </w:r>
      <w:r>
        <w:rPr>
          <w:spacing w:val="-2"/>
        </w:rPr>
        <w:t>动办公业务；同时还承接了华夏银行、中国银行、中国地址科学院地质力学所、六安市人民政府、云南省互联网协会以及国</w:t>
      </w:r>
      <w:r>
        <w:rPr>
          <w:spacing w:val="-67"/>
        </w:rPr>
        <w:t> </w:t>
      </w:r>
      <w:r>
        <w:rPr>
          <w:spacing w:val="-67"/>
        </w:rPr>
      </w:r>
      <w:r>
        <w:rPr>
          <w:spacing w:val="-2"/>
        </w:rPr>
        <w:t>电投集团旗下多个分公司的即时通信移动办公项目，还成为某单位移动即时通信方案验证环境中成为唯一入围厂商；在报告</w:t>
      </w:r>
      <w:r>
        <w:rPr>
          <w:spacing w:val="-64"/>
        </w:rPr>
        <w:t> </w:t>
      </w:r>
      <w:r>
        <w:rPr>
          <w:spacing w:val="-64"/>
        </w:rPr>
      </w:r>
      <w:r>
        <w:rPr/>
        <w:t>期内与中小企业合作模式进行了探索，开拓了“搭建</w:t>
      </w:r>
      <w:r>
        <w:rPr>
          <w:rFonts w:ascii="宋体" w:hAnsi="宋体" w:cs="宋体" w:eastAsia="宋体" w:hint="default"/>
        </w:rPr>
        <w:t>+</w:t>
      </w:r>
      <w:r>
        <w:rPr/>
        <w:t>服务”售卖模式。</w:t>
      </w:r>
    </w:p>
    <w:p>
      <w:pPr>
        <w:pStyle w:val="BodyText"/>
        <w:spacing w:line="477" w:lineRule="auto" w:before="95"/>
        <w:ind w:right="191" w:firstLine="360"/>
        <w:jc w:val="both"/>
      </w:pPr>
      <w:r>
        <w:rPr>
          <w:spacing w:val="-2"/>
        </w:rPr>
        <w:t>围绕三大战略各产品线在报告期内均取得了客户良好反馈，树立了公司技术和品牌影响力，公司产品和技术在重点行业</w:t>
      </w:r>
      <w:r>
        <w:rPr/>
        <w:t> 部门的应用，证明了公司发展战略的前瞻性和可行性，进一步增强了公司持续推进战略落地的信心。</w:t>
      </w:r>
    </w:p>
    <w:p>
      <w:pPr>
        <w:spacing w:line="403" w:lineRule="auto" w:before="35"/>
        <w:ind w:left="604" w:right="4992" w:hanging="130"/>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（三）借力资本平台，积极通过外延方式实现多元化发展</w:t>
      </w:r>
      <w:r>
        <w:rPr>
          <w:rFonts w:ascii="Microsoft JhengHei" w:hAnsi="Microsoft JhengHei" w:cs="Microsoft JhengHei" w:eastAsia="Microsoft JhengHei" w:hint="default"/>
          <w:b/>
          <w:bCs/>
          <w:spacing w:val="-32"/>
          <w:sz w:val="18"/>
          <w:szCs w:val="18"/>
        </w:rPr>
        <w:t> </w:t>
      </w:r>
      <w:r>
        <w:rPr>
          <w:rFonts w:ascii="Microsoft JhengHei" w:hAnsi="Microsoft JhengHei" w:cs="Microsoft JhengHei" w:eastAsia="Microsoft JhengHei" w:hint="default"/>
          <w:b/>
          <w:bCs/>
          <w:spacing w:val="-32"/>
          <w:sz w:val="18"/>
          <w:szCs w:val="18"/>
        </w:rPr>
      </w:r>
      <w:r>
        <w:rPr>
          <w:rFonts w:ascii="宋体" w:hAnsi="宋体" w:cs="宋体" w:eastAsia="宋体" w:hint="default"/>
          <w:sz w:val="18"/>
          <w:szCs w:val="18"/>
        </w:rPr>
        <w:t>1</w:t>
      </w:r>
      <w:r>
        <w:rPr>
          <w:rFonts w:ascii="宋体" w:hAnsi="宋体" w:cs="宋体" w:eastAsia="宋体" w:hint="default"/>
          <w:sz w:val="18"/>
          <w:szCs w:val="18"/>
        </w:rPr>
        <w:t>、对外投资参股公司</w:t>
      </w:r>
    </w:p>
    <w:p>
      <w:pPr>
        <w:pStyle w:val="BodyText"/>
        <w:spacing w:line="477" w:lineRule="auto" w:before="110"/>
        <w:ind w:right="189" w:firstLine="362"/>
        <w:jc w:val="both"/>
      </w:pPr>
      <w:r>
        <w:rPr>
          <w:spacing w:val="-2"/>
        </w:rPr>
        <w:t>（</w:t>
      </w:r>
      <w:r>
        <w:rPr>
          <w:rFonts w:ascii="宋体" w:hAnsi="宋体" w:cs="宋体" w:eastAsia="宋体" w:hint="default"/>
          <w:spacing w:val="-2"/>
        </w:rPr>
        <w:t>1</w:t>
      </w:r>
      <w:r>
        <w:rPr>
          <w:spacing w:val="-2"/>
        </w:rPr>
        <w:t>）报告期内，公司以自有资金人民币</w:t>
      </w:r>
      <w:r>
        <w:rPr>
          <w:rFonts w:ascii="宋体" w:hAnsi="宋体" w:cs="宋体" w:eastAsia="宋体" w:hint="default"/>
          <w:spacing w:val="-2"/>
        </w:rPr>
        <w:t>500</w:t>
      </w:r>
      <w:r>
        <w:rPr>
          <w:spacing w:val="-2"/>
        </w:rPr>
        <w:t>万元投资杭州芸品绿信息科技有限公司，持股</w:t>
      </w:r>
      <w:r>
        <w:rPr>
          <w:rFonts w:ascii="宋体" w:hAnsi="宋体" w:cs="宋体" w:eastAsia="宋体" w:hint="default"/>
          <w:spacing w:val="-2"/>
        </w:rPr>
        <w:t>5%</w:t>
      </w:r>
      <w:r>
        <w:rPr>
          <w:spacing w:val="-2"/>
        </w:rPr>
        <w:t>，本次对外投资旨在推进公</w:t>
      </w:r>
      <w:r>
        <w:rPr/>
        <w:t> 司互联网安全业务的快速发展，并将业务进一步向个人用户领域拓展，实现信息安全、大数据和互联网技术的深度融合</w:t>
      </w:r>
      <w:r>
        <w:rPr>
          <w:rFonts w:ascii="宋体" w:hAnsi="宋体" w:cs="宋体" w:eastAsia="宋体" w:hint="default"/>
        </w:rPr>
        <w:t>,</w:t>
      </w:r>
      <w:r>
        <w:rPr/>
        <w:t>增</w:t>
      </w:r>
      <w:r>
        <w:rPr>
          <w:spacing w:val="-87"/>
        </w:rPr>
        <w:t> </w:t>
      </w:r>
      <w:r>
        <w:rPr/>
        <w:t>强公司核心竞争力。</w:t>
      </w:r>
    </w:p>
    <w:p>
      <w:pPr>
        <w:pStyle w:val="BodyText"/>
        <w:spacing w:line="477" w:lineRule="auto" w:before="54"/>
        <w:ind w:right="94" w:firstLine="362"/>
        <w:jc w:val="left"/>
      </w:pPr>
      <w:r>
        <w:rPr>
          <w:spacing w:val="-2"/>
        </w:rPr>
        <w:t>（</w:t>
      </w:r>
      <w:r>
        <w:rPr>
          <w:rFonts w:ascii="宋体" w:hAnsi="宋体" w:cs="宋体" w:eastAsia="宋体" w:hint="default"/>
          <w:spacing w:val="-2"/>
        </w:rPr>
        <w:t>2</w:t>
      </w:r>
      <w:r>
        <w:rPr>
          <w:spacing w:val="-2"/>
        </w:rPr>
        <w:t>）报告期内，为积极参与国家信息安全保密技术创新产业联盟建设，公司使用自有资金人民币</w:t>
      </w:r>
      <w:r>
        <w:rPr>
          <w:rFonts w:ascii="宋体" w:hAnsi="宋体" w:cs="宋体" w:eastAsia="宋体" w:hint="default"/>
          <w:spacing w:val="-2"/>
        </w:rPr>
        <w:t>1,000</w:t>
      </w:r>
      <w:r>
        <w:rPr>
          <w:spacing w:val="-2"/>
        </w:rPr>
        <w:t>万元与深圳市金</w:t>
      </w:r>
      <w:r>
        <w:rPr/>
        <w:t> </w:t>
      </w:r>
      <w:r>
        <w:rPr>
          <w:spacing w:val="-2"/>
        </w:rPr>
        <w:t>城保密技术有限公司、中孚信息股份有限公司、蓝盾信息安全技术有限公司、北京中健祥电子科技有限公司、北京天融信网</w:t>
      </w:r>
      <w:r>
        <w:rPr>
          <w:spacing w:val="-65"/>
        </w:rPr>
        <w:t> </w:t>
      </w:r>
      <w:r>
        <w:rPr>
          <w:spacing w:val="-65"/>
        </w:rPr>
      </w:r>
      <w:r>
        <w:rPr/>
        <w:t>络安全技术有限公司等五家家信息安全保密技术企业共同设立国保联盟信息安全技术有限公司，投资完成后公司持股 </w:t>
      </w:r>
      <w:r>
        <w:rPr>
          <w:rFonts w:ascii="宋体" w:hAnsi="宋体" w:cs="宋体" w:eastAsia="宋体" w:hint="default"/>
        </w:rPr>
        <w:t>18.18%</w:t>
      </w:r>
      <w:r>
        <w:rPr/>
        <w:t>，本次对外投资将促进公司与行业内先进技术的同行进行交流合作，加强公司在涉密领域的业务布局。</w:t>
      </w:r>
    </w:p>
    <w:p>
      <w:pPr>
        <w:pStyle w:val="BodyText"/>
        <w:spacing w:line="240" w:lineRule="auto" w:before="54"/>
        <w:ind w:left="604" w:right="94"/>
        <w:jc w:val="left"/>
      </w:pPr>
      <w:r>
        <w:rPr>
          <w:rFonts w:ascii="宋体" w:hAnsi="宋体" w:cs="宋体" w:eastAsia="宋体" w:hint="default"/>
        </w:rPr>
        <w:t>2</w:t>
      </w:r>
      <w:r>
        <w:rPr/>
        <w:t>、对外投资设立子公司</w:t>
      </w:r>
    </w:p>
    <w:p>
      <w:pPr>
        <w:spacing w:line="240" w:lineRule="auto" w:before="10"/>
        <w:rPr>
          <w:rFonts w:ascii="宋体" w:hAnsi="宋体" w:cs="宋体" w:eastAsia="宋体" w:hint="default"/>
          <w:sz w:val="17"/>
          <w:szCs w:val="17"/>
        </w:rPr>
      </w:pPr>
    </w:p>
    <w:p>
      <w:pPr>
        <w:pStyle w:val="BodyText"/>
        <w:spacing w:line="240" w:lineRule="auto"/>
        <w:ind w:left="426" w:right="0"/>
        <w:jc w:val="left"/>
      </w:pPr>
      <w:r>
        <w:rPr/>
        <w:t>（</w:t>
      </w:r>
      <w:r>
        <w:rPr>
          <w:rFonts w:ascii="宋体" w:hAnsi="宋体" w:cs="宋体" w:eastAsia="宋体" w:hint="default"/>
        </w:rPr>
        <w:t>1</w:t>
      </w:r>
      <w:r>
        <w:rPr/>
        <w:t>）报告期内，公司以自有资金人民币</w:t>
      </w:r>
      <w:r>
        <w:rPr>
          <w:rFonts w:ascii="宋体" w:hAnsi="宋体" w:cs="宋体" w:eastAsia="宋体" w:hint="default"/>
        </w:rPr>
        <w:t>400</w:t>
      </w:r>
      <w:r>
        <w:rPr/>
        <w:t>万元投资设立人工智能产业技术创新联盟（北京）科技有限公司，持股</w:t>
      </w:r>
      <w:r>
        <w:rPr>
          <w:rFonts w:ascii="宋体" w:hAnsi="宋体" w:cs="宋体" w:eastAsia="宋体" w:hint="default"/>
        </w:rPr>
        <w:t>80%</w:t>
      </w:r>
      <w:r>
        <w:rPr/>
        <w:t>，</w:t>
      </w:r>
    </w:p>
    <w:p>
      <w:pPr>
        <w:spacing w:after="0" w:line="240" w:lineRule="auto"/>
        <w:jc w:val="left"/>
        <w:sectPr>
          <w:pgSz w:w="11910" w:h="16840"/>
          <w:pgMar w:header="745" w:footer="1133" w:top="1060" w:bottom="132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91"/>
        <w:jc w:val="both"/>
      </w:pPr>
      <w:r>
        <w:rPr>
          <w:spacing w:val="-2"/>
        </w:rPr>
        <w:t>本次投资紧抓人工智能发展的历史机遇，支撑建设人工智能产业技术创新联盟，布局人工智能基础性技术攻关和行业应用开</w:t>
      </w:r>
      <w:r>
        <w:rPr>
          <w:spacing w:val="-64"/>
        </w:rPr>
        <w:t> </w:t>
      </w:r>
      <w:r>
        <w:rPr>
          <w:spacing w:val="-64"/>
        </w:rPr>
      </w:r>
      <w:r>
        <w:rPr>
          <w:spacing w:val="-2"/>
        </w:rPr>
        <w:t>发，抢滩核心专利和标准，建设具有国际视野和影响力的人工智能技术、产业合作平台及生态圈，共同推动我国人工智能产</w:t>
      </w:r>
      <w:r>
        <w:rPr>
          <w:spacing w:val="-64"/>
        </w:rPr>
        <w:t> </w:t>
      </w:r>
      <w:r>
        <w:rPr>
          <w:spacing w:val="-64"/>
        </w:rPr>
      </w:r>
      <w:r>
        <w:rPr/>
        <w:t>业及应用的发展。</w:t>
      </w:r>
    </w:p>
    <w:p>
      <w:pPr>
        <w:pStyle w:val="BodyText"/>
        <w:spacing w:line="477" w:lineRule="auto" w:before="54"/>
        <w:ind w:right="198" w:firstLine="274"/>
        <w:jc w:val="both"/>
      </w:pPr>
      <w:r>
        <w:rPr/>
        <w:t>（</w:t>
      </w:r>
      <w:r>
        <w:rPr>
          <w:rFonts w:ascii="宋体" w:hAnsi="宋体" w:cs="宋体" w:eastAsia="宋体" w:hint="default"/>
        </w:rPr>
        <w:t>2</w:t>
      </w:r>
      <w:r>
        <w:rPr/>
        <w:t>）报告期内，为配合公司现行业务，完善公司在信息安全产业的布局，公司使用自有资金人民币</w:t>
      </w:r>
      <w:r>
        <w:rPr>
          <w:rFonts w:ascii="宋体" w:hAnsi="宋体" w:cs="宋体" w:eastAsia="宋体" w:hint="default"/>
        </w:rPr>
        <w:t>3,000</w:t>
      </w:r>
      <w:r>
        <w:rPr/>
        <w:t>万元出资设立 北京北信源信息安全技术有限公司。</w:t>
      </w:r>
    </w:p>
    <w:p>
      <w:pPr>
        <w:pStyle w:val="BodyText"/>
        <w:spacing w:line="477" w:lineRule="auto" w:before="54"/>
        <w:ind w:right="102" w:firstLine="274"/>
        <w:jc w:val="both"/>
      </w:pPr>
      <w:r>
        <w:rPr>
          <w:spacing w:val="-4"/>
        </w:rPr>
        <w:t>（</w:t>
      </w:r>
      <w:r>
        <w:rPr>
          <w:rFonts w:ascii="宋体" w:hAnsi="宋体" w:cs="宋体" w:eastAsia="宋体" w:hint="default"/>
          <w:spacing w:val="-4"/>
        </w:rPr>
        <w:t>3</w:t>
      </w:r>
      <w:r>
        <w:rPr>
          <w:spacing w:val="-4"/>
        </w:rPr>
        <w:t>）报告期内，为充分利用香港独特的区位优势，拓展海外市场，加大公司信源豆豆</w:t>
      </w:r>
      <w:r>
        <w:rPr>
          <w:rFonts w:ascii="宋体" w:hAnsi="宋体" w:cs="宋体" w:eastAsia="宋体" w:hint="default"/>
          <w:spacing w:val="-4"/>
        </w:rPr>
        <w:t>Linkdood</w:t>
      </w:r>
      <w:r>
        <w:rPr>
          <w:spacing w:val="-4"/>
        </w:rPr>
        <w:t>等产品境外市场开拓力度，</w:t>
      </w:r>
      <w:r>
        <w:rPr>
          <w:spacing w:val="-3"/>
        </w:rPr>
        <w:t> </w:t>
      </w:r>
      <w:r>
        <w:rPr/>
        <w:t>推动公司产品与服务进入海外市场，公司使用自有资金</w:t>
      </w:r>
      <w:r>
        <w:rPr>
          <w:rFonts w:ascii="宋体" w:hAnsi="宋体" w:cs="宋体" w:eastAsia="宋体" w:hint="default"/>
        </w:rPr>
        <w:t>200</w:t>
      </w:r>
      <w:r>
        <w:rPr/>
        <w:t>万美元在香港设立全资子公司北信源国际有限公司。</w:t>
      </w:r>
    </w:p>
    <w:p>
      <w:pPr>
        <w:pStyle w:val="BodyText"/>
        <w:spacing w:line="477" w:lineRule="auto" w:before="55"/>
        <w:ind w:left="515" w:right="94"/>
        <w:jc w:val="left"/>
      </w:pPr>
      <w:r>
        <w:rPr>
          <w:rFonts w:ascii="宋体" w:hAnsi="宋体" w:cs="宋体" w:eastAsia="宋体" w:hint="default"/>
        </w:rPr>
        <w:t>3</w:t>
      </w:r>
      <w:r>
        <w:rPr/>
        <w:t>、对外投资设立产业基金 </w:t>
      </w:r>
      <w:r>
        <w:rPr>
          <w:spacing w:val="-2"/>
        </w:rPr>
        <w:t>为了更好的实现产业资本及金融资本的融合，依托专业的基金管理团队实现公司的战略投资布局，经公司第二届董事会</w:t>
      </w:r>
    </w:p>
    <w:p>
      <w:pPr>
        <w:pStyle w:val="BodyText"/>
        <w:spacing w:line="477" w:lineRule="auto" w:before="54"/>
        <w:ind w:right="193"/>
        <w:jc w:val="both"/>
      </w:pPr>
      <w:r>
        <w:rPr/>
        <w:t>第十九次临时会议审议通过《关于参与设立产业投资基金的议案》，同意使用自有资金出资人民币</w:t>
      </w:r>
      <w:r>
        <w:rPr>
          <w:rFonts w:ascii="宋体" w:hAnsi="宋体" w:cs="宋体" w:eastAsia="宋体" w:hint="default"/>
        </w:rPr>
        <w:t>8,000</w:t>
      </w:r>
      <w:r>
        <w:rPr/>
        <w:t>万元以有限合伙人 </w:t>
      </w:r>
      <w:r>
        <w:rPr>
          <w:spacing w:val="-2"/>
        </w:rPr>
        <w:t>身份与嘉兴柒玖投资管理合伙企业（有限合伙）、成都瑞信和科技有限公司、北京东升科技企加速器有限公司共同发起设立</w:t>
      </w:r>
      <w:r>
        <w:rPr>
          <w:spacing w:val="-66"/>
        </w:rPr>
        <w:t> </w:t>
      </w:r>
      <w:r>
        <w:rPr>
          <w:spacing w:val="-66"/>
        </w:rPr>
      </w:r>
      <w:r>
        <w:rPr/>
        <w:t>“嘉兴北源投资合伙企业（有限合伙）”，该合伙企业已于</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23</w:t>
      </w:r>
      <w:r>
        <w:rPr/>
        <w:t>日完成了工商登记手续，已于</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10</w:t>
      </w:r>
      <w:r>
        <w:rPr/>
        <w:t>日完成 </w:t>
      </w:r>
      <w:r>
        <w:rPr>
          <w:spacing w:val="-2"/>
        </w:rPr>
        <w:t>了私募投资基金备案。截至报告期末，该产业基金对外投资了北京启迪思创科技有限公司、华清科盛（北京）信息技术有限</w:t>
      </w:r>
      <w:r>
        <w:rPr>
          <w:spacing w:val="-65"/>
        </w:rPr>
        <w:t> </w:t>
      </w:r>
      <w:r>
        <w:rPr>
          <w:spacing w:val="-65"/>
        </w:rPr>
      </w:r>
      <w:r>
        <w:rPr>
          <w:spacing w:val="-2"/>
        </w:rPr>
        <w:t>公司、长扬科技（北京）有限公司优质项目，涉及企业级移动安全管理、无线智能网关和无线智能路由器、工业控制安全等</w:t>
      </w:r>
      <w:r>
        <w:rPr>
          <w:spacing w:val="-68"/>
        </w:rPr>
        <w:t> </w:t>
      </w:r>
      <w:r>
        <w:rPr>
          <w:spacing w:val="-68"/>
        </w:rPr>
      </w:r>
      <w:r>
        <w:rPr/>
        <w:t>领域。</w:t>
      </w:r>
    </w:p>
    <w:p>
      <w:pPr>
        <w:spacing w:line="403" w:lineRule="auto" w:before="0"/>
        <w:ind w:left="496" w:right="94" w:hanging="72"/>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（四）优化技术团队，提升服务品质</w:t>
      </w:r>
      <w:r>
        <w:rPr>
          <w:rFonts w:ascii="Microsoft JhengHei" w:hAnsi="Microsoft JhengHei" w:cs="Microsoft JhengHei" w:eastAsia="Microsoft JhengHei" w:hint="default"/>
          <w:b/>
          <w:bCs/>
          <w:spacing w:val="-36"/>
          <w:sz w:val="18"/>
          <w:szCs w:val="18"/>
        </w:rPr>
        <w:t> </w:t>
      </w:r>
      <w:r>
        <w:rPr>
          <w:rFonts w:ascii="Microsoft JhengHei" w:hAnsi="Microsoft JhengHei" w:cs="Microsoft JhengHei" w:eastAsia="Microsoft JhengHei" w:hint="default"/>
          <w:b/>
          <w:bCs/>
          <w:spacing w:val="-36"/>
          <w:sz w:val="18"/>
          <w:szCs w:val="18"/>
        </w:rPr>
      </w:r>
      <w:r>
        <w:rPr>
          <w:rFonts w:ascii="宋体" w:hAnsi="宋体" w:cs="宋体" w:eastAsia="宋体" w:hint="default"/>
          <w:spacing w:val="-2"/>
          <w:sz w:val="18"/>
          <w:szCs w:val="18"/>
        </w:rPr>
        <w:t>2017</w:t>
      </w:r>
      <w:r>
        <w:rPr>
          <w:rFonts w:ascii="宋体" w:hAnsi="宋体" w:cs="宋体" w:eastAsia="宋体" w:hint="default"/>
          <w:spacing w:val="-2"/>
          <w:sz w:val="18"/>
          <w:szCs w:val="18"/>
        </w:rPr>
        <w:t>年度，公司技术管理工作以优化人员结构、拓展实施效率、提升服务品质、降低服务成本为总体目标，在技术服务</w:t>
      </w:r>
    </w:p>
    <w:p>
      <w:pPr>
        <w:pStyle w:val="BodyText"/>
        <w:spacing w:line="477" w:lineRule="auto" w:before="110"/>
        <w:ind w:right="189"/>
        <w:jc w:val="both"/>
      </w:pPr>
      <w:r>
        <w:rPr>
          <w:spacing w:val="-2"/>
        </w:rPr>
        <w:t>中严格执行“三三制原则”，即做到“关键岗位关键人员值守、关键时刻关键人员到场、关键项目关键人员负责”，打造精</w:t>
      </w:r>
      <w:r>
        <w:rPr>
          <w:spacing w:val="-63"/>
        </w:rPr>
        <w:t> </w:t>
      </w:r>
      <w:r>
        <w:rPr>
          <w:spacing w:val="-63"/>
        </w:rPr>
      </w:r>
      <w:r>
        <w:rPr/>
        <w:t>英团队，持续提升公司在技术服务领域的核心竞争力，从而帮助客户应对复杂局面、解决困难问题、实现更高价值。</w:t>
      </w:r>
    </w:p>
    <w:p>
      <w:pPr>
        <w:pStyle w:val="BodyText"/>
        <w:spacing w:line="477" w:lineRule="auto" w:before="54"/>
        <w:ind w:right="189" w:firstLine="362"/>
        <w:jc w:val="both"/>
      </w:pPr>
      <w:r>
        <w:rPr>
          <w:spacing w:val="-2"/>
        </w:rPr>
        <w:t>公司全力配合“十九大”信息服务保障工作，圆满完成厦门金砖峰会安保支持工作，连续</w:t>
      </w:r>
      <w:r>
        <w:rPr>
          <w:rFonts w:ascii="宋体" w:hAnsi="宋体" w:cs="宋体" w:eastAsia="宋体" w:hint="default"/>
          <w:spacing w:val="-2"/>
        </w:rPr>
        <w:t>17</w:t>
      </w:r>
      <w:r>
        <w:rPr>
          <w:spacing w:val="-2"/>
        </w:rPr>
        <w:t>年入选两会值守单位，公司</w:t>
      </w:r>
      <w:r>
        <w:rPr/>
        <w:t> 技术团队不忘初心，始终牢记肩负的家国责任与行业使命，高效率、专业的做好技术服务。</w:t>
      </w:r>
    </w:p>
    <w:p>
      <w:pPr>
        <w:pStyle w:val="BodyText"/>
        <w:spacing w:line="477" w:lineRule="auto" w:before="55"/>
        <w:ind w:right="190" w:firstLine="362"/>
        <w:jc w:val="both"/>
      </w:pPr>
      <w:r>
        <w:rPr>
          <w:rFonts w:ascii="宋体" w:hAnsi="宋体" w:cs="宋体" w:eastAsia="宋体" w:hint="default"/>
          <w:spacing w:val="-4"/>
        </w:rPr>
        <w:t>2017</w:t>
      </w:r>
      <w:r>
        <w:rPr>
          <w:spacing w:val="-4"/>
        </w:rPr>
        <w:t>年</w:t>
      </w:r>
      <w:r>
        <w:rPr>
          <w:rFonts w:ascii="宋体" w:hAnsi="宋体" w:cs="宋体" w:eastAsia="宋体" w:hint="default"/>
          <w:spacing w:val="-4"/>
        </w:rPr>
        <w:t>5</w:t>
      </w:r>
      <w:r>
        <w:rPr>
          <w:spacing w:val="-4"/>
        </w:rPr>
        <w:t>月爆发的勒索病毒攻击事件，面对突如其来的威胁，公司立即组建了安全应急处置小组，于公司官网开辟了“解</w:t>
      </w:r>
      <w:r>
        <w:rPr/>
        <w:t> </w:t>
      </w:r>
      <w:r>
        <w:rPr>
          <w:spacing w:val="-2"/>
        </w:rPr>
        <w:t>决方案”专题页面，持续发布、更新公司解决方案及专杀免疫、数据恢复等各类工具的下载链接，并由技术服务中心全面调</w:t>
      </w:r>
      <w:r>
        <w:rPr>
          <w:spacing w:val="-65"/>
        </w:rPr>
        <w:t> </w:t>
      </w:r>
      <w:r>
        <w:rPr>
          <w:spacing w:val="-65"/>
        </w:rPr>
      </w:r>
      <w:r>
        <w:rPr>
          <w:spacing w:val="-2"/>
        </w:rPr>
        <w:t>度专业人员</w:t>
      </w:r>
      <w:r>
        <w:rPr>
          <w:rFonts w:ascii="宋体" w:hAnsi="宋体" w:cs="宋体" w:eastAsia="宋体" w:hint="default"/>
          <w:spacing w:val="-2"/>
        </w:rPr>
        <w:t>24</w:t>
      </w:r>
      <w:r>
        <w:rPr>
          <w:spacing w:val="-2"/>
        </w:rPr>
        <w:t>小时通力保障，帮助广大行业客户、网民等及时有效应对危机，赢得了来自政府、公安、能源等重要行业客户</w:t>
      </w:r>
      <w:r>
        <w:rPr>
          <w:spacing w:val="-66"/>
        </w:rPr>
        <w:t> </w:t>
      </w:r>
      <w:r>
        <w:rPr>
          <w:spacing w:val="-66"/>
        </w:rPr>
      </w:r>
      <w:r>
        <w:rPr/>
        <w:t>的数十封感谢函。</w:t>
      </w:r>
    </w:p>
    <w:p>
      <w:pPr>
        <w:spacing w:line="403" w:lineRule="auto" w:before="0"/>
        <w:ind w:left="513" w:right="94" w:firstLine="2"/>
        <w:jc w:val="left"/>
        <w:rPr>
          <w:rFonts w:ascii="宋体" w:hAnsi="宋体" w:cs="宋体" w:eastAsia="宋体" w:hint="default"/>
          <w:sz w:val="18"/>
          <w:szCs w:val="18"/>
        </w:rPr>
      </w:pPr>
      <w:r>
        <w:rPr>
          <w:rFonts w:ascii="Times New Roman" w:hAnsi="Times New Roman" w:cs="Times New Roman" w:eastAsia="Times New Roman" w:hint="default"/>
          <w:b/>
          <w:bCs/>
          <w:w w:val="110"/>
          <w:sz w:val="18"/>
          <w:szCs w:val="18"/>
        </w:rPr>
        <w:t>(</w:t>
      </w:r>
      <w:r>
        <w:rPr>
          <w:rFonts w:ascii="Microsoft JhengHei" w:hAnsi="Microsoft JhengHei" w:cs="Microsoft JhengHei" w:eastAsia="Microsoft JhengHei" w:hint="default"/>
          <w:b/>
          <w:bCs/>
          <w:w w:val="110"/>
          <w:sz w:val="18"/>
          <w:szCs w:val="18"/>
        </w:rPr>
        <w:t>五</w:t>
      </w:r>
      <w:r>
        <w:rPr>
          <w:rFonts w:ascii="Times New Roman" w:hAnsi="Times New Roman" w:cs="Times New Roman" w:eastAsia="Times New Roman" w:hint="default"/>
          <w:b/>
          <w:bCs/>
          <w:w w:val="110"/>
          <w:sz w:val="18"/>
          <w:szCs w:val="18"/>
        </w:rPr>
        <w:t>)</w:t>
      </w:r>
      <w:r>
        <w:rPr>
          <w:rFonts w:ascii="Times New Roman" w:hAnsi="Times New Roman" w:cs="Times New Roman" w:eastAsia="Times New Roman" w:hint="default"/>
          <w:b/>
          <w:bCs/>
          <w:spacing w:val="39"/>
          <w:w w:val="110"/>
          <w:sz w:val="18"/>
          <w:szCs w:val="18"/>
        </w:rPr>
        <w:t> </w:t>
      </w:r>
      <w:r>
        <w:rPr>
          <w:rFonts w:ascii="Microsoft JhengHei" w:hAnsi="Microsoft JhengHei" w:cs="Microsoft JhengHei" w:eastAsia="Microsoft JhengHei" w:hint="default"/>
          <w:b/>
          <w:bCs/>
          <w:w w:val="110"/>
          <w:sz w:val="18"/>
          <w:szCs w:val="18"/>
        </w:rPr>
        <w:t>强化协同，全面提升整合能力</w:t>
      </w:r>
      <w:r>
        <w:rPr>
          <w:rFonts w:ascii="Microsoft JhengHei" w:hAnsi="Microsoft JhengHei" w:cs="Microsoft JhengHei" w:eastAsia="Microsoft JhengHei" w:hint="default"/>
          <w:b/>
          <w:bCs/>
          <w:sz w:val="18"/>
          <w:szCs w:val="18"/>
        </w:rPr>
        <w:t> </w:t>
      </w:r>
      <w:r>
        <w:rPr>
          <w:rFonts w:ascii="宋体" w:hAnsi="宋体" w:cs="宋体" w:eastAsia="宋体" w:hint="default"/>
          <w:spacing w:val="-2"/>
          <w:sz w:val="18"/>
          <w:szCs w:val="18"/>
        </w:rPr>
        <w:t>报告期内，公司通过合理统筹内部资源，加强母公司和子公司之间的协同发展，强化技术和资源整合，依托各自资源优</w:t>
      </w:r>
    </w:p>
    <w:p>
      <w:pPr>
        <w:pStyle w:val="BodyText"/>
        <w:spacing w:line="477" w:lineRule="auto" w:before="110"/>
        <w:ind w:right="195"/>
        <w:jc w:val="both"/>
      </w:pPr>
      <w:r>
        <w:rPr>
          <w:spacing w:val="-2"/>
        </w:rPr>
        <w:t>势，实现了各子公司与母公司间的统筹部署、战略协同、业务协作和资源共享，优化了公司的产业布局，实现了各子公司与</w:t>
      </w:r>
      <w:r>
        <w:rPr>
          <w:spacing w:val="-67"/>
        </w:rPr>
        <w:t> </w:t>
      </w:r>
      <w:r>
        <w:rPr>
          <w:spacing w:val="-67"/>
        </w:rPr>
      </w:r>
      <w:r>
        <w:rPr/>
        <w:t>公司既有产品和业务的优势互补，推动了各子公司业务发展，协同效应明显。</w:t>
      </w:r>
    </w:p>
    <w:p>
      <w:pPr>
        <w:spacing w:after="0" w:line="477" w:lineRule="auto"/>
        <w:jc w:val="both"/>
        <w:sectPr>
          <w:pgSz w:w="11910" w:h="16840"/>
          <w:pgMar w:header="745" w:footer="1133" w:top="1060" w:bottom="1320" w:left="980" w:right="94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二、主营业务分析</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line="482" w:lineRule="auto" w:before="0"/>
        <w:ind w:left="152" w:right="549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、概述</w:t>
      </w:r>
      <w:r>
        <w:rPr>
          <w:rFonts w:ascii="Microsoft JhengHei" w:hAnsi="Microsoft JhengHei" w:cs="Microsoft JhengHei" w:eastAsia="Microsoft JhengHei" w:hint="default"/>
          <w:b/>
          <w:bCs/>
          <w:spacing w:val="-4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、收入与成本</w:t>
      </w:r>
      <w:r>
        <w:rPr>
          <w:rFonts w:ascii="Microsoft JhengHei" w:hAnsi="Microsoft JhengHei" w:cs="Microsoft JhengHei" w:eastAsia="Microsoft JhengHei" w:hint="default"/>
          <w:sz w:val="21"/>
          <w:szCs w:val="21"/>
        </w:rPr>
      </w:r>
    </w:p>
    <w:p>
      <w:pPr>
        <w:pStyle w:val="Heading3"/>
        <w:spacing w:line="332" w:lineRule="exact"/>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60" w:lineRule="auto"/>
        <w:ind w:right="5994"/>
        <w:jc w:val="left"/>
      </w:pPr>
      <w:r>
        <w:rPr/>
        <w:t>公司是否需要遵守光伏产业链相关业的披露要求 否</w:t>
      </w:r>
    </w:p>
    <w:p>
      <w:pPr>
        <w:pStyle w:val="BodyText"/>
        <w:spacing w:line="340" w:lineRule="auto" w:before="25"/>
        <w:ind w:right="416"/>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1"/>
        <w:ind w:right="59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3"/>
        <w:ind w:right="158"/>
        <w:jc w:val="left"/>
      </w:pPr>
      <w:r>
        <w:rPr/>
        <w:t>公司是否需遵守《深圳证券交易所创业板行业信息披露指引第</w:t>
      </w:r>
      <w:r>
        <w:rPr>
          <w:spacing w:val="-45"/>
        </w:rPr>
        <w:t>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3"/>
        </w:rPr>
        <w:t> </w:t>
      </w:r>
      <w:r>
        <w:rPr/>
        <w:t>产业链相关业务》的披露要求： 否</w:t>
      </w:r>
    </w:p>
    <w:p>
      <w:pPr>
        <w:pStyle w:val="BodyText"/>
        <w:spacing w:line="340" w:lineRule="auto" w:before="39"/>
        <w:ind w:right="683"/>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240" w:lineRule="auto" w:before="42"/>
        <w:ind w:right="0"/>
        <w:jc w:val="left"/>
      </w:pPr>
      <w:r>
        <w:rPr/>
        <w:t>营业收入整体情况</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618"/>
        <w:gridCol w:w="1616"/>
        <w:gridCol w:w="1615"/>
        <w:gridCol w:w="1616"/>
        <w:gridCol w:w="1616"/>
        <w:gridCol w:w="1618"/>
      </w:tblGrid>
      <w:tr>
        <w:trPr>
          <w:trHeight w:val="403" w:hRule="exact"/>
        </w:trPr>
        <w:tc>
          <w:tcPr>
            <w:tcW w:w="1618" w:type="dxa"/>
            <w:vMerge w:val="restart"/>
            <w:tcBorders>
              <w:top w:val="single" w:sz="4" w:space="0" w:color="000000"/>
              <w:left w:val="single" w:sz="4" w:space="0" w:color="000000"/>
              <w:right w:val="single" w:sz="4" w:space="0" w:color="000000"/>
            </w:tcBorders>
            <w:shd w:val="clear" w:color="auto" w:fill="D2D2D2"/>
          </w:tcPr>
          <w:p>
            <w:pPr/>
          </w:p>
        </w:tc>
        <w:tc>
          <w:tcPr>
            <w:tcW w:w="32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18" w:type="dxa"/>
            <w:vMerge/>
            <w:tcBorders>
              <w:left w:val="single" w:sz="4" w:space="0" w:color="000000"/>
              <w:bottom w:val="single" w:sz="4" w:space="0" w:color="000000"/>
              <w:right w:val="single" w:sz="4" w:space="0" w:color="000000"/>
            </w:tcBorders>
            <w:shd w:val="clear" w:color="auto" w:fill="D2D2D2"/>
          </w:tcPr>
          <w:p>
            <w:pP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18"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514,852,610.92</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492,299,777.56</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4.58%</w:t>
            </w:r>
          </w:p>
        </w:tc>
      </w:tr>
      <w:tr>
        <w:trPr>
          <w:trHeight w:val="396" w:hRule="exact"/>
        </w:trPr>
        <w:tc>
          <w:tcPr>
            <w:tcW w:w="969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61,904,727.09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12.02%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24,147,278.21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156.36%</w:t>
            </w:r>
          </w:p>
        </w:tc>
      </w:tr>
      <w:tr>
        <w:trPr>
          <w:trHeight w:val="401"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军工</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64,352,766.79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12.50%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66,430,878.98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13.49%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-3.13%</w:t>
            </w:r>
          </w:p>
        </w:tc>
      </w:tr>
      <w:tr>
        <w:trPr>
          <w:trHeight w:val="404"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51,081,364.57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93,913,034.42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19.08%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-45.61%</w:t>
            </w:r>
          </w:p>
        </w:tc>
      </w:tr>
      <w:tr>
        <w:trPr>
          <w:trHeight w:val="401"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142,891,812.70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27.75%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109,704,334.06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22.28%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30.25%</w:t>
            </w:r>
          </w:p>
        </w:tc>
      </w:tr>
      <w:tr>
        <w:trPr>
          <w:trHeight w:val="403"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194,621,939.77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37.80%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198,104,251.89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40.25%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w:t>
            </w:r>
          </w:p>
        </w:tc>
      </w:tr>
      <w:tr>
        <w:trPr>
          <w:trHeight w:val="401" w:hRule="exact"/>
        </w:trPr>
        <w:tc>
          <w:tcPr>
            <w:tcW w:w="969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软件产品</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272,935,519.95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53.01%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235,833,282.77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47.90%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15.73%</w:t>
            </w:r>
          </w:p>
        </w:tc>
      </w:tr>
      <w:tr>
        <w:trPr>
          <w:trHeight w:val="401"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88,795,660.35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17.25%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80,038,488.55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16.26%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10.94%</w:t>
            </w:r>
          </w:p>
        </w:tc>
      </w:tr>
      <w:tr>
        <w:trPr>
          <w:trHeight w:val="403"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107,386,934.87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20.86%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166,503,442.17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33.82%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-35.50%</w:t>
            </w:r>
          </w:p>
        </w:tc>
      </w:tr>
      <w:tr>
        <w:trPr>
          <w:trHeight w:val="401"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45,734,495.75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9,924,564.07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360.82%</w:t>
            </w:r>
          </w:p>
        </w:tc>
      </w:tr>
      <w:tr>
        <w:trPr>
          <w:trHeight w:val="404" w:hRule="exact"/>
        </w:trPr>
        <w:tc>
          <w:tcPr>
            <w:tcW w:w="969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16,065,453.96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13,741,826.36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16.91%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33" w:top="1060" w:bottom="1320" w:left="980" w:right="980"/>
        </w:sectPr>
      </w:pPr>
    </w:p>
    <w:p>
      <w:pPr>
        <w:spacing w:line="240" w:lineRule="auto" w:before="6"/>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1618"/>
        <w:gridCol w:w="1616"/>
        <w:gridCol w:w="1615"/>
        <w:gridCol w:w="1616"/>
        <w:gridCol w:w="1616"/>
        <w:gridCol w:w="1618"/>
      </w:tblGrid>
      <w:tr>
        <w:trPr>
          <w:trHeight w:val="401"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181,391,441.54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35.23%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130,237,543.01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26.45%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39.28%</w:t>
            </w:r>
          </w:p>
        </w:tc>
      </w:tr>
      <w:tr>
        <w:trPr>
          <w:trHeight w:val="403"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170,786,726.20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33.17%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231,975,358.39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47.12%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-26.38%</w:t>
            </w:r>
          </w:p>
        </w:tc>
      </w:tr>
      <w:tr>
        <w:trPr>
          <w:trHeight w:val="401"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43,400,975.14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45,534,695.13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-4.69%</w:t>
            </w:r>
          </w:p>
        </w:tc>
      </w:tr>
      <w:tr>
        <w:trPr>
          <w:trHeight w:val="403"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33,356,458.14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6.48%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24,320,973.10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4.94%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37.15%</w:t>
            </w:r>
          </w:p>
        </w:tc>
      </w:tr>
      <w:tr>
        <w:trPr>
          <w:trHeight w:val="401"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43,559,858.29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24,702,362.61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76.34%</w:t>
            </w:r>
          </w:p>
        </w:tc>
      </w:tr>
      <w:tr>
        <w:trPr>
          <w:trHeight w:val="403"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26,273,367.54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5.10%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18,638,321.78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3.79%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40.96%</w:t>
            </w:r>
          </w:p>
        </w:tc>
      </w:tr>
      <w:tr>
        <w:trPr>
          <w:trHeight w:val="403"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港澳及海外</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18,330.11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3,148,697.18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-99.42%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22"/>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1133" w:top="1060" w:bottom="1320" w:left="980" w:right="980"/>
        </w:sectPr>
      </w:pPr>
    </w:p>
    <w:p>
      <w:pPr>
        <w:pStyle w:val="BodyText"/>
        <w:spacing w:line="35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320" w:left="980" w:right="980"/>
          <w:cols w:num="2" w:equalWidth="0">
            <w:col w:w="3213" w:space="5707"/>
            <w:col w:w="1030"/>
          </w:cols>
        </w:sectPr>
      </w:pP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385"/>
        <w:gridCol w:w="1388"/>
        <w:gridCol w:w="1382"/>
        <w:gridCol w:w="1385"/>
        <w:gridCol w:w="1385"/>
        <w:gridCol w:w="1383"/>
        <w:gridCol w:w="1390"/>
      </w:tblGrid>
      <w:tr>
        <w:trPr>
          <w:trHeight w:val="714" w:hRule="exact"/>
        </w:trPr>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毛利率</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6" w:right="55" w:hanging="269"/>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6" w:right="53" w:hanging="269"/>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9" w:right="5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69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61,904,727.09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31,166,770.80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49.65%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156.36%</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1"/>
              <w:jc w:val="right"/>
              <w:rPr>
                <w:rFonts w:ascii="Times New Roman" w:hAnsi="Times New Roman" w:cs="Times New Roman" w:eastAsia="Times New Roman" w:hint="default"/>
                <w:sz w:val="18"/>
                <w:szCs w:val="18"/>
              </w:rPr>
            </w:pPr>
            <w:r>
              <w:rPr>
                <w:rFonts w:ascii="Times New Roman"/>
                <w:sz w:val="18"/>
              </w:rPr>
              <w:t>1,521.36%</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78"/>
              <w:jc w:val="right"/>
              <w:rPr>
                <w:rFonts w:ascii="Times New Roman" w:hAnsi="Times New Roman" w:cs="Times New Roman" w:eastAsia="Times New Roman" w:hint="default"/>
                <w:sz w:val="18"/>
                <w:szCs w:val="18"/>
              </w:rPr>
            </w:pPr>
            <w:r>
              <w:rPr>
                <w:rFonts w:ascii="Times New Roman"/>
                <w:sz w:val="18"/>
              </w:rPr>
              <w:t>-42.39%</w:t>
            </w:r>
          </w:p>
        </w:tc>
      </w:tr>
      <w:tr>
        <w:trPr>
          <w:trHeight w:val="40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军工</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64,352,766.79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10,861,408.30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83.12%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-3.13%</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3" w:right="0"/>
              <w:jc w:val="left"/>
              <w:rPr>
                <w:rFonts w:ascii="Times New Roman" w:hAnsi="Times New Roman" w:cs="Times New Roman" w:eastAsia="Times New Roman" w:hint="default"/>
                <w:sz w:val="18"/>
                <w:szCs w:val="18"/>
              </w:rPr>
            </w:pPr>
            <w:r>
              <w:rPr>
                <w:rFonts w:ascii="Times New Roman"/>
                <w:sz w:val="18"/>
              </w:rPr>
              <w:t>2.10%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7" w:right="0"/>
              <w:jc w:val="left"/>
              <w:rPr>
                <w:rFonts w:ascii="Times New Roman" w:hAnsi="Times New Roman" w:cs="Times New Roman" w:eastAsia="Times New Roman" w:hint="default"/>
                <w:sz w:val="18"/>
                <w:szCs w:val="18"/>
              </w:rPr>
            </w:pPr>
            <w:r>
              <w:rPr>
                <w:rFonts w:ascii="Times New Roman"/>
                <w:sz w:val="18"/>
              </w:rPr>
              <w:t>-0.87%</w:t>
            </w:r>
          </w:p>
        </w:tc>
      </w:tr>
      <w:tr>
        <w:trPr>
          <w:trHeight w:val="40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142,891,812.70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31,112,512.79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78.23%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30.25%</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3" w:right="0"/>
              <w:jc w:val="left"/>
              <w:rPr>
                <w:rFonts w:ascii="Times New Roman" w:hAnsi="Times New Roman" w:cs="Times New Roman" w:eastAsia="Times New Roman" w:hint="default"/>
                <w:sz w:val="18"/>
                <w:szCs w:val="18"/>
              </w:rPr>
            </w:pPr>
            <w:r>
              <w:rPr>
                <w:rFonts w:ascii="Times New Roman"/>
                <w:sz w:val="18"/>
              </w:rPr>
              <w:t>5.75%</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5" w:right="0"/>
              <w:jc w:val="left"/>
              <w:rPr>
                <w:rFonts w:ascii="Times New Roman" w:hAnsi="Times New Roman" w:cs="Times New Roman" w:eastAsia="Times New Roman" w:hint="default"/>
                <w:sz w:val="18"/>
                <w:szCs w:val="18"/>
              </w:rPr>
            </w:pPr>
            <w:r>
              <w:rPr>
                <w:rFonts w:ascii="Times New Roman"/>
                <w:sz w:val="18"/>
              </w:rPr>
              <w:t>5.05%</w:t>
            </w:r>
          </w:p>
        </w:tc>
      </w:tr>
      <w:tr>
        <w:trPr>
          <w:trHeight w:val="40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194,621,939.77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86,785,362.17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55.41%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-1.76%</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74"/>
              <w:jc w:val="right"/>
              <w:rPr>
                <w:rFonts w:ascii="Times New Roman" w:hAnsi="Times New Roman" w:cs="Times New Roman" w:eastAsia="Times New Roman" w:hint="default"/>
                <w:sz w:val="18"/>
                <w:szCs w:val="18"/>
              </w:rPr>
            </w:pPr>
            <w:r>
              <w:rPr>
                <w:rFonts w:ascii="Times New Roman"/>
                <w:sz w:val="18"/>
              </w:rPr>
              <w:t>-36.44%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2" w:right="0"/>
              <w:jc w:val="left"/>
              <w:rPr>
                <w:rFonts w:ascii="Times New Roman" w:hAnsi="Times New Roman" w:cs="Times New Roman" w:eastAsia="Times New Roman" w:hint="default"/>
                <w:sz w:val="18"/>
                <w:szCs w:val="18"/>
              </w:rPr>
            </w:pPr>
            <w:r>
              <w:rPr>
                <w:rFonts w:ascii="Times New Roman"/>
                <w:sz w:val="18"/>
              </w:rPr>
              <w:t>24.33%</w:t>
            </w:r>
          </w:p>
        </w:tc>
      </w:tr>
      <w:tr>
        <w:trPr>
          <w:trHeight w:val="401" w:hRule="exact"/>
        </w:trPr>
        <w:tc>
          <w:tcPr>
            <w:tcW w:w="969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软件产品</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272,935,519.95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11,319,732.95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95.85%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15.73%</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4" w:right="0"/>
              <w:jc w:val="left"/>
              <w:rPr>
                <w:rFonts w:ascii="Times New Roman" w:hAnsi="Times New Roman" w:cs="Times New Roman" w:eastAsia="Times New Roman" w:hint="default"/>
                <w:sz w:val="18"/>
                <w:szCs w:val="18"/>
              </w:rPr>
            </w:pPr>
            <w:r>
              <w:rPr>
                <w:rFonts w:ascii="Times New Roman"/>
                <w:sz w:val="18"/>
              </w:rPr>
              <w:t>-0.02%</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5" w:right="0"/>
              <w:jc w:val="left"/>
              <w:rPr>
                <w:rFonts w:ascii="Times New Roman" w:hAnsi="Times New Roman" w:cs="Times New Roman" w:eastAsia="Times New Roman" w:hint="default"/>
                <w:sz w:val="18"/>
                <w:szCs w:val="18"/>
              </w:rPr>
            </w:pPr>
            <w:r>
              <w:rPr>
                <w:rFonts w:ascii="Times New Roman"/>
                <w:sz w:val="18"/>
              </w:rPr>
              <w:t>0.65%</w:t>
            </w:r>
          </w:p>
        </w:tc>
      </w:tr>
      <w:tr>
        <w:trPr>
          <w:trHeight w:val="40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88,795,660.35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7,351,743.61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91.72%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10.94%</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03"/>
              <w:jc w:val="right"/>
              <w:rPr>
                <w:rFonts w:ascii="Times New Roman" w:hAnsi="Times New Roman" w:cs="Times New Roman" w:eastAsia="Times New Roman" w:hint="default"/>
                <w:sz w:val="18"/>
                <w:szCs w:val="18"/>
              </w:rPr>
            </w:pPr>
            <w:r>
              <w:rPr>
                <w:rFonts w:ascii="Times New Roman"/>
                <w:sz w:val="18"/>
              </w:rPr>
              <w:t>21.41%</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7" w:right="0"/>
              <w:jc w:val="left"/>
              <w:rPr>
                <w:rFonts w:ascii="Times New Roman" w:hAnsi="Times New Roman" w:cs="Times New Roman" w:eastAsia="Times New Roman" w:hint="default"/>
                <w:sz w:val="18"/>
                <w:szCs w:val="18"/>
              </w:rPr>
            </w:pPr>
            <w:r>
              <w:rPr>
                <w:rFonts w:ascii="Times New Roman"/>
                <w:sz w:val="18"/>
              </w:rPr>
              <w:t>-0.71%</w:t>
            </w:r>
          </w:p>
        </w:tc>
      </w:tr>
      <w:tr>
        <w:trPr>
          <w:trHeight w:val="40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107,386,934.87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94,534,338.58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11.97%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-35.50%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74"/>
              <w:jc w:val="right"/>
              <w:rPr>
                <w:rFonts w:ascii="Times New Roman" w:hAnsi="Times New Roman" w:cs="Times New Roman" w:eastAsia="Times New Roman" w:hint="default"/>
                <w:sz w:val="18"/>
                <w:szCs w:val="18"/>
              </w:rPr>
            </w:pPr>
            <w:r>
              <w:rPr>
                <w:rFonts w:ascii="Times New Roman"/>
                <w:sz w:val="18"/>
              </w:rPr>
              <w:t>-40.77%</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5" w:right="0"/>
              <w:jc w:val="left"/>
              <w:rPr>
                <w:rFonts w:ascii="Times New Roman" w:hAnsi="Times New Roman" w:cs="Times New Roman" w:eastAsia="Times New Roman" w:hint="default"/>
                <w:sz w:val="18"/>
                <w:szCs w:val="18"/>
              </w:rPr>
            </w:pPr>
            <w:r>
              <w:rPr>
                <w:rFonts w:ascii="Times New Roman"/>
                <w:sz w:val="18"/>
              </w:rPr>
              <w:t>7.82%</w:t>
            </w:r>
          </w:p>
        </w:tc>
      </w:tr>
      <w:tr>
        <w:trPr>
          <w:trHeight w:val="401" w:hRule="exact"/>
        </w:trPr>
        <w:tc>
          <w:tcPr>
            <w:tcW w:w="969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Times New Roman" w:hAnsi="Times New Roman" w:cs="Times New Roman" w:eastAsia="Times New Roman" w:hint="default"/>
                <w:sz w:val="18"/>
                <w:szCs w:val="18"/>
              </w:rPr>
            </w:pPr>
            <w:r>
              <w:rPr>
                <w:rFonts w:ascii="Times New Roman"/>
                <w:sz w:val="18"/>
              </w:rPr>
              <w:t>181,391,441.54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38,449,416.52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78.80%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 w:right="0"/>
              <w:jc w:val="center"/>
              <w:rPr>
                <w:rFonts w:ascii="Times New Roman" w:hAnsi="Times New Roman" w:cs="Times New Roman" w:eastAsia="Times New Roman" w:hint="default"/>
                <w:sz w:val="18"/>
                <w:szCs w:val="18"/>
              </w:rPr>
            </w:pPr>
            <w:r>
              <w:rPr>
                <w:rFonts w:ascii="Times New Roman"/>
                <w:sz w:val="18"/>
              </w:rPr>
              <w:t>39.28%</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360"/>
              <w:jc w:val="right"/>
              <w:rPr>
                <w:rFonts w:ascii="Times New Roman" w:hAnsi="Times New Roman" w:cs="Times New Roman" w:eastAsia="Times New Roman" w:hint="default"/>
                <w:sz w:val="18"/>
                <w:szCs w:val="18"/>
              </w:rPr>
            </w:pPr>
            <w:r>
              <w:rPr>
                <w:rFonts w:ascii="Times New Roman"/>
                <w:spacing w:val="-1"/>
                <w:sz w:val="18"/>
              </w:rPr>
              <w:t>385.16%</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381"/>
              <w:jc w:val="right"/>
              <w:rPr>
                <w:rFonts w:ascii="Times New Roman" w:hAnsi="Times New Roman" w:cs="Times New Roman" w:eastAsia="Times New Roman" w:hint="default"/>
                <w:sz w:val="18"/>
                <w:szCs w:val="18"/>
              </w:rPr>
            </w:pPr>
            <w:r>
              <w:rPr>
                <w:rFonts w:ascii="Times New Roman"/>
                <w:spacing w:val="-1"/>
                <w:sz w:val="18"/>
              </w:rPr>
              <w:t>-15.11%</w:t>
            </w:r>
          </w:p>
        </w:tc>
      </w:tr>
      <w:tr>
        <w:trPr>
          <w:trHeight w:val="40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170,786,726.20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102,473,686.04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-26.38%</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74"/>
              <w:jc w:val="right"/>
              <w:rPr>
                <w:rFonts w:ascii="Times New Roman" w:hAnsi="Times New Roman" w:cs="Times New Roman" w:eastAsia="Times New Roman" w:hint="default"/>
                <w:sz w:val="18"/>
                <w:szCs w:val="18"/>
              </w:rPr>
            </w:pPr>
            <w:r>
              <w:rPr>
                <w:rFonts w:ascii="Times New Roman"/>
                <w:sz w:val="18"/>
              </w:rPr>
              <w:t>-38.10%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5" w:right="0"/>
              <w:jc w:val="left"/>
              <w:rPr>
                <w:rFonts w:ascii="Times New Roman" w:hAnsi="Times New Roman" w:cs="Times New Roman" w:eastAsia="Times New Roman" w:hint="default"/>
                <w:sz w:val="18"/>
                <w:szCs w:val="18"/>
              </w:rPr>
            </w:pPr>
            <w:r>
              <w:rPr>
                <w:rFonts w:ascii="Times New Roman"/>
                <w:sz w:val="18"/>
              </w:rPr>
              <w:t>11.37%</w:t>
            </w:r>
          </w:p>
        </w:tc>
      </w:tr>
    </w:tbl>
    <w:p>
      <w:pPr>
        <w:pStyle w:val="BodyText"/>
        <w:spacing w:line="240" w:lineRule="auto" w:before="49"/>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620"/>
        <w:gridCol w:w="1618"/>
        <w:gridCol w:w="1615"/>
        <w:gridCol w:w="1616"/>
        <w:gridCol w:w="1613"/>
        <w:gridCol w:w="1615"/>
      </w:tblGrid>
      <w:tr>
        <w:trPr>
          <w:trHeight w:val="403" w:hRule="exact"/>
        </w:trPr>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9"/>
              <w:jc w:val="righ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金融</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61,904,727.09</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24,147,278.21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2"/>
              <w:jc w:val="right"/>
              <w:rPr>
                <w:rFonts w:ascii="宋体" w:hAnsi="宋体" w:cs="宋体" w:eastAsia="宋体" w:hint="default"/>
                <w:sz w:val="18"/>
                <w:szCs w:val="18"/>
              </w:rPr>
            </w:pPr>
            <w:r>
              <w:rPr>
                <w:rFonts w:ascii="宋体"/>
                <w:sz w:val="18"/>
              </w:rPr>
              <w:t>156.36%</w:t>
            </w:r>
          </w:p>
        </w:tc>
      </w:tr>
      <w:tr>
        <w:trPr>
          <w:trHeight w:val="403" w:hRule="exact"/>
        </w:trPr>
        <w:tc>
          <w:tcPr>
            <w:tcW w:w="1620" w:type="dxa"/>
            <w:vMerge/>
            <w:tcBorders>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61,904,727.09</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24,147,278.21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2"/>
              <w:jc w:val="right"/>
              <w:rPr>
                <w:rFonts w:ascii="宋体" w:hAnsi="宋体" w:cs="宋体" w:eastAsia="宋体" w:hint="default"/>
                <w:sz w:val="18"/>
                <w:szCs w:val="18"/>
              </w:rPr>
            </w:pPr>
            <w:r>
              <w:rPr>
                <w:rFonts w:ascii="宋体"/>
                <w:sz w:val="18"/>
              </w:rPr>
              <w:t>156.36%</w:t>
            </w:r>
          </w:p>
        </w:tc>
      </w:tr>
    </w:tbl>
    <w:p>
      <w:pPr>
        <w:spacing w:after="0" w:line="240" w:lineRule="auto"/>
        <w:jc w:val="right"/>
        <w:rPr>
          <w:rFonts w:ascii="宋体" w:hAnsi="宋体" w:cs="宋体" w:eastAsia="宋体" w:hint="default"/>
          <w:sz w:val="18"/>
          <w:szCs w:val="18"/>
        </w:rPr>
        <w:sectPr>
          <w:type w:val="continuous"/>
          <w:pgSz w:w="11910" w:h="16840"/>
          <w:pgMar w:top="1060" w:bottom="1320" w:left="980" w:right="980"/>
        </w:sectPr>
      </w:pPr>
    </w:p>
    <w:p>
      <w:pPr>
        <w:spacing w:line="240" w:lineRule="auto" w:before="6"/>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1622"/>
        <w:gridCol w:w="1617"/>
        <w:gridCol w:w="1615"/>
        <w:gridCol w:w="1616"/>
        <w:gridCol w:w="1613"/>
        <w:gridCol w:w="1615"/>
      </w:tblGrid>
      <w:tr>
        <w:trPr>
          <w:trHeight w:val="401" w:hRule="exact"/>
        </w:trPr>
        <w:tc>
          <w:tcPr>
            <w:tcW w:w="1622"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3"/>
              <w:jc w:val="right"/>
              <w:rPr>
                <w:rFonts w:ascii="宋体" w:hAnsi="宋体" w:cs="宋体" w:eastAsia="宋体" w:hint="default"/>
                <w:sz w:val="18"/>
                <w:szCs w:val="18"/>
              </w:rPr>
            </w:pPr>
            <w:r>
              <w:rPr>
                <w:rFonts w:ascii="宋体" w:hAnsi="宋体" w:cs="宋体" w:eastAsia="宋体" w:hint="default"/>
                <w:sz w:val="18"/>
                <w:szCs w:val="18"/>
              </w:rPr>
              <w:t>库存量</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10"/>
              <w:jc w:val="right"/>
              <w:rPr>
                <w:rFonts w:ascii="宋体" w:hAnsi="宋体" w:cs="宋体" w:eastAsia="宋体" w:hint="default"/>
                <w:sz w:val="18"/>
                <w:szCs w:val="18"/>
              </w:rPr>
            </w:pPr>
            <w:r>
              <w:rPr>
                <w:rFonts w:ascii="宋体" w:hAnsi="宋体" w:cs="宋体" w:eastAsia="宋体" w:hint="default"/>
                <w:sz w:val="18"/>
                <w:szCs w:val="18"/>
              </w:rPr>
              <w:t>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73"/>
              <w:jc w:val="right"/>
              <w:rPr>
                <w:rFonts w:ascii="宋体" w:hAnsi="宋体" w:cs="宋体" w:eastAsia="宋体" w:hint="default"/>
                <w:sz w:val="18"/>
                <w:szCs w:val="18"/>
              </w:rPr>
            </w:pPr>
            <w:r>
              <w:rPr>
                <w:rFonts w:ascii="宋体"/>
                <w:sz w:val="18"/>
              </w:rPr>
              <w:t>0.00%</w:t>
            </w:r>
          </w:p>
        </w:tc>
      </w:tr>
      <w:tr>
        <w:trPr>
          <w:trHeight w:val="403" w:hRule="exact"/>
        </w:trPr>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军工</w:t>
            </w:r>
          </w:p>
        </w:tc>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3"/>
              <w:jc w:val="right"/>
              <w:rPr>
                <w:rFonts w:ascii="宋体" w:hAnsi="宋体" w:cs="宋体" w:eastAsia="宋体" w:hint="default"/>
                <w:sz w:val="18"/>
                <w:szCs w:val="18"/>
              </w:rPr>
            </w:pPr>
            <w:r>
              <w:rPr>
                <w:rFonts w:ascii="宋体" w:hAnsi="宋体" w:cs="宋体" w:eastAsia="宋体" w:hint="default"/>
                <w:sz w:val="18"/>
                <w:szCs w:val="18"/>
              </w:rPr>
              <w:t>销售量</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0"/>
              <w:jc w:val="right"/>
              <w:rPr>
                <w:rFonts w:ascii="宋体" w:hAnsi="宋体" w:cs="宋体" w:eastAsia="宋体" w:hint="default"/>
                <w:sz w:val="18"/>
                <w:szCs w:val="18"/>
              </w:rPr>
            </w:pPr>
            <w:r>
              <w:rPr>
                <w:rFonts w:ascii="宋体" w:hAnsi="宋体" w:cs="宋体" w:eastAsia="宋体" w:hint="default"/>
                <w:sz w:val="18"/>
                <w:szCs w:val="18"/>
              </w:rPr>
              <w:t>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64,352,766.79</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sz w:val="18"/>
              </w:rPr>
              <w:t>66,430,878.98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7"/>
              <w:jc w:val="right"/>
              <w:rPr>
                <w:rFonts w:ascii="宋体" w:hAnsi="宋体" w:cs="宋体" w:eastAsia="宋体" w:hint="default"/>
                <w:sz w:val="18"/>
                <w:szCs w:val="18"/>
              </w:rPr>
            </w:pPr>
            <w:r>
              <w:rPr>
                <w:rFonts w:ascii="宋体"/>
                <w:spacing w:val="-1"/>
                <w:sz w:val="18"/>
              </w:rPr>
              <w:t>-3.13%</w:t>
            </w:r>
          </w:p>
        </w:tc>
      </w:tr>
      <w:tr>
        <w:trPr>
          <w:trHeight w:val="401" w:hRule="exact"/>
        </w:trPr>
        <w:tc>
          <w:tcPr>
            <w:tcW w:w="1622" w:type="dxa"/>
            <w:vMerge/>
            <w:tcBorders>
              <w:left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3"/>
              <w:jc w:val="right"/>
              <w:rPr>
                <w:rFonts w:ascii="宋体" w:hAnsi="宋体" w:cs="宋体" w:eastAsia="宋体" w:hint="default"/>
                <w:sz w:val="18"/>
                <w:szCs w:val="18"/>
              </w:rPr>
            </w:pPr>
            <w:r>
              <w:rPr>
                <w:rFonts w:ascii="宋体" w:hAnsi="宋体" w:cs="宋体" w:eastAsia="宋体" w:hint="default"/>
                <w:sz w:val="18"/>
                <w:szCs w:val="18"/>
              </w:rPr>
              <w:t>生产量</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10"/>
              <w:jc w:val="right"/>
              <w:rPr>
                <w:rFonts w:ascii="宋体" w:hAnsi="宋体" w:cs="宋体" w:eastAsia="宋体" w:hint="default"/>
                <w:sz w:val="18"/>
                <w:szCs w:val="18"/>
              </w:rPr>
            </w:pPr>
            <w:r>
              <w:rPr>
                <w:rFonts w:ascii="宋体" w:hAnsi="宋体" w:cs="宋体" w:eastAsia="宋体" w:hint="default"/>
                <w:sz w:val="18"/>
                <w:szCs w:val="18"/>
              </w:rPr>
              <w:t>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64,352,766.79</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66,430,878.98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27"/>
              <w:jc w:val="right"/>
              <w:rPr>
                <w:rFonts w:ascii="宋体" w:hAnsi="宋体" w:cs="宋体" w:eastAsia="宋体" w:hint="default"/>
                <w:sz w:val="18"/>
                <w:szCs w:val="18"/>
              </w:rPr>
            </w:pPr>
            <w:r>
              <w:rPr>
                <w:rFonts w:ascii="宋体"/>
                <w:spacing w:val="-1"/>
                <w:sz w:val="18"/>
              </w:rPr>
              <w:t>-3.13%</w:t>
            </w:r>
          </w:p>
        </w:tc>
      </w:tr>
      <w:tr>
        <w:trPr>
          <w:trHeight w:val="403" w:hRule="exact"/>
        </w:trPr>
        <w:tc>
          <w:tcPr>
            <w:tcW w:w="1622" w:type="dxa"/>
            <w:vMerge/>
            <w:tcBorders>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3"/>
              <w:jc w:val="right"/>
              <w:rPr>
                <w:rFonts w:ascii="宋体" w:hAnsi="宋体" w:cs="宋体" w:eastAsia="宋体" w:hint="default"/>
                <w:sz w:val="18"/>
                <w:szCs w:val="18"/>
              </w:rPr>
            </w:pPr>
            <w:r>
              <w:rPr>
                <w:rFonts w:ascii="宋体" w:hAnsi="宋体" w:cs="宋体" w:eastAsia="宋体" w:hint="default"/>
                <w:sz w:val="18"/>
                <w:szCs w:val="18"/>
              </w:rPr>
              <w:t>库存量</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0"/>
              <w:jc w:val="right"/>
              <w:rPr>
                <w:rFonts w:ascii="宋体" w:hAnsi="宋体" w:cs="宋体" w:eastAsia="宋体" w:hint="default"/>
                <w:sz w:val="18"/>
                <w:szCs w:val="18"/>
              </w:rPr>
            </w:pPr>
            <w:r>
              <w:rPr>
                <w:rFonts w:ascii="宋体" w:hAnsi="宋体" w:cs="宋体" w:eastAsia="宋体" w:hint="default"/>
                <w:sz w:val="18"/>
                <w:szCs w:val="18"/>
              </w:rPr>
              <w:t>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3"/>
              <w:jc w:val="right"/>
              <w:rPr>
                <w:rFonts w:ascii="宋体" w:hAnsi="宋体" w:cs="宋体" w:eastAsia="宋体" w:hint="default"/>
                <w:sz w:val="18"/>
                <w:szCs w:val="18"/>
              </w:rPr>
            </w:pPr>
            <w:r>
              <w:rPr>
                <w:rFonts w:ascii="宋体"/>
                <w:sz w:val="18"/>
              </w:rPr>
              <w:t>0.00%</w:t>
            </w:r>
          </w:p>
        </w:tc>
      </w:tr>
      <w:tr>
        <w:trPr>
          <w:trHeight w:val="401" w:hRule="exact"/>
        </w:trPr>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能源</w:t>
            </w:r>
          </w:p>
        </w:tc>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3"/>
              <w:jc w:val="right"/>
              <w:rPr>
                <w:rFonts w:ascii="宋体" w:hAnsi="宋体" w:cs="宋体" w:eastAsia="宋体" w:hint="default"/>
                <w:sz w:val="18"/>
                <w:szCs w:val="18"/>
              </w:rPr>
            </w:pPr>
            <w:r>
              <w:rPr>
                <w:rFonts w:ascii="宋体" w:hAnsi="宋体" w:cs="宋体" w:eastAsia="宋体" w:hint="default"/>
                <w:sz w:val="18"/>
                <w:szCs w:val="18"/>
              </w:rPr>
              <w:t>销售量</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10"/>
              <w:jc w:val="right"/>
              <w:rPr>
                <w:rFonts w:ascii="宋体" w:hAnsi="宋体" w:cs="宋体" w:eastAsia="宋体" w:hint="default"/>
                <w:sz w:val="18"/>
                <w:szCs w:val="18"/>
              </w:rPr>
            </w:pPr>
            <w:r>
              <w:rPr>
                <w:rFonts w:ascii="宋体" w:hAnsi="宋体" w:cs="宋体" w:eastAsia="宋体" w:hint="default"/>
                <w:sz w:val="18"/>
                <w:szCs w:val="18"/>
              </w:rPr>
              <w:t>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51,081,364.57</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93,913,034.42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2"/>
              <w:jc w:val="right"/>
              <w:rPr>
                <w:rFonts w:ascii="宋体" w:hAnsi="宋体" w:cs="宋体" w:eastAsia="宋体" w:hint="default"/>
                <w:sz w:val="18"/>
                <w:szCs w:val="18"/>
              </w:rPr>
            </w:pPr>
            <w:r>
              <w:rPr>
                <w:rFonts w:ascii="宋体"/>
                <w:sz w:val="18"/>
              </w:rPr>
              <w:t>-45.61%</w:t>
            </w:r>
          </w:p>
        </w:tc>
      </w:tr>
      <w:tr>
        <w:trPr>
          <w:trHeight w:val="403" w:hRule="exact"/>
        </w:trPr>
        <w:tc>
          <w:tcPr>
            <w:tcW w:w="1622" w:type="dxa"/>
            <w:vMerge/>
            <w:tcBorders>
              <w:left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3"/>
              <w:jc w:val="right"/>
              <w:rPr>
                <w:rFonts w:ascii="宋体" w:hAnsi="宋体" w:cs="宋体" w:eastAsia="宋体" w:hint="default"/>
                <w:sz w:val="18"/>
                <w:szCs w:val="18"/>
              </w:rPr>
            </w:pPr>
            <w:r>
              <w:rPr>
                <w:rFonts w:ascii="宋体" w:hAnsi="宋体" w:cs="宋体" w:eastAsia="宋体" w:hint="default"/>
                <w:sz w:val="18"/>
                <w:szCs w:val="18"/>
              </w:rPr>
              <w:t>生产量</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0"/>
              <w:jc w:val="right"/>
              <w:rPr>
                <w:rFonts w:ascii="宋体" w:hAnsi="宋体" w:cs="宋体" w:eastAsia="宋体" w:hint="default"/>
                <w:sz w:val="18"/>
                <w:szCs w:val="18"/>
              </w:rPr>
            </w:pPr>
            <w:r>
              <w:rPr>
                <w:rFonts w:ascii="宋体" w:hAnsi="宋体" w:cs="宋体" w:eastAsia="宋体" w:hint="default"/>
                <w:sz w:val="18"/>
                <w:szCs w:val="18"/>
              </w:rPr>
              <w:t>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51,081,364.57</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sz w:val="18"/>
              </w:rPr>
              <w:t>93,913,034.42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82"/>
              <w:jc w:val="right"/>
              <w:rPr>
                <w:rFonts w:ascii="宋体" w:hAnsi="宋体" w:cs="宋体" w:eastAsia="宋体" w:hint="default"/>
                <w:sz w:val="18"/>
                <w:szCs w:val="18"/>
              </w:rPr>
            </w:pPr>
            <w:r>
              <w:rPr>
                <w:rFonts w:ascii="宋体"/>
                <w:sz w:val="18"/>
              </w:rPr>
              <w:t>-45.61%</w:t>
            </w:r>
          </w:p>
        </w:tc>
      </w:tr>
      <w:tr>
        <w:trPr>
          <w:trHeight w:val="401" w:hRule="exact"/>
        </w:trPr>
        <w:tc>
          <w:tcPr>
            <w:tcW w:w="1622" w:type="dxa"/>
            <w:vMerge/>
            <w:tcBorders>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3"/>
              <w:jc w:val="right"/>
              <w:rPr>
                <w:rFonts w:ascii="宋体" w:hAnsi="宋体" w:cs="宋体" w:eastAsia="宋体" w:hint="default"/>
                <w:sz w:val="18"/>
                <w:szCs w:val="18"/>
              </w:rPr>
            </w:pPr>
            <w:r>
              <w:rPr>
                <w:rFonts w:ascii="宋体" w:hAnsi="宋体" w:cs="宋体" w:eastAsia="宋体" w:hint="default"/>
                <w:sz w:val="18"/>
                <w:szCs w:val="18"/>
              </w:rPr>
              <w:t>库存量</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10"/>
              <w:jc w:val="right"/>
              <w:rPr>
                <w:rFonts w:ascii="宋体" w:hAnsi="宋体" w:cs="宋体" w:eastAsia="宋体" w:hint="default"/>
                <w:sz w:val="18"/>
                <w:szCs w:val="18"/>
              </w:rPr>
            </w:pPr>
            <w:r>
              <w:rPr>
                <w:rFonts w:ascii="宋体" w:hAnsi="宋体" w:cs="宋体" w:eastAsia="宋体" w:hint="default"/>
                <w:sz w:val="18"/>
                <w:szCs w:val="18"/>
              </w:rPr>
              <w:t>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73"/>
              <w:jc w:val="right"/>
              <w:rPr>
                <w:rFonts w:ascii="宋体" w:hAnsi="宋体" w:cs="宋体" w:eastAsia="宋体" w:hint="default"/>
                <w:sz w:val="18"/>
                <w:szCs w:val="18"/>
              </w:rPr>
            </w:pPr>
            <w:r>
              <w:rPr>
                <w:rFonts w:ascii="宋体"/>
                <w:sz w:val="18"/>
              </w:rPr>
              <w:t>0.00%</w:t>
            </w:r>
          </w:p>
        </w:tc>
      </w:tr>
      <w:tr>
        <w:trPr>
          <w:trHeight w:val="403" w:hRule="exact"/>
        </w:trPr>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政府</w:t>
            </w:r>
          </w:p>
        </w:tc>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3"/>
              <w:jc w:val="right"/>
              <w:rPr>
                <w:rFonts w:ascii="宋体" w:hAnsi="宋体" w:cs="宋体" w:eastAsia="宋体" w:hint="default"/>
                <w:sz w:val="18"/>
                <w:szCs w:val="18"/>
              </w:rPr>
            </w:pPr>
            <w:r>
              <w:rPr>
                <w:rFonts w:ascii="宋体" w:hAnsi="宋体" w:cs="宋体" w:eastAsia="宋体" w:hint="default"/>
                <w:sz w:val="18"/>
                <w:szCs w:val="18"/>
              </w:rPr>
              <w:t>销售量</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0"/>
              <w:jc w:val="right"/>
              <w:rPr>
                <w:rFonts w:ascii="宋体" w:hAnsi="宋体" w:cs="宋体" w:eastAsia="宋体" w:hint="default"/>
                <w:sz w:val="18"/>
                <w:szCs w:val="18"/>
              </w:rPr>
            </w:pPr>
            <w:r>
              <w:rPr>
                <w:rFonts w:ascii="宋体" w:hAnsi="宋体" w:cs="宋体" w:eastAsia="宋体" w:hint="default"/>
                <w:sz w:val="18"/>
                <w:szCs w:val="18"/>
              </w:rPr>
              <w:t>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142,891,812.7</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109,704,334.06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7"/>
              <w:jc w:val="right"/>
              <w:rPr>
                <w:rFonts w:ascii="宋体" w:hAnsi="宋体" w:cs="宋体" w:eastAsia="宋体" w:hint="default"/>
                <w:sz w:val="18"/>
                <w:szCs w:val="18"/>
              </w:rPr>
            </w:pPr>
            <w:r>
              <w:rPr>
                <w:rFonts w:ascii="宋体"/>
                <w:spacing w:val="-1"/>
                <w:sz w:val="18"/>
              </w:rPr>
              <w:t>30.25%</w:t>
            </w:r>
          </w:p>
        </w:tc>
      </w:tr>
      <w:tr>
        <w:trPr>
          <w:trHeight w:val="401" w:hRule="exact"/>
        </w:trPr>
        <w:tc>
          <w:tcPr>
            <w:tcW w:w="1622" w:type="dxa"/>
            <w:vMerge/>
            <w:tcBorders>
              <w:left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3"/>
              <w:jc w:val="right"/>
              <w:rPr>
                <w:rFonts w:ascii="宋体" w:hAnsi="宋体" w:cs="宋体" w:eastAsia="宋体" w:hint="default"/>
                <w:sz w:val="18"/>
                <w:szCs w:val="18"/>
              </w:rPr>
            </w:pPr>
            <w:r>
              <w:rPr>
                <w:rFonts w:ascii="宋体" w:hAnsi="宋体" w:cs="宋体" w:eastAsia="宋体" w:hint="default"/>
                <w:sz w:val="18"/>
                <w:szCs w:val="18"/>
              </w:rPr>
              <w:t>生产量</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10"/>
              <w:jc w:val="right"/>
              <w:rPr>
                <w:rFonts w:ascii="宋体" w:hAnsi="宋体" w:cs="宋体" w:eastAsia="宋体" w:hint="default"/>
                <w:sz w:val="18"/>
                <w:szCs w:val="18"/>
              </w:rPr>
            </w:pPr>
            <w:r>
              <w:rPr>
                <w:rFonts w:ascii="宋体" w:hAnsi="宋体" w:cs="宋体" w:eastAsia="宋体" w:hint="default"/>
                <w:sz w:val="18"/>
                <w:szCs w:val="18"/>
              </w:rPr>
              <w:t>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142,891,812.7</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109,704,334.06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27"/>
              <w:jc w:val="right"/>
              <w:rPr>
                <w:rFonts w:ascii="宋体" w:hAnsi="宋体" w:cs="宋体" w:eastAsia="宋体" w:hint="default"/>
                <w:sz w:val="18"/>
                <w:szCs w:val="18"/>
              </w:rPr>
            </w:pPr>
            <w:r>
              <w:rPr>
                <w:rFonts w:ascii="宋体"/>
                <w:sz w:val="18"/>
              </w:rPr>
              <w:t>30.25%</w:t>
            </w:r>
          </w:p>
        </w:tc>
      </w:tr>
      <w:tr>
        <w:trPr>
          <w:trHeight w:val="403" w:hRule="exact"/>
        </w:trPr>
        <w:tc>
          <w:tcPr>
            <w:tcW w:w="1622" w:type="dxa"/>
            <w:vMerge/>
            <w:tcBorders>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3"/>
              <w:jc w:val="right"/>
              <w:rPr>
                <w:rFonts w:ascii="宋体" w:hAnsi="宋体" w:cs="宋体" w:eastAsia="宋体" w:hint="default"/>
                <w:sz w:val="18"/>
                <w:szCs w:val="18"/>
              </w:rPr>
            </w:pPr>
            <w:r>
              <w:rPr>
                <w:rFonts w:ascii="宋体" w:hAnsi="宋体" w:cs="宋体" w:eastAsia="宋体" w:hint="default"/>
                <w:sz w:val="18"/>
                <w:szCs w:val="18"/>
              </w:rPr>
              <w:t>库存量</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0"/>
              <w:jc w:val="right"/>
              <w:rPr>
                <w:rFonts w:ascii="宋体" w:hAnsi="宋体" w:cs="宋体" w:eastAsia="宋体" w:hint="default"/>
                <w:sz w:val="18"/>
                <w:szCs w:val="18"/>
              </w:rPr>
            </w:pPr>
            <w:r>
              <w:rPr>
                <w:rFonts w:ascii="宋体" w:hAnsi="宋体" w:cs="宋体" w:eastAsia="宋体" w:hint="default"/>
                <w:sz w:val="18"/>
                <w:szCs w:val="18"/>
              </w:rPr>
              <w:t>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3"/>
              <w:jc w:val="right"/>
              <w:rPr>
                <w:rFonts w:ascii="宋体" w:hAnsi="宋体" w:cs="宋体" w:eastAsia="宋体" w:hint="default"/>
                <w:sz w:val="18"/>
                <w:szCs w:val="18"/>
              </w:rPr>
            </w:pPr>
            <w:r>
              <w:rPr>
                <w:rFonts w:ascii="宋体"/>
                <w:sz w:val="18"/>
              </w:rPr>
              <w:t>0.00%</w:t>
            </w:r>
          </w:p>
        </w:tc>
      </w:tr>
      <w:tr>
        <w:trPr>
          <w:trHeight w:val="401" w:hRule="exact"/>
        </w:trPr>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3"/>
              <w:jc w:val="right"/>
              <w:rPr>
                <w:rFonts w:ascii="宋体" w:hAnsi="宋体" w:cs="宋体" w:eastAsia="宋体" w:hint="default"/>
                <w:sz w:val="18"/>
                <w:szCs w:val="18"/>
              </w:rPr>
            </w:pPr>
            <w:r>
              <w:rPr>
                <w:rFonts w:ascii="宋体" w:hAnsi="宋体" w:cs="宋体" w:eastAsia="宋体" w:hint="default"/>
                <w:sz w:val="18"/>
                <w:szCs w:val="18"/>
              </w:rPr>
              <w:t>销售量</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10"/>
              <w:jc w:val="right"/>
              <w:rPr>
                <w:rFonts w:ascii="宋体" w:hAnsi="宋体" w:cs="宋体" w:eastAsia="宋体" w:hint="default"/>
                <w:sz w:val="18"/>
                <w:szCs w:val="18"/>
              </w:rPr>
            </w:pPr>
            <w:r>
              <w:rPr>
                <w:rFonts w:ascii="宋体" w:hAnsi="宋体" w:cs="宋体" w:eastAsia="宋体" w:hint="default"/>
                <w:sz w:val="18"/>
                <w:szCs w:val="18"/>
              </w:rPr>
              <w:t>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194,621,939.77</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198,104,251.89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27"/>
              <w:jc w:val="right"/>
              <w:rPr>
                <w:rFonts w:ascii="宋体" w:hAnsi="宋体" w:cs="宋体" w:eastAsia="宋体" w:hint="default"/>
                <w:sz w:val="18"/>
                <w:szCs w:val="18"/>
              </w:rPr>
            </w:pPr>
            <w:r>
              <w:rPr>
                <w:rFonts w:ascii="宋体"/>
                <w:spacing w:val="-1"/>
                <w:sz w:val="18"/>
              </w:rPr>
              <w:t>-1.76%</w:t>
            </w:r>
          </w:p>
        </w:tc>
      </w:tr>
      <w:tr>
        <w:trPr>
          <w:trHeight w:val="403" w:hRule="exact"/>
        </w:trPr>
        <w:tc>
          <w:tcPr>
            <w:tcW w:w="1622" w:type="dxa"/>
            <w:vMerge/>
            <w:tcBorders>
              <w:left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3"/>
              <w:jc w:val="right"/>
              <w:rPr>
                <w:rFonts w:ascii="宋体" w:hAnsi="宋体" w:cs="宋体" w:eastAsia="宋体" w:hint="default"/>
                <w:sz w:val="18"/>
                <w:szCs w:val="18"/>
              </w:rPr>
            </w:pPr>
            <w:r>
              <w:rPr>
                <w:rFonts w:ascii="宋体" w:hAnsi="宋体" w:cs="宋体" w:eastAsia="宋体" w:hint="default"/>
                <w:sz w:val="18"/>
                <w:szCs w:val="18"/>
              </w:rPr>
              <w:t>生产量</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0"/>
              <w:jc w:val="right"/>
              <w:rPr>
                <w:rFonts w:ascii="宋体" w:hAnsi="宋体" w:cs="宋体" w:eastAsia="宋体" w:hint="default"/>
                <w:sz w:val="18"/>
                <w:szCs w:val="18"/>
              </w:rPr>
            </w:pPr>
            <w:r>
              <w:rPr>
                <w:rFonts w:ascii="宋体" w:hAnsi="宋体" w:cs="宋体" w:eastAsia="宋体" w:hint="default"/>
                <w:sz w:val="18"/>
                <w:szCs w:val="18"/>
              </w:rPr>
              <w:t>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194,621,939.77</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198,104,251.89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7"/>
              <w:jc w:val="right"/>
              <w:rPr>
                <w:rFonts w:ascii="宋体" w:hAnsi="宋体" w:cs="宋体" w:eastAsia="宋体" w:hint="default"/>
                <w:sz w:val="18"/>
                <w:szCs w:val="18"/>
              </w:rPr>
            </w:pPr>
            <w:r>
              <w:rPr>
                <w:rFonts w:ascii="宋体"/>
                <w:spacing w:val="-1"/>
                <w:sz w:val="18"/>
              </w:rPr>
              <w:t>-1.76%</w:t>
            </w:r>
          </w:p>
        </w:tc>
      </w:tr>
      <w:tr>
        <w:trPr>
          <w:trHeight w:val="403" w:hRule="exact"/>
        </w:trPr>
        <w:tc>
          <w:tcPr>
            <w:tcW w:w="1622" w:type="dxa"/>
            <w:vMerge/>
            <w:tcBorders>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3"/>
              <w:jc w:val="right"/>
              <w:rPr>
                <w:rFonts w:ascii="宋体" w:hAnsi="宋体" w:cs="宋体" w:eastAsia="宋体" w:hint="default"/>
                <w:sz w:val="18"/>
                <w:szCs w:val="18"/>
              </w:rPr>
            </w:pPr>
            <w:r>
              <w:rPr>
                <w:rFonts w:ascii="宋体" w:hAnsi="宋体" w:cs="宋体" w:eastAsia="宋体" w:hint="default"/>
                <w:sz w:val="18"/>
                <w:szCs w:val="18"/>
              </w:rPr>
              <w:t>库存量</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10"/>
              <w:jc w:val="right"/>
              <w:rPr>
                <w:rFonts w:ascii="宋体" w:hAnsi="宋体" w:cs="宋体" w:eastAsia="宋体" w:hint="default"/>
                <w:sz w:val="18"/>
                <w:szCs w:val="18"/>
              </w:rPr>
            </w:pPr>
            <w:r>
              <w:rPr>
                <w:rFonts w:ascii="宋体" w:hAnsi="宋体" w:cs="宋体" w:eastAsia="宋体" w:hint="default"/>
                <w:sz w:val="18"/>
                <w:szCs w:val="18"/>
              </w:rPr>
              <w:t>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73"/>
              <w:jc w:val="right"/>
              <w:rPr>
                <w:rFonts w:ascii="宋体" w:hAnsi="宋体" w:cs="宋体" w:eastAsia="宋体" w:hint="default"/>
                <w:sz w:val="18"/>
                <w:szCs w:val="18"/>
              </w:rPr>
            </w:pPr>
            <w:r>
              <w:rPr>
                <w:rFonts w:ascii="宋体"/>
                <w:sz w:val="18"/>
              </w:rPr>
              <w:t>0.00%</w:t>
            </w:r>
          </w:p>
        </w:tc>
      </w:tr>
    </w:tbl>
    <w:p>
      <w:pPr>
        <w:pStyle w:val="BodyText"/>
        <w:spacing w:line="240" w:lineRule="auto" w:before="49"/>
        <w:ind w:right="94"/>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415" w:lineRule="auto" w:before="101"/>
        <w:ind w:left="515" w:right="181" w:hanging="36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宋体" w:hAnsi="宋体" w:cs="宋体" w:eastAsia="宋体" w:hint="default"/>
        </w:rPr>
        <w:t>1</w:t>
      </w:r>
      <w:r>
        <w:rPr/>
        <w:t>、报告期内，公司全线安全产品在金融、政府行业优势明显，为人民银行及各大商业银行、金融机构、政府等客户提</w:t>
      </w:r>
    </w:p>
    <w:p>
      <w:pPr>
        <w:pStyle w:val="BodyText"/>
        <w:spacing w:line="477" w:lineRule="auto" w:before="101"/>
        <w:ind w:right="94"/>
        <w:jc w:val="left"/>
      </w:pPr>
      <w:r>
        <w:rPr>
          <w:spacing w:val="-4"/>
        </w:rPr>
        <w:t>供提供全方位信息安全整体解决方案，并获得客户良好反馈，完成了多项标杆性案例，也为广泛的市场前景打下了坚实基础，</w:t>
      </w:r>
      <w:r>
        <w:rPr>
          <w:spacing w:val="-43"/>
        </w:rPr>
        <w:t> </w:t>
      </w:r>
      <w:r>
        <w:rPr>
          <w:spacing w:val="-43"/>
        </w:rPr>
      </w:r>
      <w:r>
        <w:rPr/>
        <w:t>从而实现销售收入的增长。</w:t>
      </w:r>
    </w:p>
    <w:p>
      <w:pPr>
        <w:pStyle w:val="BodyText"/>
        <w:spacing w:line="477" w:lineRule="auto" w:before="54"/>
        <w:ind w:right="199" w:firstLine="360"/>
        <w:jc w:val="both"/>
      </w:pPr>
      <w:r>
        <w:rPr>
          <w:rFonts w:ascii="宋体" w:hAnsi="宋体" w:cs="宋体" w:eastAsia="宋体" w:hint="default"/>
        </w:rPr>
        <w:t>2</w:t>
      </w:r>
      <w:r>
        <w:rPr/>
        <w:t>、报告期内，能源行业销售量和生产量同比降低</w:t>
      </w:r>
      <w:r>
        <w:rPr>
          <w:rFonts w:ascii="宋体" w:hAnsi="宋体" w:cs="宋体" w:eastAsia="宋体" w:hint="default"/>
        </w:rPr>
        <w:t>45.61%</w:t>
      </w:r>
      <w:r>
        <w:rPr/>
        <w:t>，主要系公司近年通过终端安全产品在能源行业占领了较大的 市场空间，产品正处于升级换代过程中，另外随着公司大数据发展战略逐步落地，数据安全产品将厚积薄发。</w:t>
      </w:r>
    </w:p>
    <w:p>
      <w:pPr>
        <w:pStyle w:val="BodyText"/>
        <w:spacing w:line="240" w:lineRule="auto" w:before="54"/>
        <w:ind w:right="94"/>
        <w:jc w:val="left"/>
      </w:pPr>
      <w:r>
        <w:rPr/>
        <w:t>（</w:t>
      </w:r>
      <w:r>
        <w:rPr>
          <w:rFonts w:ascii="Times New Roman" w:hAnsi="Times New Roman" w:cs="Times New Roman" w:eastAsia="Times New Roman" w:hint="default"/>
        </w:rPr>
        <w:t>4</w:t>
      </w:r>
      <w:r>
        <w:rPr/>
        <w:t>）公司已签订的重大销售合同截至本报告期的履行情况</w:t>
      </w:r>
    </w:p>
    <w:p>
      <w:pPr>
        <w:spacing w:line="240" w:lineRule="auto" w:before="10"/>
        <w:rPr>
          <w:rFonts w:ascii="宋体" w:hAnsi="宋体" w:cs="宋体" w:eastAsia="宋体" w:hint="default"/>
          <w:sz w:val="13"/>
          <w:szCs w:val="13"/>
        </w:rPr>
      </w:pPr>
    </w:p>
    <w:p>
      <w:pPr>
        <w:pStyle w:val="BodyText"/>
        <w:spacing w:line="338" w:lineRule="auto"/>
        <w:ind w:right="83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否</w:t>
      </w:r>
    </w:p>
    <w:p>
      <w:pPr>
        <w:pStyle w:val="BodyText"/>
        <w:spacing w:line="477" w:lineRule="auto" w:before="122"/>
        <w:ind w:right="191" w:firstLine="346"/>
        <w:jc w:val="both"/>
      </w:pPr>
      <w:r>
        <w:rPr/>
        <w:t>公司与某计算机技术研究所签订了《内网安全管理系统合作协议》，协议规定：“卖方出售</w:t>
      </w:r>
      <w:r>
        <w:rPr>
          <w:rFonts w:ascii="宋体" w:hAnsi="宋体" w:cs="宋体" w:eastAsia="宋体" w:hint="default"/>
        </w:rPr>
        <w:t>1000</w:t>
      </w:r>
      <w:r>
        <w:rPr/>
        <w:t>台的北信源</w:t>
      </w:r>
      <w:r>
        <w:rPr>
          <w:rFonts w:ascii="宋体" w:hAnsi="宋体" w:cs="宋体" w:eastAsia="宋体" w:hint="default"/>
        </w:rPr>
        <w:t>VRV</w:t>
      </w:r>
      <w:r>
        <w:rPr/>
        <w:t>内网安 </w:t>
      </w:r>
      <w:r>
        <w:rPr>
          <w:spacing w:val="-2"/>
        </w:rPr>
        <w:t>全管理及补丁分发系统</w:t>
      </w:r>
      <w:r>
        <w:rPr>
          <w:rFonts w:ascii="宋体" w:hAnsi="宋体" w:cs="宋体" w:eastAsia="宋体" w:hint="default"/>
          <w:spacing w:val="-2"/>
        </w:rPr>
        <w:t>V6.6</w:t>
      </w:r>
      <w:r>
        <w:rPr>
          <w:spacing w:val="-2"/>
        </w:rPr>
        <w:t>给买方，单价是</w:t>
      </w:r>
      <w:r>
        <w:rPr>
          <w:rFonts w:ascii="宋体" w:hAnsi="宋体" w:cs="宋体" w:eastAsia="宋体" w:hint="default"/>
          <w:spacing w:val="-2"/>
        </w:rPr>
        <w:t>5.8</w:t>
      </w:r>
      <w:r>
        <w:rPr>
          <w:spacing w:val="-2"/>
        </w:rPr>
        <w:t>万</w:t>
      </w:r>
      <w:r>
        <w:rPr>
          <w:rFonts w:ascii="宋体" w:hAnsi="宋体" w:cs="宋体" w:eastAsia="宋体" w:hint="default"/>
          <w:spacing w:val="-2"/>
        </w:rPr>
        <w:t>/</w:t>
      </w:r>
      <w:r>
        <w:rPr>
          <w:spacing w:val="-2"/>
        </w:rPr>
        <w:t>台，实际数量通过具体的合同“一单一定”。合同自生效之日起在合同或</w:t>
      </w:r>
      <w:r>
        <w:rPr>
          <w:spacing w:val="-62"/>
        </w:rPr>
        <w:t> </w:t>
      </w:r>
      <w:r>
        <w:rPr>
          <w:spacing w:val="-62"/>
        </w:rPr>
      </w:r>
      <w:r>
        <w:rPr/>
        <w:t>订单购买总数量达到本协议约定的数量之后，本协议自动终止。”</w:t>
      </w:r>
    </w:p>
    <w:p>
      <w:pPr>
        <w:pStyle w:val="BodyText"/>
        <w:spacing w:line="477" w:lineRule="auto" w:before="54"/>
        <w:ind w:right="199" w:firstLine="362"/>
        <w:jc w:val="both"/>
      </w:pPr>
      <w:r>
        <w:rPr/>
        <w:t>本报告期内确认收入</w:t>
      </w:r>
      <w:r>
        <w:rPr>
          <w:rFonts w:ascii="宋体" w:hAnsi="宋体" w:cs="宋体" w:eastAsia="宋体" w:hint="default"/>
        </w:rPr>
        <w:t>0</w:t>
      </w:r>
      <w:r>
        <w:rPr/>
        <w:t>万元，总计收入</w:t>
      </w:r>
      <w:r>
        <w:rPr>
          <w:rFonts w:ascii="宋体" w:hAnsi="宋体" w:cs="宋体" w:eastAsia="宋体" w:hint="default"/>
        </w:rPr>
        <w:t>2814.4</w:t>
      </w:r>
      <w:r>
        <w:rPr/>
        <w:t>万元。受国家和行业政策的影响，用户应用环境产生改变，报告期内暂停 采购，</w:t>
      </w:r>
      <w:r>
        <w:rPr>
          <w:rFonts w:ascii="宋体" w:hAnsi="宋体" w:cs="宋体" w:eastAsia="宋体" w:hint="default"/>
        </w:rPr>
        <w:t>2018</w:t>
      </w:r>
      <w:r>
        <w:rPr/>
        <w:t>年该合同将继续履行，本协议的履行对公司业务的独立性无重大影响。</w:t>
      </w:r>
    </w:p>
    <w:p>
      <w:pPr>
        <w:spacing w:line="240" w:lineRule="auto" w:before="4"/>
        <w:rPr>
          <w:rFonts w:ascii="宋体" w:hAnsi="宋体" w:cs="宋体" w:eastAsia="宋体" w:hint="default"/>
          <w:sz w:val="14"/>
          <w:szCs w:val="14"/>
        </w:rPr>
      </w:pPr>
    </w:p>
    <w:p>
      <w:pPr>
        <w:pStyle w:val="Heading3"/>
        <w:spacing w:line="240" w:lineRule="auto"/>
        <w:ind w:right="94"/>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94"/>
        <w:jc w:val="left"/>
      </w:pPr>
      <w:r>
        <w:rPr/>
        <w:t>行业和产品分类</w:t>
      </w:r>
    </w:p>
    <w:p>
      <w:pPr>
        <w:pStyle w:val="BodyText"/>
        <w:spacing w:line="240" w:lineRule="auto" w:before="117"/>
        <w:ind w:left="0" w:right="191"/>
        <w:jc w:val="right"/>
      </w:pPr>
      <w:r>
        <w:rPr/>
        <w:t>单位：元</w:t>
      </w:r>
    </w:p>
    <w:p>
      <w:pPr>
        <w:spacing w:line="240" w:lineRule="auto" w:before="3"/>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386"/>
        <w:gridCol w:w="1385"/>
        <w:gridCol w:w="2772"/>
        <w:gridCol w:w="2768"/>
        <w:gridCol w:w="1385"/>
      </w:tblGrid>
      <w:tr>
        <w:trPr>
          <w:trHeight w:val="402" w:hRule="exact"/>
        </w:trPr>
        <w:tc>
          <w:tcPr>
            <w:tcW w:w="1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6"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pgSz w:w="11910" w:h="16840"/>
          <w:pgMar w:header="745" w:footer="1133" w:top="1060" w:bottom="1320" w:left="980" w:right="940"/>
        </w:sectPr>
      </w:pPr>
    </w:p>
    <w:p>
      <w:pPr>
        <w:spacing w:line="240" w:lineRule="auto" w:before="6"/>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1388"/>
        <w:gridCol w:w="1385"/>
        <w:gridCol w:w="1385"/>
        <w:gridCol w:w="1388"/>
        <w:gridCol w:w="1382"/>
        <w:gridCol w:w="1385"/>
        <w:gridCol w:w="1385"/>
      </w:tblGrid>
      <w:tr>
        <w:trPr>
          <w:trHeight w:val="401"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金融</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6"/>
              <w:jc w:val="right"/>
              <w:rPr>
                <w:rFonts w:ascii="宋体" w:hAnsi="宋体" w:cs="宋体" w:eastAsia="宋体" w:hint="default"/>
                <w:sz w:val="18"/>
                <w:szCs w:val="18"/>
              </w:rPr>
            </w:pPr>
            <w:r>
              <w:rPr>
                <w:rFonts w:ascii="宋体" w:hAnsi="宋体" w:cs="宋体" w:eastAsia="宋体" w:hint="default"/>
                <w:sz w:val="18"/>
                <w:szCs w:val="18"/>
              </w:rPr>
              <w:t>成本</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31,166,770.80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19.14%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1,922,265.44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1.05%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1,521.36%</w:t>
            </w:r>
          </w:p>
        </w:tc>
      </w:tr>
      <w:tr>
        <w:trPr>
          <w:trHeight w:val="401"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军工</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06"/>
              <w:jc w:val="right"/>
              <w:rPr>
                <w:rFonts w:ascii="宋体" w:hAnsi="宋体" w:cs="宋体" w:eastAsia="宋体" w:hint="default"/>
                <w:sz w:val="18"/>
                <w:szCs w:val="18"/>
              </w:rPr>
            </w:pPr>
            <w:r>
              <w:rPr>
                <w:rFonts w:ascii="宋体" w:hAnsi="宋体" w:cs="宋体" w:eastAsia="宋体" w:hint="default"/>
                <w:sz w:val="18"/>
                <w:szCs w:val="18"/>
              </w:rPr>
              <w:t>成本</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10,861,408.30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6.67%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10,637,601.44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5.83%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2.10%</w:t>
            </w:r>
          </w:p>
        </w:tc>
      </w:tr>
      <w:tr>
        <w:trPr>
          <w:trHeight w:val="40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能源</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6"/>
              <w:jc w:val="right"/>
              <w:rPr>
                <w:rFonts w:ascii="宋体" w:hAnsi="宋体" w:cs="宋体" w:eastAsia="宋体" w:hint="default"/>
                <w:sz w:val="18"/>
                <w:szCs w:val="18"/>
              </w:rPr>
            </w:pPr>
            <w:r>
              <w:rPr>
                <w:rFonts w:ascii="宋体" w:hAnsi="宋体" w:cs="宋体" w:eastAsia="宋体" w:hint="default"/>
                <w:sz w:val="18"/>
                <w:szCs w:val="18"/>
              </w:rPr>
              <w:t>成本</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2,929,597.80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1.80%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4,065,062.26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2.23%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-27.93%</w:t>
            </w:r>
          </w:p>
        </w:tc>
      </w:tr>
      <w:tr>
        <w:trPr>
          <w:trHeight w:val="401"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政府</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06"/>
              <w:jc w:val="right"/>
              <w:rPr>
                <w:rFonts w:ascii="宋体" w:hAnsi="宋体" w:cs="宋体" w:eastAsia="宋体" w:hint="default"/>
                <w:sz w:val="18"/>
                <w:szCs w:val="18"/>
              </w:rPr>
            </w:pPr>
            <w:r>
              <w:rPr>
                <w:rFonts w:ascii="宋体" w:hAnsi="宋体" w:cs="宋体" w:eastAsia="宋体" w:hint="default"/>
                <w:sz w:val="18"/>
                <w:szCs w:val="18"/>
              </w:rPr>
              <w:t>成本</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31,112,512.79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19.10%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29,421,718.29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16.11%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5.75%</w:t>
            </w:r>
          </w:p>
        </w:tc>
      </w:tr>
      <w:tr>
        <w:trPr>
          <w:trHeight w:val="40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6"/>
              <w:jc w:val="right"/>
              <w:rPr>
                <w:rFonts w:ascii="宋体" w:hAnsi="宋体" w:cs="宋体" w:eastAsia="宋体" w:hint="default"/>
                <w:sz w:val="18"/>
                <w:szCs w:val="18"/>
              </w:rPr>
            </w:pPr>
            <w:r>
              <w:rPr>
                <w:rFonts w:ascii="宋体" w:hAnsi="宋体" w:cs="宋体" w:eastAsia="宋体" w:hint="default"/>
                <w:sz w:val="18"/>
                <w:szCs w:val="18"/>
              </w:rPr>
              <w:t>成本</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86,785,362.17</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53.29%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136,542,884.17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74.78%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-36.44%</w:t>
            </w:r>
          </w:p>
        </w:tc>
      </w:tr>
    </w:tbl>
    <w:p>
      <w:pPr>
        <w:spacing w:line="240" w:lineRule="auto" w:before="2"/>
        <w:rPr>
          <w:rFonts w:ascii="宋体" w:hAnsi="宋体" w:cs="宋体" w:eastAsia="宋体" w:hint="default"/>
          <w:sz w:val="27"/>
          <w:szCs w:val="27"/>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388"/>
        <w:gridCol w:w="1385"/>
        <w:gridCol w:w="1385"/>
        <w:gridCol w:w="1388"/>
        <w:gridCol w:w="1382"/>
        <w:gridCol w:w="1385"/>
        <w:gridCol w:w="1385"/>
      </w:tblGrid>
      <w:tr>
        <w:trPr>
          <w:trHeight w:val="404" w:hRule="exact"/>
        </w:trPr>
        <w:tc>
          <w:tcPr>
            <w:tcW w:w="1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88"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tc>
        <w:tc>
          <w:tcPr>
            <w:tcW w:w="138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软件产品</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06"/>
              <w:jc w:val="right"/>
              <w:rPr>
                <w:rFonts w:ascii="宋体" w:hAnsi="宋体" w:cs="宋体" w:eastAsia="宋体" w:hint="default"/>
                <w:sz w:val="18"/>
                <w:szCs w:val="18"/>
              </w:rPr>
            </w:pPr>
            <w:r>
              <w:rPr>
                <w:rFonts w:ascii="宋体" w:hAnsi="宋体" w:cs="宋体" w:eastAsia="宋体" w:hint="default"/>
                <w:sz w:val="18"/>
                <w:szCs w:val="18"/>
              </w:rPr>
              <w:t>成本</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11,319,732.95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6.95%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11,322,548.50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6.20%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22"/>
              <w:jc w:val="right"/>
              <w:rPr>
                <w:rFonts w:ascii="Times New Roman" w:hAnsi="Times New Roman" w:cs="Times New Roman" w:eastAsia="Times New Roman" w:hint="default"/>
                <w:sz w:val="18"/>
                <w:szCs w:val="18"/>
              </w:rPr>
            </w:pPr>
            <w:r>
              <w:rPr>
                <w:rFonts w:ascii="Times New Roman"/>
                <w:sz w:val="18"/>
              </w:rPr>
              <w:t>-0.02%</w:t>
            </w:r>
          </w:p>
        </w:tc>
      </w:tr>
      <w:tr>
        <w:trPr>
          <w:trHeight w:val="401"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技术服务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06"/>
              <w:jc w:val="right"/>
              <w:rPr>
                <w:rFonts w:ascii="宋体" w:hAnsi="宋体" w:cs="宋体" w:eastAsia="宋体" w:hint="default"/>
                <w:sz w:val="18"/>
                <w:szCs w:val="18"/>
              </w:rPr>
            </w:pPr>
            <w:r>
              <w:rPr>
                <w:rFonts w:ascii="宋体" w:hAnsi="宋体" w:cs="宋体" w:eastAsia="宋体" w:hint="default"/>
                <w:sz w:val="18"/>
                <w:szCs w:val="18"/>
              </w:rPr>
              <w:t>成本</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7,351,743.61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6,055,532.71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3.32%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05"/>
              <w:jc w:val="right"/>
              <w:rPr>
                <w:rFonts w:ascii="Times New Roman" w:hAnsi="Times New Roman" w:cs="Times New Roman" w:eastAsia="Times New Roman" w:hint="default"/>
                <w:sz w:val="18"/>
                <w:szCs w:val="18"/>
              </w:rPr>
            </w:pPr>
            <w:r>
              <w:rPr>
                <w:rFonts w:ascii="Times New Roman"/>
                <w:sz w:val="18"/>
              </w:rPr>
              <w:t>21.41%</w:t>
            </w:r>
          </w:p>
        </w:tc>
      </w:tr>
      <w:tr>
        <w:trPr>
          <w:trHeight w:val="40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系统集成</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06"/>
              <w:jc w:val="right"/>
              <w:rPr>
                <w:rFonts w:ascii="宋体" w:hAnsi="宋体" w:cs="宋体" w:eastAsia="宋体" w:hint="default"/>
                <w:sz w:val="18"/>
                <w:szCs w:val="18"/>
              </w:rPr>
            </w:pPr>
            <w:r>
              <w:rPr>
                <w:rFonts w:ascii="宋体" w:hAnsi="宋体" w:cs="宋体" w:eastAsia="宋体" w:hint="default"/>
                <w:sz w:val="18"/>
                <w:szCs w:val="18"/>
              </w:rPr>
              <w:t>成本</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94,534,338.58</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58.05%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159,599,629.15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87.41%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76"/>
              <w:jc w:val="right"/>
              <w:rPr>
                <w:rFonts w:ascii="Times New Roman" w:hAnsi="Times New Roman" w:cs="Times New Roman" w:eastAsia="Times New Roman" w:hint="default"/>
                <w:sz w:val="18"/>
                <w:szCs w:val="18"/>
              </w:rPr>
            </w:pPr>
            <w:r>
              <w:rPr>
                <w:rFonts w:ascii="Times New Roman"/>
                <w:sz w:val="18"/>
              </w:rPr>
              <w:t>-40.77%</w:t>
            </w:r>
          </w:p>
        </w:tc>
      </w:tr>
      <w:tr>
        <w:trPr>
          <w:trHeight w:val="401"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06"/>
              <w:jc w:val="right"/>
              <w:rPr>
                <w:rFonts w:ascii="宋体" w:hAnsi="宋体" w:cs="宋体" w:eastAsia="宋体" w:hint="default"/>
                <w:sz w:val="18"/>
                <w:szCs w:val="18"/>
              </w:rPr>
            </w:pPr>
            <w:r>
              <w:rPr>
                <w:rFonts w:ascii="宋体" w:hAnsi="宋体" w:cs="宋体" w:eastAsia="宋体" w:hint="default"/>
                <w:sz w:val="18"/>
                <w:szCs w:val="18"/>
              </w:rPr>
              <w:t>成本</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49,649,836.72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30.49%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5,611,821.24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62"/>
              <w:jc w:val="right"/>
              <w:rPr>
                <w:rFonts w:ascii="Times New Roman" w:hAnsi="Times New Roman" w:cs="Times New Roman" w:eastAsia="Times New Roman" w:hint="default"/>
                <w:sz w:val="18"/>
                <w:szCs w:val="18"/>
              </w:rPr>
            </w:pPr>
            <w:r>
              <w:rPr>
                <w:rFonts w:ascii="Times New Roman"/>
                <w:spacing w:val="-1"/>
                <w:sz w:val="18"/>
              </w:rPr>
              <w:t>784.74%</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13"/>
        <w:rPr>
          <w:rFonts w:ascii="宋体" w:hAnsi="宋体" w:cs="宋体" w:eastAsia="宋体" w:hint="default"/>
          <w:sz w:val="13"/>
          <w:szCs w:val="13"/>
        </w:rPr>
      </w:pPr>
    </w:p>
    <w:p>
      <w:pPr>
        <w:pStyle w:val="BodyText"/>
        <w:spacing w:line="477" w:lineRule="auto"/>
        <w:ind w:right="215" w:firstLine="379"/>
        <w:jc w:val="left"/>
      </w:pPr>
      <w:r>
        <w:rPr/>
        <w:t>报告期内，公司新增子公司人工智能产业技术创新联盟（北京）科技有限公司、北京北信源信息安全技术有限公司、 北信源国际有限公司纳入合并范围。</w:t>
      </w:r>
    </w:p>
    <w:p>
      <w:pPr>
        <w:spacing w:line="240" w:lineRule="auto" w:before="4"/>
        <w:rPr>
          <w:rFonts w:ascii="宋体" w:hAnsi="宋体" w:cs="宋体" w:eastAsia="宋体" w:hint="default"/>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4315"/>
        <w:gridCol w:w="5382"/>
      </w:tblGrid>
      <w:tr>
        <w:trPr>
          <w:trHeight w:val="403" w:hRule="exact"/>
        </w:trPr>
        <w:tc>
          <w:tcPr>
            <w:tcW w:w="4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127,207,456.30</w:t>
            </w:r>
          </w:p>
        </w:tc>
      </w:tr>
      <w:tr>
        <w:trPr>
          <w:trHeight w:val="401" w:hRule="exact"/>
        </w:trPr>
        <w:tc>
          <w:tcPr>
            <w:tcW w:w="4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24.71%</w:t>
            </w:r>
          </w:p>
        </w:tc>
      </w:tr>
      <w:tr>
        <w:trPr>
          <w:trHeight w:val="715" w:hRule="exact"/>
        </w:trPr>
        <w:tc>
          <w:tcPr>
            <w:tcW w:w="4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814"/>
        <w:gridCol w:w="3346"/>
        <w:gridCol w:w="2352"/>
        <w:gridCol w:w="3185"/>
      </w:tblGrid>
      <w:tr>
        <w:trPr>
          <w:trHeight w:val="403" w:hRule="exact"/>
        </w:trPr>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sz w:val="18"/>
              </w:rPr>
              <w:t>1</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5" w:right="0"/>
              <w:jc w:val="left"/>
              <w:rPr>
                <w:rFonts w:ascii="宋体" w:hAnsi="宋体" w:cs="宋体" w:eastAsia="宋体" w:hint="default"/>
                <w:sz w:val="18"/>
                <w:szCs w:val="18"/>
              </w:rPr>
            </w:pPr>
            <w:r>
              <w:rPr>
                <w:rFonts w:ascii="宋体"/>
                <w:sz w:val="18"/>
              </w:rPr>
              <w:t>32,100,598.29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6.23%</w:t>
            </w:r>
          </w:p>
        </w:tc>
      </w:tr>
      <w:tr>
        <w:trPr>
          <w:trHeight w:val="404" w:hRule="exact"/>
        </w:trPr>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sz w:val="18"/>
              </w:rPr>
              <w:t>2</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5" w:right="0"/>
              <w:jc w:val="left"/>
              <w:rPr>
                <w:rFonts w:ascii="宋体" w:hAnsi="宋体" w:cs="宋体" w:eastAsia="宋体" w:hint="default"/>
                <w:sz w:val="18"/>
                <w:szCs w:val="18"/>
              </w:rPr>
            </w:pPr>
            <w:r>
              <w:rPr>
                <w:rFonts w:ascii="宋体"/>
                <w:sz w:val="18"/>
              </w:rPr>
              <w:t>29,744,000.00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5.78%</w:t>
            </w:r>
          </w:p>
        </w:tc>
      </w:tr>
      <w:tr>
        <w:trPr>
          <w:trHeight w:val="401" w:hRule="exact"/>
        </w:trPr>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sz w:val="18"/>
              </w:rPr>
              <w:t>3</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5" w:right="0"/>
              <w:jc w:val="left"/>
              <w:rPr>
                <w:rFonts w:ascii="宋体" w:hAnsi="宋体" w:cs="宋体" w:eastAsia="宋体" w:hint="default"/>
                <w:sz w:val="18"/>
                <w:szCs w:val="18"/>
              </w:rPr>
            </w:pPr>
            <w:r>
              <w:rPr>
                <w:rFonts w:ascii="宋体"/>
                <w:sz w:val="18"/>
              </w:rPr>
              <w:t>27,850,427.35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5.41%</w:t>
            </w:r>
          </w:p>
        </w:tc>
      </w:tr>
    </w:tbl>
    <w:p>
      <w:pPr>
        <w:spacing w:after="0" w:line="240" w:lineRule="auto"/>
        <w:jc w:val="center"/>
        <w:rPr>
          <w:rFonts w:ascii="宋体" w:hAnsi="宋体" w:cs="宋体" w:eastAsia="宋体" w:hint="default"/>
          <w:sz w:val="18"/>
          <w:szCs w:val="18"/>
        </w:rPr>
        <w:sectPr>
          <w:pgSz w:w="11910" w:h="16840"/>
          <w:pgMar w:header="745" w:footer="1133" w:top="1060" w:bottom="1320" w:left="980" w:right="980"/>
        </w:sectPr>
      </w:pPr>
    </w:p>
    <w:p>
      <w:pPr>
        <w:spacing w:line="240" w:lineRule="auto" w:before="6"/>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814"/>
        <w:gridCol w:w="3346"/>
        <w:gridCol w:w="2352"/>
        <w:gridCol w:w="3185"/>
      </w:tblGrid>
      <w:tr>
        <w:trPr>
          <w:trHeight w:val="401" w:hRule="exact"/>
        </w:trPr>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sz w:val="18"/>
              </w:rPr>
              <w:t>4</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23,023,222.08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61" w:right="0"/>
              <w:jc w:val="left"/>
              <w:rPr>
                <w:rFonts w:ascii="宋体" w:hAnsi="宋体" w:cs="宋体" w:eastAsia="宋体" w:hint="default"/>
                <w:sz w:val="18"/>
                <w:szCs w:val="18"/>
              </w:rPr>
            </w:pPr>
            <w:r>
              <w:rPr>
                <w:rFonts w:ascii="宋体"/>
                <w:sz w:val="18"/>
              </w:rPr>
              <w:t>4.47%</w:t>
            </w:r>
          </w:p>
        </w:tc>
      </w:tr>
      <w:tr>
        <w:trPr>
          <w:trHeight w:val="403" w:hRule="exact"/>
        </w:trPr>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5</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14,489,208.58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1" w:right="0"/>
              <w:jc w:val="left"/>
              <w:rPr>
                <w:rFonts w:ascii="宋体" w:hAnsi="宋体" w:cs="宋体" w:eastAsia="宋体" w:hint="default"/>
                <w:sz w:val="18"/>
                <w:szCs w:val="18"/>
              </w:rPr>
            </w:pPr>
            <w:r>
              <w:rPr>
                <w:rFonts w:ascii="宋体"/>
                <w:sz w:val="18"/>
              </w:rPr>
              <w:t>2.81%</w:t>
            </w:r>
          </w:p>
        </w:tc>
      </w:tr>
      <w:tr>
        <w:trPr>
          <w:trHeight w:val="403" w:hRule="exact"/>
        </w:trPr>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127,207,456.30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18" w:right="0"/>
              <w:jc w:val="left"/>
              <w:rPr>
                <w:rFonts w:ascii="宋体" w:hAnsi="宋体" w:cs="宋体" w:eastAsia="宋体" w:hint="default"/>
                <w:sz w:val="18"/>
                <w:szCs w:val="18"/>
              </w:rPr>
            </w:pPr>
            <w:r>
              <w:rPr>
                <w:rFonts w:ascii="宋体"/>
                <w:sz w:val="18"/>
              </w:rPr>
              <w:t>24.71%</w:t>
            </w:r>
          </w:p>
        </w:tc>
      </w:tr>
    </w:tbl>
    <w:p>
      <w:pPr>
        <w:pStyle w:val="BodyText"/>
        <w:spacing w:line="240" w:lineRule="auto" w:before="49"/>
        <w:ind w:right="0"/>
        <w:jc w:val="left"/>
      </w:pPr>
      <w:r>
        <w:rPr/>
        <w:t>主要客户其他情况说明</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13"/>
          <w:szCs w:val="13"/>
        </w:rPr>
      </w:pPr>
    </w:p>
    <w:p>
      <w:pPr>
        <w:pStyle w:val="BodyText"/>
        <w:spacing w:line="451" w:lineRule="auto"/>
        <w:ind w:right="0" w:firstLine="432"/>
        <w:jc w:val="left"/>
      </w:pPr>
      <w:r>
        <w:rPr>
          <w:spacing w:val="-1"/>
        </w:rPr>
        <w:t>公司前五名客户与本公司不存在关联关系，公司董事、监事、高级管理人员、核心技术人员、持股</w:t>
      </w:r>
      <w:r>
        <w:rPr>
          <w:rFonts w:ascii="Times New Roman" w:hAnsi="Times New Roman" w:cs="Times New Roman" w:eastAsia="Times New Roman" w:hint="default"/>
          <w:spacing w:val="-1"/>
        </w:rPr>
        <w:t>5%</w:t>
      </w:r>
      <w:r>
        <w:rPr>
          <w:spacing w:val="-1"/>
        </w:rPr>
        <w:t>以上股东、实际</w:t>
      </w:r>
      <w:r>
        <w:rPr/>
        <w:t> 控制人和其他关联方在前</w:t>
      </w:r>
      <w:r>
        <w:rPr>
          <w:rFonts w:ascii="Times New Roman" w:hAnsi="Times New Roman" w:cs="Times New Roman" w:eastAsia="Times New Roman" w:hint="default"/>
        </w:rPr>
        <w:t>5</w:t>
      </w:r>
      <w:r>
        <w:rPr/>
        <w:t>大客户中未直接或间接拥有权益。</w:t>
      </w:r>
    </w:p>
    <w:p>
      <w:pPr>
        <w:pStyle w:val="BodyText"/>
        <w:spacing w:line="240" w:lineRule="auto" w:before="5"/>
        <w:ind w:right="0"/>
        <w:jc w:val="left"/>
      </w:pPr>
      <w:r>
        <w:rPr/>
        <w:t>公司主要供应商情况</w:t>
      </w:r>
    </w:p>
    <w:p>
      <w:pPr>
        <w:spacing w:line="240" w:lineRule="auto" w:before="2"/>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4315"/>
        <w:gridCol w:w="5382"/>
      </w:tblGrid>
      <w:tr>
        <w:trPr>
          <w:trHeight w:val="403" w:hRule="exact"/>
        </w:trPr>
        <w:tc>
          <w:tcPr>
            <w:tcW w:w="4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95,355,854.87</w:t>
            </w:r>
          </w:p>
        </w:tc>
      </w:tr>
      <w:tr>
        <w:trPr>
          <w:trHeight w:val="402" w:hRule="exact"/>
        </w:trPr>
        <w:tc>
          <w:tcPr>
            <w:tcW w:w="4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54.83%</w:t>
            </w:r>
          </w:p>
        </w:tc>
      </w:tr>
      <w:tr>
        <w:trPr>
          <w:trHeight w:val="715" w:hRule="exact"/>
        </w:trPr>
        <w:tc>
          <w:tcPr>
            <w:tcW w:w="4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948"/>
        <w:gridCol w:w="3212"/>
        <w:gridCol w:w="2352"/>
        <w:gridCol w:w="3185"/>
      </w:tblGrid>
      <w:tr>
        <w:trPr>
          <w:trHeight w:val="401" w:hRule="exact"/>
        </w:trPr>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1</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5" w:right="0"/>
              <w:jc w:val="left"/>
              <w:rPr>
                <w:rFonts w:ascii="宋体" w:hAnsi="宋体" w:cs="宋体" w:eastAsia="宋体" w:hint="default"/>
                <w:sz w:val="18"/>
                <w:szCs w:val="18"/>
              </w:rPr>
            </w:pPr>
            <w:r>
              <w:rPr>
                <w:rFonts w:ascii="宋体"/>
                <w:sz w:val="18"/>
              </w:rPr>
              <w:t>31,288,376.02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17.99%</w:t>
            </w:r>
          </w:p>
        </w:tc>
      </w:tr>
      <w:tr>
        <w:trPr>
          <w:trHeight w:val="401" w:hRule="exact"/>
        </w:trPr>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sz w:val="18"/>
              </w:rPr>
              <w:t>2</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5" w:right="0"/>
              <w:jc w:val="left"/>
              <w:rPr>
                <w:rFonts w:ascii="宋体" w:hAnsi="宋体" w:cs="宋体" w:eastAsia="宋体" w:hint="default"/>
                <w:sz w:val="18"/>
                <w:szCs w:val="18"/>
              </w:rPr>
            </w:pPr>
            <w:r>
              <w:rPr>
                <w:rFonts w:ascii="宋体"/>
                <w:sz w:val="18"/>
              </w:rPr>
              <w:t>27,484,615.38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15.80%</w:t>
            </w:r>
          </w:p>
        </w:tc>
      </w:tr>
      <w:tr>
        <w:trPr>
          <w:trHeight w:val="404" w:hRule="exact"/>
        </w:trPr>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3</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5" w:right="0"/>
              <w:jc w:val="left"/>
              <w:rPr>
                <w:rFonts w:ascii="宋体" w:hAnsi="宋体" w:cs="宋体" w:eastAsia="宋体" w:hint="default"/>
                <w:sz w:val="18"/>
                <w:szCs w:val="18"/>
              </w:rPr>
            </w:pPr>
            <w:r>
              <w:rPr>
                <w:rFonts w:ascii="宋体"/>
                <w:sz w:val="18"/>
              </w:rPr>
              <w:t>26,264,957.38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15.10%</w:t>
            </w:r>
          </w:p>
        </w:tc>
      </w:tr>
      <w:tr>
        <w:trPr>
          <w:trHeight w:val="401" w:hRule="exact"/>
        </w:trPr>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sz w:val="18"/>
              </w:rPr>
              <w:t>4</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31" w:right="0"/>
              <w:jc w:val="left"/>
              <w:rPr>
                <w:rFonts w:ascii="宋体" w:hAnsi="宋体" w:cs="宋体" w:eastAsia="宋体" w:hint="default"/>
                <w:sz w:val="18"/>
                <w:szCs w:val="18"/>
              </w:rPr>
            </w:pPr>
            <w:r>
              <w:rPr>
                <w:rFonts w:ascii="宋体"/>
                <w:sz w:val="18"/>
              </w:rPr>
              <w:t>5,735,000.11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3.30%</w:t>
            </w:r>
          </w:p>
        </w:tc>
      </w:tr>
      <w:tr>
        <w:trPr>
          <w:trHeight w:val="403" w:hRule="exact"/>
        </w:trPr>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5</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1" w:right="0"/>
              <w:jc w:val="left"/>
              <w:rPr>
                <w:rFonts w:ascii="宋体" w:hAnsi="宋体" w:cs="宋体" w:eastAsia="宋体" w:hint="default"/>
                <w:sz w:val="18"/>
                <w:szCs w:val="18"/>
              </w:rPr>
            </w:pPr>
            <w:r>
              <w:rPr>
                <w:rFonts w:ascii="宋体"/>
                <w:sz w:val="18"/>
              </w:rPr>
              <w:t>4,582,905.98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2.63%</w:t>
            </w:r>
          </w:p>
        </w:tc>
      </w:tr>
      <w:tr>
        <w:trPr>
          <w:trHeight w:val="403" w:hRule="exact"/>
        </w:trPr>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5" w:right="0"/>
              <w:jc w:val="left"/>
              <w:rPr>
                <w:rFonts w:ascii="宋体" w:hAnsi="宋体" w:cs="宋体" w:eastAsia="宋体" w:hint="default"/>
                <w:sz w:val="18"/>
                <w:szCs w:val="18"/>
              </w:rPr>
            </w:pPr>
            <w:r>
              <w:rPr>
                <w:rFonts w:ascii="宋体"/>
                <w:sz w:val="18"/>
              </w:rPr>
              <w:t>95,355,854.87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54.83%</w:t>
            </w:r>
          </w:p>
        </w:tc>
      </w:tr>
    </w:tbl>
    <w:p>
      <w:pPr>
        <w:pStyle w:val="BodyText"/>
        <w:spacing w:line="240" w:lineRule="auto" w:before="49"/>
        <w:ind w:right="0"/>
        <w:jc w:val="left"/>
      </w:pPr>
      <w:r>
        <w:rPr/>
        <w:t>主要供应商其他情况说明</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13"/>
          <w:szCs w:val="13"/>
        </w:rPr>
      </w:pPr>
    </w:p>
    <w:p>
      <w:pPr>
        <w:pStyle w:val="BodyText"/>
        <w:spacing w:line="451" w:lineRule="auto"/>
        <w:ind w:right="0" w:firstLine="432"/>
        <w:jc w:val="left"/>
      </w:pPr>
      <w:r>
        <w:rPr>
          <w:spacing w:val="-1"/>
        </w:rPr>
        <w:t>公司前五名供应商与本公司不存在关联关系，公司董事、监事、高级管理人员、核心技术人员、持股</w:t>
      </w:r>
      <w:r>
        <w:rPr>
          <w:rFonts w:ascii="Times New Roman" w:hAnsi="Times New Roman" w:cs="Times New Roman" w:eastAsia="Times New Roman" w:hint="default"/>
          <w:spacing w:val="-1"/>
        </w:rPr>
        <w:t>5%</w:t>
      </w:r>
      <w:r>
        <w:rPr>
          <w:spacing w:val="-1"/>
        </w:rPr>
        <w:t>以上股东、实</w:t>
      </w:r>
      <w:r>
        <w:rPr/>
        <w:t> 际控制人和其他关联方在前</w:t>
      </w:r>
      <w:r>
        <w:rPr>
          <w:rFonts w:ascii="Times New Roman" w:hAnsi="Times New Roman" w:cs="Times New Roman" w:eastAsia="Times New Roman" w:hint="default"/>
        </w:rPr>
        <w:t>5</w:t>
      </w:r>
      <w:r>
        <w:rPr/>
        <w:t>大客户中未直接或间接拥有权益。</w:t>
      </w:r>
    </w:p>
    <w:p>
      <w:pPr>
        <w:spacing w:line="240" w:lineRule="auto" w:before="7"/>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944"/>
        <w:gridCol w:w="1657"/>
        <w:gridCol w:w="1659"/>
        <w:gridCol w:w="1478"/>
        <w:gridCol w:w="2960"/>
      </w:tblGrid>
      <w:tr>
        <w:trPr>
          <w:trHeight w:val="401"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101,298,707.36</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89,353,087.21</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13.37%</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135,514,771.79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118,020,530.22</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14.82%</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-1,361,205.34</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-5,982,238.65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-77.25%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存款利息减少所致。</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1133" w:top="1060" w:bottom="132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93" w:firstLine="360"/>
        <w:jc w:val="both"/>
      </w:pPr>
      <w:r>
        <w:rPr>
          <w:rFonts w:ascii="宋体" w:hAnsi="宋体" w:cs="宋体" w:eastAsia="宋体" w:hint="default"/>
          <w:spacing w:val="-2"/>
        </w:rPr>
        <w:t>2017</w:t>
      </w:r>
      <w:r>
        <w:rPr>
          <w:spacing w:val="-2"/>
        </w:rPr>
        <w:t>年，公司继续加大研发投入，加强科技攻关，突出技术创新，强化研发队伍建设，推动研发实力稳步提升，公司持</w:t>
      </w:r>
      <w:r>
        <w:rPr/>
        <w:t> 续开展多项研究开发项目。</w:t>
      </w:r>
      <w:r>
        <w:rPr>
          <w:spacing w:val="1"/>
        </w:rPr>
        <w:t> </w:t>
      </w:r>
      <w:r>
        <w:rPr/>
        <w:t>面临激烈的竞争，提升企业竞争力，公司将创新作为企业发展的第一动力，不断增强自主创新</w:t>
      </w:r>
      <w:r>
        <w:rPr/>
        <w:t> 的能力和活力，努力达成公司的营运目标，实现公司的发展战略。</w:t>
      </w:r>
    </w:p>
    <w:p>
      <w:pPr>
        <w:pStyle w:val="BodyText"/>
        <w:spacing w:line="477" w:lineRule="auto" w:before="54"/>
        <w:ind w:right="100" w:firstLine="362"/>
        <w:jc w:val="both"/>
      </w:pPr>
      <w:r>
        <w:rPr/>
        <w:pict>
          <v:shape style="position:absolute;margin-left:55.200001pt;margin-top:45.131725pt;width:485.65pt;height:574.7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11"/>
                    <w:gridCol w:w="2768"/>
                    <w:gridCol w:w="2964"/>
                    <w:gridCol w:w="3226"/>
                  </w:tblGrid>
                  <w:tr>
                    <w:trPr>
                      <w:trHeight w:val="353" w:hRule="exact"/>
                    </w:trPr>
                    <w:tc>
                      <w:tcPr>
                        <w:tcW w:w="711" w:type="dxa"/>
                        <w:tcBorders>
                          <w:top w:val="single" w:sz="12" w:space="0" w:color="000000"/>
                          <w:left w:val="single" w:sz="12" w:space="0" w:color="000000"/>
                          <w:bottom w:val="single" w:sz="4" w:space="0" w:color="000000"/>
                          <w:right w:val="single" w:sz="4" w:space="0" w:color="000000"/>
                        </w:tcBorders>
                      </w:tcPr>
                      <w:p>
                        <w:pPr>
                          <w:pStyle w:val="TableParagraph"/>
                          <w:spacing w:line="298"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序号</w:t>
                        </w:r>
                        <w:r>
                          <w:rPr>
                            <w:rFonts w:ascii="Microsoft JhengHei" w:hAnsi="Microsoft JhengHei" w:cs="Microsoft JhengHei" w:eastAsia="Microsoft JhengHei" w:hint="default"/>
                            <w:sz w:val="21"/>
                            <w:szCs w:val="21"/>
                          </w:rPr>
                        </w:r>
                      </w:p>
                    </w:tc>
                    <w:tc>
                      <w:tcPr>
                        <w:tcW w:w="2768" w:type="dxa"/>
                        <w:tcBorders>
                          <w:top w:val="single" w:sz="12" w:space="0" w:color="000000"/>
                          <w:left w:val="single" w:sz="4" w:space="0" w:color="000000"/>
                          <w:bottom w:val="single" w:sz="4" w:space="0" w:color="000000"/>
                          <w:right w:val="single" w:sz="4" w:space="0" w:color="000000"/>
                        </w:tcBorders>
                      </w:tcPr>
                      <w:p>
                        <w:pPr>
                          <w:pStyle w:val="TableParagraph"/>
                          <w:spacing w:line="298"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项目名称</w:t>
                        </w:r>
                        <w:r>
                          <w:rPr>
                            <w:rFonts w:ascii="Microsoft JhengHei" w:hAnsi="Microsoft JhengHei" w:cs="Microsoft JhengHei" w:eastAsia="Microsoft JhengHei" w:hint="default"/>
                            <w:sz w:val="21"/>
                            <w:szCs w:val="21"/>
                          </w:rPr>
                        </w:r>
                      </w:p>
                    </w:tc>
                    <w:tc>
                      <w:tcPr>
                        <w:tcW w:w="2964" w:type="dxa"/>
                        <w:tcBorders>
                          <w:top w:val="single" w:sz="12" w:space="0" w:color="000000"/>
                          <w:left w:val="single" w:sz="4" w:space="0" w:color="000000"/>
                          <w:bottom w:val="single" w:sz="4" w:space="0" w:color="000000"/>
                          <w:right w:val="single" w:sz="4" w:space="0" w:color="000000"/>
                        </w:tcBorders>
                      </w:tcPr>
                      <w:p>
                        <w:pPr>
                          <w:pStyle w:val="TableParagraph"/>
                          <w:spacing w:line="298"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项目目标</w:t>
                        </w:r>
                        <w:r>
                          <w:rPr>
                            <w:rFonts w:ascii="Microsoft JhengHei" w:hAnsi="Microsoft JhengHei" w:cs="Microsoft JhengHei" w:eastAsia="Microsoft JhengHei" w:hint="default"/>
                            <w:sz w:val="21"/>
                            <w:szCs w:val="21"/>
                          </w:rPr>
                        </w:r>
                      </w:p>
                    </w:tc>
                    <w:tc>
                      <w:tcPr>
                        <w:tcW w:w="3226" w:type="dxa"/>
                        <w:tcBorders>
                          <w:top w:val="single" w:sz="12" w:space="0" w:color="000000"/>
                          <w:left w:val="single" w:sz="4" w:space="0" w:color="000000"/>
                          <w:bottom w:val="single" w:sz="4" w:space="0" w:color="000000"/>
                          <w:right w:val="single" w:sz="12" w:space="0" w:color="000000"/>
                        </w:tcBorders>
                      </w:tcPr>
                      <w:p>
                        <w:pPr>
                          <w:pStyle w:val="TableParagraph"/>
                          <w:spacing w:line="298" w:lineRule="exact"/>
                          <w:ind w:left="118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项目进度</w:t>
                        </w:r>
                        <w:r>
                          <w:rPr>
                            <w:rFonts w:ascii="Microsoft JhengHei" w:hAnsi="Microsoft JhengHei" w:cs="Microsoft JhengHei" w:eastAsia="Microsoft JhengHei" w:hint="default"/>
                            <w:sz w:val="21"/>
                            <w:szCs w:val="21"/>
                          </w:rPr>
                        </w:r>
                      </w:p>
                    </w:tc>
                  </w:tr>
                  <w:tr>
                    <w:trPr>
                      <w:trHeight w:val="3773" w:hRule="exact"/>
                    </w:trPr>
                    <w:tc>
                      <w:tcPr>
                        <w:tcW w:w="7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1</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208" w:right="0"/>
                          <w:jc w:val="left"/>
                          <w:rPr>
                            <w:rFonts w:ascii="宋体" w:hAnsi="宋体" w:cs="宋体" w:eastAsia="宋体" w:hint="default"/>
                            <w:sz w:val="18"/>
                            <w:szCs w:val="18"/>
                          </w:rPr>
                        </w:pPr>
                        <w:r>
                          <w:rPr>
                            <w:rFonts w:ascii="宋体" w:hAnsi="宋体" w:cs="宋体" w:eastAsia="宋体" w:hint="default"/>
                            <w:sz w:val="18"/>
                            <w:szCs w:val="18"/>
                          </w:rPr>
                          <w:t>即时通讯及移动办公开发平台</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7"/>
                          <w:ind w:left="4" w:right="0" w:firstLine="360"/>
                          <w:jc w:val="left"/>
                          <w:rPr>
                            <w:rFonts w:ascii="宋体" w:hAnsi="宋体" w:cs="宋体" w:eastAsia="宋体" w:hint="default"/>
                            <w:sz w:val="18"/>
                            <w:szCs w:val="18"/>
                          </w:rPr>
                        </w:pPr>
                        <w:r>
                          <w:rPr>
                            <w:rFonts w:ascii="宋体" w:hAnsi="宋体" w:cs="宋体" w:eastAsia="宋体" w:hint="default"/>
                            <w:spacing w:val="3"/>
                            <w:sz w:val="18"/>
                            <w:szCs w:val="18"/>
                          </w:rPr>
                          <w:t>该平台包括信源豆豆和移动终端</w:t>
                        </w:r>
                        <w:r>
                          <w:rPr>
                            <w:rFonts w:ascii="宋体" w:hAnsi="宋体" w:cs="宋体" w:eastAsia="宋体" w:hint="default"/>
                            <w:sz w:val="18"/>
                            <w:szCs w:val="18"/>
                          </w:rPr>
                          <w:t> </w:t>
                        </w:r>
                        <w:r>
                          <w:rPr>
                            <w:rFonts w:ascii="宋体" w:hAnsi="宋体" w:cs="宋体" w:eastAsia="宋体" w:hint="default"/>
                            <w:spacing w:val="3"/>
                            <w:sz w:val="18"/>
                            <w:szCs w:val="18"/>
                          </w:rPr>
                          <w:t>安全管控系统。信源豆豆是一个跨终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端、全方位、安全可信的通信聚合平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台，为企业和互联网用户提供即时通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讯、协同办公、任务管理、</w:t>
                        </w:r>
                        <w:r>
                          <w:rPr>
                            <w:rFonts w:ascii="Times New Roman" w:hAnsi="Times New Roman" w:cs="Times New Roman" w:eastAsia="Times New Roman" w:hint="default"/>
                            <w:sz w:val="18"/>
                            <w:szCs w:val="18"/>
                          </w:rPr>
                          <w:t>ERP</w:t>
                        </w:r>
                        <w:r>
                          <w:rPr>
                            <w:rFonts w:ascii="宋体" w:hAnsi="宋体" w:cs="宋体" w:eastAsia="宋体" w:hint="default"/>
                            <w:sz w:val="18"/>
                            <w:szCs w:val="18"/>
                          </w:rPr>
                          <w:t>改造</w:t>
                        </w:r>
                        <w:r>
                          <w:rPr>
                            <w:rFonts w:ascii="宋体" w:hAnsi="宋体" w:cs="宋体" w:eastAsia="宋体" w:hint="default"/>
                            <w:spacing w:val="-87"/>
                            <w:sz w:val="18"/>
                            <w:szCs w:val="18"/>
                          </w:rPr>
                          <w:t> </w:t>
                        </w:r>
                        <w:r>
                          <w:rPr>
                            <w:rFonts w:ascii="宋体" w:hAnsi="宋体" w:cs="宋体" w:eastAsia="宋体" w:hint="default"/>
                            <w:spacing w:val="3"/>
                            <w:sz w:val="18"/>
                            <w:szCs w:val="18"/>
                          </w:rPr>
                          <w:t>应用开发、万物互联、互联互通、聚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合推广等多层次的平台服务。信源豆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豆不仅具有安卓、苹果终端，还支持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Windows</w:t>
                        </w:r>
                        <w:r>
                          <w:rPr>
                            <w:rFonts w:ascii="宋体" w:hAnsi="宋体" w:cs="宋体" w:eastAsia="宋体" w:hint="default"/>
                            <w:sz w:val="18"/>
                            <w:szCs w:val="18"/>
                          </w:rPr>
                          <w:t>、</w:t>
                        </w:r>
                        <w:r>
                          <w:rPr>
                            <w:rFonts w:ascii="Times New Roman" w:hAnsi="Times New Roman" w:cs="Times New Roman" w:eastAsia="Times New Roman" w:hint="default"/>
                            <w:sz w:val="18"/>
                            <w:szCs w:val="18"/>
                          </w:rPr>
                          <w:t>Linux</w:t>
                        </w:r>
                        <w:r>
                          <w:rPr>
                            <w:rFonts w:ascii="宋体" w:hAnsi="宋体" w:cs="宋体" w:eastAsia="宋体" w:hint="default"/>
                            <w:sz w:val="18"/>
                            <w:szCs w:val="18"/>
                          </w:rPr>
                          <w:t>、元心等操作系统。</w:t>
                        </w:r>
                        <w:r>
                          <w:rPr>
                            <w:rFonts w:ascii="宋体" w:hAnsi="宋体" w:cs="宋体" w:eastAsia="宋体" w:hint="default"/>
                            <w:spacing w:val="-70"/>
                            <w:sz w:val="18"/>
                            <w:szCs w:val="18"/>
                          </w:rPr>
                          <w:t> </w:t>
                        </w:r>
                        <w:r>
                          <w:rPr>
                            <w:rFonts w:ascii="宋体" w:hAnsi="宋体" w:cs="宋体" w:eastAsia="宋体" w:hint="default"/>
                            <w:spacing w:val="3"/>
                            <w:sz w:val="18"/>
                            <w:szCs w:val="18"/>
                          </w:rPr>
                          <w:t>移动终端安全管控系统是信源豆豆的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安全保障，也是北信源泛终端安全体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系的重要组成部分。</w:t>
                        </w:r>
                      </w:p>
                    </w:tc>
                    <w:tc>
                      <w:tcPr>
                        <w:tcW w:w="32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196" w:lineRule="exact"/>
                          <w:ind w:left="-10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6" w:right="0"/>
                          <w:jc w:val="center"/>
                          <w:rPr>
                            <w:rFonts w:ascii="宋体" w:hAnsi="宋体" w:cs="宋体" w:eastAsia="宋体" w:hint="default"/>
                            <w:sz w:val="18"/>
                            <w:szCs w:val="18"/>
                          </w:rPr>
                        </w:pPr>
                        <w:r>
                          <w:rPr>
                            <w:rFonts w:ascii="宋体" w:hAnsi="宋体" w:cs="宋体" w:eastAsia="宋体" w:hint="default"/>
                            <w:sz w:val="18"/>
                            <w:szCs w:val="18"/>
                          </w:rPr>
                          <w:t>产品发布阶段：</w:t>
                        </w:r>
                      </w:p>
                      <w:p>
                        <w:pPr>
                          <w:pStyle w:val="TableParagraph"/>
                          <w:spacing w:line="300" w:lineRule="auto" w:before="76"/>
                          <w:ind w:left="19" w:right="7" w:firstLine="2"/>
                          <w:jc w:val="center"/>
                          <w:rPr>
                            <w:rFonts w:ascii="宋体" w:hAnsi="宋体" w:cs="宋体" w:eastAsia="宋体" w:hint="default"/>
                            <w:sz w:val="18"/>
                            <w:szCs w:val="18"/>
                          </w:rPr>
                        </w:pPr>
                        <w:r>
                          <w:rPr>
                            <w:rFonts w:ascii="宋体" w:hAnsi="宋体" w:cs="宋体" w:eastAsia="宋体" w:hint="default"/>
                            <w:sz w:val="18"/>
                            <w:szCs w:val="18"/>
                          </w:rPr>
                          <w:t>信源豆豆</w:t>
                        </w:r>
                        <w:r>
                          <w:rPr>
                            <w:rFonts w:ascii="Times New Roman" w:hAnsi="Times New Roman" w:cs="Times New Roman" w:eastAsia="Times New Roman" w:hint="default"/>
                            <w:sz w:val="18"/>
                            <w:szCs w:val="18"/>
                          </w:rPr>
                          <w:t>2.9</w:t>
                        </w:r>
                        <w:r>
                          <w:rPr>
                            <w:rFonts w:ascii="宋体" w:hAnsi="宋体" w:cs="宋体" w:eastAsia="宋体" w:hint="default"/>
                            <w:sz w:val="18"/>
                            <w:szCs w:val="18"/>
                          </w:rPr>
                          <w:t>版本已发布； 移动终端安全管控系统</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版本已发布。</w:t>
                        </w:r>
                      </w:p>
                    </w:tc>
                  </w:tr>
                  <w:tr>
                    <w:trPr>
                      <w:trHeight w:val="1592" w:hRule="exact"/>
                    </w:trPr>
                    <w:tc>
                      <w:tcPr>
                        <w:tcW w:w="7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2</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智慧终端安全一体化管理平台</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7" w:firstLine="271"/>
                          <w:jc w:val="both"/>
                          <w:rPr>
                            <w:rFonts w:ascii="宋体" w:hAnsi="宋体" w:cs="宋体" w:eastAsia="宋体" w:hint="default"/>
                            <w:sz w:val="18"/>
                            <w:szCs w:val="18"/>
                          </w:rPr>
                        </w:pPr>
                        <w:r>
                          <w:rPr>
                            <w:rFonts w:ascii="宋体" w:hAnsi="宋体" w:cs="宋体" w:eastAsia="宋体" w:hint="default"/>
                            <w:spacing w:val="11"/>
                            <w:sz w:val="18"/>
                            <w:szCs w:val="18"/>
                          </w:rPr>
                          <w:t>采用终端行为基线技术进行终端</w:t>
                        </w:r>
                        <w:r>
                          <w:rPr>
                            <w:rFonts w:ascii="宋体" w:hAnsi="宋体" w:cs="宋体" w:eastAsia="宋体" w:hint="default"/>
                            <w:spacing w:val="12"/>
                            <w:sz w:val="18"/>
                            <w:szCs w:val="18"/>
                          </w:rPr>
                          <w:t> </w:t>
                        </w:r>
                        <w:r>
                          <w:rPr>
                            <w:rFonts w:ascii="宋体" w:hAnsi="宋体" w:cs="宋体" w:eastAsia="宋体" w:hint="default"/>
                            <w:spacing w:val="3"/>
                            <w:sz w:val="18"/>
                            <w:szCs w:val="18"/>
                          </w:rPr>
                          <w:t>态势分析，建立全网终端健康智能评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价体系，将传统终端、国产终端、虚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拟化终端、移动终端纳入泛终端管理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范畴。</w:t>
                        </w:r>
                      </w:p>
                    </w:tc>
                    <w:tc>
                      <w:tcPr>
                        <w:tcW w:w="32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76" w:right="0"/>
                          <w:jc w:val="left"/>
                          <w:rPr>
                            <w:rFonts w:ascii="宋体" w:hAnsi="宋体" w:cs="宋体" w:eastAsia="宋体" w:hint="default"/>
                            <w:sz w:val="18"/>
                            <w:szCs w:val="18"/>
                          </w:rPr>
                        </w:pPr>
                        <w:r>
                          <w:rPr>
                            <w:rFonts w:ascii="宋体" w:hAnsi="宋体" w:cs="宋体" w:eastAsia="宋体" w:hint="default"/>
                            <w:sz w:val="18"/>
                            <w:szCs w:val="18"/>
                          </w:rPr>
                          <w:t>产品发布阶段：</w:t>
                        </w:r>
                      </w:p>
                      <w:p>
                        <w:pPr>
                          <w:pStyle w:val="TableParagraph"/>
                          <w:spacing w:line="240" w:lineRule="auto" w:before="76"/>
                          <w:ind w:left="10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版本已发布</w:t>
                        </w:r>
                      </w:p>
                    </w:tc>
                  </w:tr>
                  <w:tr>
                    <w:trPr>
                      <w:trHeight w:val="1589" w:hRule="exact"/>
                    </w:trPr>
                    <w:tc>
                      <w:tcPr>
                        <w:tcW w:w="7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3</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智慧数据安全防护系统</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 w:firstLine="271"/>
                          <w:jc w:val="both"/>
                          <w:rPr>
                            <w:rFonts w:ascii="宋体" w:hAnsi="宋体" w:cs="宋体" w:eastAsia="宋体" w:hint="default"/>
                            <w:sz w:val="18"/>
                            <w:szCs w:val="18"/>
                          </w:rPr>
                        </w:pPr>
                        <w:r>
                          <w:rPr>
                            <w:rFonts w:ascii="宋体" w:hAnsi="宋体" w:cs="宋体" w:eastAsia="宋体" w:hint="default"/>
                            <w:spacing w:val="-2"/>
                            <w:sz w:val="18"/>
                            <w:szCs w:val="18"/>
                          </w:rPr>
                          <w:t>建立数据内容智慧分析引擎，融合</w:t>
                        </w:r>
                        <w:r>
                          <w:rPr>
                            <w:rFonts w:ascii="宋体" w:hAnsi="宋体" w:cs="宋体" w:eastAsia="宋体" w:hint="default"/>
                            <w:sz w:val="18"/>
                            <w:szCs w:val="18"/>
                          </w:rPr>
                          <w:t> </w:t>
                        </w:r>
                        <w:r>
                          <w:rPr>
                            <w:rFonts w:ascii="宋体" w:hAnsi="宋体" w:cs="宋体" w:eastAsia="宋体" w:hint="default"/>
                            <w:spacing w:val="3"/>
                            <w:sz w:val="18"/>
                            <w:szCs w:val="18"/>
                          </w:rPr>
                          <w:t>数据防护各类管控策略，构建数据资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产全生命周期管理平台，全程掌控关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键数据的组成和分布，更有效保护重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要数据资产。</w:t>
                        </w:r>
                      </w:p>
                    </w:tc>
                    <w:tc>
                      <w:tcPr>
                        <w:tcW w:w="32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156" w:right="0"/>
                          <w:jc w:val="left"/>
                          <w:rPr>
                            <w:rFonts w:ascii="宋体" w:hAnsi="宋体" w:cs="宋体" w:eastAsia="宋体" w:hint="default"/>
                            <w:sz w:val="18"/>
                            <w:szCs w:val="18"/>
                          </w:rPr>
                        </w:pPr>
                        <w:r>
                          <w:rPr>
                            <w:rFonts w:ascii="宋体" w:hAnsi="宋体" w:cs="宋体" w:eastAsia="宋体" w:hint="default"/>
                            <w:sz w:val="18"/>
                            <w:szCs w:val="18"/>
                          </w:rPr>
                          <w:t>产品发布阶段：</w:t>
                        </w:r>
                      </w:p>
                      <w:p>
                        <w:pPr>
                          <w:pStyle w:val="TableParagraph"/>
                          <w:spacing w:line="240" w:lineRule="auto" w:before="76"/>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宋体" w:hAnsi="宋体" w:cs="宋体" w:eastAsia="宋体" w:hint="default"/>
                            <w:sz w:val="18"/>
                            <w:szCs w:val="18"/>
                          </w:rPr>
                          <w:t>已发布。</w:t>
                        </w:r>
                      </w:p>
                    </w:tc>
                  </w:tr>
                  <w:tr>
                    <w:trPr>
                      <w:trHeight w:val="1280" w:hRule="exact"/>
                    </w:trPr>
                    <w:tc>
                      <w:tcPr>
                        <w:tcW w:w="7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4</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智慧边界接入控制系统</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3" w:firstLine="360"/>
                          <w:jc w:val="both"/>
                          <w:rPr>
                            <w:rFonts w:ascii="宋体" w:hAnsi="宋体" w:cs="宋体" w:eastAsia="宋体" w:hint="default"/>
                            <w:sz w:val="18"/>
                            <w:szCs w:val="18"/>
                          </w:rPr>
                        </w:pPr>
                        <w:r>
                          <w:rPr>
                            <w:rFonts w:ascii="宋体" w:hAnsi="宋体" w:cs="宋体" w:eastAsia="宋体" w:hint="default"/>
                            <w:spacing w:val="3"/>
                            <w:sz w:val="18"/>
                            <w:szCs w:val="18"/>
                          </w:rPr>
                          <w:t>智能探测识别网络边界自动进行</w:t>
                        </w:r>
                        <w:r>
                          <w:rPr>
                            <w:rFonts w:ascii="宋体" w:hAnsi="宋体" w:cs="宋体" w:eastAsia="宋体" w:hint="default"/>
                            <w:sz w:val="18"/>
                            <w:szCs w:val="18"/>
                          </w:rPr>
                          <w:t> </w:t>
                        </w:r>
                        <w:r>
                          <w:rPr>
                            <w:rFonts w:ascii="宋体" w:hAnsi="宋体" w:cs="宋体" w:eastAsia="宋体" w:hint="default"/>
                            <w:spacing w:val="3"/>
                            <w:sz w:val="18"/>
                            <w:szCs w:val="18"/>
                          </w:rPr>
                          <w:t>边界防御，能够将传统终端、国产终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端、虚拟化终端、移动终端、工业终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端进行统一的泛终端准入控制。</w:t>
                        </w:r>
                      </w:p>
                    </w:tc>
                    <w:tc>
                      <w:tcPr>
                        <w:tcW w:w="32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156" w:right="0"/>
                          <w:jc w:val="left"/>
                          <w:rPr>
                            <w:rFonts w:ascii="宋体" w:hAnsi="宋体" w:cs="宋体" w:eastAsia="宋体" w:hint="default"/>
                            <w:sz w:val="18"/>
                            <w:szCs w:val="18"/>
                          </w:rPr>
                        </w:pPr>
                        <w:r>
                          <w:rPr>
                            <w:rFonts w:ascii="宋体" w:hAnsi="宋体" w:cs="宋体" w:eastAsia="宋体" w:hint="default"/>
                            <w:sz w:val="18"/>
                            <w:szCs w:val="18"/>
                          </w:rPr>
                          <w:t>产品研发阶段：</w:t>
                        </w:r>
                      </w:p>
                      <w:p>
                        <w:pPr>
                          <w:pStyle w:val="TableParagraph"/>
                          <w:spacing w:line="240" w:lineRule="auto" w:before="76"/>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宋体" w:hAnsi="宋体" w:cs="宋体" w:eastAsia="宋体" w:hint="default"/>
                            <w:sz w:val="18"/>
                            <w:szCs w:val="18"/>
                          </w:rPr>
                          <w:t>已发布。</w:t>
                        </w:r>
                      </w:p>
                    </w:tc>
                  </w:tr>
                  <w:tr>
                    <w:trPr>
                      <w:trHeight w:val="2525" w:hRule="exact"/>
                    </w:trPr>
                    <w:tc>
                      <w:tcPr>
                        <w:tcW w:w="7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5</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6" w:lineRule="auto"/>
                          <w:ind w:left="1197" w:right="27" w:hanging="1169"/>
                          <w:jc w:val="left"/>
                          <w:rPr>
                            <w:rFonts w:ascii="宋体" w:hAnsi="宋体" w:cs="宋体" w:eastAsia="宋体" w:hint="default"/>
                            <w:sz w:val="18"/>
                            <w:szCs w:val="18"/>
                          </w:rPr>
                        </w:pPr>
                        <w:r>
                          <w:rPr>
                            <w:rFonts w:ascii="宋体" w:hAnsi="宋体" w:cs="宋体" w:eastAsia="宋体" w:hint="default"/>
                            <w:sz w:val="18"/>
                            <w:szCs w:val="18"/>
                          </w:rPr>
                          <w:t>网络与终端安全和行为大数据分析 系统</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7"/>
                          <w:ind w:left="4" w:right="2" w:firstLine="360"/>
                          <w:jc w:val="both"/>
                          <w:rPr>
                            <w:rFonts w:ascii="宋体" w:hAnsi="宋体" w:cs="宋体" w:eastAsia="宋体" w:hint="default"/>
                            <w:sz w:val="18"/>
                            <w:szCs w:val="18"/>
                          </w:rPr>
                        </w:pPr>
                        <w:r>
                          <w:rPr>
                            <w:rFonts w:ascii="宋体" w:hAnsi="宋体" w:cs="宋体" w:eastAsia="宋体" w:hint="default"/>
                            <w:spacing w:val="3"/>
                            <w:sz w:val="18"/>
                            <w:szCs w:val="18"/>
                          </w:rPr>
                          <w:t>网络与终端安全和行为大数据分</w:t>
                        </w:r>
                        <w:r>
                          <w:rPr>
                            <w:rFonts w:ascii="宋体" w:hAnsi="宋体" w:cs="宋体" w:eastAsia="宋体" w:hint="default"/>
                            <w:sz w:val="18"/>
                            <w:szCs w:val="18"/>
                          </w:rPr>
                          <w:t> </w:t>
                        </w:r>
                        <w:r>
                          <w:rPr>
                            <w:rFonts w:ascii="宋体" w:hAnsi="宋体" w:cs="宋体" w:eastAsia="宋体" w:hint="default"/>
                            <w:spacing w:val="3"/>
                            <w:sz w:val="18"/>
                            <w:szCs w:val="18"/>
                          </w:rPr>
                          <w:t>析系统是终端安全大数据平台升级版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本</w:t>
                        </w:r>
                        <w:r>
                          <w:rPr>
                            <w:rFonts w:ascii="Times New Roman" w:hAnsi="Times New Roman" w:cs="Times New Roman" w:eastAsia="Times New Roman" w:hint="default"/>
                            <w:sz w:val="18"/>
                            <w:szCs w:val="18"/>
                          </w:rPr>
                          <w:t>,</w:t>
                        </w:r>
                        <w:r>
                          <w:rPr>
                            <w:rFonts w:ascii="宋体" w:hAnsi="宋体" w:cs="宋体" w:eastAsia="宋体" w:hint="default"/>
                            <w:sz w:val="18"/>
                            <w:szCs w:val="18"/>
                          </w:rPr>
                          <w:t>基于内网泛终端、网络设备、网络</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流量、业务系统和应用系统产生的海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量数据，利用</w:t>
                        </w:r>
                        <w:r>
                          <w:rPr>
                            <w:rFonts w:ascii="Times New Roman" w:hAnsi="Times New Roman" w:cs="Times New Roman" w:eastAsia="Times New Roman" w:hint="default"/>
                            <w:spacing w:val="-2"/>
                            <w:sz w:val="18"/>
                            <w:szCs w:val="18"/>
                          </w:rPr>
                          <w:t>Hadoop</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Spark</w:t>
                        </w:r>
                        <w:r>
                          <w:rPr>
                            <w:rFonts w:ascii="宋体" w:hAnsi="宋体" w:cs="宋体" w:eastAsia="宋体" w:hint="default"/>
                            <w:spacing w:val="-2"/>
                            <w:sz w:val="18"/>
                            <w:szCs w:val="18"/>
                          </w:rPr>
                          <w:t>等大数据</w:t>
                        </w:r>
                        <w:r>
                          <w:rPr>
                            <w:rFonts w:ascii="宋体" w:hAnsi="宋体" w:cs="宋体" w:eastAsia="宋体" w:hint="default"/>
                            <w:spacing w:val="-76"/>
                            <w:sz w:val="18"/>
                            <w:szCs w:val="18"/>
                          </w:rPr>
                          <w:t> </w:t>
                        </w:r>
                        <w:r>
                          <w:rPr>
                            <w:rFonts w:ascii="宋体" w:hAnsi="宋体" w:cs="宋体" w:eastAsia="宋体" w:hint="default"/>
                            <w:spacing w:val="2"/>
                            <w:sz w:val="18"/>
                            <w:szCs w:val="18"/>
                          </w:rPr>
                          <w:t>技术，结合</w:t>
                        </w:r>
                        <w:r>
                          <w:rPr>
                            <w:rFonts w:ascii="Times New Roman" w:hAnsi="Times New Roman" w:cs="Times New Roman" w:eastAsia="Times New Roman" w:hint="default"/>
                            <w:spacing w:val="2"/>
                            <w:sz w:val="18"/>
                            <w:szCs w:val="18"/>
                          </w:rPr>
                          <w:t>AI</w:t>
                        </w:r>
                        <w:r>
                          <w:rPr>
                            <w:rFonts w:ascii="宋体" w:hAnsi="宋体" w:cs="宋体" w:eastAsia="宋体" w:hint="default"/>
                            <w:spacing w:val="2"/>
                            <w:sz w:val="18"/>
                            <w:szCs w:val="18"/>
                          </w:rPr>
                          <w:t>人工智能算法进行信息</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安全、终端管理、业务保障、数据资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产保护服务的平台。</w:t>
                        </w:r>
                      </w:p>
                    </w:tc>
                    <w:tc>
                      <w:tcPr>
                        <w:tcW w:w="32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6" w:right="0"/>
                          <w:jc w:val="center"/>
                          <w:rPr>
                            <w:rFonts w:ascii="宋体" w:hAnsi="宋体" w:cs="宋体" w:eastAsia="宋体" w:hint="default"/>
                            <w:sz w:val="18"/>
                            <w:szCs w:val="18"/>
                          </w:rPr>
                        </w:pPr>
                        <w:r>
                          <w:rPr>
                            <w:rFonts w:ascii="宋体" w:hAnsi="宋体" w:cs="宋体" w:eastAsia="宋体" w:hint="default"/>
                            <w:sz w:val="18"/>
                            <w:szCs w:val="18"/>
                          </w:rPr>
                          <w:t>产品研发阶段：</w:t>
                        </w:r>
                      </w:p>
                      <w:p>
                        <w:pPr>
                          <w:pStyle w:val="TableParagraph"/>
                          <w:spacing w:line="240" w:lineRule="auto" w:before="76"/>
                          <w:ind w:left="37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已发布</w:t>
                        </w:r>
                      </w:p>
                    </w:tc>
                  </w:tr>
                  <w:tr>
                    <w:trPr>
                      <w:trHeight w:val="353" w:hRule="exact"/>
                    </w:trPr>
                    <w:tc>
                      <w:tcPr>
                        <w:tcW w:w="71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6</w:t>
                        </w:r>
                      </w:p>
                    </w:tc>
                    <w:tc>
                      <w:tcPr>
                        <w:tcW w:w="27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sz w:val="18"/>
                            <w:szCs w:val="18"/>
                          </w:rPr>
                          <w:t>打印复印及刻录安全监控与审计系</w:t>
                        </w:r>
                      </w:p>
                    </w:tc>
                    <w:tc>
                      <w:tcPr>
                        <w:tcW w:w="29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pacing w:val="-2"/>
                            <w:sz w:val="18"/>
                            <w:szCs w:val="18"/>
                          </w:rPr>
                          <w:t>该系统实现四集中管控：</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集中管</w:t>
                        </w:r>
                      </w:p>
                    </w:tc>
                    <w:tc>
                      <w:tcPr>
                        <w:tcW w:w="322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0"/>
                          <w:ind w:left="1156" w:right="0"/>
                          <w:jc w:val="left"/>
                          <w:rPr>
                            <w:rFonts w:ascii="宋体" w:hAnsi="宋体" w:cs="宋体" w:eastAsia="宋体" w:hint="default"/>
                            <w:sz w:val="18"/>
                            <w:szCs w:val="18"/>
                          </w:rPr>
                        </w:pPr>
                        <w:r>
                          <w:rPr>
                            <w:rFonts w:ascii="宋体" w:hAnsi="宋体" w:cs="宋体" w:eastAsia="宋体" w:hint="default"/>
                            <w:sz w:val="18"/>
                            <w:szCs w:val="18"/>
                          </w:rPr>
                          <w:t>产品发布阶段：</w:t>
                        </w:r>
                      </w:p>
                    </w:tc>
                  </w:tr>
                </w:tbl>
                <w:p>
                  <w:pPr/>
                </w:p>
              </w:txbxContent>
            </v:textbox>
            <w10:wrap type="none"/>
          </v:shape>
        </w:pict>
      </w:r>
      <w:r>
        <w:rPr>
          <w:spacing w:val="-2"/>
        </w:rPr>
        <w:t>截至报告期末，公司研发技术人员</w:t>
      </w:r>
      <w:r>
        <w:rPr>
          <w:rFonts w:ascii="宋体" w:hAnsi="宋体" w:cs="宋体" w:eastAsia="宋体" w:hint="default"/>
          <w:spacing w:val="-2"/>
        </w:rPr>
        <w:t>564</w:t>
      </w:r>
      <w:r>
        <w:rPr>
          <w:spacing w:val="-2"/>
        </w:rPr>
        <w:t>人占公司总人数的</w:t>
      </w:r>
      <w:r>
        <w:rPr>
          <w:rFonts w:ascii="宋体" w:hAnsi="宋体" w:cs="宋体" w:eastAsia="宋体" w:hint="default"/>
          <w:spacing w:val="-2"/>
        </w:rPr>
        <w:t>43.79%</w:t>
      </w:r>
      <w:r>
        <w:rPr>
          <w:spacing w:val="-2"/>
        </w:rPr>
        <w:t>，本年度公司研发投入</w:t>
      </w:r>
      <w:r>
        <w:rPr>
          <w:rFonts w:ascii="宋体" w:hAnsi="宋体" w:cs="宋体" w:eastAsia="宋体" w:hint="default"/>
          <w:spacing w:val="-2"/>
        </w:rPr>
        <w:t>10,105</w:t>
      </w:r>
      <w:r>
        <w:rPr>
          <w:spacing w:val="-2"/>
        </w:rPr>
        <w:t>元，占营业收入的</w:t>
      </w:r>
      <w:r>
        <w:rPr>
          <w:rFonts w:ascii="宋体" w:hAnsi="宋体" w:cs="宋体" w:eastAsia="宋体" w:hint="default"/>
          <w:spacing w:val="-2"/>
        </w:rPr>
        <w:t>19.63%</w:t>
      </w:r>
      <w:r>
        <w:rPr>
          <w:spacing w:val="-2"/>
        </w:rPr>
        <w:t>，</w:t>
      </w:r>
      <w:r>
        <w:rPr/>
        <w:t> 比去年同期增长</w:t>
      </w:r>
      <w:r>
        <w:rPr>
          <w:rFonts w:ascii="宋体" w:hAnsi="宋体" w:cs="宋体" w:eastAsia="宋体" w:hint="default"/>
        </w:rPr>
        <w:t>30.89%</w:t>
      </w:r>
      <w:r>
        <w:rPr/>
        <w:t>。公司主要在研项目如下：</w:t>
      </w:r>
    </w:p>
    <w:p>
      <w:pPr>
        <w:spacing w:after="0" w:line="477" w:lineRule="auto"/>
        <w:jc w:val="both"/>
        <w:sectPr>
          <w:pgSz w:w="11910" w:h="16840"/>
          <w:pgMar w:header="745" w:footer="1133" w:top="1060" w:bottom="132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3" w:type="dxa"/>
        <w:tblLayout w:type="fixed"/>
        <w:tblCellMar>
          <w:top w:w="0" w:type="dxa"/>
          <w:left w:w="0" w:type="dxa"/>
          <w:bottom w:w="0" w:type="dxa"/>
          <w:right w:w="0" w:type="dxa"/>
        </w:tblCellMar>
        <w:tblLook w:val="01E0"/>
      </w:tblPr>
      <w:tblGrid>
        <w:gridCol w:w="711"/>
        <w:gridCol w:w="2768"/>
        <w:gridCol w:w="2964"/>
        <w:gridCol w:w="314"/>
        <w:gridCol w:w="2912"/>
      </w:tblGrid>
      <w:tr>
        <w:trPr>
          <w:trHeight w:val="2225" w:hRule="exact"/>
        </w:trPr>
        <w:tc>
          <w:tcPr>
            <w:tcW w:w="711" w:type="dxa"/>
            <w:tcBorders>
              <w:top w:val="single" w:sz="12" w:space="0" w:color="000000"/>
              <w:left w:val="single" w:sz="12" w:space="0" w:color="000000"/>
              <w:bottom w:val="single" w:sz="4" w:space="0" w:color="000000"/>
              <w:right w:val="single" w:sz="4" w:space="0" w:color="000000"/>
            </w:tcBorders>
          </w:tcPr>
          <w:p>
            <w:pPr/>
          </w:p>
        </w:tc>
        <w:tc>
          <w:tcPr>
            <w:tcW w:w="27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统</w:t>
            </w:r>
          </w:p>
        </w:tc>
        <w:tc>
          <w:tcPr>
            <w:tcW w:w="2964" w:type="dxa"/>
            <w:tcBorders>
              <w:top w:val="single" w:sz="12" w:space="0" w:color="000000"/>
              <w:left w:val="single" w:sz="4" w:space="0" w:color="000000"/>
              <w:bottom w:val="single" w:sz="4" w:space="0" w:color="000000"/>
              <w:right w:val="single" w:sz="4" w:space="0" w:color="000000"/>
            </w:tcBorders>
          </w:tcPr>
          <w:p>
            <w:pPr>
              <w:pStyle w:val="TableParagraph"/>
              <w:spacing w:line="312" w:lineRule="auto" w:before="20"/>
              <w:ind w:left="4" w:right="3"/>
              <w:jc w:val="both"/>
              <w:rPr>
                <w:rFonts w:ascii="宋体" w:hAnsi="宋体" w:cs="宋体" w:eastAsia="宋体" w:hint="default"/>
                <w:sz w:val="18"/>
                <w:szCs w:val="18"/>
              </w:rPr>
            </w:pPr>
            <w:r>
              <w:rPr>
                <w:rFonts w:ascii="宋体" w:hAnsi="宋体" w:cs="宋体" w:eastAsia="宋体" w:hint="default"/>
                <w:spacing w:val="4"/>
                <w:sz w:val="18"/>
                <w:szCs w:val="18"/>
              </w:rPr>
              <w:t>控打印机、复印机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集中涉密载体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管理</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集中管控刻录机</w:t>
            </w:r>
            <w:r>
              <w:rPr>
                <w:rFonts w:ascii="Times New Roman" w:hAnsi="Times New Roman" w:cs="Times New Roman" w:eastAsia="Times New Roman" w:hint="default"/>
                <w:sz w:val="18"/>
                <w:szCs w:val="18"/>
              </w:rPr>
              <w:t>”</w:t>
            </w:r>
            <w:r>
              <w:rPr>
                <w:rFonts w:ascii="宋体" w:hAnsi="宋体" w:cs="宋体" w:eastAsia="宋体" w:hint="default"/>
                <w:sz w:val="18"/>
                <w:szCs w:val="18"/>
              </w:rPr>
              <w:t>，基于条码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技术，从文件的产生、流转、归档、</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销毁的全生命周期的各环节进行安全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处理和管控，同时建立全生命周期过</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程中的审计、日志系统，对文件的安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全流转进行全程监控。</w:t>
            </w:r>
          </w:p>
        </w:tc>
        <w:tc>
          <w:tcPr>
            <w:tcW w:w="3226" w:type="dxa"/>
            <w:gridSpan w:val="2"/>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0"/>
              <w:ind w:left="11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版本已发布。</w:t>
            </w:r>
          </w:p>
        </w:tc>
      </w:tr>
      <w:tr>
        <w:trPr>
          <w:trHeight w:val="3149" w:hRule="exact"/>
        </w:trPr>
        <w:tc>
          <w:tcPr>
            <w:tcW w:w="7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7</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服务器配置检查系统</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1" w:firstLine="360"/>
              <w:jc w:val="both"/>
              <w:rPr>
                <w:rFonts w:ascii="宋体" w:hAnsi="宋体" w:cs="宋体" w:eastAsia="宋体" w:hint="default"/>
                <w:sz w:val="18"/>
                <w:szCs w:val="18"/>
              </w:rPr>
            </w:pPr>
            <w:r>
              <w:rPr>
                <w:rFonts w:ascii="宋体" w:hAnsi="宋体" w:cs="宋体" w:eastAsia="宋体" w:hint="default"/>
                <w:spacing w:val="18"/>
                <w:sz w:val="18"/>
                <w:szCs w:val="18"/>
              </w:rPr>
              <w:t>该系统针对服务器配置检查需</w:t>
            </w:r>
            <w:r>
              <w:rPr>
                <w:rFonts w:ascii="宋体" w:hAnsi="宋体" w:cs="宋体" w:eastAsia="宋体" w:hint="default"/>
                <w:sz w:val="18"/>
                <w:szCs w:val="18"/>
              </w:rPr>
              <w:t> </w:t>
            </w:r>
            <w:r>
              <w:rPr>
                <w:rFonts w:ascii="宋体" w:hAnsi="宋体" w:cs="宋体" w:eastAsia="宋体" w:hint="default"/>
                <w:spacing w:val="3"/>
                <w:sz w:val="18"/>
                <w:szCs w:val="18"/>
              </w:rPr>
              <w:t>求，提供合规检查规则库，支持根据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服务器上安装的操作系统版本、数据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库、应用系统等需求，灵活制定合规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检查策略；支持自定义检查项，可以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对应用的核心注册表路径和内容、系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统服务和关键进程运行状态、</w:t>
            </w:r>
            <w:r>
              <w:rPr>
                <w:rFonts w:ascii="Times New Roman" w:hAnsi="Times New Roman" w:cs="Times New Roman" w:eastAsia="Times New Roman" w:hint="default"/>
                <w:spacing w:val="4"/>
                <w:sz w:val="18"/>
                <w:szCs w:val="18"/>
              </w:rPr>
              <w:t>IE</w:t>
            </w:r>
            <w:r>
              <w:rPr>
                <w:rFonts w:ascii="宋体" w:hAnsi="宋体" w:cs="宋体" w:eastAsia="宋体" w:hint="default"/>
                <w:spacing w:val="4"/>
                <w:sz w:val="18"/>
                <w:szCs w:val="18"/>
              </w:rPr>
              <w:t>选项 </w:t>
            </w:r>
            <w:r>
              <w:rPr>
                <w:rFonts w:ascii="宋体" w:hAnsi="宋体" w:cs="宋体" w:eastAsia="宋体" w:hint="default"/>
                <w:spacing w:val="3"/>
                <w:sz w:val="18"/>
                <w:szCs w:val="18"/>
              </w:rPr>
              <w:t>配置和插件程序等配置进行检查，满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足企业对服务器各种安全运维的管理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需求。</w:t>
            </w:r>
          </w:p>
        </w:tc>
        <w:tc>
          <w:tcPr>
            <w:tcW w:w="3226"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48" w:right="0"/>
              <w:jc w:val="left"/>
              <w:rPr>
                <w:rFonts w:ascii="宋体" w:hAnsi="宋体" w:cs="宋体" w:eastAsia="宋体" w:hint="default"/>
                <w:sz w:val="18"/>
                <w:szCs w:val="18"/>
              </w:rPr>
            </w:pPr>
            <w:r>
              <w:rPr>
                <w:rFonts w:ascii="宋体" w:hAnsi="宋体" w:cs="宋体" w:eastAsia="宋体" w:hint="default"/>
                <w:sz w:val="18"/>
                <w:szCs w:val="18"/>
              </w:rPr>
              <w:t>产品研发阶段</w:t>
            </w:r>
          </w:p>
        </w:tc>
      </w:tr>
      <w:tr>
        <w:trPr>
          <w:trHeight w:val="2840" w:hRule="exact"/>
        </w:trPr>
        <w:tc>
          <w:tcPr>
            <w:tcW w:w="7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8</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837" w:right="0"/>
              <w:jc w:val="left"/>
              <w:rPr>
                <w:rFonts w:ascii="宋体" w:hAnsi="宋体" w:cs="宋体" w:eastAsia="宋体" w:hint="default"/>
                <w:sz w:val="18"/>
                <w:szCs w:val="18"/>
              </w:rPr>
            </w:pPr>
            <w:r>
              <w:rPr>
                <w:rFonts w:ascii="宋体" w:hAnsi="宋体" w:cs="宋体" w:eastAsia="宋体" w:hint="default"/>
                <w:sz w:val="18"/>
                <w:szCs w:val="18"/>
              </w:rPr>
              <w:t>安全免疫移动硬盘</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0"/>
              <w:ind w:left="4" w:right="2" w:firstLine="360"/>
              <w:jc w:val="both"/>
              <w:rPr>
                <w:rFonts w:ascii="宋体" w:hAnsi="宋体" w:cs="宋体" w:eastAsia="宋体" w:hint="default"/>
                <w:sz w:val="18"/>
                <w:szCs w:val="18"/>
              </w:rPr>
            </w:pPr>
            <w:r>
              <w:rPr>
                <w:rFonts w:ascii="宋体" w:hAnsi="宋体" w:cs="宋体" w:eastAsia="宋体" w:hint="default"/>
                <w:spacing w:val="3"/>
                <w:sz w:val="18"/>
                <w:szCs w:val="18"/>
              </w:rPr>
              <w:t>安全免疫移动硬盘是一种用于保</w:t>
            </w:r>
            <w:r>
              <w:rPr>
                <w:rFonts w:ascii="宋体" w:hAnsi="宋体" w:cs="宋体" w:eastAsia="宋体" w:hint="default"/>
                <w:sz w:val="18"/>
                <w:szCs w:val="18"/>
              </w:rPr>
              <w:t> </w:t>
            </w:r>
            <w:r>
              <w:rPr>
                <w:rFonts w:ascii="宋体" w:hAnsi="宋体" w:cs="宋体" w:eastAsia="宋体" w:hint="default"/>
                <w:spacing w:val="3"/>
                <w:sz w:val="18"/>
                <w:szCs w:val="18"/>
              </w:rPr>
              <w:t>护数据安全的</w:t>
            </w:r>
            <w:r>
              <w:rPr>
                <w:rFonts w:ascii="Times New Roman" w:hAnsi="Times New Roman" w:cs="Times New Roman" w:eastAsia="Times New Roman" w:hint="default"/>
                <w:spacing w:val="3"/>
                <w:sz w:val="18"/>
                <w:szCs w:val="18"/>
              </w:rPr>
              <w:t>USB</w:t>
            </w:r>
            <w:r>
              <w:rPr>
                <w:rFonts w:ascii="宋体" w:hAnsi="宋体" w:cs="宋体" w:eastAsia="宋体" w:hint="default"/>
                <w:spacing w:val="3"/>
                <w:sz w:val="18"/>
                <w:szCs w:val="18"/>
              </w:rPr>
              <w:t>移动硬盘。除移动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硬盘外还包括采集信息工具，信息录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入平台，系统授权工具模块组成。安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全移动硬盘包括两种使用模式：</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内网</w:t>
            </w:r>
            <w:r>
              <w:rPr>
                <w:rFonts w:ascii="宋体" w:hAnsi="宋体" w:cs="宋体" w:eastAsia="宋体" w:hint="default"/>
                <w:spacing w:val="-74"/>
                <w:sz w:val="18"/>
                <w:szCs w:val="18"/>
              </w:rPr>
              <w:t> </w:t>
            </w:r>
            <w:r>
              <w:rPr>
                <w:rFonts w:ascii="宋体" w:hAnsi="宋体" w:cs="宋体" w:eastAsia="宋体" w:hint="default"/>
                <w:spacing w:val="4"/>
                <w:sz w:val="18"/>
                <w:szCs w:val="18"/>
              </w:rPr>
              <w:t>专用安全移动硬盘</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和</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单向导入安全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移动硬盘</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分别对应于内网数据备份</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存储与内部流转场景和外部数据单向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导入防止内部数据外泄场景。</w:t>
            </w:r>
          </w:p>
        </w:tc>
        <w:tc>
          <w:tcPr>
            <w:tcW w:w="3226"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84" w:right="0"/>
              <w:jc w:val="left"/>
              <w:rPr>
                <w:rFonts w:ascii="宋体" w:hAnsi="宋体" w:cs="宋体" w:eastAsia="宋体" w:hint="default"/>
                <w:sz w:val="18"/>
                <w:szCs w:val="18"/>
              </w:rPr>
            </w:pPr>
            <w:r>
              <w:rPr>
                <w:rFonts w:ascii="宋体" w:hAnsi="宋体" w:cs="宋体" w:eastAsia="宋体" w:hint="default"/>
                <w:sz w:val="18"/>
                <w:szCs w:val="18"/>
              </w:rPr>
              <w:t>产品研发阶段</w:t>
            </w:r>
          </w:p>
        </w:tc>
      </w:tr>
      <w:tr>
        <w:trPr>
          <w:trHeight w:val="3461" w:hRule="exact"/>
        </w:trPr>
        <w:tc>
          <w:tcPr>
            <w:tcW w:w="7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9</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319" w:lineRule="auto"/>
              <w:ind w:left="1197" w:right="27" w:hanging="1169"/>
              <w:jc w:val="left"/>
              <w:rPr>
                <w:rFonts w:ascii="宋体" w:hAnsi="宋体" w:cs="宋体" w:eastAsia="宋体" w:hint="default"/>
                <w:sz w:val="18"/>
                <w:szCs w:val="18"/>
              </w:rPr>
            </w:pPr>
            <w:r>
              <w:rPr>
                <w:rFonts w:ascii="宋体" w:hAnsi="宋体" w:cs="宋体" w:eastAsia="宋体" w:hint="default"/>
                <w:sz w:val="18"/>
                <w:szCs w:val="18"/>
              </w:rPr>
              <w:t>主机监控与审计系统国产专用计算 机版</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7"/>
              <w:ind w:left="4" w:right="-1" w:firstLine="360"/>
              <w:jc w:val="left"/>
              <w:rPr>
                <w:rFonts w:ascii="宋体" w:hAnsi="宋体" w:cs="宋体" w:eastAsia="宋体" w:hint="default"/>
                <w:sz w:val="18"/>
                <w:szCs w:val="18"/>
              </w:rPr>
            </w:pPr>
            <w:r>
              <w:rPr>
                <w:rFonts w:ascii="宋体" w:hAnsi="宋体" w:cs="宋体" w:eastAsia="宋体" w:hint="default"/>
                <w:spacing w:val="3"/>
                <w:sz w:val="18"/>
                <w:szCs w:val="18"/>
              </w:rPr>
              <w:t>北信源主机监控与审计系统（简</w:t>
            </w:r>
            <w:r>
              <w:rPr>
                <w:rFonts w:ascii="宋体" w:hAnsi="宋体" w:cs="宋体" w:eastAsia="宋体" w:hint="default"/>
                <w:sz w:val="18"/>
                <w:szCs w:val="18"/>
              </w:rPr>
              <w:t> 称</w:t>
            </w:r>
            <w:r>
              <w:rPr>
                <w:rFonts w:ascii="Times New Roman" w:hAnsi="Times New Roman" w:cs="Times New Roman" w:eastAsia="Times New Roman" w:hint="default"/>
                <w:sz w:val="18"/>
                <w:szCs w:val="18"/>
              </w:rPr>
              <w:t>VRV</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VAS</w:t>
            </w:r>
            <w:r>
              <w:rPr>
                <w:rFonts w:ascii="宋体" w:hAnsi="宋体" w:cs="宋体" w:eastAsia="宋体" w:hint="default"/>
                <w:sz w:val="18"/>
                <w:szCs w:val="18"/>
              </w:rPr>
              <w:t>）是针对国产专用计算机 </w:t>
            </w:r>
            <w:r>
              <w:rPr>
                <w:rFonts w:ascii="宋体" w:hAnsi="宋体" w:cs="宋体" w:eastAsia="宋体" w:hint="default"/>
                <w:spacing w:val="3"/>
                <w:sz w:val="18"/>
                <w:szCs w:val="18"/>
              </w:rPr>
              <w:t>推出的安全监控审计产品，通过对主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机运行监控和用户访问行为审计，实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现了专用计算机访问行为的全方位跟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踪和审计。系统提供了用户组织机构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管理，终端注册管理，在线客户端管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理、离线客户端管理，统一策略制定</w:t>
            </w:r>
            <w:r>
              <w:rPr>
                <w:rFonts w:ascii="宋体" w:hAnsi="宋体" w:cs="宋体" w:eastAsia="宋体" w:hint="default"/>
                <w:sz w:val="18"/>
                <w:szCs w:val="18"/>
              </w:rPr>
              <w:t> </w:t>
            </w:r>
            <w:r>
              <w:rPr>
                <w:rFonts w:ascii="宋体" w:hAnsi="宋体" w:cs="宋体" w:eastAsia="宋体" w:hint="default"/>
                <w:spacing w:val="-4"/>
                <w:sz w:val="18"/>
                <w:szCs w:val="18"/>
              </w:rPr>
              <w:t>统一审计日志展示，</w:t>
            </w:r>
            <w:r>
              <w:rPr>
                <w:rFonts w:ascii="Times New Roman" w:hAnsi="Times New Roman" w:cs="Times New Roman" w:eastAsia="Times New Roman" w:hint="default"/>
                <w:spacing w:val="-4"/>
                <w:sz w:val="18"/>
                <w:szCs w:val="18"/>
              </w:rPr>
              <w:t>Syslog</w:t>
            </w:r>
            <w:r>
              <w:rPr>
                <w:rFonts w:ascii="宋体" w:hAnsi="宋体" w:cs="宋体" w:eastAsia="宋体" w:hint="default"/>
                <w:spacing w:val="-4"/>
                <w:sz w:val="18"/>
                <w:szCs w:val="18"/>
              </w:rPr>
              <w:t>日志接收与</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上报，接收第三方软件审计，如：三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合一审计日志、配置管理审计日志等</w:t>
            </w:r>
          </w:p>
        </w:tc>
        <w:tc>
          <w:tcPr>
            <w:tcW w:w="3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10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w:t>
            </w:r>
          </w:p>
        </w:tc>
        <w:tc>
          <w:tcPr>
            <w:tcW w:w="2912" w:type="dxa"/>
            <w:tcBorders>
              <w:top w:val="single" w:sz="4" w:space="0" w:color="000000"/>
              <w:left w:val="nil" w:sz="6" w:space="0" w:color="auto"/>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415" w:right="0"/>
              <w:jc w:val="left"/>
              <w:rPr>
                <w:rFonts w:ascii="宋体" w:hAnsi="宋体" w:cs="宋体" w:eastAsia="宋体" w:hint="default"/>
                <w:sz w:val="18"/>
                <w:szCs w:val="18"/>
              </w:rPr>
            </w:pPr>
            <w:r>
              <w:rPr>
                <w:rFonts w:ascii="宋体" w:hAnsi="宋体" w:cs="宋体" w:eastAsia="宋体" w:hint="default"/>
                <w:sz w:val="18"/>
                <w:szCs w:val="18"/>
              </w:rPr>
              <w:t>产品研发阶段</w:t>
            </w:r>
          </w:p>
          <w:p>
            <w:pPr>
              <w:pStyle w:val="TableParagraph"/>
              <w:spacing w:line="240" w:lineRule="auto" w:before="76"/>
              <w:ind w:left="2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V1.2</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进行产品优化改进</w:t>
            </w:r>
          </w:p>
        </w:tc>
      </w:tr>
      <w:tr>
        <w:trPr>
          <w:trHeight w:val="2225" w:hRule="exact"/>
        </w:trPr>
        <w:tc>
          <w:tcPr>
            <w:tcW w:w="71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10</w:t>
            </w:r>
          </w:p>
        </w:tc>
        <w:tc>
          <w:tcPr>
            <w:tcW w:w="27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388" w:right="0"/>
              <w:jc w:val="left"/>
              <w:rPr>
                <w:rFonts w:ascii="宋体" w:hAnsi="宋体" w:cs="宋体" w:eastAsia="宋体" w:hint="default"/>
                <w:sz w:val="18"/>
                <w:szCs w:val="18"/>
              </w:rPr>
            </w:pPr>
            <w:r>
              <w:rPr>
                <w:rFonts w:ascii="宋体" w:hAnsi="宋体" w:cs="宋体" w:eastAsia="宋体" w:hint="default"/>
                <w:sz w:val="18"/>
                <w:szCs w:val="18"/>
              </w:rPr>
              <w:t>虚拟化终端安全管理系统</w:t>
            </w:r>
          </w:p>
        </w:tc>
        <w:tc>
          <w:tcPr>
            <w:tcW w:w="2964" w:type="dxa"/>
            <w:tcBorders>
              <w:top w:val="single" w:sz="4" w:space="0" w:color="000000"/>
              <w:left w:val="single" w:sz="4" w:space="0" w:color="000000"/>
              <w:bottom w:val="single" w:sz="12" w:space="0" w:color="000000"/>
              <w:right w:val="single" w:sz="4" w:space="0" w:color="000000"/>
            </w:tcBorders>
          </w:tcPr>
          <w:p>
            <w:pPr>
              <w:pStyle w:val="TableParagraph"/>
              <w:spacing w:line="314" w:lineRule="auto" w:before="20"/>
              <w:ind w:left="4" w:right="2" w:firstLine="360"/>
              <w:jc w:val="both"/>
              <w:rPr>
                <w:rFonts w:ascii="宋体" w:hAnsi="宋体" w:cs="宋体" w:eastAsia="宋体" w:hint="default"/>
                <w:sz w:val="18"/>
                <w:szCs w:val="18"/>
              </w:rPr>
            </w:pPr>
            <w:r>
              <w:rPr>
                <w:rFonts w:ascii="宋体" w:hAnsi="宋体" w:cs="宋体" w:eastAsia="宋体" w:hint="default"/>
                <w:spacing w:val="18"/>
                <w:sz w:val="18"/>
                <w:szCs w:val="18"/>
              </w:rPr>
              <w:t>北信源虚拟化终端安全管理系</w:t>
            </w:r>
            <w:r>
              <w:rPr>
                <w:rFonts w:ascii="宋体" w:hAnsi="宋体" w:cs="宋体" w:eastAsia="宋体" w:hint="default"/>
                <w:sz w:val="18"/>
                <w:szCs w:val="18"/>
              </w:rPr>
              <w:t> 统，简称</w:t>
            </w:r>
            <w:r>
              <w:rPr>
                <w:rFonts w:ascii="Times New Roman" w:hAnsi="Times New Roman" w:cs="Times New Roman" w:eastAsia="Times New Roman" w:hint="default"/>
                <w:sz w:val="18"/>
                <w:szCs w:val="18"/>
              </w:rPr>
              <w:t>VRV</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z w:val="18"/>
                <w:szCs w:val="18"/>
              </w:rPr>
              <w:t>VDSM</w:t>
            </w:r>
            <w:r>
              <w:rPr>
                <w:rFonts w:ascii="宋体" w:hAnsi="宋体" w:cs="宋体" w:eastAsia="宋体" w:hint="default"/>
                <w:sz w:val="18"/>
                <w:szCs w:val="18"/>
              </w:rPr>
              <w:t>，是北信源总结 </w:t>
            </w:r>
            <w:r>
              <w:rPr>
                <w:rFonts w:ascii="宋体" w:hAnsi="宋体" w:cs="宋体" w:eastAsia="宋体" w:hint="default"/>
                <w:spacing w:val="3"/>
                <w:sz w:val="18"/>
                <w:szCs w:val="18"/>
              </w:rPr>
              <w:t>多年在桌面终端安全管理领域开发、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实施经验，针对当前虚拟化环境下所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5"/>
                <w:sz w:val="18"/>
                <w:szCs w:val="18"/>
              </w:rPr>
              <w:t>面临的安全问题提出的安全解决方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案。该方案参照国家有关终端安全管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理标准规范和虚拟化相关要求，从虚</w:t>
            </w:r>
          </w:p>
        </w:tc>
        <w:tc>
          <w:tcPr>
            <w:tcW w:w="3226" w:type="dxa"/>
            <w:gridSpan w:val="2"/>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175" w:right="0"/>
              <w:jc w:val="left"/>
              <w:rPr>
                <w:rFonts w:ascii="宋体" w:hAnsi="宋体" w:cs="宋体" w:eastAsia="宋体" w:hint="default"/>
                <w:sz w:val="18"/>
                <w:szCs w:val="18"/>
              </w:rPr>
            </w:pPr>
            <w:r>
              <w:rPr>
                <w:rFonts w:ascii="宋体" w:hAnsi="宋体" w:cs="宋体" w:eastAsia="宋体" w:hint="default"/>
                <w:sz w:val="18"/>
                <w:szCs w:val="18"/>
              </w:rPr>
              <w:t>产品发布阶段</w:t>
            </w:r>
          </w:p>
          <w:p>
            <w:pPr>
              <w:pStyle w:val="TableParagraph"/>
              <w:spacing w:line="240" w:lineRule="auto" w:before="76"/>
              <w:ind w:left="1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V3.2</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已正式发布</w:t>
            </w:r>
          </w:p>
        </w:tc>
      </w:tr>
    </w:tbl>
    <w:p>
      <w:pPr>
        <w:spacing w:after="0" w:line="240" w:lineRule="auto"/>
        <w:jc w:val="left"/>
        <w:rPr>
          <w:rFonts w:ascii="宋体" w:hAnsi="宋体" w:cs="宋体" w:eastAsia="宋体" w:hint="default"/>
          <w:sz w:val="18"/>
          <w:szCs w:val="18"/>
        </w:rPr>
        <w:sectPr>
          <w:pgSz w:w="11910" w:h="16840"/>
          <w:pgMar w:header="745" w:footer="1133" w:top="1060" w:bottom="13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3" w:type="dxa"/>
        <w:tblLayout w:type="fixed"/>
        <w:tblCellMar>
          <w:top w:w="0" w:type="dxa"/>
          <w:left w:w="0" w:type="dxa"/>
          <w:bottom w:w="0" w:type="dxa"/>
          <w:right w:w="0" w:type="dxa"/>
        </w:tblCellMar>
        <w:tblLook w:val="01E0"/>
      </w:tblPr>
      <w:tblGrid>
        <w:gridCol w:w="711"/>
        <w:gridCol w:w="2768"/>
        <w:gridCol w:w="2964"/>
        <w:gridCol w:w="630"/>
        <w:gridCol w:w="2596"/>
      </w:tblGrid>
      <w:tr>
        <w:trPr>
          <w:trHeight w:val="1289" w:hRule="exact"/>
        </w:trPr>
        <w:tc>
          <w:tcPr>
            <w:tcW w:w="711" w:type="dxa"/>
            <w:tcBorders>
              <w:top w:val="single" w:sz="12" w:space="0" w:color="000000"/>
              <w:left w:val="single" w:sz="12" w:space="0" w:color="000000"/>
              <w:bottom w:val="single" w:sz="4" w:space="0" w:color="000000"/>
              <w:right w:val="single" w:sz="4" w:space="0" w:color="000000"/>
            </w:tcBorders>
          </w:tcPr>
          <w:p>
            <w:pPr/>
          </w:p>
        </w:tc>
        <w:tc>
          <w:tcPr>
            <w:tcW w:w="2768" w:type="dxa"/>
            <w:tcBorders>
              <w:top w:val="single" w:sz="12" w:space="0" w:color="000000"/>
              <w:left w:val="single" w:sz="4" w:space="0" w:color="000000"/>
              <w:bottom w:val="single" w:sz="4" w:space="0" w:color="000000"/>
              <w:right w:val="single" w:sz="4" w:space="0" w:color="000000"/>
            </w:tcBorders>
          </w:tcPr>
          <w:p>
            <w:pPr/>
          </w:p>
        </w:tc>
        <w:tc>
          <w:tcPr>
            <w:tcW w:w="2964"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20"/>
              <w:ind w:left="4" w:right="5"/>
              <w:jc w:val="both"/>
              <w:rPr>
                <w:rFonts w:ascii="宋体" w:hAnsi="宋体" w:cs="宋体" w:eastAsia="宋体" w:hint="default"/>
                <w:sz w:val="18"/>
                <w:szCs w:val="18"/>
              </w:rPr>
            </w:pPr>
            <w:r>
              <w:rPr>
                <w:rFonts w:ascii="宋体" w:hAnsi="宋体" w:cs="宋体" w:eastAsia="宋体" w:hint="default"/>
                <w:spacing w:val="3"/>
                <w:sz w:val="18"/>
                <w:szCs w:val="18"/>
              </w:rPr>
              <w:t>拟终端安全管控和虚拟化综合审计两</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个方面入手，实现对虚拟化终端的安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全管理和虚拟化全面审计，满足用户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合规审计要求，保障虚拟终端安全。</w:t>
            </w:r>
          </w:p>
        </w:tc>
        <w:tc>
          <w:tcPr>
            <w:tcW w:w="3226" w:type="dxa"/>
            <w:gridSpan w:val="2"/>
            <w:tcBorders>
              <w:top w:val="single" w:sz="12" w:space="0" w:color="000000"/>
              <w:left w:val="single" w:sz="4" w:space="0" w:color="000000"/>
              <w:bottom w:val="single" w:sz="4" w:space="0" w:color="000000"/>
              <w:right w:val="single" w:sz="12" w:space="0" w:color="000000"/>
            </w:tcBorders>
          </w:tcPr>
          <w:p>
            <w:pPr/>
          </w:p>
        </w:tc>
      </w:tr>
      <w:tr>
        <w:trPr>
          <w:trHeight w:val="4397" w:hRule="exact"/>
        </w:trPr>
        <w:tc>
          <w:tcPr>
            <w:tcW w:w="7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服务器安全运营管理平台</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 w:firstLine="360"/>
              <w:jc w:val="both"/>
              <w:rPr>
                <w:rFonts w:ascii="宋体" w:hAnsi="宋体" w:cs="宋体" w:eastAsia="宋体" w:hint="default"/>
                <w:sz w:val="18"/>
                <w:szCs w:val="18"/>
              </w:rPr>
            </w:pPr>
            <w:r>
              <w:rPr>
                <w:rFonts w:ascii="宋体" w:hAnsi="宋体" w:cs="宋体" w:eastAsia="宋体" w:hint="default"/>
                <w:spacing w:val="3"/>
                <w:sz w:val="18"/>
                <w:szCs w:val="18"/>
              </w:rPr>
              <w:t>服务器安全加固，就是在服务器</w:t>
            </w:r>
            <w:r>
              <w:rPr>
                <w:rFonts w:ascii="宋体" w:hAnsi="宋体" w:cs="宋体" w:eastAsia="宋体" w:hint="default"/>
                <w:sz w:val="18"/>
                <w:szCs w:val="18"/>
              </w:rPr>
              <w:t> </w:t>
            </w:r>
            <w:r>
              <w:rPr>
                <w:rFonts w:ascii="宋体" w:hAnsi="宋体" w:cs="宋体" w:eastAsia="宋体" w:hint="default"/>
                <w:spacing w:val="3"/>
                <w:sz w:val="18"/>
                <w:szCs w:val="18"/>
              </w:rPr>
              <w:t>操作系统的基础上，通过安装安全类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5"/>
                <w:sz w:val="18"/>
                <w:szCs w:val="18"/>
              </w:rPr>
              <w:t>软件或手动修改操作系统配置的形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式，从安全管理、运行安全、数据安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5"/>
                <w:sz w:val="18"/>
                <w:szCs w:val="18"/>
              </w:rPr>
              <w:t>全等角度提升操作系统安全防护强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度，保障重要信息系统安全。通过构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5"/>
                <w:sz w:val="18"/>
                <w:szCs w:val="18"/>
              </w:rPr>
              <w:t>建统一安全管理平台（</w:t>
            </w:r>
            <w:r>
              <w:rPr>
                <w:rFonts w:ascii="宋体" w:hAnsi="宋体" w:cs="宋体" w:eastAsia="宋体" w:hint="default"/>
                <w:spacing w:val="-74"/>
                <w:sz w:val="18"/>
                <w:szCs w:val="18"/>
              </w:rPr>
              <w:t> </w:t>
            </w:r>
            <w:r>
              <w:rPr>
                <w:rFonts w:ascii="宋体" w:hAnsi="宋体" w:cs="宋体" w:eastAsia="宋体" w:hint="default"/>
                <w:spacing w:val="13"/>
                <w:sz w:val="18"/>
                <w:szCs w:val="18"/>
              </w:rPr>
              <w:t>安全管理中</w:t>
            </w:r>
            <w:r>
              <w:rPr>
                <w:rFonts w:ascii="宋体" w:hAnsi="宋体" w:cs="宋体" w:eastAsia="宋体" w:hint="default"/>
                <w:sz w:val="18"/>
                <w:szCs w:val="18"/>
              </w:rPr>
              <w:t> </w:t>
            </w:r>
            <w:r>
              <w:rPr>
                <w:rFonts w:ascii="宋体" w:hAnsi="宋体" w:cs="宋体" w:eastAsia="宋体" w:hint="default"/>
                <w:spacing w:val="-7"/>
                <w:sz w:val="18"/>
                <w:szCs w:val="18"/>
              </w:rPr>
              <w:t>心），对整个网络系统的服务器统一管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理、集中控制，保证各项安全机制的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高度协调统一。消除各个服务器由于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配置不同造成的安全隐患，最终构建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一道针对整个服务器系统的整体安全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防线，有效保护服务器系统中的信息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安全。</w:t>
            </w:r>
          </w:p>
        </w:tc>
        <w:tc>
          <w:tcPr>
            <w:tcW w:w="3226"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1175" w:right="0"/>
              <w:jc w:val="left"/>
              <w:rPr>
                <w:rFonts w:ascii="宋体" w:hAnsi="宋体" w:cs="宋体" w:eastAsia="宋体" w:hint="default"/>
                <w:sz w:val="18"/>
                <w:szCs w:val="18"/>
              </w:rPr>
            </w:pPr>
            <w:r>
              <w:rPr>
                <w:rFonts w:ascii="宋体" w:hAnsi="宋体" w:cs="宋体" w:eastAsia="宋体" w:hint="default"/>
                <w:sz w:val="18"/>
                <w:szCs w:val="18"/>
              </w:rPr>
              <w:t>产品测试阶段</w:t>
            </w:r>
          </w:p>
        </w:tc>
      </w:tr>
      <w:tr>
        <w:trPr>
          <w:trHeight w:val="2849" w:hRule="exact"/>
        </w:trPr>
        <w:tc>
          <w:tcPr>
            <w:tcW w:w="71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w:t>
            </w:r>
          </w:p>
        </w:tc>
        <w:tc>
          <w:tcPr>
            <w:tcW w:w="27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特权账户监管系统</w:t>
            </w:r>
          </w:p>
        </w:tc>
        <w:tc>
          <w:tcPr>
            <w:tcW w:w="2964"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20"/>
              <w:ind w:left="4" w:right="3" w:firstLine="360"/>
              <w:jc w:val="left"/>
              <w:rPr>
                <w:rFonts w:ascii="宋体" w:hAnsi="宋体" w:cs="宋体" w:eastAsia="宋体" w:hint="default"/>
                <w:sz w:val="18"/>
                <w:szCs w:val="18"/>
              </w:rPr>
            </w:pPr>
            <w:r>
              <w:rPr>
                <w:rFonts w:ascii="宋体" w:hAnsi="宋体" w:cs="宋体" w:eastAsia="宋体" w:hint="default"/>
                <w:spacing w:val="3"/>
                <w:sz w:val="18"/>
                <w:szCs w:val="18"/>
              </w:rPr>
              <w:t>特权账号生命周期管控系统软件</w:t>
            </w:r>
            <w:r>
              <w:rPr>
                <w:rFonts w:ascii="宋体" w:hAnsi="宋体" w:cs="宋体" w:eastAsia="宋体" w:hint="default"/>
                <w:sz w:val="18"/>
                <w:szCs w:val="18"/>
              </w:rPr>
              <w:t> </w:t>
            </w:r>
            <w:r>
              <w:rPr>
                <w:rFonts w:ascii="宋体" w:hAnsi="宋体" w:cs="宋体" w:eastAsia="宋体" w:hint="default"/>
                <w:spacing w:val="3"/>
                <w:sz w:val="18"/>
                <w:szCs w:val="18"/>
              </w:rPr>
              <w:t>可以使信息系统管理人员或用户更加</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安全的管理信息系统内部存在的特权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帐号，同时可基于各种运维需求，实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现对特权帐号的使用授权、认证、审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计及操作权限控制，并提供实时审计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日志及会话监控功能，实现内部特权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帐号使用可控、权限可控、操作可查</w:t>
            </w:r>
            <w:r>
              <w:rPr>
                <w:rFonts w:ascii="宋体" w:hAnsi="宋体" w:cs="宋体" w:eastAsia="宋体" w:hint="default"/>
                <w:sz w:val="18"/>
                <w:szCs w:val="18"/>
              </w:rPr>
              <w:t> 违规可举证的目的。</w:t>
            </w:r>
          </w:p>
        </w:tc>
        <w:tc>
          <w:tcPr>
            <w:tcW w:w="630"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07" w:right="0"/>
              <w:jc w:val="left"/>
              <w:rPr>
                <w:rFonts w:ascii="宋体" w:hAnsi="宋体" w:cs="宋体" w:eastAsia="宋体" w:hint="default"/>
                <w:sz w:val="18"/>
                <w:szCs w:val="18"/>
              </w:rPr>
            </w:pPr>
            <w:r>
              <w:rPr>
                <w:rFonts w:ascii="宋体" w:hAnsi="宋体" w:cs="宋体" w:eastAsia="宋体" w:hint="default"/>
                <w:sz w:val="18"/>
                <w:szCs w:val="18"/>
              </w:rPr>
              <w:t>、</w:t>
            </w:r>
          </w:p>
        </w:tc>
        <w:tc>
          <w:tcPr>
            <w:tcW w:w="2596" w:type="dxa"/>
            <w:tcBorders>
              <w:top w:val="single" w:sz="4" w:space="0" w:color="000000"/>
              <w:left w:val="nil" w:sz="6" w:space="0" w:color="auto"/>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产品研发阶段</w:t>
            </w:r>
          </w:p>
        </w:tc>
      </w:tr>
    </w:tbl>
    <w:p>
      <w:pPr>
        <w:spacing w:line="240" w:lineRule="auto" w:before="3"/>
        <w:rPr>
          <w:rFonts w:ascii="Times New Roman" w:hAnsi="Times New Roman" w:cs="Times New Roman" w:eastAsia="Times New Roman" w:hint="default"/>
          <w:sz w:val="7"/>
          <w:szCs w:val="7"/>
        </w:rPr>
      </w:pPr>
    </w:p>
    <w:p>
      <w:pPr>
        <w:pStyle w:val="BodyText"/>
        <w:spacing w:line="518" w:lineRule="auto" w:before="44"/>
        <w:ind w:left="513" w:right="94" w:firstLine="19"/>
        <w:jc w:val="left"/>
      </w:pPr>
      <w:r>
        <w:rPr/>
        <w:t>以上项目对公司未来发展的影响： </w:t>
      </w:r>
      <w:r>
        <w:rPr>
          <w:spacing w:val="-2"/>
        </w:rPr>
        <w:t>即时通讯及移动办公开发平台包括信源豆豆和移动终端安全管控系统，采用服务端、通道、客户端三端加密，通信、存</w:t>
      </w:r>
    </w:p>
    <w:p>
      <w:pPr>
        <w:pStyle w:val="BodyText"/>
        <w:spacing w:line="477" w:lineRule="auto" w:before="23"/>
        <w:ind w:right="94"/>
        <w:jc w:val="left"/>
      </w:pPr>
      <w:r>
        <w:rPr>
          <w:spacing w:val="-2"/>
        </w:rPr>
        <w:t>储、访问、使用模式四重防护，真正实现即时通信和移动办公的数据安全。信源豆豆不仅仅是安全的即时通信，也是一个应</w:t>
      </w:r>
      <w:r>
        <w:rPr>
          <w:spacing w:val="-67"/>
        </w:rPr>
        <w:t> </w:t>
      </w:r>
      <w:r>
        <w:rPr>
          <w:spacing w:val="-67"/>
        </w:rPr>
      </w:r>
      <w:r>
        <w:rPr>
          <w:spacing w:val="-2"/>
        </w:rPr>
        <w:t>用支撑平台，可为企业办公自动化、企业或组织的业务应用系统、互联网应用等提供统一的安全通信和办公平台。信源豆豆</w:t>
      </w:r>
      <w:r>
        <w:rPr>
          <w:spacing w:val="-65"/>
        </w:rPr>
        <w:t> </w:t>
      </w:r>
      <w:r>
        <w:rPr>
          <w:spacing w:val="-65"/>
        </w:rPr>
      </w:r>
      <w:r>
        <w:rPr/>
        <w:t>更是新一代互联网安全聚合通道，可以与物联网融合，可以在网络通信中嵌入智能机器人，实现基于会话内容的对话助手， 构建基于信源豆豆的基础社交网络的聚合应用平台，进一步拓展社交网络通信系统的“互联网</w:t>
      </w:r>
      <w:r>
        <w:rPr>
          <w:rFonts w:ascii="宋体" w:hAnsi="宋体" w:cs="宋体" w:eastAsia="宋体" w:hint="default"/>
        </w:rPr>
        <w:t>+</w:t>
      </w:r>
      <w:r>
        <w:rPr/>
        <w:t>”功能，比如远程医疗、矿</w:t>
      </w:r>
      <w:r>
        <w:rPr>
          <w:spacing w:val="-83"/>
        </w:rPr>
        <w:t> </w:t>
      </w:r>
      <w:r>
        <w:rPr/>
        <w:t>产勘探和智能家居等。</w:t>
      </w:r>
    </w:p>
    <w:p>
      <w:pPr>
        <w:pStyle w:val="BodyText"/>
        <w:spacing w:line="477" w:lineRule="auto" w:before="54"/>
        <w:ind w:right="191" w:firstLine="391"/>
        <w:jc w:val="both"/>
      </w:pPr>
      <w:r>
        <w:rPr>
          <w:spacing w:val="-1"/>
        </w:rPr>
        <w:t>智慧终端一体化管理平台采用“云管端”的理念，应用面向服务的</w:t>
      </w:r>
      <w:r>
        <w:rPr>
          <w:rFonts w:ascii="宋体" w:hAnsi="宋体" w:cs="宋体" w:eastAsia="宋体" w:hint="default"/>
          <w:spacing w:val="-1"/>
        </w:rPr>
        <w:t>SQA</w:t>
      </w:r>
      <w:r>
        <w:rPr>
          <w:spacing w:val="-1"/>
        </w:rPr>
        <w:t>架构，构建具备水平扩展能力的云计算和存储平</w:t>
      </w:r>
      <w:r>
        <w:rPr/>
        <w:t> </w:t>
      </w:r>
      <w:r>
        <w:rPr>
          <w:spacing w:val="-2"/>
        </w:rPr>
        <w:t>台，实现数据、策略、展示一体化管理。同时，通过对各类型终端功能和逻辑的抽象，形成统一的轻量级泛终端框架，支持</w:t>
      </w:r>
      <w:r>
        <w:rPr>
          <w:spacing w:val="-73"/>
        </w:rPr>
        <w:t> </w:t>
      </w:r>
      <w:r>
        <w:rPr>
          <w:spacing w:val="-73"/>
        </w:rPr>
      </w:r>
      <w:r>
        <w:rPr/>
        <w:t>安全策略的按需弹性动态部署和执行，实现了终端的一体化管理。</w:t>
      </w:r>
    </w:p>
    <w:p>
      <w:pPr>
        <w:pStyle w:val="BodyText"/>
        <w:spacing w:line="240" w:lineRule="auto" w:before="54"/>
        <w:ind w:left="544" w:right="94"/>
        <w:jc w:val="left"/>
      </w:pPr>
      <w:r>
        <w:rPr/>
        <w:t>基于智慧终端一体化管理平台，研发了智慧数据安全防护系统和智慧边界接入控制系统，使得业务信息系统安全边界</w:t>
      </w:r>
    </w:p>
    <w:p>
      <w:pPr>
        <w:spacing w:after="0" w:line="240" w:lineRule="auto"/>
        <w:jc w:val="left"/>
        <w:sectPr>
          <w:pgSz w:w="11910" w:h="16840"/>
          <w:pgMar w:header="745" w:footer="1133" w:top="1060" w:bottom="132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76"/>
        <w:jc w:val="left"/>
      </w:pPr>
      <w:r>
        <w:rPr/>
        <w:t>更加清晰，数据安全策略的定制、分发和执行变得更为简单，有效降低业务终端、网络、存储的载荷，</w:t>
      </w:r>
      <w:r>
        <w:rPr>
          <w:spacing w:val="8"/>
        </w:rPr>
        <w:t> </w:t>
      </w:r>
      <w:r>
        <w:rPr/>
        <w:t>从而为用户提供更</w:t>
      </w:r>
      <w:r>
        <w:rPr/>
        <w:t> 绿色、更快捷、更安全、更稳定的安全防护应用。</w:t>
      </w:r>
    </w:p>
    <w:p>
      <w:pPr>
        <w:pStyle w:val="BodyText"/>
        <w:spacing w:line="477" w:lineRule="auto" w:before="54"/>
        <w:ind w:right="195" w:firstLine="391"/>
        <w:jc w:val="both"/>
      </w:pPr>
      <w:r>
        <w:rPr/>
        <w:t>网络与终端安全和行为大数据分析系统针对终端采集系统基础数据、终端行为数据、终端通信数据、网络协议数据、 </w:t>
      </w:r>
      <w:r>
        <w:rPr>
          <w:spacing w:val="-2"/>
        </w:rPr>
        <w:t>用户使用行为等终端实时信息和历史数据，进行收集、转换和存储，进而进行数据挖掘和机器学习，实现未知攻击、僵尸网</w:t>
      </w:r>
      <w:r>
        <w:rPr>
          <w:spacing w:val="-67"/>
        </w:rPr>
        <w:t> </w:t>
      </w:r>
      <w:r>
        <w:rPr>
          <w:spacing w:val="-67"/>
        </w:rPr>
      </w:r>
      <w:r>
        <w:rPr>
          <w:spacing w:val="-2"/>
        </w:rPr>
        <w:t>络、数据异常、未知漏洞利用等风险识别及分析，达到安全数据取证功能和海量数据综合分析能力，为企业的战略决策，提</w:t>
      </w:r>
      <w:r>
        <w:rPr>
          <w:spacing w:val="-67"/>
        </w:rPr>
        <w:t> </w:t>
      </w:r>
      <w:r>
        <w:rPr>
          <w:spacing w:val="-67"/>
        </w:rPr>
      </w:r>
      <w:r>
        <w:rPr/>
        <w:t>供了可靠的数据支持。</w:t>
      </w:r>
    </w:p>
    <w:p>
      <w:pPr>
        <w:pStyle w:val="BodyText"/>
        <w:spacing w:line="477" w:lineRule="auto" w:before="54"/>
        <w:ind w:right="191" w:firstLine="360"/>
        <w:jc w:val="both"/>
      </w:pPr>
      <w:r>
        <w:rPr>
          <w:spacing w:val="-2"/>
        </w:rPr>
        <w:t>服务器配置检查系统是专门针对服务器系统开发了一款配置检查系统，可以帮助企业</w:t>
      </w:r>
      <w:r>
        <w:rPr>
          <w:rFonts w:ascii="宋体" w:hAnsi="宋体" w:cs="宋体" w:eastAsia="宋体" w:hint="default"/>
          <w:spacing w:val="-2"/>
        </w:rPr>
        <w:t>IT</w:t>
      </w:r>
      <w:r>
        <w:rPr>
          <w:spacing w:val="-2"/>
        </w:rPr>
        <w:t>管理员即时掌握所有服务器的最</w:t>
      </w:r>
      <w:r>
        <w:rPr/>
        <w:t> </w:t>
      </w:r>
      <w:r>
        <w:rPr>
          <w:spacing w:val="-2"/>
        </w:rPr>
        <w:t>新配置状态，针对不合规的配置项，采取有效措施，快速消除风险隐患，有效提高企业的服务器配置管理水平。配置检查服</w:t>
      </w:r>
      <w:r>
        <w:rPr>
          <w:spacing w:val="-66"/>
        </w:rPr>
        <w:t> </w:t>
      </w:r>
      <w:r>
        <w:rPr>
          <w:spacing w:val="-66"/>
        </w:rPr>
      </w:r>
      <w:r>
        <w:rPr>
          <w:spacing w:val="-2"/>
        </w:rPr>
        <w:t>务主要包括漏洞检查、端口扫描、配置基线、杀毒软件、安全合规检查、痕迹检查、用户账户和配置检查扩展接口等。通过</w:t>
      </w:r>
      <w:r>
        <w:rPr>
          <w:spacing w:val="-73"/>
        </w:rPr>
        <w:t> </w:t>
      </w:r>
      <w:r>
        <w:rPr>
          <w:spacing w:val="-73"/>
        </w:rPr>
      </w:r>
      <w:r>
        <w:rPr/>
        <w:t>服务器配置检查系统自动化的检查手段做保障，提升服务器配置检查效率，从而快速应对企业安全发展需要。</w:t>
      </w:r>
    </w:p>
    <w:p>
      <w:pPr>
        <w:pStyle w:val="BodyText"/>
        <w:spacing w:line="477" w:lineRule="auto" w:before="54"/>
        <w:ind w:right="189" w:firstLine="360"/>
        <w:jc w:val="both"/>
      </w:pPr>
      <w:r>
        <w:rPr/>
        <w:t>安全免疫移动硬盘是一种用于保护数据安全的</w:t>
      </w:r>
      <w:r>
        <w:rPr>
          <w:rFonts w:ascii="宋体" w:hAnsi="宋体" w:cs="宋体" w:eastAsia="宋体" w:hint="default"/>
        </w:rPr>
        <w:t>USB</w:t>
      </w:r>
      <w:r>
        <w:rPr/>
        <w:t>移动硬盘，除移动硬盘基本功能外还包括采集信息工具、信息录入工 </w:t>
      </w:r>
      <w:r>
        <w:rPr>
          <w:spacing w:val="-2"/>
        </w:rPr>
        <w:t>具、系统授权工具等模块组成，具有两种使用模式：“内网专用安全移动硬盘”和“单向导入安全移动硬盘”。内网专用安</w:t>
      </w:r>
      <w:r>
        <w:rPr>
          <w:spacing w:val="-63"/>
        </w:rPr>
        <w:t> </w:t>
      </w:r>
      <w:r>
        <w:rPr>
          <w:spacing w:val="-63"/>
        </w:rPr>
      </w:r>
      <w:r>
        <w:rPr>
          <w:spacing w:val="-2"/>
        </w:rPr>
        <w:t>全移动硬盘主要用于内网数据备份存储与内部流转场景，单向导入安全移动硬盘用于外部数据单向导入防止内部数据外泄场</w:t>
      </w:r>
      <w:r>
        <w:rPr>
          <w:spacing w:val="-63"/>
        </w:rPr>
        <w:t> </w:t>
      </w:r>
      <w:r>
        <w:rPr>
          <w:spacing w:val="-63"/>
        </w:rPr>
      </w:r>
      <w:r>
        <w:rPr/>
        <w:t>景。安全免疫移动硬盘可有效解决由计算机病毒、系统漏洞、隐蔽访问通道、黑客攻击等造成敏感数据泄密等问题。</w:t>
      </w:r>
    </w:p>
    <w:p>
      <w:pPr>
        <w:pStyle w:val="BodyText"/>
        <w:spacing w:line="477" w:lineRule="auto" w:before="54"/>
        <w:ind w:right="189" w:firstLine="360"/>
        <w:jc w:val="both"/>
      </w:pPr>
      <w:r>
        <w:rPr>
          <w:spacing w:val="-2"/>
        </w:rPr>
        <w:t>国产化主机监控与审计系统，作为实现国家信息安全战略“自主可控、安全可信”的一部分，在国产化专用计算下应用</w:t>
      </w:r>
      <w:r>
        <w:rPr/>
        <w:t> </w:t>
      </w:r>
      <w:r>
        <w:rPr>
          <w:spacing w:val="-2"/>
        </w:rPr>
        <w:t>场景下，实现对主机运行、用户访问行为的细粒度审计和管理。实现了专用计算机的运行安全管理、运行状态监视、终端用</w:t>
      </w:r>
      <w:r>
        <w:rPr>
          <w:spacing w:val="-67"/>
        </w:rPr>
        <w:t> </w:t>
      </w:r>
      <w:r>
        <w:rPr>
          <w:spacing w:val="-67"/>
        </w:rPr>
      </w:r>
      <w:r>
        <w:rPr>
          <w:spacing w:val="-2"/>
        </w:rPr>
        <w:t>户对系统和文件访问行为、文档输出行为、系统账户事件等进行全程跟踪审计，为安全事件追踪分析提供分析依据。已完成</w:t>
      </w:r>
      <w:r>
        <w:rPr>
          <w:spacing w:val="-65"/>
        </w:rPr>
        <w:t> </w:t>
      </w:r>
      <w:r>
        <w:rPr>
          <w:spacing w:val="-65"/>
        </w:rPr>
      </w:r>
      <w:r>
        <w:rPr/>
        <w:t>了对国产化自主可控的硬件和软件环境的适配，从芯片、</w:t>
      </w:r>
      <w:r>
        <w:rPr>
          <w:rFonts w:ascii="宋体" w:hAnsi="宋体" w:cs="宋体" w:eastAsia="宋体" w:hint="default"/>
        </w:rPr>
        <w:t>CPU</w:t>
      </w:r>
      <w:r>
        <w:rPr/>
        <w:t>到板卡，从操作系统、数据库到应用软件，实现了真正意义上</w:t>
      </w:r>
      <w:r>
        <w:rPr>
          <w:spacing w:val="-84"/>
        </w:rPr>
        <w:t> </w:t>
      </w:r>
      <w:r>
        <w:rPr>
          <w:spacing w:val="-84"/>
        </w:rPr>
      </w:r>
      <w:r>
        <w:rPr/>
        <w:t>的国产、自主、可控，有效保护了信息资产的安全。</w:t>
      </w:r>
    </w:p>
    <w:p>
      <w:pPr>
        <w:pStyle w:val="BodyText"/>
        <w:spacing w:line="477" w:lineRule="auto" w:before="54"/>
        <w:ind w:right="94" w:firstLine="360"/>
        <w:jc w:val="left"/>
      </w:pPr>
      <w:r>
        <w:rPr/>
        <w:t>虚拟化终端安全管理系统，针对虚拟化环境下的新型安全问题，以虚拟机为核心保护对象进行全面管控，从边界安全、 </w:t>
      </w:r>
      <w:r>
        <w:rPr>
          <w:spacing w:val="-2"/>
        </w:rPr>
        <w:t>主机安全、数据安全、安全监控和安全审计多维度实现安全防护，保障虚拟桌面终端和企业信息资产的安全。该系统通过与</w:t>
      </w:r>
      <w:r>
        <w:rPr>
          <w:spacing w:val="-64"/>
        </w:rPr>
        <w:t> </w:t>
      </w:r>
      <w:r>
        <w:rPr>
          <w:spacing w:val="-64"/>
        </w:rPr>
      </w:r>
      <w:r>
        <w:rPr/>
        <w:t>虚拟化平台深度结合，采用在虚拟化领用领先的“无代理</w:t>
      </w:r>
      <w:r>
        <w:rPr>
          <w:rFonts w:ascii="宋体" w:hAnsi="宋体" w:cs="宋体" w:eastAsia="宋体" w:hint="default"/>
        </w:rPr>
        <w:t>+</w:t>
      </w:r>
      <w:r>
        <w:rPr/>
        <w:t>轻代理”的技术实现思路，确保虚拟主机安全的同时极大的降低</w:t>
      </w:r>
      <w:r>
        <w:rPr>
          <w:spacing w:val="-83"/>
        </w:rPr>
        <w:t> </w:t>
      </w:r>
      <w:r>
        <w:rPr>
          <w:spacing w:val="-83"/>
        </w:rPr>
      </w:r>
      <w:r>
        <w:rPr/>
        <w:t>了对系统资源和网络带宽资源的消耗，该系统安全功能实现覆盖了虚拟化环境下的三种不同的虚拟主机类型（在线虚拟机、</w:t>
      </w:r>
      <w:r>
        <w:rPr/>
        <w:t> 离线虚拟机、虚拟机模板），为用户管理提供灵活选择。实现对异构虚拟化平台的支持，支持国内外主流虚拟化厂商产品， 极大保护了用户信息化投资。</w:t>
      </w:r>
    </w:p>
    <w:p>
      <w:pPr>
        <w:pStyle w:val="BodyText"/>
        <w:spacing w:line="477" w:lineRule="auto" w:before="95"/>
        <w:ind w:right="191" w:firstLine="360"/>
        <w:jc w:val="both"/>
      </w:pPr>
      <w:r>
        <w:rPr>
          <w:spacing w:val="-2"/>
        </w:rPr>
        <w:t>服务器安全运营管理平台，针对传统的安全防护体系容易忽略主机自身安全防护的问题，以服务器加固为核心在服务器</w:t>
      </w:r>
      <w:r>
        <w:rPr/>
        <w:t> </w:t>
      </w:r>
      <w:r>
        <w:rPr>
          <w:spacing w:val="-2"/>
        </w:rPr>
        <w:t>操作系统的基础上，通过安装安全类软件或手动修改操作系统配置的形式，从安全管理、运行安全、数据安全等角度提升操</w:t>
      </w:r>
      <w:r>
        <w:rPr>
          <w:spacing w:val="-64"/>
        </w:rPr>
        <w:t> </w:t>
      </w:r>
      <w:r>
        <w:rPr>
          <w:spacing w:val="-64"/>
        </w:rPr>
      </w:r>
      <w:r>
        <w:rPr>
          <w:spacing w:val="-2"/>
        </w:rPr>
        <w:t>作系统安全防护强度，保障重要信息系统安全。通过对服务器的操作系统进行安全加固，从系统底层为出发点，以可信计算</w:t>
      </w:r>
      <w:r>
        <w:rPr>
          <w:spacing w:val="-65"/>
        </w:rPr>
        <w:t> </w:t>
      </w:r>
      <w:r>
        <w:rPr>
          <w:spacing w:val="-65"/>
        </w:rPr>
      </w:r>
      <w:r>
        <w:rPr>
          <w:spacing w:val="-2"/>
        </w:rPr>
        <w:t>技术为基础、访问控制为核心，保证服务器的安全，形成严密的安全保护环境，抵御病毒木马等恶意代码的入侵行为。通过</w:t>
      </w:r>
    </w:p>
    <w:p>
      <w:pPr>
        <w:spacing w:after="0" w:line="477" w:lineRule="auto"/>
        <w:jc w:val="both"/>
        <w:sectPr>
          <w:pgSz w:w="11910" w:h="16840"/>
          <w:pgMar w:header="745" w:footer="1133" w:top="1060" w:bottom="132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94"/>
        <w:jc w:val="left"/>
      </w:pPr>
      <w:r>
        <w:rPr>
          <w:spacing w:val="-4"/>
        </w:rPr>
        <w:t>对用户行为的控制，有效的防止非授权用户访问和授权用户的越权访问行为的发生，确保信息和信息系统的机密性和完整性，</w:t>
      </w:r>
      <w:r>
        <w:rPr>
          <w:spacing w:val="-44"/>
        </w:rPr>
        <w:t> </w:t>
      </w:r>
      <w:r>
        <w:rPr>
          <w:spacing w:val="-44"/>
        </w:rPr>
      </w:r>
      <w:r>
        <w:rPr>
          <w:spacing w:val="-4"/>
        </w:rPr>
        <w:t>从而为应用系统的正常运行和免遭恶意破坏提供支撑和保障。通过对操作系统本身的安全加固，打造服务器本身的免疫系统。</w:t>
      </w:r>
      <w:r>
        <w:rPr>
          <w:spacing w:val="-44"/>
        </w:rPr>
        <w:t> </w:t>
      </w:r>
      <w:r>
        <w:rPr>
          <w:spacing w:val="-44"/>
        </w:rPr>
      </w:r>
      <w:r>
        <w:rPr>
          <w:spacing w:val="-2"/>
        </w:rPr>
        <w:t>可以有效的规避因打补丁给服务器带来的风险，切断黑客的攻击途径。同时，本方案通过主动防御和防网络攻击等功能弥补</w:t>
      </w:r>
      <w:r>
        <w:rPr>
          <w:spacing w:val="-66"/>
        </w:rPr>
        <w:t> </w:t>
      </w:r>
      <w:r>
        <w:rPr>
          <w:spacing w:val="-66"/>
        </w:rPr>
      </w:r>
      <w:r>
        <w:rPr>
          <w:spacing w:val="-2"/>
        </w:rPr>
        <w:t>了传统安全产品的不足，避免出现信息安全的短板效应，提高了系统的整体防御能力。通过构建统一安全管理平台（安全管</w:t>
      </w:r>
      <w:r>
        <w:rPr>
          <w:spacing w:val="-65"/>
        </w:rPr>
        <w:t> </w:t>
      </w:r>
      <w:r>
        <w:rPr>
          <w:spacing w:val="-65"/>
        </w:rPr>
      </w:r>
      <w:r>
        <w:rPr>
          <w:spacing w:val="-2"/>
        </w:rPr>
        <w:t>理中心），对整个网络系统的服务器统一管理、集中控制，保证各项安全机制的高度协调统一。消除各个服务器由于配置不</w:t>
      </w:r>
      <w:r>
        <w:rPr>
          <w:spacing w:val="-72"/>
        </w:rPr>
        <w:t> </w:t>
      </w:r>
      <w:r>
        <w:rPr>
          <w:spacing w:val="-72"/>
        </w:rPr>
      </w:r>
      <w:r>
        <w:rPr/>
        <w:t>同造成的安全隐患，最终构建一道针对整个服务器系统的整体安全防线，有效保护服务器系统中的信息安全。</w:t>
      </w:r>
    </w:p>
    <w:p>
      <w:pPr>
        <w:pStyle w:val="BodyText"/>
        <w:spacing w:line="477" w:lineRule="auto" w:before="95"/>
        <w:ind w:right="188" w:firstLine="360"/>
        <w:jc w:val="both"/>
      </w:pPr>
      <w:r>
        <w:rPr>
          <w:spacing w:val="-2"/>
        </w:rPr>
        <w:t>特权账号生命周期管控系统提供了从账号发现、账号自动改密、密码安全存储、账号授权到账号回收的特权账号全生命</w:t>
      </w:r>
      <w:r>
        <w:rPr/>
        <w:t> </w:t>
      </w:r>
      <w:r>
        <w:rPr>
          <w:spacing w:val="-2"/>
        </w:rPr>
        <w:t>周期管控，产品作为运维的统一入口，提供单点登录功能，登录时自动回填用户名密码，通过对账号权限的配置，实现特权</w:t>
      </w:r>
      <w:r>
        <w:rPr>
          <w:spacing w:val="-67"/>
        </w:rPr>
        <w:t> </w:t>
      </w:r>
      <w:r>
        <w:rPr>
          <w:spacing w:val="-67"/>
        </w:rPr>
      </w:r>
      <w:r>
        <w:rPr>
          <w:spacing w:val="-2"/>
        </w:rPr>
        <w:t>账号最小权限，同时强化运维人员的身份认证，确保只有符合要求的运维用户才能够进行安全运维，从而加强对后端资产的</w:t>
      </w:r>
      <w:r>
        <w:rPr>
          <w:spacing w:val="-61"/>
        </w:rPr>
        <w:t> </w:t>
      </w:r>
      <w:r>
        <w:rPr>
          <w:spacing w:val="-61"/>
        </w:rPr>
      </w:r>
      <w:r>
        <w:rPr>
          <w:spacing w:val="-2"/>
        </w:rPr>
        <w:t>安全保护。同时，提供全程运维审计功能，通过审计功能可对运维用户的操作行为进行检索及全程回放，保障违规操作可溯</w:t>
      </w:r>
      <w:r>
        <w:rPr>
          <w:spacing w:val="-64"/>
        </w:rPr>
        <w:t> </w:t>
      </w:r>
      <w:r>
        <w:rPr>
          <w:spacing w:val="-64"/>
        </w:rPr>
      </w:r>
      <w:r>
        <w:rPr/>
        <w:t>源，构建账号可管理、权限可控制、身份可认证、行为可审计、事件可溯源、违规可举证、事故可追责的安全平台。</w:t>
      </w:r>
    </w:p>
    <w:p>
      <w:pPr>
        <w:pStyle w:val="BodyText"/>
        <w:spacing w:line="477" w:lineRule="auto" w:before="92"/>
        <w:ind w:right="189" w:firstLine="360"/>
        <w:jc w:val="both"/>
      </w:pPr>
      <w:r>
        <w:rPr>
          <w:spacing w:val="-2"/>
        </w:rPr>
        <w:t>上述研发项目的研发将大大提升公司现有产品面的整体竞争力，为公司提供更为优质的销售资源，开拓业务增长点，提</w:t>
      </w:r>
      <w:r>
        <w:rPr/>
        <w:t> 升公司整体业绩和品牌形象。</w:t>
      </w:r>
    </w:p>
    <w:p>
      <w:pPr>
        <w:pStyle w:val="BodyText"/>
        <w:spacing w:line="240" w:lineRule="auto" w:before="16"/>
        <w:ind w:right="94"/>
        <w:jc w:val="left"/>
      </w:pPr>
      <w:r>
        <w:rPr/>
        <w:t>近三年公司研发投入金额及占营业收入的比例</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424"/>
        <w:gridCol w:w="2425"/>
        <w:gridCol w:w="2424"/>
        <w:gridCol w:w="2425"/>
      </w:tblGrid>
      <w:tr>
        <w:trPr>
          <w:trHeight w:val="401"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564</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476</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393</w:t>
            </w:r>
          </w:p>
        </w:tc>
      </w:tr>
      <w:tr>
        <w:trPr>
          <w:trHeight w:val="401"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43.79%</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40.37%</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37.82%</w:t>
            </w:r>
          </w:p>
        </w:tc>
      </w:tr>
      <w:tr>
        <w:trPr>
          <w:trHeight w:val="403"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101,050,908.99</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77,200,657.66</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58,597,959.08</w:t>
            </w:r>
          </w:p>
        </w:tc>
      </w:tr>
      <w:tr>
        <w:trPr>
          <w:trHeight w:val="401"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19.63%</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15.68%</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12.47%</w:t>
            </w:r>
          </w:p>
        </w:tc>
      </w:tr>
      <w:tr>
        <w:trPr>
          <w:trHeight w:val="403"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41,142,993.54</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24,728,808.89</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16,415,091.70</w:t>
            </w:r>
          </w:p>
        </w:tc>
      </w:tr>
      <w:tr>
        <w:trPr>
          <w:trHeight w:val="713"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48"/>
              <w:jc w:val="left"/>
              <w:rPr>
                <w:rFonts w:ascii="宋体" w:hAnsi="宋体" w:cs="宋体" w:eastAsia="宋体" w:hint="default"/>
                <w:sz w:val="18"/>
                <w:szCs w:val="18"/>
              </w:rPr>
            </w:pPr>
            <w:r>
              <w:rPr>
                <w:rFonts w:ascii="宋体" w:hAnsi="宋体" w:cs="宋体" w:eastAsia="宋体" w:hint="default"/>
                <w:sz w:val="18"/>
                <w:szCs w:val="18"/>
              </w:rPr>
              <w:t>资本化研发支出占研发投入的 比例</w:t>
            </w:r>
          </w:p>
        </w:tc>
        <w:tc>
          <w:tcPr>
            <w:tcW w:w="2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40.72%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32.03%</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28.01%</w:t>
            </w:r>
          </w:p>
        </w:tc>
      </w:tr>
      <w:tr>
        <w:trPr>
          <w:trHeight w:val="716"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8"/>
              <w:jc w:val="left"/>
              <w:rPr>
                <w:rFonts w:ascii="宋体" w:hAnsi="宋体" w:cs="宋体" w:eastAsia="宋体" w:hint="default"/>
                <w:sz w:val="18"/>
                <w:szCs w:val="18"/>
              </w:rPr>
            </w:pPr>
            <w:r>
              <w:rPr>
                <w:rFonts w:ascii="宋体" w:hAnsi="宋体" w:cs="宋体" w:eastAsia="宋体" w:hint="default"/>
                <w:sz w:val="18"/>
                <w:szCs w:val="18"/>
              </w:rPr>
              <w:t>资本化研发支出占当期净利润 的比重</w:t>
            </w:r>
          </w:p>
        </w:tc>
        <w:tc>
          <w:tcPr>
            <w:tcW w:w="2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45.54%</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30.82%</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23.21%</w:t>
            </w:r>
          </w:p>
        </w:tc>
      </w:tr>
    </w:tbl>
    <w:p>
      <w:pPr>
        <w:pStyle w:val="BodyText"/>
        <w:spacing w:line="240" w:lineRule="auto" w:before="49"/>
        <w:ind w:right="94"/>
        <w:jc w:val="left"/>
      </w:pPr>
      <w:r>
        <w:rPr/>
        <w:t>研发投入总额占营业收入的比重较上年发生显著变化的原因</w:t>
      </w:r>
    </w:p>
    <w:p>
      <w:pPr>
        <w:pStyle w:val="BodyText"/>
        <w:spacing w:line="340" w:lineRule="auto" w:before="115"/>
        <w:ind w:right="58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39"/>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94"/>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424"/>
        <w:gridCol w:w="2425"/>
        <w:gridCol w:w="2424"/>
        <w:gridCol w:w="2425"/>
      </w:tblGrid>
      <w:tr>
        <w:trPr>
          <w:trHeight w:val="401"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5" w:right="0"/>
              <w:jc w:val="left"/>
              <w:rPr>
                <w:rFonts w:ascii="Times New Roman" w:hAnsi="Times New Roman" w:cs="Times New Roman" w:eastAsia="Times New Roman" w:hint="default"/>
                <w:sz w:val="18"/>
                <w:szCs w:val="18"/>
              </w:rPr>
            </w:pPr>
            <w:r>
              <w:rPr>
                <w:rFonts w:ascii="Times New Roman"/>
                <w:sz w:val="18"/>
              </w:rPr>
              <w:t>403,982,758.47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7" w:right="0"/>
              <w:jc w:val="left"/>
              <w:rPr>
                <w:rFonts w:ascii="Times New Roman" w:hAnsi="Times New Roman" w:cs="Times New Roman" w:eastAsia="Times New Roman" w:hint="default"/>
                <w:sz w:val="18"/>
                <w:szCs w:val="18"/>
              </w:rPr>
            </w:pPr>
            <w:r>
              <w:rPr>
                <w:rFonts w:ascii="Times New Roman"/>
                <w:sz w:val="18"/>
              </w:rPr>
              <w:t>454,246,688.34</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33" w:top="1060" w:bottom="1320" w:left="980" w:right="940"/>
        </w:sectPr>
      </w:pPr>
    </w:p>
    <w:p>
      <w:pPr>
        <w:spacing w:line="240" w:lineRule="auto" w:before="6"/>
        <w:rPr>
          <w:rFonts w:ascii="宋体" w:hAnsi="宋体" w:cs="宋体" w:eastAsia="宋体" w:hint="default"/>
          <w:sz w:val="28"/>
          <w:szCs w:val="28"/>
        </w:rPr>
      </w:pPr>
    </w:p>
    <w:tbl>
      <w:tblPr>
        <w:tblW w:w="0" w:type="auto"/>
        <w:jc w:val="left"/>
        <w:tblInd w:w="120" w:type="dxa"/>
        <w:tblLayout w:type="fixed"/>
        <w:tblCellMar>
          <w:top w:w="0" w:type="dxa"/>
          <w:left w:w="0" w:type="dxa"/>
          <w:bottom w:w="0" w:type="dxa"/>
          <w:right w:w="0" w:type="dxa"/>
        </w:tblCellMar>
        <w:tblLook w:val="01E0"/>
      </w:tblPr>
      <w:tblGrid>
        <w:gridCol w:w="2423"/>
        <w:gridCol w:w="2425"/>
        <w:gridCol w:w="2424"/>
        <w:gridCol w:w="2425"/>
      </w:tblGrid>
      <w:tr>
        <w:trPr>
          <w:trHeight w:val="401"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492,198,084.67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474,567,643.64</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w:t>
            </w:r>
          </w:p>
        </w:tc>
      </w:tr>
      <w:tr>
        <w:trPr>
          <w:trHeight w:val="403"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-88,215,326.20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-20,320,955.30</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-334.11%</w:t>
            </w:r>
            <w:r>
              <w:rPr>
                <w:rFonts w:ascii="Times New Roman"/>
                <w:spacing w:val="-1"/>
                <w:sz w:val="18"/>
              </w:rPr>
            </w:r>
          </w:p>
        </w:tc>
      </w:tr>
      <w:tr>
        <w:trPr>
          <w:trHeight w:val="401"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5,903,600,942.11</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4,744,621.11</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124,327.24%</w:t>
            </w:r>
          </w:p>
        </w:tc>
      </w:tr>
      <w:tr>
        <w:trPr>
          <w:trHeight w:val="403"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6,152,876,995.42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83,780,009.79</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7,244.09%</w:t>
            </w:r>
          </w:p>
        </w:tc>
      </w:tr>
      <w:tr>
        <w:trPr>
          <w:trHeight w:val="401"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-249,276,053.31</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-79,035,388.68</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-215.40%</w:t>
            </w:r>
          </w:p>
        </w:tc>
      </w:tr>
      <w:tr>
        <w:trPr>
          <w:trHeight w:val="403"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43,000,000.00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1,251,460,940.00</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-96.56%</w:t>
            </w:r>
          </w:p>
        </w:tc>
      </w:tr>
      <w:tr>
        <w:trPr>
          <w:trHeight w:val="401"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24,215,765.73</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14,740,175.59</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64.28%</w:t>
            </w:r>
          </w:p>
        </w:tc>
      </w:tr>
      <w:tr>
        <w:trPr>
          <w:trHeight w:val="403"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18,784,234.27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1,236,720,764.41</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-98.48%</w:t>
            </w:r>
          </w:p>
        </w:tc>
      </w:tr>
      <w:tr>
        <w:trPr>
          <w:trHeight w:val="404"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-318,593,402.94</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1,137,485,713.85</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-128.01%</w:t>
            </w:r>
          </w:p>
        </w:tc>
      </w:tr>
    </w:tbl>
    <w:p>
      <w:pPr>
        <w:pStyle w:val="BodyText"/>
        <w:spacing w:line="240" w:lineRule="auto" w:before="49"/>
        <w:ind w:right="0"/>
        <w:jc w:val="left"/>
      </w:pPr>
      <w:r>
        <w:rPr/>
        <w:t>相关数据同比发生重大变动的主要影响因素说明</w:t>
      </w:r>
    </w:p>
    <w:p>
      <w:pPr>
        <w:pStyle w:val="BodyText"/>
        <w:spacing w:line="319"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rPr>
        <w:t>1.</w:t>
      </w:r>
      <w:r>
        <w:rPr/>
        <w:t>经营活动产生的现金流量净额同比下降</w:t>
      </w:r>
      <w:r>
        <w:rPr>
          <w:rFonts w:ascii="Times New Roman" w:hAnsi="Times New Roman" w:cs="Times New Roman" w:eastAsia="Times New Roman" w:hint="default"/>
        </w:rPr>
        <w:t>334.11%</w:t>
      </w:r>
      <w:r>
        <w:rPr/>
        <w:t>：主要原因是：公司加大对新产品的研发和推广力度，人员增加，人工成</w:t>
      </w:r>
      <w:r>
        <w:rPr>
          <w:spacing w:val="-60"/>
        </w:rPr>
        <w:t> </w:t>
      </w:r>
      <w:r>
        <w:rPr>
          <w:spacing w:val="-60"/>
        </w:rPr>
      </w:r>
      <w:r>
        <w:rPr/>
        <w:t>本支出增加所致；</w:t>
      </w:r>
    </w:p>
    <w:p>
      <w:pPr>
        <w:pStyle w:val="BodyText"/>
        <w:spacing w:line="307" w:lineRule="auto" w:before="17"/>
        <w:ind w:right="0"/>
        <w:jc w:val="left"/>
      </w:pPr>
      <w:r>
        <w:rPr>
          <w:rFonts w:ascii="Times New Roman" w:hAnsi="Times New Roman" w:cs="Times New Roman" w:eastAsia="Times New Roman" w:hint="default"/>
        </w:rPr>
        <w:t>2.</w:t>
      </w:r>
      <w:r>
        <w:rPr/>
        <w:t>投资活动产生的现金流量净额同比下降</w:t>
      </w:r>
      <w:r>
        <w:rPr>
          <w:rFonts w:ascii="Times New Roman" w:hAnsi="Times New Roman" w:cs="Times New Roman" w:eastAsia="Times New Roman" w:hint="default"/>
        </w:rPr>
        <w:t>215.40%</w:t>
      </w:r>
      <w:r>
        <w:rPr/>
        <w:t>，主要原因是：（</w:t>
      </w:r>
      <w:r>
        <w:rPr>
          <w:rFonts w:ascii="Times New Roman" w:hAnsi="Times New Roman" w:cs="Times New Roman" w:eastAsia="Times New Roman" w:hint="default"/>
        </w:rPr>
        <w:t>1</w:t>
      </w:r>
      <w:r>
        <w:rPr/>
        <w:t>）非公开募集项目发生了项目建设投入所致；（</w:t>
      </w:r>
      <w:r>
        <w:rPr>
          <w:rFonts w:ascii="Times New Roman" w:hAnsi="Times New Roman" w:cs="Times New Roman" w:eastAsia="Times New Roman" w:hint="default"/>
        </w:rPr>
        <w:t>2</w:t>
      </w:r>
      <w:r>
        <w:rPr/>
        <w:t>）公</w:t>
      </w:r>
      <w:r>
        <w:rPr>
          <w:spacing w:val="-58"/>
        </w:rPr>
        <w:t> </w:t>
      </w:r>
      <w:r>
        <w:rPr/>
        <w:t>司存放于银行的现金管理产品相关的现金流计入投资活动现金流量所致； </w:t>
      </w:r>
      <w:r>
        <w:rPr>
          <w:rFonts w:ascii="Times New Roman" w:hAnsi="Times New Roman" w:cs="Times New Roman" w:eastAsia="Times New Roman" w:hint="default"/>
        </w:rPr>
        <w:t>3.</w:t>
      </w:r>
      <w:r>
        <w:rPr/>
        <w:t>筹资活动产生的现金流量净额同比下降</w:t>
      </w:r>
      <w:r>
        <w:rPr>
          <w:rFonts w:ascii="Times New Roman" w:hAnsi="Times New Roman" w:cs="Times New Roman" w:eastAsia="Times New Roman" w:hint="default"/>
        </w:rPr>
        <w:t>98.48%</w:t>
      </w:r>
      <w:r>
        <w:rPr/>
        <w:t>，主要原因是：公司</w:t>
      </w:r>
      <w:r>
        <w:rPr>
          <w:rFonts w:ascii="Times New Roman" w:hAnsi="Times New Roman" w:cs="Times New Roman" w:eastAsia="Times New Roman" w:hint="default"/>
        </w:rPr>
        <w:t>2017</w:t>
      </w:r>
      <w:r>
        <w:rPr/>
        <w:t>年进行银行债务融资</w:t>
      </w:r>
      <w:r>
        <w:rPr>
          <w:rFonts w:ascii="Times New Roman" w:hAnsi="Times New Roman" w:cs="Times New Roman" w:eastAsia="Times New Roman" w:hint="default"/>
        </w:rPr>
        <w:t>4,000</w:t>
      </w:r>
      <w:r>
        <w:rPr/>
        <w:t>万元，而</w:t>
      </w:r>
      <w:r>
        <w:rPr>
          <w:rFonts w:ascii="Times New Roman" w:hAnsi="Times New Roman" w:cs="Times New Roman" w:eastAsia="Times New Roman" w:hint="default"/>
        </w:rPr>
        <w:t>2016</w:t>
      </w:r>
      <w:r>
        <w:rPr/>
        <w:t>年通过非</w:t>
      </w:r>
      <w:r>
        <w:rPr>
          <w:spacing w:val="-21"/>
        </w:rPr>
        <w:t> </w:t>
      </w:r>
      <w:r>
        <w:rPr>
          <w:spacing w:val="-21"/>
        </w:rPr>
      </w:r>
      <w:r>
        <w:rPr/>
        <w:t>公开发行方式募集资金。</w:t>
      </w:r>
    </w:p>
    <w:p>
      <w:pPr>
        <w:pStyle w:val="BodyText"/>
        <w:spacing w:line="240" w:lineRule="auto" w:before="67"/>
        <w:ind w:right="0"/>
        <w:jc w:val="left"/>
      </w:pPr>
      <w:r>
        <w:rPr/>
        <w:t>报告期内公司经营活动产生的现金净流量与本年度净利润存在重大差异的原因说明</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三、非主营业务情况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四、资产及负债状况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340"/>
        <w:gridCol w:w="1316"/>
        <w:gridCol w:w="1202"/>
        <w:gridCol w:w="1416"/>
        <w:gridCol w:w="1277"/>
        <w:gridCol w:w="1563"/>
        <w:gridCol w:w="1584"/>
      </w:tblGrid>
      <w:tr>
        <w:trPr>
          <w:trHeight w:val="403" w:hRule="exact"/>
        </w:trPr>
        <w:tc>
          <w:tcPr>
            <w:tcW w:w="1340" w:type="dxa"/>
            <w:vMerge w:val="restart"/>
            <w:tcBorders>
              <w:top w:val="single" w:sz="4" w:space="0" w:color="000000"/>
              <w:left w:val="single" w:sz="4" w:space="0" w:color="000000"/>
              <w:right w:val="single" w:sz="4" w:space="0" w:color="000000"/>
            </w:tcBorders>
            <w:shd w:val="clear" w:color="auto" w:fill="D2D2D2"/>
          </w:tcPr>
          <w:p>
            <w:pPr/>
          </w:p>
        </w:tc>
        <w:tc>
          <w:tcPr>
            <w:tcW w:w="25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5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340" w:type="dxa"/>
            <w:vMerge/>
            <w:tcBorders>
              <w:left w:val="single" w:sz="4" w:space="0" w:color="000000"/>
              <w:bottom w:val="single" w:sz="4" w:space="0" w:color="000000"/>
              <w:right w:val="single" w:sz="4" w:space="0" w:color="000000"/>
            </w:tcBorders>
            <w:shd w:val="clear" w:color="auto" w:fill="D2D2D2"/>
          </w:tcPr>
          <w:p>
            <w:pP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占总资产比例</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563" w:type="dxa"/>
            <w:vMerge/>
            <w:tcBorders>
              <w:left w:val="single" w:sz="4" w:space="0" w:color="000000"/>
              <w:bottom w:val="single" w:sz="4" w:space="0" w:color="000000"/>
              <w:right w:val="single" w:sz="4" w:space="0" w:color="000000"/>
            </w:tcBorders>
            <w:shd w:val="clear" w:color="auto" w:fill="D2D2D2"/>
          </w:tcPr>
          <w:p>
            <w:pPr/>
          </w:p>
        </w:tc>
        <w:tc>
          <w:tcPr>
            <w:tcW w:w="158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1,048,197,943.20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42.02%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1,357,659,948.14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58.66%</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-16.64%</w:t>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732,866,568.44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29.38%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569,496,821.69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24.61%</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4.77%</w:t>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69,623,995.52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34,126,796.05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1.32%</w:t>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11,223,788.00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17,393,060.61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-0.30%</w:t>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79,554,945.35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74,754,936.50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-0.04%</w:t>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26,979,737.02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2,270,147.11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0.10%</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0.98%</w:t>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1.60%</w:t>
            </w:r>
          </w:p>
        </w:tc>
        <w:tc>
          <w:tcPr>
            <w:tcW w:w="15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33" w:top="1060" w:bottom="132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5"/>
        <w:rPr>
          <w:rFonts w:ascii="Microsoft JhengHei" w:hAnsi="Microsoft JhengHei" w:cs="Microsoft JhengHei" w:eastAsia="Microsoft JhengHei" w:hint="default"/>
          <w:b/>
          <w:bCs/>
          <w:sz w:val="23"/>
          <w:szCs w:val="23"/>
        </w:rPr>
      </w:pPr>
    </w:p>
    <w:p>
      <w:pPr>
        <w:pStyle w:val="BodyText"/>
        <w:spacing w:line="451" w:lineRule="auto"/>
        <w:ind w:right="148"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日，本公司的所有权受到限制的货币资金为人民币</w:t>
      </w:r>
      <w:r>
        <w:rPr>
          <w:rFonts w:ascii="Times New Roman" w:hAnsi="Times New Roman" w:cs="Times New Roman" w:eastAsia="Times New Roman" w:hint="default"/>
          <w:spacing w:val="-2"/>
        </w:rPr>
        <w:t>10,776,318.00</w:t>
      </w:r>
      <w:r>
        <w:rPr>
          <w:spacing w:val="-2"/>
        </w:rPr>
        <w:t>元，其中</w:t>
      </w:r>
      <w:r>
        <w:rPr>
          <w:rFonts w:ascii="Times New Roman" w:hAnsi="Times New Roman" w:cs="Times New Roman" w:eastAsia="Times New Roman" w:hint="default"/>
          <w:spacing w:val="-2"/>
        </w:rPr>
        <w:t>2,014,818.00</w:t>
      </w:r>
      <w:r>
        <w:rPr>
          <w:spacing w:val="-2"/>
        </w:rPr>
        <w:t>元系本公司向银行申</w:t>
      </w:r>
      <w:r>
        <w:rPr/>
        <w:t> 请开具无条件、不可撤销的担保函所存入的保函保证金（</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1,644,920.00</w:t>
      </w:r>
      <w:r>
        <w:rPr/>
        <w:t>元）；剩余</w:t>
      </w:r>
      <w:r>
        <w:rPr>
          <w:rFonts w:ascii="Times New Roman" w:hAnsi="Times New Roman" w:cs="Times New Roman" w:eastAsia="Times New Roman" w:hint="default"/>
        </w:rPr>
        <w:t>8,761,500.00</w:t>
      </w:r>
      <w:r>
        <w:rPr/>
        <w:t>为票 据保证金。</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9"/>
          <w:szCs w:val="19"/>
        </w:rPr>
      </w:pPr>
    </w:p>
    <w:p>
      <w:pPr>
        <w:pStyle w:val="Heading2"/>
        <w:spacing w:line="240" w:lineRule="auto"/>
        <w:ind w:right="0"/>
        <w:jc w:val="left"/>
        <w:rPr>
          <w:b w:val="0"/>
          <w:bCs w:val="0"/>
        </w:rPr>
      </w:pPr>
      <w:r>
        <w:rPr/>
        <w:t>五、投资状况分析</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3231"/>
        <w:gridCol w:w="3233"/>
        <w:gridCol w:w="3233"/>
      </w:tblGrid>
      <w:tr>
        <w:trPr>
          <w:trHeight w:val="401"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报告期投资额（元）</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51" w:right="0"/>
              <w:jc w:val="left"/>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56,800,000.00</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156,100,000.00</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96" w:right="0"/>
              <w:jc w:val="left"/>
              <w:rPr>
                <w:rFonts w:ascii="宋体" w:hAnsi="宋体" w:cs="宋体" w:eastAsia="宋体" w:hint="default"/>
                <w:sz w:val="18"/>
                <w:szCs w:val="18"/>
              </w:rPr>
            </w:pPr>
            <w:r>
              <w:rPr>
                <w:rFonts w:ascii="宋体"/>
                <w:sz w:val="18"/>
              </w:rPr>
              <w:t>-63.61%</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564"/>
        <w:gridCol w:w="562"/>
        <w:gridCol w:w="530"/>
        <w:gridCol w:w="1090"/>
        <w:gridCol w:w="701"/>
        <w:gridCol w:w="530"/>
        <w:gridCol w:w="528"/>
        <w:gridCol w:w="523"/>
        <w:gridCol w:w="526"/>
        <w:gridCol w:w="499"/>
        <w:gridCol w:w="924"/>
        <w:gridCol w:w="605"/>
        <w:gridCol w:w="605"/>
        <w:gridCol w:w="1510"/>
      </w:tblGrid>
      <w:tr>
        <w:trPr>
          <w:trHeight w:val="1337" w:hRule="exact"/>
        </w:trPr>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6" w:right="96"/>
              <w:jc w:val="both"/>
              <w:rPr>
                <w:rFonts w:ascii="宋体" w:hAnsi="宋体" w:cs="宋体" w:eastAsia="宋体" w:hint="default"/>
                <w:sz w:val="18"/>
                <w:szCs w:val="18"/>
              </w:rPr>
            </w:pPr>
            <w:r>
              <w:rPr>
                <w:rFonts w:ascii="宋体" w:hAnsi="宋体" w:cs="宋体" w:eastAsia="宋体" w:hint="default"/>
                <w:sz w:val="18"/>
                <w:szCs w:val="18"/>
              </w:rPr>
              <w:t>被投 资公 司名 称</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5" w:right="93"/>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9" w:right="79"/>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投资金额</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6" w:right="72"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9" w:right="79"/>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8" w:right="77" w:hanging="89"/>
              <w:jc w:val="left"/>
              <w:rPr>
                <w:rFonts w:ascii="宋体" w:hAnsi="宋体" w:cs="宋体" w:eastAsia="宋体" w:hint="default"/>
                <w:sz w:val="18"/>
                <w:szCs w:val="18"/>
              </w:rPr>
            </w:pPr>
            <w:r>
              <w:rPr>
                <w:rFonts w:ascii="宋体" w:hAnsi="宋体" w:cs="宋体" w:eastAsia="宋体" w:hint="default"/>
                <w:sz w:val="18"/>
                <w:szCs w:val="18"/>
              </w:rPr>
              <w:t>合作 方</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6" w:right="74"/>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9" w:right="75"/>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4" w:right="62"/>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8" w:right="95" w:hanging="180"/>
              <w:jc w:val="left"/>
              <w:rPr>
                <w:rFonts w:ascii="宋体" w:hAnsi="宋体" w:cs="宋体" w:eastAsia="宋体" w:hint="default"/>
                <w:sz w:val="18"/>
                <w:szCs w:val="18"/>
              </w:rPr>
            </w:pPr>
            <w:r>
              <w:rPr>
                <w:rFonts w:ascii="宋体" w:hAnsi="宋体" w:cs="宋体" w:eastAsia="宋体" w:hint="default"/>
                <w:sz w:val="18"/>
                <w:szCs w:val="18"/>
              </w:rPr>
              <w:t>本期投资 盈亏</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8" w:right="24"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7"/>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3836"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68"/>
              <w:jc w:val="both"/>
              <w:rPr>
                <w:rFonts w:ascii="宋体" w:hAnsi="宋体" w:cs="宋体" w:eastAsia="宋体" w:hint="default"/>
                <w:sz w:val="18"/>
                <w:szCs w:val="18"/>
              </w:rPr>
            </w:pPr>
            <w:r>
              <w:rPr>
                <w:rFonts w:ascii="宋体" w:hAnsi="宋体" w:cs="宋体" w:eastAsia="宋体" w:hint="default"/>
                <w:sz w:val="18"/>
                <w:szCs w:val="18"/>
              </w:rPr>
              <w:t>北京 北信 源信 息安 全技 术有 限公 司</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销售 计算 机信 息系 统安 全专 用产 </w:t>
            </w:r>
            <w:r>
              <w:rPr>
                <w:rFonts w:ascii="宋体" w:hAnsi="宋体" w:cs="宋体" w:eastAsia="宋体" w:hint="default"/>
                <w:spacing w:val="-12"/>
                <w:sz w:val="18"/>
                <w:szCs w:val="18"/>
              </w:rPr>
              <w:t>品、技</w:t>
            </w:r>
            <w:r>
              <w:rPr>
                <w:rFonts w:ascii="宋体" w:hAnsi="宋体" w:cs="宋体" w:eastAsia="宋体" w:hint="default"/>
                <w:sz w:val="18"/>
                <w:szCs w:val="18"/>
              </w:rPr>
              <w:t> 术研 </w:t>
            </w:r>
            <w:r>
              <w:rPr>
                <w:rFonts w:ascii="宋体" w:hAnsi="宋体" w:cs="宋体" w:eastAsia="宋体" w:hint="default"/>
                <w:spacing w:val="-12"/>
                <w:sz w:val="18"/>
                <w:szCs w:val="18"/>
              </w:rPr>
              <w:t>发、咨</w:t>
            </w:r>
            <w:r>
              <w:rPr>
                <w:rFonts w:ascii="宋体" w:hAnsi="宋体" w:cs="宋体" w:eastAsia="宋体" w:hint="default"/>
                <w:sz w:val="18"/>
                <w:szCs w:val="18"/>
              </w:rPr>
              <w:t> </w:t>
            </w:r>
            <w:r>
              <w:rPr>
                <w:rFonts w:ascii="宋体" w:hAnsi="宋体" w:cs="宋体" w:eastAsia="宋体" w:hint="default"/>
                <w:spacing w:val="-12"/>
                <w:sz w:val="18"/>
                <w:szCs w:val="18"/>
              </w:rPr>
              <w:t>询、服</w:t>
            </w:r>
            <w:r>
              <w:rPr>
                <w:rFonts w:ascii="宋体" w:hAnsi="宋体" w:cs="宋体" w:eastAsia="宋体" w:hint="default"/>
                <w:sz w:val="18"/>
                <w:szCs w:val="18"/>
              </w:rPr>
              <w:t> 务</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 w:right="0"/>
              <w:jc w:val="center"/>
              <w:rPr>
                <w:rFonts w:ascii="Times New Roman" w:hAnsi="Times New Roman" w:cs="Times New Roman" w:eastAsia="Times New Roman" w:hint="default"/>
                <w:sz w:val="18"/>
                <w:szCs w:val="18"/>
              </w:rPr>
            </w:pPr>
            <w:r>
              <w:rPr>
                <w:rFonts w:ascii="Times New Roman"/>
                <w:sz w:val="18"/>
              </w:rPr>
              <w:t>30,000,000.00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 w:right="0"/>
              <w:jc w:val="center"/>
              <w:rPr>
                <w:rFonts w:ascii="Times New Roman" w:hAnsi="Times New Roman" w:cs="Times New Roman" w:eastAsia="Times New Roman" w:hint="default"/>
                <w:sz w:val="18"/>
                <w:szCs w:val="18"/>
              </w:rPr>
            </w:pPr>
            <w:r>
              <w:rPr>
                <w:rFonts w:ascii="Times New Roman"/>
                <w:sz w:val="18"/>
              </w:rPr>
              <w:t>100.00%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4" w:lineRule="auto"/>
              <w:ind w:left="23" w:right="13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27"/>
              <w:jc w:val="right"/>
              <w:rPr>
                <w:rFonts w:ascii="宋体" w:hAnsi="宋体" w:cs="宋体" w:eastAsia="宋体" w:hint="default"/>
                <w:sz w:val="18"/>
                <w:szCs w:val="18"/>
              </w:rPr>
            </w:pPr>
            <w:r>
              <w:rPr>
                <w:rFonts w:ascii="宋体" w:hAnsi="宋体" w:cs="宋体" w:eastAsia="宋体" w:hint="default"/>
                <w:sz w:val="18"/>
                <w:szCs w:val="18"/>
              </w:rPr>
              <w:t>长期</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06"/>
              <w:jc w:val="center"/>
              <w:rPr>
                <w:rFonts w:ascii="宋体" w:hAnsi="宋体" w:cs="宋体" w:eastAsia="宋体" w:hint="default"/>
                <w:sz w:val="18"/>
                <w:szCs w:val="18"/>
              </w:rPr>
            </w:pPr>
            <w:r>
              <w:rPr>
                <w:rFonts w:ascii="宋体" w:hAnsi="宋体" w:cs="宋体" w:eastAsia="宋体" w:hint="default"/>
                <w:sz w:val="18"/>
                <w:szCs w:val="18"/>
              </w:rPr>
              <w:t>控制</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7"/>
              <w:jc w:val="right"/>
              <w:rPr>
                <w:rFonts w:ascii="Times New Roman" w:hAnsi="Times New Roman" w:cs="Times New Roman" w:eastAsia="Times New Roman" w:hint="default"/>
                <w:sz w:val="18"/>
                <w:szCs w:val="18"/>
              </w:rPr>
            </w:pPr>
            <w:r>
              <w:rPr>
                <w:rFonts w:ascii="Times New Roman"/>
                <w:spacing w:val="-1"/>
                <w:sz w:val="18"/>
              </w:rPr>
              <w:t>-765,001.38</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9">
              <w:r>
                <w:rPr>
                  <w:rFonts w:ascii="Times New Roman"/>
                  <w:sz w:val="18"/>
                </w:rPr>
                <w:t>www.cninfo.com.cn</w:t>
              </w:r>
            </w:hyperlink>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2017-039</w:t>
            </w:r>
          </w:p>
        </w:tc>
      </w:tr>
      <w:tr>
        <w:trPr>
          <w:trHeight w:val="401" w:hRule="exact"/>
        </w:trPr>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30,000,000.00</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94"/>
              <w:jc w:val="right"/>
              <w:rPr>
                <w:rFonts w:ascii="Times New Roman" w:hAnsi="Times New Roman" w:cs="Times New Roman" w:eastAsia="Times New Roman" w:hint="default"/>
                <w:sz w:val="18"/>
                <w:szCs w:val="18"/>
              </w:rPr>
            </w:pPr>
            <w:r>
              <w:rPr>
                <w:rFonts w:ascii="Times New Roman"/>
                <w:sz w:val="18"/>
              </w:rPr>
              <w:t>--</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-765,001.38</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1133" w:top="1060" w:bottom="1320" w:left="980" w:right="980"/>
        </w:sectPr>
      </w:pPr>
    </w:p>
    <w:p>
      <w:pPr>
        <w:spacing w:line="240" w:lineRule="auto" w:before="10"/>
        <w:rPr>
          <w:rFonts w:ascii="宋体" w:hAnsi="宋体" w:cs="宋体" w:eastAsia="宋体" w:hint="default"/>
          <w:sz w:val="24"/>
          <w:szCs w:val="24"/>
        </w:rPr>
      </w:pPr>
    </w:p>
    <w:p>
      <w:pPr>
        <w:pStyle w:val="Heading3"/>
        <w:spacing w:line="335" w:lineRule="exact"/>
        <w:ind w:right="94"/>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94"/>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94"/>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20"/>
          <w:szCs w:val="20"/>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9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240" w:lineRule="auto" w:before="44"/>
        <w:ind w:left="0" w:right="103"/>
        <w:jc w:val="right"/>
      </w:pPr>
      <w:r>
        <w:rPr/>
        <w:pict>
          <v:shape style="position:absolute;margin-left:54.959999pt;margin-top:-287.99826pt;width:485.65pt;height:423.0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79"/>
                    <w:gridCol w:w="883"/>
                    <w:gridCol w:w="881"/>
                    <w:gridCol w:w="883"/>
                    <w:gridCol w:w="881"/>
                    <w:gridCol w:w="881"/>
                    <w:gridCol w:w="881"/>
                    <w:gridCol w:w="883"/>
                    <w:gridCol w:w="881"/>
                    <w:gridCol w:w="883"/>
                    <w:gridCol w:w="881"/>
                  </w:tblGrid>
                  <w:tr>
                    <w:trPr>
                      <w:trHeight w:val="1338" w:hRule="exact"/>
                    </w:trPr>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56" w:right="74"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6" w:right="72"/>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4" w:right="75"/>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2"/>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4"/>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4"/>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4" w:right="74"/>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961"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123,687.09</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14,654.72</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19,769.93</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103,917.16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尚未使用 的募集资 金存放在 公司银行 募集资金 专户中</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 w:right="0"/>
                          <w:jc w:val="center"/>
                          <w:rPr>
                            <w:rFonts w:ascii="Times New Roman" w:hAnsi="Times New Roman" w:cs="Times New Roman" w:eastAsia="Times New Roman" w:hint="default"/>
                            <w:sz w:val="18"/>
                            <w:szCs w:val="18"/>
                          </w:rPr>
                        </w:pPr>
                        <w:r>
                          <w:rPr>
                            <w:rFonts w:ascii="Times New Roman"/>
                            <w:sz w:val="18"/>
                          </w:rPr>
                          <w:t>123,687.09</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14,654.72</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19,769.93</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 w:right="0"/>
                          <w:jc w:val="center"/>
                          <w:rPr>
                            <w:rFonts w:ascii="Times New Roman" w:hAnsi="Times New Roman" w:cs="Times New Roman" w:eastAsia="Times New Roman" w:hint="default"/>
                            <w:sz w:val="18"/>
                            <w:szCs w:val="18"/>
                          </w:rPr>
                        </w:pPr>
                        <w:r>
                          <w:rPr>
                            <w:rFonts w:ascii="Times New Roman"/>
                            <w:sz w:val="18"/>
                          </w:rPr>
                          <w:t>103,917.16</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69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347" w:hRule="exact"/>
                    </w:trPr>
                    <w:tc>
                      <w:tcPr>
                        <w:tcW w:w="969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年非公开发行股票</w:t>
                        </w:r>
                      </w:p>
                      <w:p>
                        <w:pPr>
                          <w:pStyle w:val="TableParagraph"/>
                          <w:spacing w:line="340" w:lineRule="auto" w:before="101"/>
                          <w:ind w:left="386" w:right="29" w:hanging="36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）募集资金到位情况 </w:t>
                        </w:r>
                        <w:r>
                          <w:rPr>
                            <w:rFonts w:ascii="宋体" w:hAnsi="宋体" w:cs="宋体" w:eastAsia="宋体" w:hint="default"/>
                            <w:spacing w:val="-2"/>
                            <w:sz w:val="18"/>
                            <w:szCs w:val="18"/>
                          </w:rPr>
                          <w:t>公司经中国证券监督管理委员会《关于核准北京北信源软件股份有限公司非公开发行股票的批复》（证监许可〔</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w:t>
                        </w:r>
                      </w:p>
                      <w:p>
                        <w:pPr>
                          <w:pStyle w:val="TableParagraph"/>
                          <w:spacing w:line="228"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987 </w:t>
                        </w:r>
                        <w:r>
                          <w:rPr>
                            <w:rFonts w:ascii="宋体" w:hAnsi="宋体" w:cs="宋体" w:eastAsia="宋体" w:hint="default"/>
                            <w:sz w:val="18"/>
                            <w:szCs w:val="18"/>
                          </w:rPr>
                          <w:t>号）核准公司非公开发行普通股 </w:t>
                        </w:r>
                        <w:r>
                          <w:rPr>
                            <w:rFonts w:ascii="Times New Roman" w:hAnsi="Times New Roman" w:cs="Times New Roman" w:eastAsia="Times New Roman" w:hint="default"/>
                            <w:sz w:val="18"/>
                            <w:szCs w:val="18"/>
                          </w:rPr>
                          <w:t>66,500,000  </w:t>
                        </w:r>
                        <w:r>
                          <w:rPr>
                            <w:rFonts w:ascii="宋体" w:hAnsi="宋体" w:cs="宋体" w:eastAsia="宋体" w:hint="default"/>
                            <w:sz w:val="18"/>
                            <w:szCs w:val="18"/>
                          </w:rPr>
                          <w:t>股，每股发行价格为人民币 </w:t>
                        </w:r>
                        <w:r>
                          <w:rPr>
                            <w:rFonts w:ascii="Times New Roman" w:hAnsi="Times New Roman" w:cs="Times New Roman" w:eastAsia="Times New Roman" w:hint="default"/>
                            <w:sz w:val="18"/>
                            <w:szCs w:val="18"/>
                          </w:rPr>
                          <w:t>18.98</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元，公司本次非公开募集资金总额</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1,262,170,000.00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元，扣除承销费、保荐费、验资费、律师费等发行费用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25,299,060.00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元后，实际募集资金净额为</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1,236,870,940.00</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元，上述募集资金已于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日汇入公司募集资金专户，并经中喜会计师事务所（特殊普通合伙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审验并于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出</w:t>
                        </w:r>
                        <w:r>
                          <w:rPr>
                            <w:rFonts w:ascii="宋体" w:hAnsi="宋体" w:cs="宋体" w:eastAsia="宋体" w:hint="default"/>
                            <w:sz w:val="18"/>
                            <w:szCs w:val="18"/>
                          </w:rPr>
                          <w:t>具《验资报告</w:t>
                        </w:r>
                        <w:r>
                          <w:rPr>
                            <w:rFonts w:ascii="宋体" w:hAnsi="宋体" w:cs="宋体" w:eastAsia="宋体" w:hint="default"/>
                            <w:spacing w:val="-92"/>
                            <w:sz w:val="18"/>
                            <w:szCs w:val="18"/>
                          </w:rPr>
                          <w:t>》</w:t>
                        </w:r>
                        <w:r>
                          <w:rPr>
                            <w:rFonts w:ascii="宋体" w:hAnsi="宋体" w:cs="宋体" w:eastAsia="宋体" w:hint="default"/>
                            <w:sz w:val="18"/>
                            <w:szCs w:val="18"/>
                          </w:rPr>
                          <w:t>（中喜验字（</w:t>
                        </w:r>
                        <w:r>
                          <w:rPr>
                            <w:rFonts w:ascii="Times New Roman" w:hAnsi="Times New Roman" w:cs="Times New Roman" w:eastAsia="Times New Roman" w:hint="default"/>
                            <w:spacing w:val="1"/>
                            <w:sz w:val="18"/>
                            <w:szCs w:val="18"/>
                          </w:rPr>
                          <w:t>2016</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）本年度募集资金的实际使用情况</w:t>
                        </w:r>
                      </w:p>
                      <w:p>
                        <w:pPr>
                          <w:pStyle w:val="TableParagraph"/>
                          <w:spacing w:line="309" w:lineRule="auto" w:before="103"/>
                          <w:ind w:left="24" w:right="76" w:firstLine="362"/>
                          <w:jc w:val="both"/>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日召开第三届董事会第五次会议通过了《关于公司及全资子公司使用部分闲置募集资金购买理财产品 </w:t>
                        </w:r>
                        <w:r>
                          <w:rPr>
                            <w:rFonts w:ascii="宋体" w:hAnsi="宋体" w:cs="宋体" w:eastAsia="宋体" w:hint="default"/>
                            <w:spacing w:val="-4"/>
                            <w:sz w:val="18"/>
                            <w:szCs w:val="18"/>
                          </w:rPr>
                          <w:t>的议案》，同意公司及全资子公司江苏神州信源系统工程有限公司在确保不影响募集资金投资项目建设和资金安全的情况下</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使用额度不超过人民币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亿元的闲置募集资金适时的购买安全性高、流动性好的保本型理财产品。</w:t>
                        </w:r>
                      </w:p>
                      <w:p>
                        <w:pPr>
                          <w:pStyle w:val="TableParagraph"/>
                          <w:spacing w:line="300" w:lineRule="auto" w:before="46"/>
                          <w:ind w:left="24" w:right="30" w:firstLine="360"/>
                          <w:jc w:val="both"/>
                          <w:rPr>
                            <w:rFonts w:ascii="宋体" w:hAnsi="宋体" w:cs="宋体" w:eastAsia="宋体" w:hint="default"/>
                            <w:sz w:val="18"/>
                            <w:szCs w:val="18"/>
                          </w:rPr>
                        </w:pPr>
                        <w:r>
                          <w:rPr>
                            <w:rFonts w:ascii="宋体" w:hAnsi="宋体" w:cs="宋体" w:eastAsia="宋体" w:hint="default"/>
                            <w:sz w:val="18"/>
                            <w:szCs w:val="18"/>
                          </w:rPr>
                          <w:t>截至报告期内已累计使用募集资金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19,769.93 </w:t>
                        </w:r>
                        <w:r>
                          <w:rPr>
                            <w:rFonts w:ascii="宋体" w:hAnsi="宋体" w:cs="宋体" w:eastAsia="宋体" w:hint="default"/>
                            <w:sz w:val="18"/>
                            <w:szCs w:val="18"/>
                          </w:rPr>
                          <w:t>万元用于新一代互联网安全聚合通道项目、北信源（南京）研发运营基地 项目。</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44"/>
        <w:ind w:left="0" w:right="103"/>
        <w:jc w:val="right"/>
      </w:pPr>
      <w:r>
        <w:rPr/>
        <w:t>，</w:t>
      </w:r>
    </w:p>
    <w:p>
      <w:pPr>
        <w:spacing w:after="0" w:line="240" w:lineRule="auto"/>
        <w:jc w:val="right"/>
        <w:sectPr>
          <w:pgSz w:w="11910" w:h="16840"/>
          <w:pgMar w:header="745" w:footer="1133" w:top="1060" w:bottom="1320" w:left="980" w:right="94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776"/>
        <w:gridCol w:w="773"/>
        <w:gridCol w:w="867"/>
        <w:gridCol w:w="866"/>
        <w:gridCol w:w="775"/>
        <w:gridCol w:w="776"/>
        <w:gridCol w:w="768"/>
        <w:gridCol w:w="775"/>
        <w:gridCol w:w="776"/>
        <w:gridCol w:w="775"/>
        <w:gridCol w:w="770"/>
      </w:tblGrid>
      <w:tr>
        <w:trPr>
          <w:trHeight w:val="1650" w:hRule="exact"/>
        </w:trPr>
        <w:tc>
          <w:tcPr>
            <w:tcW w:w="1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523" w:right="70"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81" w:right="79"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0" w:right="65"/>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55" w:right="48"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5" w:right="89"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5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110"/>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11"/>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10"/>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 w:right="108"/>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3" w:hRule="exact"/>
        </w:trPr>
        <w:tc>
          <w:tcPr>
            <w:tcW w:w="969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、新一代互联网安全 聚合通道项目</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63,481.16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63,481.16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11,622.84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16,482.07</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25.96%</w:t>
            </w:r>
          </w:p>
        </w:tc>
        <w:tc>
          <w:tcPr>
            <w:tcW w:w="77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Arial Narrow" w:hAnsi="Arial Narrow" w:cs="Arial Narrow" w:eastAsia="Arial Narrow" w:hint="default"/>
                <w:sz w:val="20"/>
                <w:szCs w:val="20"/>
              </w:rPr>
            </w:pPr>
            <w:r>
              <w:rPr>
                <w:rFonts w:ascii="Arial Narrow"/>
                <w:w w:val="95"/>
                <w:sz w:val="20"/>
              </w:rPr>
              <w:t>2,489.38</w:t>
            </w:r>
            <w:r>
              <w:rPr>
                <w:rFonts w:ascii="Arial Narrow"/>
                <w:sz w:val="20"/>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、北信源（南京）研 发运营基地项目</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60,205.93</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60,205.93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3,031.88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3,287.86</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5.46%</w:t>
            </w:r>
          </w:p>
        </w:tc>
        <w:tc>
          <w:tcPr>
            <w:tcW w:w="77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sz w:val="18"/>
              </w:rPr>
              <w:t>--</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123,687.09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123,687.09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14,654.72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19,769.93</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2,489.38</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69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19"/>
              <w:jc w:val="right"/>
              <w:rPr>
                <w:rFonts w:ascii="Times New Roman" w:hAnsi="Times New Roman" w:cs="Times New Roman" w:eastAsia="Times New Roman" w:hint="default"/>
                <w:sz w:val="18"/>
                <w:szCs w:val="18"/>
              </w:rPr>
            </w:pPr>
            <w:r>
              <w:rPr>
                <w:rFonts w:ascii="Times New Roman"/>
                <w:sz w:val="18"/>
              </w:rPr>
              <w:t>--</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19"/>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sz w:val="18"/>
              </w:rPr>
              <w:t>--</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123,687.09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123,687.09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14,654.72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19,769.93</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2,489.38</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sz w:val="18"/>
              </w:rPr>
              <w:t>--</w:t>
            </w:r>
          </w:p>
        </w:tc>
      </w:tr>
      <w:tr>
        <w:trPr>
          <w:trHeight w:val="4148" w:hRule="exact"/>
        </w:trPr>
        <w:tc>
          <w:tcPr>
            <w:tcW w:w="1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4" w:lineRule="auto"/>
              <w:ind w:left="24" w:right="120"/>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92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3" w:right="9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、新一代互联网安全聚合通道项目，预计</w:t>
            </w:r>
            <w:r>
              <w:rPr>
                <w:rFonts w:ascii="宋体" w:hAnsi="宋体" w:cs="宋体" w:eastAsia="宋体" w:hint="default"/>
                <w:spacing w:val="-51"/>
                <w:sz w:val="20"/>
                <w:szCs w:val="20"/>
              </w:rPr>
              <w:t> </w:t>
            </w:r>
            <w:r>
              <w:rPr>
                <w:rFonts w:ascii="宋体" w:hAnsi="宋体" w:cs="宋体" w:eastAsia="宋体" w:hint="default"/>
                <w:sz w:val="20"/>
                <w:szCs w:val="20"/>
              </w:rPr>
              <w:t>2019</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9</w:t>
            </w:r>
            <w:r>
              <w:rPr>
                <w:rFonts w:ascii="宋体" w:hAnsi="宋体" w:cs="宋体" w:eastAsia="宋体" w:hint="default"/>
                <w:spacing w:val="-54"/>
                <w:sz w:val="20"/>
                <w:szCs w:val="20"/>
              </w:rPr>
              <w:t> </w:t>
            </w:r>
            <w:r>
              <w:rPr>
                <w:rFonts w:ascii="宋体" w:hAnsi="宋体" w:cs="宋体" w:eastAsia="宋体" w:hint="default"/>
                <w:sz w:val="20"/>
                <w:szCs w:val="20"/>
              </w:rPr>
              <w:t>月完成，目前未达到计划进度，原因</w:t>
            </w:r>
            <w:r>
              <w:rPr>
                <w:rFonts w:ascii="宋体" w:hAnsi="宋体" w:cs="宋体" w:eastAsia="宋体" w:hint="default"/>
                <w:w w:val="99"/>
                <w:sz w:val="20"/>
                <w:szCs w:val="20"/>
              </w:rPr>
              <w:t> </w:t>
            </w:r>
            <w:r>
              <w:rPr>
                <w:rFonts w:ascii="宋体" w:hAnsi="宋体" w:cs="宋体" w:eastAsia="宋体" w:hint="default"/>
                <w:sz w:val="20"/>
                <w:szCs w:val="20"/>
              </w:rPr>
              <w:t>如下：</w:t>
            </w:r>
            <w:r>
              <w:rPr>
                <w:rFonts w:ascii="宋体" w:hAnsi="宋体" w:cs="宋体" w:eastAsia="宋体" w:hint="default"/>
                <w:w w:val="99"/>
                <w:sz w:val="20"/>
                <w:szCs w:val="20"/>
              </w:rPr>
              <w:t> </w:t>
            </w:r>
            <w:r>
              <w:rPr>
                <w:rFonts w:ascii="宋体" w:hAnsi="宋体" w:cs="宋体" w:eastAsia="宋体" w:hint="default"/>
                <w:sz w:val="20"/>
                <w:szCs w:val="20"/>
              </w:rPr>
              <w:t>为统筹做好募集资金投资项目，在项目实施过程中，公司对新一代互联网安全聚合通道项</w:t>
            </w:r>
            <w:r>
              <w:rPr>
                <w:rFonts w:ascii="宋体" w:hAnsi="宋体" w:cs="宋体" w:eastAsia="宋体" w:hint="default"/>
                <w:w w:val="99"/>
                <w:sz w:val="20"/>
                <w:szCs w:val="20"/>
              </w:rPr>
              <w:t> </w:t>
            </w:r>
            <w:r>
              <w:rPr>
                <w:rFonts w:ascii="宋体" w:hAnsi="宋体" w:cs="宋体" w:eastAsia="宋体" w:hint="default"/>
                <w:sz w:val="20"/>
                <w:szCs w:val="20"/>
              </w:rPr>
              <w:t>目持续进行优化，根据移动互联网业务发展的需要、结合市场、客户的整体需求及技术更</w:t>
            </w:r>
            <w:r>
              <w:rPr>
                <w:rFonts w:ascii="宋体" w:hAnsi="宋体" w:cs="宋体" w:eastAsia="宋体" w:hint="default"/>
                <w:w w:val="99"/>
                <w:sz w:val="20"/>
                <w:szCs w:val="20"/>
              </w:rPr>
              <w:t> </w:t>
            </w:r>
            <w:r>
              <w:rPr>
                <w:rFonts w:ascii="宋体" w:hAnsi="宋体" w:cs="宋体" w:eastAsia="宋体" w:hint="default"/>
                <w:sz w:val="20"/>
                <w:szCs w:val="20"/>
              </w:rPr>
              <w:t>新等因素，公司对新一代互联网安全聚合通道产品相关技术进行创新升级，满足更多客户</w:t>
            </w:r>
            <w:r>
              <w:rPr>
                <w:rFonts w:ascii="宋体" w:hAnsi="宋体" w:cs="宋体" w:eastAsia="宋体" w:hint="default"/>
                <w:w w:val="99"/>
                <w:sz w:val="20"/>
                <w:szCs w:val="20"/>
              </w:rPr>
              <w:t> </w:t>
            </w:r>
            <w:r>
              <w:rPr>
                <w:rFonts w:ascii="宋体" w:hAnsi="宋体" w:cs="宋体" w:eastAsia="宋体" w:hint="default"/>
                <w:sz w:val="20"/>
                <w:szCs w:val="20"/>
              </w:rPr>
              <w:t>的需求，导致项目实施进度延缓。</w:t>
            </w:r>
          </w:p>
          <w:p>
            <w:pPr>
              <w:pStyle w:val="TableParagraph"/>
              <w:spacing w:line="285" w:lineRule="auto" w:before="12"/>
              <w:ind w:left="23" w:right="39"/>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、北信源（南京）研发运营基地项目</w:t>
            </w:r>
            <w:r>
              <w:rPr>
                <w:rFonts w:ascii="宋体" w:hAnsi="宋体" w:cs="宋体" w:eastAsia="宋体" w:hint="default"/>
                <w:spacing w:val="-2"/>
                <w:sz w:val="20"/>
                <w:szCs w:val="20"/>
              </w:rPr>
              <w:t> </w:t>
            </w:r>
            <w:r>
              <w:rPr>
                <w:rFonts w:ascii="宋体" w:hAnsi="宋体" w:cs="宋体" w:eastAsia="宋体" w:hint="default"/>
                <w:sz w:val="20"/>
                <w:szCs w:val="20"/>
              </w:rPr>
              <w:t>，预计</w:t>
            </w:r>
            <w:r>
              <w:rPr>
                <w:rFonts w:ascii="宋体" w:hAnsi="宋体" w:cs="宋体" w:eastAsia="宋体" w:hint="default"/>
                <w:spacing w:val="-52"/>
                <w:sz w:val="20"/>
                <w:szCs w:val="20"/>
              </w:rPr>
              <w:t> </w:t>
            </w:r>
            <w:r>
              <w:rPr>
                <w:rFonts w:ascii="宋体" w:hAnsi="宋体" w:cs="宋体" w:eastAsia="宋体" w:hint="default"/>
                <w:sz w:val="20"/>
                <w:szCs w:val="20"/>
              </w:rPr>
              <w:t>2019</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月完成，目前未达到计划进度，</w:t>
            </w:r>
            <w:r>
              <w:rPr>
                <w:rFonts w:ascii="宋体" w:hAnsi="宋体" w:cs="宋体" w:eastAsia="宋体" w:hint="default"/>
                <w:w w:val="99"/>
                <w:sz w:val="20"/>
                <w:szCs w:val="20"/>
              </w:rPr>
              <w:t> </w:t>
            </w:r>
            <w:r>
              <w:rPr>
                <w:rFonts w:ascii="宋体" w:hAnsi="宋体" w:cs="宋体" w:eastAsia="宋体" w:hint="default"/>
                <w:sz w:val="20"/>
                <w:szCs w:val="20"/>
              </w:rPr>
              <w:t>原因如下：</w:t>
            </w:r>
            <w:r>
              <w:rPr>
                <w:rFonts w:ascii="宋体" w:hAnsi="宋体" w:cs="宋体" w:eastAsia="宋体" w:hint="default"/>
                <w:w w:val="99"/>
                <w:sz w:val="20"/>
                <w:szCs w:val="20"/>
              </w:rPr>
              <w:t> </w:t>
            </w:r>
            <w:r>
              <w:rPr>
                <w:rFonts w:ascii="宋体" w:hAnsi="宋体" w:cs="宋体" w:eastAsia="宋体" w:hint="default"/>
                <w:sz w:val="20"/>
                <w:szCs w:val="20"/>
              </w:rPr>
              <w:t>由于北信源（南京）研发运营基地项目选址在南京市浦口区江浦街道珠江工业园区，项目</w:t>
            </w:r>
            <w:r>
              <w:rPr>
                <w:rFonts w:ascii="宋体" w:hAnsi="宋体" w:cs="宋体" w:eastAsia="宋体" w:hint="default"/>
                <w:w w:val="99"/>
                <w:sz w:val="20"/>
                <w:szCs w:val="20"/>
              </w:rPr>
              <w:t> </w:t>
            </w:r>
            <w:r>
              <w:rPr>
                <w:rFonts w:ascii="宋体" w:hAnsi="宋体" w:cs="宋体" w:eastAsia="宋体" w:hint="default"/>
                <w:sz w:val="20"/>
                <w:szCs w:val="20"/>
              </w:rPr>
              <w:t>总占地面积</w:t>
            </w:r>
            <w:r>
              <w:rPr>
                <w:rFonts w:ascii="宋体" w:hAnsi="宋体" w:cs="宋体" w:eastAsia="宋体" w:hint="default"/>
                <w:spacing w:val="-55"/>
                <w:sz w:val="20"/>
                <w:szCs w:val="20"/>
              </w:rPr>
              <w:t> </w:t>
            </w:r>
            <w:r>
              <w:rPr>
                <w:rFonts w:ascii="宋体" w:hAnsi="宋体" w:cs="宋体" w:eastAsia="宋体" w:hint="default"/>
                <w:sz w:val="20"/>
                <w:szCs w:val="20"/>
              </w:rPr>
              <w:t>20,015.7m</w:t>
            </w:r>
            <w:r>
              <w:rPr>
                <w:rFonts w:ascii="宋体" w:hAnsi="宋体" w:cs="宋体" w:eastAsia="宋体" w:hint="default"/>
                <w:sz w:val="20"/>
                <w:szCs w:val="20"/>
              </w:rPr>
              <w:t>²，北临行知路、东近五福路、南近五合路、西临东华路。由于产业</w:t>
            </w:r>
            <w:r>
              <w:rPr>
                <w:rFonts w:ascii="宋体" w:hAnsi="宋体" w:cs="宋体" w:eastAsia="宋体" w:hint="default"/>
                <w:w w:val="99"/>
                <w:sz w:val="20"/>
                <w:szCs w:val="20"/>
              </w:rPr>
              <w:t> </w:t>
            </w:r>
            <w:r>
              <w:rPr>
                <w:rFonts w:ascii="宋体" w:hAnsi="宋体" w:cs="宋体" w:eastAsia="宋体" w:hint="default"/>
                <w:sz w:val="20"/>
                <w:szCs w:val="20"/>
              </w:rPr>
              <w:t>园区建设需要大量审批工作，以及前期投入资金较大而募集资金到位时间较晚，公司本着</w:t>
            </w:r>
            <w:r>
              <w:rPr>
                <w:rFonts w:ascii="宋体" w:hAnsi="宋体" w:cs="宋体" w:eastAsia="宋体" w:hint="default"/>
                <w:w w:val="99"/>
                <w:sz w:val="20"/>
                <w:szCs w:val="20"/>
              </w:rPr>
              <w:t> </w:t>
            </w:r>
            <w:r>
              <w:rPr>
                <w:rFonts w:ascii="宋体" w:hAnsi="宋体" w:cs="宋体" w:eastAsia="宋体" w:hint="default"/>
                <w:sz w:val="20"/>
                <w:szCs w:val="20"/>
              </w:rPr>
              <w:t>认真负责态度，对工程实施方通过招投标程序进行严格筛选、多方面考量等影响，公司管</w:t>
            </w:r>
            <w:r>
              <w:rPr>
                <w:rFonts w:ascii="宋体" w:hAnsi="宋体" w:cs="宋体" w:eastAsia="宋体" w:hint="default"/>
                <w:w w:val="99"/>
                <w:sz w:val="20"/>
                <w:szCs w:val="20"/>
              </w:rPr>
              <w:t> </w:t>
            </w:r>
            <w:r>
              <w:rPr>
                <w:rFonts w:ascii="宋体" w:hAnsi="宋体" w:cs="宋体" w:eastAsia="宋体" w:hint="default"/>
                <w:sz w:val="20"/>
                <w:szCs w:val="20"/>
              </w:rPr>
              <w:t>理层审慎合理规划募投项目投资进度，导致项目实施进度慢于原来预期。</w:t>
            </w:r>
          </w:p>
        </w:tc>
      </w:tr>
      <w:tr>
        <w:trPr>
          <w:trHeight w:val="713" w:hRule="exact"/>
        </w:trPr>
        <w:tc>
          <w:tcPr>
            <w:tcW w:w="1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92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7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4" w:right="21"/>
              <w:jc w:val="left"/>
              <w:rPr>
                <w:rFonts w:ascii="宋体" w:hAnsi="宋体" w:cs="宋体" w:eastAsia="宋体" w:hint="default"/>
                <w:sz w:val="18"/>
                <w:szCs w:val="18"/>
              </w:rPr>
            </w:pPr>
            <w:r>
              <w:rPr>
                <w:rFonts w:ascii="宋体" w:hAnsi="宋体" w:cs="宋体" w:eastAsia="宋体" w:hint="default"/>
                <w:spacing w:val="-8"/>
                <w:sz w:val="18"/>
                <w:szCs w:val="18"/>
              </w:rPr>
              <w:t>超募资金的金额、用途</w:t>
            </w:r>
            <w:r>
              <w:rPr>
                <w:rFonts w:ascii="宋体" w:hAnsi="宋体" w:cs="宋体" w:eastAsia="宋体" w:hint="default"/>
                <w:sz w:val="18"/>
                <w:szCs w:val="18"/>
              </w:rPr>
              <w:t> 及使用进展情况</w:t>
            </w:r>
          </w:p>
        </w:tc>
        <w:tc>
          <w:tcPr>
            <w:tcW w:w="792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6" w:type="dxa"/>
            <w:vMerge/>
            <w:tcBorders>
              <w:left w:val="single" w:sz="4" w:space="0" w:color="000000"/>
              <w:bottom w:val="single" w:sz="4" w:space="0" w:color="000000"/>
              <w:right w:val="single" w:sz="4" w:space="0" w:color="000000"/>
            </w:tcBorders>
            <w:shd w:val="clear" w:color="auto" w:fill="D2D2D2"/>
          </w:tcPr>
          <w:p>
            <w:pPr/>
          </w:p>
        </w:tc>
        <w:tc>
          <w:tcPr>
            <w:tcW w:w="7922"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9" w:lineRule="auto"/>
              <w:ind w:left="24" w:right="120"/>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92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6" w:type="dxa"/>
            <w:vMerge/>
            <w:tcBorders>
              <w:left w:val="single" w:sz="4" w:space="0" w:color="000000"/>
              <w:right w:val="single" w:sz="4" w:space="0" w:color="000000"/>
            </w:tcBorders>
            <w:shd w:val="clear" w:color="auto" w:fill="D2D2D2"/>
          </w:tcPr>
          <w:p>
            <w:pPr/>
          </w:p>
        </w:tc>
        <w:tc>
          <w:tcPr>
            <w:tcW w:w="7922"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6" w:type="dxa"/>
            <w:vMerge/>
            <w:tcBorders>
              <w:left w:val="single" w:sz="4" w:space="0" w:color="000000"/>
              <w:bottom w:val="single" w:sz="4" w:space="0" w:color="000000"/>
              <w:right w:val="single" w:sz="4" w:space="0" w:color="000000"/>
            </w:tcBorders>
            <w:shd w:val="clear" w:color="auto" w:fill="D2D2D2"/>
          </w:tcPr>
          <w:p>
            <w:pPr/>
          </w:p>
        </w:tc>
        <w:tc>
          <w:tcPr>
            <w:tcW w:w="7922" w:type="dxa"/>
            <w:gridSpan w:val="10"/>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33" w:top="1060" w:bottom="13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240" w:lineRule="auto" w:before="44"/>
        <w:ind w:left="0" w:right="100"/>
        <w:jc w:val="right"/>
      </w:pPr>
      <w:r>
        <w:rPr/>
        <w:pict>
          <v:shape style="position:absolute;margin-left:55.02pt;margin-top:-112.348297pt;width:485.6pt;height:424.5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5"/>
                    <w:gridCol w:w="7922"/>
                  </w:tblGrid>
                  <w:tr>
                    <w:trPr>
                      <w:trHeight w:val="401" w:hRule="exact"/>
                    </w:trPr>
                    <w:tc>
                      <w:tcPr>
                        <w:tcW w:w="17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4" w:lineRule="auto"/>
                          <w:ind w:left="22" w:right="120"/>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5" w:type="dxa"/>
                        <w:vMerge/>
                        <w:tcBorders>
                          <w:left w:val="single" w:sz="4" w:space="0" w:color="000000"/>
                          <w:right w:val="single" w:sz="4" w:space="0" w:color="000000"/>
                        </w:tcBorders>
                        <w:shd w:val="clear" w:color="auto" w:fill="D2D2D2"/>
                      </w:tcPr>
                      <w:p>
                        <w:pPr/>
                      </w:p>
                    </w:tc>
                    <w:tc>
                      <w:tcPr>
                        <w:tcW w:w="79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5" w:type="dxa"/>
                        <w:vMerge/>
                        <w:tcBorders>
                          <w:left w:val="single" w:sz="4" w:space="0" w:color="000000"/>
                          <w:bottom w:val="single" w:sz="4" w:space="0" w:color="000000"/>
                          <w:right w:val="single" w:sz="4" w:space="0" w:color="000000"/>
                        </w:tcBorders>
                        <w:shd w:val="clear" w:color="auto" w:fill="D2D2D2"/>
                      </w:tcPr>
                      <w:p>
                        <w:pPr/>
                      </w:p>
                    </w:tc>
                    <w:tc>
                      <w:tcPr>
                        <w:tcW w:w="79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20"/>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61" w:hRule="exact"/>
                    </w:trPr>
                    <w:tc>
                      <w:tcPr>
                        <w:tcW w:w="1775" w:type="dxa"/>
                        <w:vMerge/>
                        <w:tcBorders>
                          <w:left w:val="single" w:sz="4" w:space="0" w:color="000000"/>
                          <w:bottom w:val="single" w:sz="4" w:space="0" w:color="000000"/>
                          <w:right w:val="single" w:sz="4" w:space="0" w:color="000000"/>
                        </w:tcBorders>
                        <w:shd w:val="clear" w:color="auto" w:fill="D2D2D2"/>
                      </w:tcPr>
                      <w:p>
                        <w:pPr/>
                      </w:p>
                    </w:tc>
                    <w:tc>
                      <w:tcPr>
                        <w:tcW w:w="7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日本公司以自筹资金预先投入新一代互联网安全聚合通道项目</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34,222,772.59 </w:t>
                        </w:r>
                        <w:r>
                          <w:rPr>
                            <w:rFonts w:ascii="宋体" w:hAnsi="宋体" w:cs="宋体" w:eastAsia="宋体" w:hint="default"/>
                            <w:sz w:val="18"/>
                            <w:szCs w:val="18"/>
                          </w:rPr>
                          <w:t>元，本期根据瑞华会计师事务所出具的瑞华核字</w:t>
                        </w:r>
                        <w:r>
                          <w:rPr>
                            <w:rFonts w:ascii="Times New Roman" w:hAnsi="Times New Roman" w:cs="Times New Roman" w:eastAsia="Times New Roman" w:hint="default"/>
                            <w:sz w:val="18"/>
                            <w:szCs w:val="18"/>
                          </w:rPr>
                          <w:t>[2016]01660044</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号《北京北信源软件股</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份有限公司以自筹资金预先投入募集资金投资项目情况报告的鉴证报告》进行置换</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34,222,772.59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p>
                      <w:p>
                        <w:pPr>
                          <w:pStyle w:val="TableParagraph"/>
                          <w:spacing w:line="300" w:lineRule="auto" w:before="63"/>
                          <w:ind w:left="23" w:right="20"/>
                          <w:jc w:val="both"/>
                          <w:rPr>
                            <w:rFonts w:ascii="宋体" w:hAnsi="宋体" w:cs="宋体" w:eastAsia="宋体" w:hint="default"/>
                            <w:sz w:val="18"/>
                            <w:szCs w:val="18"/>
                          </w:rPr>
                        </w:pPr>
                        <w:r>
                          <w:rPr>
                            <w:rFonts w:ascii="Times New Roman" w:hAnsi="Times New Roman" w:cs="Times New Roman" w:eastAsia="Times New Roman" w:hint="default"/>
                            <w:spacing w:val="-23"/>
                            <w:sz w:val="18"/>
                            <w:szCs w:val="18"/>
                          </w:rPr>
                          <w:t>2</w:t>
                        </w:r>
                        <w:r>
                          <w:rPr>
                            <w:rFonts w:ascii="宋体" w:hAnsi="宋体" w:cs="宋体" w:eastAsia="宋体" w:hint="default"/>
                            <w:spacing w:val="-23"/>
                            <w:sz w:val="18"/>
                            <w:szCs w:val="18"/>
                          </w:rPr>
                          <w:t>、截至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7"/>
                            <w:sz w:val="18"/>
                            <w:szCs w:val="18"/>
                          </w:rPr>
                          <w:t>日本公司以自筹资金预先投入北信源（南京）研发运营基地项目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1,728,647.73 </w:t>
                        </w:r>
                        <w:r>
                          <w:rPr>
                            <w:rFonts w:ascii="宋体" w:hAnsi="宋体" w:cs="宋体" w:eastAsia="宋体" w:hint="default"/>
                            <w:sz w:val="18"/>
                            <w:szCs w:val="18"/>
                          </w:rPr>
                          <w:t>元，本期根据瑞华会计师事务所出具的瑞华核字</w:t>
                        </w:r>
                        <w:r>
                          <w:rPr>
                            <w:rFonts w:ascii="Times New Roman" w:hAnsi="Times New Roman" w:cs="Times New Roman" w:eastAsia="Times New Roman" w:hint="default"/>
                            <w:sz w:val="18"/>
                            <w:szCs w:val="18"/>
                          </w:rPr>
                          <w:t>[2016]01660044</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号《北京北信源软件股份有限公司以</w:t>
                        </w:r>
                        <w:r>
                          <w:rPr>
                            <w:rFonts w:ascii="宋体" w:hAnsi="宋体" w:cs="宋体" w:eastAsia="宋体" w:hint="default"/>
                            <w:sz w:val="18"/>
                            <w:szCs w:val="18"/>
                          </w:rPr>
                          <w:t> 自筹资金预先投入募集资金投资项目情况报告的鉴证报告》进行置换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1,728,647.73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3" w:hRule="exact"/>
                    </w:trPr>
                    <w:tc>
                      <w:tcPr>
                        <w:tcW w:w="177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2" w:right="120"/>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5" w:type="dxa"/>
                        <w:vMerge/>
                        <w:tcBorders>
                          <w:left w:val="single" w:sz="4" w:space="0" w:color="000000"/>
                          <w:bottom w:val="single" w:sz="4" w:space="0" w:color="000000"/>
                          <w:right w:val="single" w:sz="4" w:space="0" w:color="000000"/>
                        </w:tcBorders>
                        <w:shd w:val="clear" w:color="auto" w:fill="D2D2D2"/>
                      </w:tcPr>
                      <w:p>
                        <w:pPr/>
                      </w:p>
                    </w:tc>
                    <w:tc>
                      <w:tcPr>
                        <w:tcW w:w="79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2" w:right="120"/>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5" w:type="dxa"/>
                        <w:vMerge/>
                        <w:tcBorders>
                          <w:left w:val="single" w:sz="4" w:space="0" w:color="000000"/>
                          <w:bottom w:val="single" w:sz="4" w:space="0" w:color="000000"/>
                          <w:right w:val="single" w:sz="4" w:space="0" w:color="000000"/>
                        </w:tcBorders>
                        <w:shd w:val="clear" w:color="auto" w:fill="D2D2D2"/>
                      </w:tcPr>
                      <w:p>
                        <w:pPr/>
                      </w:p>
                    </w:tc>
                    <w:tc>
                      <w:tcPr>
                        <w:tcW w:w="7922"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1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22" w:right="120"/>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截至</w:t>
                        </w:r>
                        <w:r>
                          <w:rPr>
                            <w:rFonts w:ascii="宋体" w:hAnsi="宋体" w:cs="宋体" w:eastAsia="宋体" w:hint="default"/>
                            <w:spacing w:val="-53"/>
                            <w:sz w:val="20"/>
                            <w:szCs w:val="20"/>
                          </w:rPr>
                          <w:t> </w:t>
                        </w:r>
                        <w:r>
                          <w:rPr>
                            <w:rFonts w:ascii="宋体" w:hAnsi="宋体" w:cs="宋体" w:eastAsia="宋体" w:hint="default"/>
                            <w:sz w:val="20"/>
                            <w:szCs w:val="20"/>
                          </w:rPr>
                          <w:t>2017</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宋体" w:hAnsi="宋体" w:cs="宋体" w:eastAsia="宋体" w:hint="default"/>
                            <w:sz w:val="20"/>
                            <w:szCs w:val="20"/>
                          </w:rPr>
                          <w:t>31</w:t>
                        </w:r>
                        <w:r>
                          <w:rPr>
                            <w:rFonts w:ascii="宋体" w:hAnsi="宋体" w:cs="宋体" w:eastAsia="宋体" w:hint="default"/>
                            <w:spacing w:val="-52"/>
                            <w:sz w:val="20"/>
                            <w:szCs w:val="20"/>
                          </w:rPr>
                          <w:t> </w:t>
                        </w:r>
                        <w:r>
                          <w:rPr>
                            <w:rFonts w:ascii="宋体" w:hAnsi="宋体" w:cs="宋体" w:eastAsia="宋体" w:hint="default"/>
                            <w:sz w:val="20"/>
                            <w:szCs w:val="20"/>
                          </w:rPr>
                          <w:t>日，募集资金余额</w:t>
                        </w:r>
                        <w:r>
                          <w:rPr>
                            <w:rFonts w:ascii="宋体" w:hAnsi="宋体" w:cs="宋体" w:eastAsia="宋体" w:hint="default"/>
                            <w:spacing w:val="-52"/>
                            <w:sz w:val="20"/>
                            <w:szCs w:val="20"/>
                          </w:rPr>
                          <w:t> </w:t>
                        </w:r>
                        <w:r>
                          <w:rPr>
                            <w:rFonts w:ascii="宋体" w:hAnsi="宋体" w:cs="宋体" w:eastAsia="宋体" w:hint="default"/>
                            <w:sz w:val="20"/>
                            <w:szCs w:val="20"/>
                          </w:rPr>
                          <w:t>1,074,625,845.77</w:t>
                        </w:r>
                        <w:r>
                          <w:rPr>
                            <w:rFonts w:ascii="宋体" w:hAnsi="宋体" w:cs="宋体" w:eastAsia="宋体" w:hint="default"/>
                            <w:spacing w:val="-49"/>
                            <w:sz w:val="20"/>
                            <w:szCs w:val="20"/>
                          </w:rPr>
                          <w:t> </w:t>
                        </w:r>
                        <w:r>
                          <w:rPr>
                            <w:rFonts w:ascii="宋体" w:hAnsi="宋体" w:cs="宋体" w:eastAsia="宋体" w:hint="default"/>
                            <w:sz w:val="20"/>
                            <w:szCs w:val="20"/>
                          </w:rPr>
                          <w:t>元，其中存放招商银行股份有</w:t>
                        </w:r>
                      </w:p>
                      <w:p>
                        <w:pPr>
                          <w:pStyle w:val="TableParagraph"/>
                          <w:spacing w:line="240" w:lineRule="auto" w:before="48"/>
                          <w:ind w:left="23" w:right="0"/>
                          <w:jc w:val="left"/>
                          <w:rPr>
                            <w:rFonts w:ascii="宋体" w:hAnsi="宋体" w:cs="宋体" w:eastAsia="宋体" w:hint="default"/>
                            <w:sz w:val="20"/>
                            <w:szCs w:val="20"/>
                          </w:rPr>
                        </w:pPr>
                        <w:r>
                          <w:rPr>
                            <w:rFonts w:ascii="宋体" w:hAnsi="宋体" w:cs="宋体" w:eastAsia="宋体" w:hint="default"/>
                            <w:sz w:val="20"/>
                            <w:szCs w:val="20"/>
                          </w:rPr>
                          <w:t>限公司北京双榆树支行</w:t>
                        </w:r>
                        <w:r>
                          <w:rPr>
                            <w:rFonts w:ascii="宋体" w:hAnsi="宋体" w:cs="宋体" w:eastAsia="宋体" w:hint="default"/>
                            <w:spacing w:val="-54"/>
                            <w:sz w:val="20"/>
                            <w:szCs w:val="20"/>
                          </w:rPr>
                          <w:t> </w:t>
                        </w:r>
                        <w:r>
                          <w:rPr>
                            <w:rFonts w:ascii="宋体" w:hAnsi="宋体" w:cs="宋体" w:eastAsia="宋体" w:hint="default"/>
                            <w:sz w:val="20"/>
                            <w:szCs w:val="20"/>
                          </w:rPr>
                          <w:t>110906881610206</w:t>
                        </w:r>
                        <w:r>
                          <w:rPr>
                            <w:rFonts w:ascii="宋体" w:hAnsi="宋体" w:cs="宋体" w:eastAsia="宋体" w:hint="default"/>
                            <w:spacing w:val="-54"/>
                            <w:sz w:val="20"/>
                            <w:szCs w:val="20"/>
                          </w:rPr>
                          <w:t> </w:t>
                        </w:r>
                        <w:r>
                          <w:rPr>
                            <w:rFonts w:ascii="宋体" w:hAnsi="宋体" w:cs="宋体" w:eastAsia="宋体" w:hint="default"/>
                            <w:sz w:val="20"/>
                            <w:szCs w:val="20"/>
                          </w:rPr>
                          <w:t>户</w:t>
                        </w:r>
                        <w:r>
                          <w:rPr>
                            <w:rFonts w:ascii="宋体" w:hAnsi="宋体" w:cs="宋体" w:eastAsia="宋体" w:hint="default"/>
                            <w:spacing w:val="-55"/>
                            <w:sz w:val="20"/>
                            <w:szCs w:val="20"/>
                          </w:rPr>
                          <w:t> </w:t>
                        </w:r>
                        <w:r>
                          <w:rPr>
                            <w:rFonts w:ascii="宋体" w:hAnsi="宋体" w:cs="宋体" w:eastAsia="宋体" w:hint="default"/>
                            <w:sz w:val="20"/>
                            <w:szCs w:val="20"/>
                          </w:rPr>
                          <w:t>329,348,591.77</w:t>
                        </w:r>
                        <w:r>
                          <w:rPr>
                            <w:rFonts w:ascii="宋体" w:hAnsi="宋体" w:cs="宋体" w:eastAsia="宋体" w:hint="default"/>
                            <w:spacing w:val="-52"/>
                            <w:sz w:val="20"/>
                            <w:szCs w:val="20"/>
                          </w:rPr>
                          <w:t> </w:t>
                        </w:r>
                        <w:r>
                          <w:rPr>
                            <w:rFonts w:ascii="宋体" w:hAnsi="宋体" w:cs="宋体" w:eastAsia="宋体" w:hint="default"/>
                            <w:spacing w:val="-3"/>
                            <w:sz w:val="20"/>
                            <w:szCs w:val="20"/>
                          </w:rPr>
                          <w:t>元；存放招商银行股份有限公</w:t>
                        </w:r>
                      </w:p>
                      <w:p>
                        <w:pPr>
                          <w:pStyle w:val="TableParagraph"/>
                          <w:spacing w:line="240" w:lineRule="auto" w:before="50"/>
                          <w:ind w:left="23" w:right="0"/>
                          <w:jc w:val="left"/>
                          <w:rPr>
                            <w:rFonts w:ascii="宋体" w:hAnsi="宋体" w:cs="宋体" w:eastAsia="宋体" w:hint="default"/>
                            <w:sz w:val="20"/>
                            <w:szCs w:val="20"/>
                          </w:rPr>
                        </w:pPr>
                        <w:r>
                          <w:rPr>
                            <w:rFonts w:ascii="宋体" w:hAnsi="宋体" w:cs="宋体" w:eastAsia="宋体" w:hint="default"/>
                            <w:sz w:val="20"/>
                            <w:szCs w:val="20"/>
                          </w:rPr>
                          <w:t>司北京双榆树支行</w:t>
                        </w:r>
                        <w:r>
                          <w:rPr>
                            <w:rFonts w:ascii="宋体" w:hAnsi="宋体" w:cs="宋体" w:eastAsia="宋体" w:hint="default"/>
                            <w:spacing w:val="-53"/>
                            <w:sz w:val="20"/>
                            <w:szCs w:val="20"/>
                          </w:rPr>
                          <w:t> </w:t>
                        </w:r>
                        <w:r>
                          <w:rPr>
                            <w:rFonts w:ascii="宋体" w:hAnsi="宋体" w:cs="宋体" w:eastAsia="宋体" w:hint="default"/>
                            <w:sz w:val="20"/>
                            <w:szCs w:val="20"/>
                          </w:rPr>
                          <w:t>11090688168100234</w:t>
                        </w:r>
                        <w:r>
                          <w:rPr>
                            <w:rFonts w:ascii="宋体" w:hAnsi="宋体" w:cs="宋体" w:eastAsia="宋体" w:hint="default"/>
                            <w:spacing w:val="-51"/>
                            <w:sz w:val="20"/>
                            <w:szCs w:val="20"/>
                          </w:rPr>
                          <w:t> </w:t>
                        </w:r>
                        <w:r>
                          <w:rPr>
                            <w:rFonts w:ascii="宋体" w:hAnsi="宋体" w:cs="宋体" w:eastAsia="宋体" w:hint="default"/>
                            <w:sz w:val="20"/>
                            <w:szCs w:val="20"/>
                          </w:rPr>
                          <w:t>户</w:t>
                        </w:r>
                        <w:r>
                          <w:rPr>
                            <w:rFonts w:ascii="宋体" w:hAnsi="宋体" w:cs="宋体" w:eastAsia="宋体" w:hint="default"/>
                            <w:spacing w:val="-54"/>
                            <w:sz w:val="20"/>
                            <w:szCs w:val="20"/>
                          </w:rPr>
                          <w:t> </w:t>
                        </w:r>
                        <w:r>
                          <w:rPr>
                            <w:rFonts w:ascii="宋体" w:hAnsi="宋体" w:cs="宋体" w:eastAsia="宋体" w:hint="default"/>
                            <w:sz w:val="20"/>
                            <w:szCs w:val="20"/>
                          </w:rPr>
                          <w:t>160,000,000.00</w:t>
                        </w:r>
                        <w:r>
                          <w:rPr>
                            <w:rFonts w:ascii="宋体" w:hAnsi="宋体" w:cs="宋体" w:eastAsia="宋体" w:hint="default"/>
                            <w:spacing w:val="-52"/>
                            <w:sz w:val="20"/>
                            <w:szCs w:val="20"/>
                          </w:rPr>
                          <w:t> </w:t>
                        </w:r>
                        <w:r>
                          <w:rPr>
                            <w:rFonts w:ascii="宋体" w:hAnsi="宋体" w:cs="宋体" w:eastAsia="宋体" w:hint="default"/>
                            <w:spacing w:val="-3"/>
                            <w:sz w:val="20"/>
                            <w:szCs w:val="20"/>
                          </w:rPr>
                          <w:t>元，为结构性存款；存放招商银</w:t>
                        </w:r>
                      </w:p>
                      <w:p>
                        <w:pPr>
                          <w:pStyle w:val="TableParagraph"/>
                          <w:spacing w:line="240" w:lineRule="auto" w:before="50"/>
                          <w:ind w:left="23" w:right="0"/>
                          <w:jc w:val="left"/>
                          <w:rPr>
                            <w:rFonts w:ascii="宋体" w:hAnsi="宋体" w:cs="宋体" w:eastAsia="宋体" w:hint="default"/>
                            <w:sz w:val="20"/>
                            <w:szCs w:val="20"/>
                          </w:rPr>
                        </w:pPr>
                        <w:r>
                          <w:rPr>
                            <w:rFonts w:ascii="宋体" w:hAnsi="宋体" w:cs="宋体" w:eastAsia="宋体" w:hint="default"/>
                            <w:sz w:val="20"/>
                            <w:szCs w:val="20"/>
                          </w:rPr>
                          <w:t>行股份有限公司南京新城科技园支行</w:t>
                        </w:r>
                        <w:r>
                          <w:rPr>
                            <w:rFonts w:ascii="宋体" w:hAnsi="宋体" w:cs="宋体" w:eastAsia="宋体" w:hint="default"/>
                            <w:spacing w:val="-53"/>
                            <w:sz w:val="20"/>
                            <w:szCs w:val="20"/>
                          </w:rPr>
                          <w:t> </w:t>
                        </w:r>
                        <w:r>
                          <w:rPr>
                            <w:rFonts w:ascii="宋体" w:hAnsi="宋体" w:cs="宋体" w:eastAsia="宋体" w:hint="default"/>
                            <w:sz w:val="20"/>
                            <w:szCs w:val="20"/>
                          </w:rPr>
                          <w:t>125904801410809</w:t>
                        </w:r>
                        <w:r>
                          <w:rPr>
                            <w:rFonts w:ascii="宋体" w:hAnsi="宋体" w:cs="宋体" w:eastAsia="宋体" w:hint="default"/>
                            <w:spacing w:val="-55"/>
                            <w:sz w:val="20"/>
                            <w:szCs w:val="20"/>
                          </w:rPr>
                          <w:t> </w:t>
                        </w:r>
                        <w:r>
                          <w:rPr>
                            <w:rFonts w:ascii="宋体" w:hAnsi="宋体" w:cs="宋体" w:eastAsia="宋体" w:hint="default"/>
                            <w:sz w:val="20"/>
                            <w:szCs w:val="20"/>
                          </w:rPr>
                          <w:t>户</w:t>
                        </w:r>
                        <w:r>
                          <w:rPr>
                            <w:rFonts w:ascii="宋体" w:hAnsi="宋体" w:cs="宋体" w:eastAsia="宋体" w:hint="default"/>
                            <w:spacing w:val="-54"/>
                            <w:sz w:val="20"/>
                            <w:szCs w:val="20"/>
                          </w:rPr>
                          <w:t> </w:t>
                        </w:r>
                        <w:r>
                          <w:rPr>
                            <w:rFonts w:ascii="宋体" w:hAnsi="宋体" w:cs="宋体" w:eastAsia="宋体" w:hint="default"/>
                            <w:sz w:val="20"/>
                            <w:szCs w:val="20"/>
                          </w:rPr>
                          <w:t>7,277,254.00</w:t>
                        </w:r>
                        <w:r>
                          <w:rPr>
                            <w:rFonts w:ascii="宋体" w:hAnsi="宋体" w:cs="宋体" w:eastAsia="宋体" w:hint="default"/>
                            <w:spacing w:val="-51"/>
                            <w:sz w:val="20"/>
                            <w:szCs w:val="20"/>
                          </w:rPr>
                          <w:t> </w:t>
                        </w:r>
                        <w:r>
                          <w:rPr>
                            <w:rFonts w:ascii="宋体" w:hAnsi="宋体" w:cs="宋体" w:eastAsia="宋体" w:hint="default"/>
                            <w:spacing w:val="-5"/>
                            <w:sz w:val="20"/>
                            <w:szCs w:val="20"/>
                          </w:rPr>
                          <w:t>元；存放招商银行</w:t>
                        </w:r>
                      </w:p>
                      <w:p>
                        <w:pPr>
                          <w:pStyle w:val="TableParagraph"/>
                          <w:spacing w:line="240" w:lineRule="auto" w:before="50"/>
                          <w:ind w:left="23" w:right="0"/>
                          <w:jc w:val="left"/>
                          <w:rPr>
                            <w:rFonts w:ascii="宋体" w:hAnsi="宋体" w:cs="宋体" w:eastAsia="宋体" w:hint="default"/>
                            <w:sz w:val="20"/>
                            <w:szCs w:val="20"/>
                          </w:rPr>
                        </w:pPr>
                        <w:r>
                          <w:rPr>
                            <w:rFonts w:ascii="宋体" w:hAnsi="宋体" w:cs="宋体" w:eastAsia="宋体" w:hint="default"/>
                            <w:sz w:val="20"/>
                            <w:szCs w:val="20"/>
                          </w:rPr>
                          <w:t>股份有限公司南京新城科技园支行</w:t>
                        </w:r>
                        <w:r>
                          <w:rPr>
                            <w:rFonts w:ascii="宋体" w:hAnsi="宋体" w:cs="宋体" w:eastAsia="宋体" w:hint="default"/>
                            <w:spacing w:val="-53"/>
                            <w:sz w:val="20"/>
                            <w:szCs w:val="20"/>
                          </w:rPr>
                          <w:t> </w:t>
                        </w:r>
                        <w:r>
                          <w:rPr>
                            <w:rFonts w:ascii="宋体" w:hAnsi="宋体" w:cs="宋体" w:eastAsia="宋体" w:hint="default"/>
                            <w:sz w:val="20"/>
                            <w:szCs w:val="20"/>
                          </w:rPr>
                          <w:t>12590480148000020</w:t>
                        </w:r>
                        <w:r>
                          <w:rPr>
                            <w:rFonts w:ascii="宋体" w:hAnsi="宋体" w:cs="宋体" w:eastAsia="宋体" w:hint="default"/>
                            <w:spacing w:val="-52"/>
                            <w:sz w:val="20"/>
                            <w:szCs w:val="20"/>
                          </w:rPr>
                          <w:t> </w:t>
                        </w:r>
                        <w:r>
                          <w:rPr>
                            <w:rFonts w:ascii="宋体" w:hAnsi="宋体" w:cs="宋体" w:eastAsia="宋体" w:hint="default"/>
                            <w:sz w:val="20"/>
                            <w:szCs w:val="20"/>
                          </w:rPr>
                          <w:t>户</w:t>
                        </w:r>
                        <w:r>
                          <w:rPr>
                            <w:rFonts w:ascii="宋体" w:hAnsi="宋体" w:cs="宋体" w:eastAsia="宋体" w:hint="default"/>
                            <w:spacing w:val="-54"/>
                            <w:sz w:val="20"/>
                            <w:szCs w:val="20"/>
                          </w:rPr>
                          <w:t> </w:t>
                        </w:r>
                        <w:r>
                          <w:rPr>
                            <w:rFonts w:ascii="宋体" w:hAnsi="宋体" w:cs="宋体" w:eastAsia="宋体" w:hint="default"/>
                            <w:sz w:val="20"/>
                            <w:szCs w:val="20"/>
                          </w:rPr>
                          <w:t>10,000,000.00</w:t>
                        </w:r>
                        <w:r>
                          <w:rPr>
                            <w:rFonts w:ascii="宋体" w:hAnsi="宋体" w:cs="宋体" w:eastAsia="宋体" w:hint="default"/>
                            <w:spacing w:val="-51"/>
                            <w:sz w:val="20"/>
                            <w:szCs w:val="20"/>
                          </w:rPr>
                          <w:t> </w:t>
                        </w:r>
                        <w:r>
                          <w:rPr>
                            <w:rFonts w:ascii="宋体" w:hAnsi="宋体" w:cs="宋体" w:eastAsia="宋体" w:hint="default"/>
                            <w:sz w:val="20"/>
                            <w:szCs w:val="20"/>
                          </w:rPr>
                          <w:t>元，为七天通知</w:t>
                        </w:r>
                      </w:p>
                      <w:p>
                        <w:pPr>
                          <w:pStyle w:val="TableParagraph"/>
                          <w:spacing w:line="240" w:lineRule="auto" w:before="50"/>
                          <w:ind w:left="23" w:right="0"/>
                          <w:jc w:val="left"/>
                          <w:rPr>
                            <w:rFonts w:ascii="宋体" w:hAnsi="宋体" w:cs="宋体" w:eastAsia="宋体" w:hint="default"/>
                            <w:sz w:val="20"/>
                            <w:szCs w:val="20"/>
                          </w:rPr>
                        </w:pPr>
                        <w:r>
                          <w:rPr>
                            <w:rFonts w:ascii="宋体" w:hAnsi="宋体" w:cs="宋体" w:eastAsia="宋体" w:hint="default"/>
                            <w:sz w:val="20"/>
                            <w:szCs w:val="20"/>
                          </w:rPr>
                          <w:t>存款；存放招商银行股份有限公司南京新城科技园支行</w:t>
                        </w:r>
                        <w:r>
                          <w:rPr>
                            <w:rFonts w:ascii="宋体" w:hAnsi="宋体" w:cs="宋体" w:eastAsia="宋体" w:hint="default"/>
                            <w:spacing w:val="-51"/>
                            <w:sz w:val="20"/>
                            <w:szCs w:val="20"/>
                          </w:rPr>
                          <w:t> </w:t>
                        </w:r>
                        <w:r>
                          <w:rPr>
                            <w:rFonts w:ascii="宋体" w:hAnsi="宋体" w:cs="宋体" w:eastAsia="宋体" w:hint="default"/>
                            <w:sz w:val="20"/>
                            <w:szCs w:val="20"/>
                          </w:rPr>
                          <w:t>12590480148000033</w:t>
                        </w:r>
                        <w:r>
                          <w:rPr>
                            <w:rFonts w:ascii="宋体" w:hAnsi="宋体" w:cs="宋体" w:eastAsia="宋体" w:hint="default"/>
                            <w:spacing w:val="-52"/>
                            <w:sz w:val="20"/>
                            <w:szCs w:val="20"/>
                          </w:rPr>
                          <w:t> </w:t>
                        </w:r>
                        <w:r>
                          <w:rPr>
                            <w:rFonts w:ascii="宋体" w:hAnsi="宋体" w:cs="宋体" w:eastAsia="宋体" w:hint="default"/>
                            <w:sz w:val="20"/>
                            <w:szCs w:val="20"/>
                          </w:rPr>
                          <w:t>户</w:t>
                        </w:r>
                      </w:p>
                      <w:p>
                        <w:pPr>
                          <w:pStyle w:val="TableParagraph"/>
                          <w:spacing w:line="240" w:lineRule="auto" w:before="50"/>
                          <w:ind w:left="23" w:right="0"/>
                          <w:jc w:val="left"/>
                          <w:rPr>
                            <w:rFonts w:ascii="宋体" w:hAnsi="宋体" w:cs="宋体" w:eastAsia="宋体" w:hint="default"/>
                            <w:sz w:val="20"/>
                            <w:szCs w:val="20"/>
                          </w:rPr>
                        </w:pPr>
                        <w:r>
                          <w:rPr>
                            <w:rFonts w:ascii="宋体" w:hAnsi="宋体" w:cs="宋体" w:eastAsia="宋体" w:hint="default"/>
                            <w:sz w:val="20"/>
                            <w:szCs w:val="20"/>
                          </w:rPr>
                          <w:t>568,000,000.00</w:t>
                        </w:r>
                        <w:r>
                          <w:rPr>
                            <w:rFonts w:ascii="宋体" w:hAnsi="宋体" w:cs="宋体" w:eastAsia="宋体" w:hint="default"/>
                            <w:spacing w:val="-55"/>
                            <w:sz w:val="20"/>
                            <w:szCs w:val="20"/>
                          </w:rPr>
                          <w:t> </w:t>
                        </w:r>
                        <w:r>
                          <w:rPr>
                            <w:rFonts w:ascii="宋体" w:hAnsi="宋体" w:cs="宋体" w:eastAsia="宋体" w:hint="default"/>
                            <w:sz w:val="20"/>
                            <w:szCs w:val="20"/>
                          </w:rPr>
                          <w:t>元，为七天通知存款。</w:t>
                        </w:r>
                      </w:p>
                    </w:tc>
                  </w:tr>
                  <w:tr>
                    <w:trPr>
                      <w:trHeight w:val="1027" w:hRule="exact"/>
                    </w:trPr>
                    <w:tc>
                      <w:tcPr>
                        <w:tcW w:w="1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0"/>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pacing w:val="-4"/>
                            <w:sz w:val="18"/>
                            <w:szCs w:val="18"/>
                          </w:rPr>
                          <w:t>截至本报告披露日，首发募集资金投资项目已全部完成投入，募集资金全部使用完毕，不再进行披露</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before="44"/>
        <w:ind w:left="0" w:right="10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28"/>
        <w:ind w:right="94"/>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6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8"/>
        <w:rPr>
          <w:rFonts w:ascii="宋体" w:hAnsi="宋体" w:cs="宋体" w:eastAsia="宋体" w:hint="default"/>
          <w:sz w:val="13"/>
          <w:szCs w:val="13"/>
        </w:rPr>
      </w:pPr>
    </w:p>
    <w:p>
      <w:pPr>
        <w:pStyle w:val="Heading2"/>
        <w:spacing w:line="240" w:lineRule="auto"/>
        <w:ind w:right="94"/>
        <w:jc w:val="left"/>
        <w:rPr>
          <w:b w:val="0"/>
          <w:bCs w:val="0"/>
        </w:rPr>
      </w:pPr>
      <w:r>
        <w:rPr/>
        <w:t>六、重大资产和股权出售</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94"/>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7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2"/>
        <w:rPr>
          <w:rFonts w:ascii="宋体" w:hAnsi="宋体" w:cs="宋体" w:eastAsia="宋体" w:hint="default"/>
          <w:sz w:val="16"/>
          <w:szCs w:val="16"/>
        </w:rPr>
      </w:pPr>
    </w:p>
    <w:p>
      <w:pPr>
        <w:pStyle w:val="Heading3"/>
        <w:spacing w:line="240" w:lineRule="auto"/>
        <w:ind w:right="94"/>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1133" w:top="1060" w:bottom="1320" w:left="980" w:right="94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七、主要控股参股公司分析</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after="0" w:line="240" w:lineRule="auto"/>
        <w:rPr>
          <w:rFonts w:ascii="Microsoft JhengHei" w:hAnsi="Microsoft JhengHei" w:cs="Microsoft JhengHei" w:eastAsia="Microsoft JhengHei" w:hint="default"/>
          <w:sz w:val="15"/>
          <w:szCs w:val="15"/>
        </w:rPr>
        <w:sectPr>
          <w:pgSz w:w="11910" w:h="16840"/>
          <w:pgMar w:header="745" w:footer="1133" w:top="1060" w:bottom="1320" w:left="980" w:right="98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320" w:left="980" w:right="980"/>
          <w:cols w:num="2" w:equalWidth="0">
            <w:col w:w="4851" w:space="4069"/>
            <w:col w:w="1030"/>
          </w:cols>
        </w:sectPr>
      </w:pP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008"/>
        <w:gridCol w:w="1152"/>
        <w:gridCol w:w="1001"/>
        <w:gridCol w:w="1090"/>
        <w:gridCol w:w="1078"/>
        <w:gridCol w:w="1092"/>
        <w:gridCol w:w="1092"/>
        <w:gridCol w:w="1093"/>
        <w:gridCol w:w="1092"/>
      </w:tblGrid>
      <w:tr>
        <w:trPr>
          <w:trHeight w:val="401" w:hRule="exact"/>
        </w:trPr>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4"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340"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北京中软华 泰信息技术 有限责任公 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65"/>
              <w:jc w:val="both"/>
              <w:rPr>
                <w:rFonts w:ascii="宋体" w:hAnsi="宋体" w:cs="宋体" w:eastAsia="宋体" w:hint="default"/>
                <w:sz w:val="18"/>
                <w:szCs w:val="18"/>
              </w:rPr>
            </w:pPr>
            <w:r>
              <w:rPr>
                <w:rFonts w:ascii="宋体" w:hAnsi="宋体" w:cs="宋体" w:eastAsia="宋体" w:hint="default"/>
                <w:sz w:val="18"/>
                <w:szCs w:val="18"/>
              </w:rPr>
              <w:t>服务器加固 和咨询服务 等</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15,865,384.70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80,111,848.35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58,317,382.69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66,398,502.40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20,656,082.71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17,440,075.57</w:t>
            </w:r>
          </w:p>
        </w:tc>
      </w:tr>
    </w:tbl>
    <w:p>
      <w:pPr>
        <w:pStyle w:val="BodyText"/>
        <w:spacing w:line="240" w:lineRule="auto" w:before="49"/>
        <w:ind w:right="0"/>
        <w:jc w:val="left"/>
      </w:pPr>
      <w:r>
        <w:rPr/>
        <w:t>报告期内取得和处置子公司的情况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3231"/>
        <w:gridCol w:w="3233"/>
        <w:gridCol w:w="3233"/>
      </w:tblGrid>
      <w:tr>
        <w:trPr>
          <w:trHeight w:val="401"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1"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1339"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3"/>
              <w:jc w:val="left"/>
              <w:rPr>
                <w:rFonts w:ascii="宋体" w:hAnsi="宋体" w:cs="宋体" w:eastAsia="宋体" w:hint="default"/>
                <w:sz w:val="18"/>
                <w:szCs w:val="18"/>
              </w:rPr>
            </w:pPr>
            <w:r>
              <w:rPr>
                <w:rFonts w:ascii="宋体" w:hAnsi="宋体" w:cs="宋体" w:eastAsia="宋体" w:hint="default"/>
                <w:spacing w:val="-4"/>
                <w:sz w:val="18"/>
                <w:szCs w:val="18"/>
              </w:rPr>
              <w:t>人工智能产业技术创新联盟（北京）科技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新设控股子公司</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通过整体化发展，将实现整个产业链覆 盖，构建起人工智能研发合作开放平台， </w:t>
            </w:r>
            <w:r>
              <w:rPr>
                <w:rFonts w:ascii="宋体" w:hAnsi="宋体" w:cs="宋体" w:eastAsia="宋体" w:hint="default"/>
                <w:spacing w:val="-4"/>
                <w:sz w:val="18"/>
                <w:szCs w:val="18"/>
              </w:rPr>
              <w:t>推动人工智能技术和应用创新，进一步提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升我国人工智能产业竞争力。</w:t>
            </w:r>
          </w:p>
        </w:tc>
      </w:tr>
      <w:tr>
        <w:trPr>
          <w:trHeight w:val="713"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北信源国际有限公司</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新设全资子公司</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4"/>
                <w:sz w:val="18"/>
                <w:szCs w:val="18"/>
              </w:rPr>
              <w:t>有利于公司系列产品业务的拓展，提升公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司综合竞争力。</w:t>
            </w:r>
          </w:p>
        </w:tc>
      </w:tr>
      <w:tr>
        <w:trPr>
          <w:trHeight w:val="1027"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北京北信源信息安全技术有限公司</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新设全资子公司</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pacing w:val="-4"/>
                <w:sz w:val="18"/>
                <w:szCs w:val="18"/>
              </w:rPr>
              <w:t>有利于公司在信息安全领域的布局，进一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步提高公司综合竞争力，为公司长期发展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奠定基础。</w:t>
            </w:r>
          </w:p>
        </w:tc>
      </w:tr>
    </w:tbl>
    <w:p>
      <w:pPr>
        <w:pStyle w:val="BodyText"/>
        <w:spacing w:line="240" w:lineRule="auto" w:before="49"/>
        <w:ind w:right="0"/>
        <w:jc w:val="left"/>
      </w:pPr>
      <w:r>
        <w:rPr/>
        <w:t>主要控股参股公司情况说明</w:t>
      </w:r>
    </w:p>
    <w:p>
      <w:pPr>
        <w:spacing w:line="240" w:lineRule="auto" w:before="11"/>
        <w:rPr>
          <w:rFonts w:ascii="宋体" w:hAnsi="宋体" w:cs="宋体" w:eastAsia="宋体" w:hint="default"/>
          <w:sz w:val="14"/>
          <w:szCs w:val="14"/>
        </w:rPr>
      </w:pPr>
    </w:p>
    <w:p>
      <w:pPr>
        <w:pStyle w:val="BodyText"/>
        <w:spacing w:line="451" w:lineRule="auto"/>
        <w:ind w:right="151" w:firstLine="358"/>
        <w:jc w:val="both"/>
      </w:pPr>
      <w:r>
        <w:rPr>
          <w:rFonts w:ascii="Times New Roman" w:hAnsi="Times New Roman" w:cs="Times New Roman" w:eastAsia="Times New Roman" w:hint="default"/>
          <w:spacing w:val="-1"/>
        </w:rPr>
        <w:t>1.</w:t>
      </w:r>
      <w:r>
        <w:rPr>
          <w:spacing w:val="-1"/>
        </w:rPr>
        <w:t>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23</w:t>
      </w:r>
      <w:r>
        <w:rPr>
          <w:spacing w:val="-1"/>
        </w:rPr>
        <w:t>日召开第三届董事会第一次临时会议，审议通过</w:t>
      </w:r>
      <w:r>
        <w:rPr>
          <w:rFonts w:ascii="Times New Roman" w:hAnsi="Times New Roman" w:cs="Times New Roman" w:eastAsia="Times New Roman" w:hint="default"/>
          <w:spacing w:val="-1"/>
        </w:rPr>
        <w:t>500</w:t>
      </w:r>
      <w:r>
        <w:rPr>
          <w:spacing w:val="-1"/>
        </w:rPr>
        <w:t>万元人民币，增资杭州芸品绿信息科技有限公</w:t>
      </w:r>
      <w:r>
        <w:rPr/>
        <w:t> 司，增资完成后持股</w:t>
      </w:r>
      <w:r>
        <w:rPr>
          <w:rFonts w:ascii="Times New Roman" w:hAnsi="Times New Roman" w:cs="Times New Roman" w:eastAsia="Times New Roman" w:hint="default"/>
        </w:rPr>
        <w:t>5%</w:t>
      </w:r>
      <w:r>
        <w:rPr/>
        <w:t>，截至报告期末，已完成相关工商登记。</w:t>
      </w:r>
    </w:p>
    <w:p>
      <w:pPr>
        <w:pStyle w:val="BodyText"/>
        <w:spacing w:line="468" w:lineRule="auto" w:before="43"/>
        <w:ind w:right="150" w:firstLine="358"/>
        <w:jc w:val="both"/>
      </w:pP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日召开第三届董事会第四次临时会议，审议通过公司使用自有资金人民币</w:t>
      </w:r>
      <w:r>
        <w:rPr>
          <w:rFonts w:ascii="Times New Roman" w:hAnsi="Times New Roman" w:cs="Times New Roman" w:eastAsia="Times New Roman" w:hint="default"/>
        </w:rPr>
        <w:t>1,000</w:t>
      </w:r>
      <w:r>
        <w:rPr/>
        <w:t>万元人民币与深圳 </w:t>
      </w:r>
      <w:r>
        <w:rPr>
          <w:spacing w:val="-2"/>
        </w:rPr>
        <w:t>市金城保密技术有限公司、非关联方中孚信息股份有限公司、北京中健祥电子科技有限公司、北京天融信网络安全技术有限</w:t>
      </w:r>
      <w:r>
        <w:rPr>
          <w:spacing w:val="-63"/>
        </w:rPr>
        <w:t> </w:t>
      </w:r>
      <w:r>
        <w:rPr>
          <w:spacing w:val="-63"/>
        </w:rPr>
      </w:r>
      <w:r>
        <w:rPr>
          <w:spacing w:val="-2"/>
        </w:rPr>
        <w:t>公司、蓝盾信息安全技术有限公司等五家信息安全保密技术共同设立国保联盟信息安全技术有限公司，投资完成后公司持股</w:t>
      </w:r>
      <w:r>
        <w:rPr>
          <w:spacing w:val="-64"/>
        </w:rPr>
        <w:t> </w:t>
      </w:r>
      <w:r>
        <w:rPr>
          <w:spacing w:val="-64"/>
        </w:rPr>
      </w:r>
      <w:r>
        <w:rPr>
          <w:rFonts w:ascii="Times New Roman" w:hAnsi="Times New Roman" w:cs="Times New Roman" w:eastAsia="Times New Roman" w:hint="default"/>
        </w:rPr>
        <w:t>18.18%</w:t>
      </w:r>
      <w:r>
        <w:rPr/>
        <w:t>，截至报告期末，已完成相关工商登记。</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Heading2"/>
        <w:spacing w:line="240" w:lineRule="auto"/>
        <w:ind w:right="0"/>
        <w:jc w:val="left"/>
        <w:rPr>
          <w:b w:val="0"/>
          <w:bCs w:val="0"/>
        </w:rPr>
      </w:pPr>
      <w:r>
        <w:rPr/>
        <w:t>八、公司控制的结构化主体情况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九、公司未来发展的展望</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Heading4"/>
        <w:spacing w:line="240" w:lineRule="auto"/>
        <w:ind w:left="350" w:right="7929"/>
        <w:jc w:val="center"/>
        <w:rPr>
          <w:b w:val="0"/>
          <w:bCs w:val="0"/>
        </w:rPr>
      </w:pPr>
      <w:r>
        <w:rPr/>
        <w:t>（一）公司发展战略</w:t>
      </w:r>
      <w:r>
        <w:rPr>
          <w:b w:val="0"/>
          <w:bCs w:val="0"/>
        </w:rPr>
      </w:r>
    </w:p>
    <w:p>
      <w:pPr>
        <w:spacing w:after="0" w:line="240" w:lineRule="auto"/>
        <w:jc w:val="center"/>
        <w:sectPr>
          <w:type w:val="continuous"/>
          <w:pgSz w:w="11910" w:h="16840"/>
          <w:pgMar w:top="1060" w:bottom="1320" w:left="980" w:right="980"/>
        </w:sectPr>
      </w:pPr>
    </w:p>
    <w:p>
      <w:pPr>
        <w:spacing w:line="240" w:lineRule="auto" w:before="16"/>
        <w:rPr>
          <w:rFonts w:ascii="Microsoft JhengHei" w:hAnsi="Microsoft JhengHei" w:cs="Microsoft JhengHei" w:eastAsia="Microsoft JhengHei" w:hint="default"/>
          <w:b/>
          <w:bCs/>
          <w:sz w:val="23"/>
          <w:szCs w:val="23"/>
        </w:rPr>
      </w:pPr>
    </w:p>
    <w:p>
      <w:pPr>
        <w:pStyle w:val="BodyText"/>
        <w:spacing w:line="477" w:lineRule="auto" w:before="44"/>
        <w:ind w:right="116" w:firstLine="358"/>
        <w:jc w:val="left"/>
      </w:pPr>
      <w:r>
        <w:rPr>
          <w:spacing w:val="-4"/>
        </w:rPr>
        <w:t>党的十九大报告多次提到安全问题，“世界面临的不稳定性不确定性突出，世界经济增长动能不足，贫富分化日益严重，</w:t>
      </w:r>
      <w:r>
        <w:rPr/>
        <w:t> </w:t>
      </w:r>
      <w:r>
        <w:rPr>
          <w:spacing w:val="-2"/>
        </w:rPr>
        <w:t>地区热点问题此起彼伏，恐怖主义、网络安全、重大传染性疾病、气候变化等非传统安全威胁持续蔓延，人类面临许多共同</w:t>
      </w:r>
      <w:r>
        <w:rPr>
          <w:spacing w:val="-67"/>
        </w:rPr>
        <w:t> </w:t>
      </w:r>
      <w:r>
        <w:rPr>
          <w:spacing w:val="-67"/>
        </w:rPr>
      </w:r>
      <w:r>
        <w:rPr>
          <w:spacing w:val="-2"/>
        </w:rPr>
        <w:t>挑战”“不断满足人民日益增长的美好生活需要，不断促进社会公平正义，形成有效的社会治理、良好的社会秩序，使人民</w:t>
      </w:r>
      <w:r>
        <w:rPr>
          <w:spacing w:val="-64"/>
        </w:rPr>
        <w:t> </w:t>
      </w:r>
      <w:r>
        <w:rPr>
          <w:spacing w:val="-64"/>
        </w:rPr>
      </w:r>
      <w:r>
        <w:rPr>
          <w:spacing w:val="-2"/>
        </w:rPr>
        <w:t>获得感、幸福感、安全感更加充实、更有保障、更可持续”“统筹发展和安全，增强忧患意识”，从中可以看出安全是事关</w:t>
      </w:r>
      <w:r>
        <w:rPr>
          <w:spacing w:val="-67"/>
        </w:rPr>
        <w:t> </w:t>
      </w:r>
      <w:r>
        <w:rPr>
          <w:spacing w:val="-67"/>
        </w:rPr>
      </w:r>
      <w:r>
        <w:rPr>
          <w:spacing w:val="-2"/>
        </w:rPr>
        <w:t>国家安全和国家发展，是广大人民群众工作生活的重大战略问题，社会各界均对安全有强烈的需求，同时网络安全又是国家</w:t>
      </w:r>
      <w:r>
        <w:rPr>
          <w:spacing w:val="-63"/>
        </w:rPr>
        <w:t> </w:t>
      </w:r>
      <w:r>
        <w:rPr>
          <w:spacing w:val="-63"/>
        </w:rPr>
      </w:r>
      <w:r>
        <w:rPr>
          <w:spacing w:val="-2"/>
        </w:rPr>
        <w:t>安全的重要一环，解决网络安全问题将是未来国家的重点工作。鉴于此国家密集出台了《网络安全法》、《国家网络空间安</w:t>
      </w:r>
      <w:r>
        <w:rPr>
          <w:spacing w:val="-66"/>
        </w:rPr>
        <w:t> </w:t>
      </w:r>
      <w:r>
        <w:rPr>
          <w:spacing w:val="-66"/>
        </w:rPr>
      </w:r>
      <w:r>
        <w:rPr/>
        <w:t>全战略》及《战略性新兴产业重点产品和服务指导目录》等多项重磅政策，有效推动网络安全行业加速成长。</w:t>
      </w:r>
    </w:p>
    <w:p>
      <w:pPr>
        <w:pStyle w:val="BodyText"/>
        <w:spacing w:line="477" w:lineRule="auto" w:before="55"/>
        <w:ind w:right="116" w:firstLine="360"/>
        <w:jc w:val="left"/>
      </w:pPr>
      <w:r>
        <w:rPr/>
        <w:t>同时“十三五”规划推动了国家信息安全、大数据战略和“互联网</w:t>
      </w:r>
      <w:r>
        <w:rPr>
          <w:rFonts w:ascii="宋体" w:hAnsi="宋体" w:cs="宋体" w:eastAsia="宋体" w:hint="default"/>
        </w:rPr>
        <w:t>+</w:t>
      </w:r>
      <w:r>
        <w:rPr/>
        <w:t>”计划，以及融合新媒体、安全等行业出现较明显 </w:t>
      </w:r>
      <w:r>
        <w:rPr>
          <w:spacing w:val="-4"/>
        </w:rPr>
        <w:t>的增长趋势，给公司所定位的技术方向或重点行业上带来极好的发展机遇和很大的扩张空间，并有利于巩固公司在技术门槛、</w:t>
      </w:r>
      <w:r>
        <w:rPr>
          <w:spacing w:val="-44"/>
        </w:rPr>
        <w:t> </w:t>
      </w:r>
      <w:r>
        <w:rPr>
          <w:spacing w:val="-44"/>
        </w:rPr>
      </w:r>
      <w:r>
        <w:rPr/>
        <w:t>行业资源以及市场基础方面建立起来的优势领先地位，并进一步引领行业创新应用的推广深化。</w:t>
      </w:r>
    </w:p>
    <w:p>
      <w:pPr>
        <w:pStyle w:val="BodyText"/>
        <w:spacing w:line="477" w:lineRule="auto" w:before="54"/>
        <w:ind w:right="116" w:firstLine="360"/>
        <w:jc w:val="left"/>
      </w:pPr>
      <w:r>
        <w:rPr>
          <w:spacing w:val="-2"/>
        </w:rPr>
        <w:t>在信息安全方面，公司在强化现有产品体系和技术积累的基础上，积极拓展产品新方向，利用大数据驱动信息安全智能</w:t>
      </w:r>
      <w:r>
        <w:rPr/>
        <w:t> </w:t>
      </w:r>
      <w:r>
        <w:rPr>
          <w:spacing w:val="-4"/>
        </w:rPr>
        <w:t>化提升；在大数据方面，借助现有平台和数据，集中力量深化产品在客户业务系统中的作用，体现产品价值，加强客户粘性；</w:t>
      </w:r>
      <w:r>
        <w:rPr>
          <w:spacing w:val="-46"/>
        </w:rPr>
        <w:t> </w:t>
      </w:r>
      <w:r>
        <w:rPr>
          <w:spacing w:val="-46"/>
        </w:rPr>
      </w:r>
      <w:r>
        <w:rPr/>
        <w:t>在移动互联方面，以信源豆豆为基础，推进移动化、互联网化对于客户业务的积极影响。</w:t>
      </w:r>
    </w:p>
    <w:p>
      <w:pPr>
        <w:pStyle w:val="BodyText"/>
        <w:spacing w:line="477" w:lineRule="auto" w:before="54"/>
        <w:ind w:right="210" w:firstLine="360"/>
        <w:jc w:val="both"/>
      </w:pPr>
      <w:r>
        <w:rPr>
          <w:spacing w:val="-2"/>
        </w:rPr>
        <w:t>国产主机的广泛使用、虚拟化主机的逐步推进以及工业终端安全的重视对于扩展公司现有产品体系的外延都具有重要的</w:t>
      </w:r>
      <w:r>
        <w:rPr/>
        <w:t> </w:t>
      </w:r>
      <w:r>
        <w:rPr>
          <w:spacing w:val="-2"/>
        </w:rPr>
        <w:t>积极作用。国产主机以政府等国家部门为首要客户，终端信息安全是国产主机投入使用的必要条件；桌面虚拟化的趋势预示</w:t>
      </w:r>
      <w:r>
        <w:rPr>
          <w:spacing w:val="-63"/>
        </w:rPr>
        <w:t> </w:t>
      </w:r>
      <w:r>
        <w:rPr>
          <w:spacing w:val="-63"/>
        </w:rPr>
      </w:r>
      <w:r>
        <w:rPr>
          <w:spacing w:val="-2"/>
        </w:rPr>
        <w:t>着新一轮虚拟化终端安全的到来；而工业终端安全逐步纳入到终端管控的范畴内为公司新业务的发展划定一个极具潜力的市</w:t>
      </w:r>
      <w:r>
        <w:rPr>
          <w:spacing w:val="-63"/>
        </w:rPr>
        <w:t> </w:t>
      </w:r>
      <w:r>
        <w:rPr>
          <w:spacing w:val="-63"/>
        </w:rPr>
      </w:r>
      <w:r>
        <w:rPr/>
        <w:t>场。</w:t>
      </w:r>
    </w:p>
    <w:p>
      <w:pPr>
        <w:pStyle w:val="BodyText"/>
        <w:spacing w:line="477" w:lineRule="auto" w:before="54"/>
        <w:ind w:right="116" w:firstLine="360"/>
        <w:jc w:val="left"/>
      </w:pPr>
      <w:r>
        <w:rPr>
          <w:spacing w:val="-2"/>
        </w:rPr>
        <w:t>移动互联进入办公体系后，即时通信等沟通工具的安全性逐步受到企业的重视。信源豆豆的安全性、灵活的业务整合能</w:t>
      </w:r>
      <w:r>
        <w:rPr/>
        <w:t> 力渐渐进入各行业客户视野。信源豆豆厚积薄发，在新客户拓展方面具有很大的发展潜力。</w:t>
      </w:r>
    </w:p>
    <w:p>
      <w:pPr>
        <w:pStyle w:val="BodyText"/>
        <w:spacing w:line="477" w:lineRule="auto" w:before="54"/>
        <w:ind w:right="209" w:firstLine="360"/>
        <w:jc w:val="both"/>
      </w:pPr>
      <w:r>
        <w:rPr/>
        <w:t>另外，随着人工智能技术的应用推进，“人工智能</w:t>
      </w:r>
      <w:r>
        <w:rPr>
          <w:rFonts w:ascii="宋体" w:hAnsi="宋体" w:cs="宋体" w:eastAsia="宋体" w:hint="default"/>
        </w:rPr>
        <w:t>+</w:t>
      </w:r>
      <w:r>
        <w:rPr/>
        <w:t>网络安全”的行业趋势将愈来愈明显：人工智能是基于网络和大数 </w:t>
      </w:r>
      <w:r>
        <w:rPr>
          <w:spacing w:val="-2"/>
        </w:rPr>
        <w:t>据的，保护网络和数据安全是发展人工智能的前提，网络信息安全是人工智能的保镖。随着防护边界泛网络化后网络安全要</w:t>
      </w:r>
      <w:r>
        <w:rPr>
          <w:spacing w:val="-63"/>
        </w:rPr>
        <w:t> </w:t>
      </w:r>
      <w:r>
        <w:rPr>
          <w:spacing w:val="-63"/>
        </w:rPr>
      </w:r>
      <w:r>
        <w:rPr>
          <w:spacing w:val="-2"/>
        </w:rPr>
        <w:t>利用人工智能技术应对网络泛化的数据安全。随着人工智能的发展，对网络泛化的数据提供安全保障，已经成了网络安全行</w:t>
      </w:r>
      <w:r>
        <w:rPr>
          <w:spacing w:val="-62"/>
        </w:rPr>
        <w:t> </w:t>
      </w:r>
      <w:r>
        <w:rPr>
          <w:spacing w:val="-62"/>
        </w:rPr>
      </w:r>
      <w:r>
        <w:rPr/>
        <w:t>业的另一个发展重点。</w:t>
      </w:r>
    </w:p>
    <w:p>
      <w:pPr>
        <w:pStyle w:val="BodyText"/>
        <w:spacing w:line="477" w:lineRule="auto" w:before="54"/>
        <w:ind w:right="116" w:firstLine="358"/>
        <w:jc w:val="left"/>
      </w:pPr>
      <w:r>
        <w:rPr/>
        <w:t>公司多年来紧跟国家发展方向，新技术成为新时代经济发展和社会进步的关键驱动力，公司顺应技术发展和市场趋势， </w:t>
      </w:r>
      <w:r>
        <w:rPr>
          <w:spacing w:val="-2"/>
        </w:rPr>
        <w:t>围绕布局信息安全、大数据、互联网三大业务方向。三个方向相辅相成、相互推进，将以信息安全为基础，依循“国产自主</w:t>
      </w:r>
      <w:r>
        <w:rPr>
          <w:spacing w:val="-66"/>
        </w:rPr>
        <w:t> </w:t>
      </w:r>
      <w:r>
        <w:rPr>
          <w:spacing w:val="-66"/>
        </w:rPr>
      </w:r>
      <w:r>
        <w:rPr>
          <w:spacing w:val="-2"/>
        </w:rPr>
        <w:t>可控”这一国家安全的核心发展方向，充分借力大数据平台和技术，进一步完善和提升终端安全体系防护能力，提高信息系</w:t>
      </w:r>
      <w:r>
        <w:rPr>
          <w:spacing w:val="-63"/>
        </w:rPr>
        <w:t> </w:t>
      </w:r>
      <w:r>
        <w:rPr>
          <w:spacing w:val="-63"/>
        </w:rPr>
      </w:r>
      <w:r>
        <w:rPr>
          <w:spacing w:val="-2"/>
        </w:rPr>
        <w:t>统的</w:t>
      </w:r>
      <w:r>
        <w:rPr>
          <w:rFonts w:ascii="宋体" w:hAnsi="宋体" w:cs="宋体" w:eastAsia="宋体" w:hint="default"/>
          <w:spacing w:val="-2"/>
        </w:rPr>
        <w:t>IT</w:t>
      </w:r>
      <w:r>
        <w:rPr>
          <w:spacing w:val="-2"/>
        </w:rPr>
        <w:t>运维水平；以安全即时通信为基础，打造移动安全互联平台，实现对研发力量、网络应用和媒体等内容的聚合，通过</w:t>
      </w:r>
      <w:r>
        <w:rPr>
          <w:spacing w:val="-66"/>
        </w:rPr>
        <w:t> </w:t>
      </w:r>
      <w:r>
        <w:rPr>
          <w:spacing w:val="-66"/>
        </w:rPr>
      </w:r>
      <w:r>
        <w:rPr/>
        <w:t>人工智能相关技术的支撑，多维度助力“互联网</w:t>
      </w:r>
      <w:r>
        <w:rPr>
          <w:rFonts w:ascii="宋体" w:hAnsi="宋体" w:cs="宋体" w:eastAsia="宋体" w:hint="default"/>
        </w:rPr>
        <w:t>+</w:t>
      </w:r>
      <w:r>
        <w:rPr/>
        <w:t>”，打造“安全的智能”和“智能的安全”创新产品和服务，从而将公司 打造成为业界领先的平台及服务提供商，为我国的信息安全建设与自主可控战略发展积极贡献力量。</w:t>
      </w:r>
    </w:p>
    <w:p>
      <w:pPr>
        <w:pStyle w:val="Heading4"/>
        <w:spacing w:line="310" w:lineRule="exact"/>
        <w:ind w:left="426" w:right="116"/>
        <w:jc w:val="left"/>
        <w:rPr>
          <w:b w:val="0"/>
          <w:bCs w:val="0"/>
        </w:rPr>
      </w:pPr>
      <w:r>
        <w:rPr/>
        <w:t>（二）公司</w:t>
      </w:r>
      <w:r>
        <w:rPr>
          <w:rFonts w:ascii="Times New Roman" w:hAnsi="Times New Roman" w:cs="Times New Roman" w:eastAsia="Times New Roman" w:hint="default"/>
        </w:rPr>
        <w:t>2018</w:t>
      </w:r>
      <w:r>
        <w:rPr/>
        <w:t>年度主要经营计划</w:t>
      </w:r>
      <w:r>
        <w:rPr>
          <w:b w:val="0"/>
          <w:bCs w:val="0"/>
        </w:rPr>
      </w:r>
    </w:p>
    <w:p>
      <w:pPr>
        <w:spacing w:after="0" w:line="310" w:lineRule="exact"/>
        <w:jc w:val="left"/>
        <w:sectPr>
          <w:pgSz w:w="11910" w:h="16840"/>
          <w:pgMar w:header="745" w:footer="1133" w:top="1060" w:bottom="1320" w:left="980" w:right="920"/>
        </w:sectPr>
      </w:pPr>
    </w:p>
    <w:p>
      <w:pPr>
        <w:spacing w:line="240" w:lineRule="auto" w:before="16"/>
        <w:rPr>
          <w:rFonts w:ascii="Microsoft JhengHei" w:hAnsi="Microsoft JhengHei" w:cs="Microsoft JhengHei" w:eastAsia="Microsoft JhengHei" w:hint="default"/>
          <w:b/>
          <w:bCs/>
          <w:sz w:val="23"/>
          <w:szCs w:val="23"/>
        </w:rPr>
      </w:pPr>
    </w:p>
    <w:p>
      <w:pPr>
        <w:pStyle w:val="BodyText"/>
        <w:spacing w:line="240" w:lineRule="auto" w:before="44"/>
        <w:ind w:left="515" w:right="0"/>
        <w:jc w:val="left"/>
      </w:pPr>
      <w:r>
        <w:rPr>
          <w:rFonts w:ascii="宋体" w:hAnsi="宋体" w:cs="宋体" w:eastAsia="宋体" w:hint="default"/>
        </w:rPr>
        <w:t>2018</w:t>
      </w:r>
      <w:r>
        <w:rPr/>
        <w:t>年，公司紧随行业国家产业政策和发展趋势，围绕公司的发展战略，为实现经营目标，重点从以下方面开展工作；</w:t>
      </w:r>
    </w:p>
    <w:p>
      <w:pPr>
        <w:spacing w:line="240" w:lineRule="auto" w:before="5"/>
        <w:rPr>
          <w:rFonts w:ascii="宋体" w:hAnsi="宋体" w:cs="宋体" w:eastAsia="宋体" w:hint="default"/>
          <w:sz w:val="13"/>
          <w:szCs w:val="13"/>
        </w:rPr>
      </w:pPr>
    </w:p>
    <w:p>
      <w:pPr>
        <w:spacing w:line="403" w:lineRule="auto" w:before="0"/>
        <w:ind w:left="515" w:right="9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、扎实推进公司发展战略的落地与实施</w:t>
      </w:r>
      <w:r>
        <w:rPr>
          <w:rFonts w:ascii="Microsoft JhengHei" w:hAnsi="Microsoft JhengHei" w:cs="Microsoft JhengHei" w:eastAsia="Microsoft JhengHei" w:hint="default"/>
          <w:b/>
          <w:bCs/>
          <w:spacing w:val="-35"/>
          <w:sz w:val="18"/>
          <w:szCs w:val="18"/>
        </w:rPr>
        <w:t> </w:t>
      </w:r>
      <w:r>
        <w:rPr>
          <w:rFonts w:ascii="Microsoft JhengHei" w:hAnsi="Microsoft JhengHei" w:cs="Microsoft JhengHei" w:eastAsia="Microsoft JhengHei" w:hint="default"/>
          <w:b/>
          <w:bCs/>
          <w:spacing w:val="-35"/>
          <w:sz w:val="18"/>
          <w:szCs w:val="18"/>
        </w:rPr>
      </w:r>
      <w:r>
        <w:rPr>
          <w:rFonts w:ascii="宋体" w:hAnsi="宋体" w:cs="宋体" w:eastAsia="宋体" w:hint="default"/>
          <w:spacing w:val="-2"/>
          <w:sz w:val="18"/>
          <w:szCs w:val="18"/>
        </w:rPr>
        <w:t>公司紧紧围绕“信息安全、大数据、互联网”三大发展战略规划，各业务版块齐头并进，业务相互促进，协同发展，快</w:t>
      </w:r>
    </w:p>
    <w:p>
      <w:pPr>
        <w:pStyle w:val="BodyText"/>
        <w:spacing w:line="477" w:lineRule="auto" w:before="110"/>
        <w:ind w:left="513" w:right="94" w:hanging="361"/>
        <w:jc w:val="left"/>
      </w:pPr>
      <w:r>
        <w:rPr/>
        <w:t>速夯实软硬技术融合和市场竞争力，全面增强公司的整体盈利能力，从而推进发展战略的落地与实施。 </w:t>
      </w:r>
      <w:r>
        <w:rPr>
          <w:spacing w:val="-2"/>
        </w:rPr>
        <w:t>在信息安全方面，公司将把握国产化终端发展大机遇，以国产终端安全为切入点，谋求自主可控内网安全解决方案技术</w:t>
      </w:r>
    </w:p>
    <w:p>
      <w:pPr>
        <w:pStyle w:val="BodyText"/>
        <w:spacing w:line="477" w:lineRule="auto" w:before="54"/>
        <w:ind w:right="191"/>
        <w:jc w:val="both"/>
      </w:pPr>
      <w:r>
        <w:rPr>
          <w:spacing w:val="-2"/>
        </w:rPr>
        <w:t>主导地位；同时积极扩展终端安全内涵，加速工控终端安全、物联网终端安全与传统终端的一体化解决方案；脚踏实地以一</w:t>
      </w:r>
      <w:r>
        <w:rPr>
          <w:spacing w:val="-65"/>
        </w:rPr>
        <w:t> </w:t>
      </w:r>
      <w:r>
        <w:rPr>
          <w:spacing w:val="-65"/>
        </w:rPr>
      </w:r>
      <w:r>
        <w:rPr/>
        <w:t>体化终端方式带动网络边界安全、数据安全产品大规模落地形成行业解决方案标杆。</w:t>
      </w:r>
    </w:p>
    <w:p>
      <w:pPr>
        <w:pStyle w:val="BodyText"/>
        <w:spacing w:line="477" w:lineRule="auto" w:before="55"/>
        <w:ind w:right="94" w:firstLine="362"/>
        <w:jc w:val="left"/>
      </w:pPr>
      <w:r>
        <w:rPr>
          <w:spacing w:val="-2"/>
        </w:rPr>
        <w:t>在大数据方面，公司利用海量终端大数据积累，依托大数据平台态势感知、威胁预警和人工智能深度学习模型，主导行</w:t>
      </w:r>
      <w:r>
        <w:rPr/>
        <w:t> 业标准，打造大数据为基础的新一代内网安全产品生态体系。</w:t>
      </w:r>
    </w:p>
    <w:p>
      <w:pPr>
        <w:pStyle w:val="BodyText"/>
        <w:spacing w:line="477" w:lineRule="auto" w:before="54"/>
        <w:ind w:right="94" w:firstLine="360"/>
        <w:jc w:val="left"/>
      </w:pPr>
      <w:r>
        <w:rPr>
          <w:spacing w:val="-2"/>
        </w:rPr>
        <w:t>在移动互联网方面，公司将以信源豆豆产品为核心，满足互联网用户隐私安全通信需求，积极推进面向中小企业的互联</w:t>
      </w:r>
      <w:r>
        <w:rPr/>
        <w:t> 网产品销售；继续深化行业客户产品多元化需求，扩大产品适应性，巩固安全聚合通道地位。</w:t>
      </w:r>
    </w:p>
    <w:p>
      <w:pPr>
        <w:pStyle w:val="BodyText"/>
        <w:spacing w:line="477" w:lineRule="auto" w:before="54"/>
        <w:ind w:right="182" w:firstLine="362"/>
        <w:jc w:val="left"/>
      </w:pPr>
      <w:r>
        <w:rPr/>
        <w:t>同时，公司还将充分利用人工智能赋能效应，建立“信息安全</w:t>
      </w:r>
      <w:r>
        <w:rPr>
          <w:rFonts w:ascii="宋体" w:hAnsi="宋体" w:cs="宋体" w:eastAsia="宋体" w:hint="default"/>
        </w:rPr>
        <w:t>+</w:t>
      </w:r>
      <w:r>
        <w:rPr/>
        <w:t>人工智能”合作生态环境，积极引入成熟的人工智能算 法、人才和应用，提升信息安全智能水平，谋求跨越式发展。</w:t>
      </w:r>
    </w:p>
    <w:p>
      <w:pPr>
        <w:spacing w:line="403" w:lineRule="auto" w:before="0"/>
        <w:ind w:left="513" w:right="9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Microsoft JhengHei" w:hAnsi="Microsoft JhengHei" w:cs="Microsoft JhengHei" w:eastAsia="Microsoft JhengHei" w:hint="default"/>
          <w:b/>
          <w:bCs/>
          <w:sz w:val="18"/>
          <w:szCs w:val="18"/>
        </w:rPr>
        <w:t>、坚持技术创新，增强核心竞争力</w:t>
      </w:r>
      <w:r>
        <w:rPr>
          <w:rFonts w:ascii="Microsoft JhengHei" w:hAnsi="Microsoft JhengHei" w:cs="Microsoft JhengHei" w:eastAsia="Microsoft JhengHei" w:hint="default"/>
          <w:b/>
          <w:bCs/>
          <w:spacing w:val="-35"/>
          <w:sz w:val="18"/>
          <w:szCs w:val="18"/>
        </w:rPr>
        <w:t> </w:t>
      </w:r>
      <w:r>
        <w:rPr>
          <w:rFonts w:ascii="Microsoft JhengHei" w:hAnsi="Microsoft JhengHei" w:cs="Microsoft JhengHei" w:eastAsia="Microsoft JhengHei" w:hint="default"/>
          <w:b/>
          <w:bCs/>
          <w:spacing w:val="-35"/>
          <w:sz w:val="18"/>
          <w:szCs w:val="18"/>
        </w:rPr>
      </w:r>
      <w:r>
        <w:rPr>
          <w:rFonts w:ascii="宋体" w:hAnsi="宋体" w:cs="宋体" w:eastAsia="宋体" w:hint="default"/>
          <w:spacing w:val="-2"/>
          <w:sz w:val="18"/>
          <w:szCs w:val="18"/>
        </w:rPr>
        <w:t>为适应快速发展的产品和技术需求，公司坚持自主创新与吸收引进相结合，在不断优化已有优势产品的基础上，不断加</w:t>
      </w:r>
    </w:p>
    <w:p>
      <w:pPr>
        <w:pStyle w:val="BodyText"/>
        <w:spacing w:line="477" w:lineRule="auto" w:before="110"/>
        <w:ind w:right="193"/>
        <w:jc w:val="both"/>
      </w:pPr>
      <w:r>
        <w:rPr>
          <w:spacing w:val="-2"/>
        </w:rPr>
        <w:t>大研发投入，围绕“信息安全、大数据、互联网”的的技术主线，积极推动技术和产品的不断升级，致力于成为物联网时代</w:t>
      </w:r>
      <w:r>
        <w:rPr>
          <w:spacing w:val="-68"/>
        </w:rPr>
        <w:t> </w:t>
      </w:r>
      <w:r>
        <w:rPr>
          <w:spacing w:val="-68"/>
        </w:rPr>
      </w:r>
      <w:r>
        <w:rPr>
          <w:spacing w:val="-2"/>
        </w:rPr>
        <w:t>下智慧安全的全面解决方案提供商。同时利用控股和参股公司及战略合作合伙的先进技术，在产品技术研发、应用技术开发</w:t>
      </w:r>
      <w:r>
        <w:rPr>
          <w:spacing w:val="-66"/>
        </w:rPr>
        <w:t> </w:t>
      </w:r>
      <w:r>
        <w:rPr>
          <w:spacing w:val="-66"/>
        </w:rPr>
      </w:r>
      <w:r>
        <w:rPr/>
        <w:t>等多个层面，完善公司多层次的技术研发体系，不断提升公司的研发及预研能力。</w:t>
      </w:r>
    </w:p>
    <w:p>
      <w:pPr>
        <w:spacing w:line="403" w:lineRule="auto" w:before="0"/>
        <w:ind w:left="518" w:right="94" w:hanging="5"/>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Microsoft JhengHei" w:hAnsi="Microsoft JhengHei" w:cs="Microsoft JhengHei" w:eastAsia="Microsoft JhengHei" w:hint="default"/>
          <w:b/>
          <w:bCs/>
          <w:sz w:val="18"/>
          <w:szCs w:val="18"/>
        </w:rPr>
        <w:t>、深化行业布局，探索业务增长空间</w:t>
      </w:r>
      <w:r>
        <w:rPr>
          <w:rFonts w:ascii="Microsoft JhengHei" w:hAnsi="Microsoft JhengHei" w:cs="Microsoft JhengHei" w:eastAsia="Microsoft JhengHei" w:hint="default"/>
          <w:b/>
          <w:bCs/>
          <w:spacing w:val="-35"/>
          <w:sz w:val="18"/>
          <w:szCs w:val="18"/>
        </w:rPr>
        <w:t> </w:t>
      </w:r>
      <w:r>
        <w:rPr>
          <w:rFonts w:ascii="Microsoft JhengHei" w:hAnsi="Microsoft JhengHei" w:cs="Microsoft JhengHei" w:eastAsia="Microsoft JhengHei" w:hint="default"/>
          <w:b/>
          <w:bCs/>
          <w:spacing w:val="-35"/>
          <w:sz w:val="18"/>
          <w:szCs w:val="18"/>
        </w:rPr>
      </w:r>
      <w:r>
        <w:rPr>
          <w:rFonts w:ascii="宋体" w:hAnsi="宋体" w:cs="宋体" w:eastAsia="宋体" w:hint="default"/>
          <w:spacing w:val="-2"/>
          <w:sz w:val="18"/>
          <w:szCs w:val="18"/>
        </w:rPr>
        <w:t>公司持续深化以”信息安全、大数据、互联网”的三大发展战略，在巩固现有客户与行业的基础上，优化销售布局，加</w:t>
      </w:r>
    </w:p>
    <w:p>
      <w:pPr>
        <w:pStyle w:val="BodyText"/>
        <w:spacing w:line="477" w:lineRule="auto" w:before="110"/>
        <w:ind w:right="194"/>
        <w:jc w:val="both"/>
      </w:pPr>
      <w:r>
        <w:rPr>
          <w:spacing w:val="-2"/>
        </w:rPr>
        <w:t>强营销渠道建设，提升客户服务能力，积极拓展新行业、新领域，在重点行业的核心业务领域不断取得突破和进步。同时紧</w:t>
      </w:r>
      <w:r>
        <w:rPr>
          <w:spacing w:val="-66"/>
        </w:rPr>
        <w:t> </w:t>
      </w:r>
      <w:r>
        <w:rPr>
          <w:spacing w:val="-66"/>
        </w:rPr>
      </w:r>
      <w:r>
        <w:rPr/>
        <w:t>跟国产化自主可控发展趋势，布局新技术带来的新的市场需求，不断适应新的市场变化趋势。</w:t>
      </w:r>
    </w:p>
    <w:p>
      <w:pPr>
        <w:pStyle w:val="Heading4"/>
        <w:spacing w:line="310" w:lineRule="exact"/>
        <w:ind w:left="515" w:right="94"/>
        <w:jc w:val="left"/>
        <w:rPr>
          <w:b w:val="0"/>
          <w:bCs w:val="0"/>
        </w:rPr>
      </w:pPr>
      <w:r>
        <w:rPr>
          <w:rFonts w:ascii="Times New Roman" w:hAnsi="Times New Roman" w:cs="Times New Roman" w:eastAsia="Times New Roman" w:hint="default"/>
        </w:rPr>
        <w:t>4</w:t>
      </w:r>
      <w:r>
        <w:rPr/>
        <w:t>、借力资本平台，完善战略布局</w:t>
      </w:r>
      <w:r>
        <w:rPr>
          <w:b w:val="0"/>
          <w:bCs w:val="0"/>
        </w:rPr>
      </w:r>
    </w:p>
    <w:p>
      <w:pPr>
        <w:spacing w:line="240" w:lineRule="auto" w:before="3"/>
        <w:rPr>
          <w:rFonts w:ascii="Microsoft JhengHei" w:hAnsi="Microsoft JhengHei" w:cs="Microsoft JhengHei" w:eastAsia="Microsoft JhengHei" w:hint="default"/>
          <w:b/>
          <w:bCs/>
          <w:sz w:val="12"/>
          <w:szCs w:val="12"/>
        </w:rPr>
      </w:pPr>
    </w:p>
    <w:p>
      <w:pPr>
        <w:pStyle w:val="BodyText"/>
        <w:spacing w:line="477" w:lineRule="auto"/>
        <w:ind w:right="94" w:firstLine="360"/>
        <w:jc w:val="left"/>
      </w:pPr>
      <w:r>
        <w:rPr>
          <w:rFonts w:ascii="宋体" w:hAnsi="宋体" w:cs="宋体" w:eastAsia="宋体" w:hint="default"/>
          <w:spacing w:val="-2"/>
        </w:rPr>
        <w:t>2018</w:t>
      </w:r>
      <w:r>
        <w:rPr>
          <w:spacing w:val="-2"/>
        </w:rPr>
        <w:t>年，公司将充分利用上市公司平台，在合理控制风险的前提下，积极寻找优秀的行业合作伙伴，实现合作共赢和持</w:t>
      </w:r>
      <w:r>
        <w:rPr/>
        <w:t> 续发展，进一步完善公司产业链布局，提高公司的行业地位和综合竞争实力。</w:t>
      </w:r>
    </w:p>
    <w:p>
      <w:pPr>
        <w:spacing w:line="403" w:lineRule="auto" w:before="0"/>
        <w:ind w:left="513" w:right="9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Microsoft JhengHei" w:hAnsi="Microsoft JhengHei" w:cs="Microsoft JhengHei" w:eastAsia="Microsoft JhengHei" w:hint="default"/>
          <w:b/>
          <w:bCs/>
          <w:sz w:val="18"/>
          <w:szCs w:val="18"/>
        </w:rPr>
        <w:t>、提升公司品牌管理，丰富市场营销渠道</w:t>
      </w:r>
      <w:r>
        <w:rPr>
          <w:rFonts w:ascii="Microsoft JhengHei" w:hAnsi="Microsoft JhengHei" w:cs="Microsoft JhengHei" w:eastAsia="Microsoft JhengHei" w:hint="default"/>
          <w:b/>
          <w:bCs/>
          <w:spacing w:val="-35"/>
          <w:sz w:val="18"/>
          <w:szCs w:val="18"/>
        </w:rPr>
        <w:t> </w:t>
      </w:r>
      <w:r>
        <w:rPr>
          <w:rFonts w:ascii="Microsoft JhengHei" w:hAnsi="Microsoft JhengHei" w:cs="Microsoft JhengHei" w:eastAsia="Microsoft JhengHei" w:hint="default"/>
          <w:b/>
          <w:bCs/>
          <w:spacing w:val="-35"/>
          <w:sz w:val="18"/>
          <w:szCs w:val="18"/>
        </w:rPr>
      </w:r>
      <w:r>
        <w:rPr>
          <w:rFonts w:ascii="宋体" w:hAnsi="宋体" w:cs="宋体" w:eastAsia="宋体" w:hint="default"/>
          <w:spacing w:val="-2"/>
          <w:sz w:val="18"/>
          <w:szCs w:val="18"/>
        </w:rPr>
        <w:t>品牌整合营销是推动企业发展的无形力量。</w:t>
      </w:r>
      <w:r>
        <w:rPr>
          <w:rFonts w:ascii="宋体" w:hAnsi="宋体" w:cs="宋体" w:eastAsia="宋体" w:hint="default"/>
          <w:spacing w:val="-2"/>
          <w:sz w:val="18"/>
          <w:szCs w:val="18"/>
        </w:rPr>
        <w:t>2018</w:t>
      </w:r>
      <w:r>
        <w:rPr>
          <w:rFonts w:ascii="宋体" w:hAnsi="宋体" w:cs="宋体" w:eastAsia="宋体" w:hint="default"/>
          <w:spacing w:val="-2"/>
          <w:sz w:val="18"/>
          <w:szCs w:val="18"/>
        </w:rPr>
        <w:t>年，公司将全力深化多渠道、多元化的品牌整合营销，提升企业的知名</w:t>
      </w:r>
    </w:p>
    <w:p>
      <w:pPr>
        <w:pStyle w:val="BodyText"/>
        <w:spacing w:line="477" w:lineRule="auto" w:before="110"/>
        <w:ind w:right="191"/>
        <w:jc w:val="both"/>
      </w:pPr>
      <w:r>
        <w:rPr>
          <w:spacing w:val="-2"/>
        </w:rPr>
        <w:t>度与产品品牌的知名度；以多种方式扩大产品的市场营销网络，有计划地参加各类展会活动如</w:t>
      </w:r>
      <w:r>
        <w:rPr>
          <w:rFonts w:ascii="宋体" w:hAnsi="宋体" w:cs="宋体" w:eastAsia="宋体" w:hint="default"/>
          <w:spacing w:val="-2"/>
        </w:rPr>
        <w:t>2018</w:t>
      </w:r>
      <w:r>
        <w:rPr>
          <w:spacing w:val="-2"/>
        </w:rPr>
        <w:t>北京国际互联网科技博览</w:t>
      </w:r>
      <w:r>
        <w:rPr>
          <w:spacing w:val="-60"/>
        </w:rPr>
        <w:t> </w:t>
      </w:r>
      <w:r>
        <w:rPr>
          <w:spacing w:val="-60"/>
        </w:rPr>
      </w:r>
      <w:r>
        <w:rPr/>
        <w:t>会暨世界网络安全大会、</w:t>
      </w:r>
      <w:r>
        <w:rPr>
          <w:rFonts w:ascii="宋体" w:hAnsi="宋体" w:cs="宋体" w:eastAsia="宋体" w:hint="default"/>
        </w:rPr>
        <w:t>2018</w:t>
      </w:r>
      <w:r>
        <w:rPr/>
        <w:t>国家网络安全周、</w:t>
      </w:r>
      <w:r>
        <w:rPr>
          <w:rFonts w:ascii="宋体" w:hAnsi="宋体" w:cs="宋体" w:eastAsia="宋体" w:hint="default"/>
        </w:rPr>
        <w:t>2018</w:t>
      </w:r>
      <w:r>
        <w:rPr/>
        <w:t>年保密技术交流大会等，以提升公司产品的品牌影响力。</w:t>
      </w:r>
    </w:p>
    <w:p>
      <w:pPr>
        <w:pStyle w:val="Heading4"/>
        <w:spacing w:line="310" w:lineRule="exact"/>
        <w:ind w:right="94"/>
        <w:jc w:val="left"/>
        <w:rPr>
          <w:b w:val="0"/>
          <w:bCs w:val="0"/>
        </w:rPr>
      </w:pPr>
      <w:r>
        <w:rPr>
          <w:rFonts w:ascii="Times New Roman" w:hAnsi="Times New Roman" w:cs="Times New Roman" w:eastAsia="Times New Roman" w:hint="default"/>
        </w:rPr>
        <w:t>6</w:t>
      </w:r>
      <w:r>
        <w:rPr/>
        <w:t>、优化人才结构，进一步提升公司治理水平</w:t>
      </w:r>
      <w:r>
        <w:rPr>
          <w:b w:val="0"/>
          <w:bCs w:val="0"/>
        </w:rPr>
      </w:r>
    </w:p>
    <w:p>
      <w:pPr>
        <w:spacing w:after="0" w:line="310" w:lineRule="exact"/>
        <w:jc w:val="left"/>
        <w:sectPr>
          <w:footerReference w:type="default" r:id="rId16"/>
          <w:pgSz w:w="11910" w:h="16840"/>
          <w:pgMar w:footer="1133" w:header="745" w:top="1060" w:bottom="1320" w:left="980" w:right="940"/>
          <w:pgNumType w:start="43"/>
        </w:sectPr>
      </w:pPr>
    </w:p>
    <w:p>
      <w:pPr>
        <w:spacing w:line="240" w:lineRule="auto" w:before="16"/>
        <w:rPr>
          <w:rFonts w:ascii="Microsoft JhengHei" w:hAnsi="Microsoft JhengHei" w:cs="Microsoft JhengHei" w:eastAsia="Microsoft JhengHei" w:hint="default"/>
          <w:b/>
          <w:bCs/>
          <w:sz w:val="23"/>
          <w:szCs w:val="23"/>
        </w:rPr>
      </w:pPr>
    </w:p>
    <w:p>
      <w:pPr>
        <w:pStyle w:val="BodyText"/>
        <w:spacing w:line="477" w:lineRule="auto" w:before="44"/>
        <w:ind w:right="94" w:firstLine="362"/>
        <w:jc w:val="left"/>
      </w:pPr>
      <w:r>
        <w:rPr>
          <w:spacing w:val="-4"/>
        </w:rPr>
        <w:t>人才队伍的建设是公司的核心工作之一，为适应公司发展需要，继续加大公司人才引进与培养力度，优化人才队伍结构，</w:t>
      </w:r>
      <w:r>
        <w:rPr/>
        <w:t> </w:t>
      </w:r>
      <w:r>
        <w:rPr>
          <w:spacing w:val="-2"/>
        </w:rPr>
        <w:t>有效发挥高端人才的作用，开辟多元化职业发展规划，为员工提供广阔平台，拓宽员工成长空间，吸引人才、储备人才，为</w:t>
      </w:r>
      <w:r>
        <w:rPr>
          <w:spacing w:val="-70"/>
        </w:rPr>
        <w:t> </w:t>
      </w:r>
      <w:r>
        <w:rPr>
          <w:spacing w:val="-70"/>
        </w:rPr>
      </w:r>
      <w:r>
        <w:rPr/>
        <w:t>企业创造价值的同时实现员工自身价值的不断提升，不断提高公司核心竞争力。</w:t>
      </w:r>
    </w:p>
    <w:p>
      <w:pPr>
        <w:pStyle w:val="BodyText"/>
        <w:spacing w:line="477" w:lineRule="auto" w:before="54"/>
        <w:ind w:right="94" w:firstLine="360"/>
        <w:jc w:val="left"/>
      </w:pPr>
      <w:r>
        <w:rPr>
          <w:rFonts w:ascii="宋体" w:hAnsi="宋体" w:cs="宋体" w:eastAsia="宋体" w:hint="default"/>
        </w:rPr>
        <w:t>2018</w:t>
      </w:r>
      <w:r>
        <w:rPr/>
        <w:t>年，将继续提升公司治理水平，进一步规范内部控制制度，完善信息化管理系统，增强公司风险控制和防范能力， 保持畅通的投资者沟通平台，保护全体股东合法权益。</w:t>
      </w:r>
    </w:p>
    <w:p>
      <w:pPr>
        <w:spacing w:line="403" w:lineRule="auto" w:before="0"/>
        <w:ind w:left="513" w:right="9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7</w:t>
      </w:r>
      <w:r>
        <w:rPr>
          <w:rFonts w:ascii="Microsoft JhengHei" w:hAnsi="Microsoft JhengHei" w:cs="Microsoft JhengHei" w:eastAsia="Microsoft JhengHei" w:hint="default"/>
          <w:b/>
          <w:bCs/>
          <w:sz w:val="18"/>
          <w:szCs w:val="18"/>
        </w:rPr>
        <w:t>、强化市值管理，加强投资者沟通</w:t>
      </w:r>
      <w:r>
        <w:rPr>
          <w:rFonts w:ascii="Microsoft JhengHei" w:hAnsi="Microsoft JhengHei" w:cs="Microsoft JhengHei" w:eastAsia="Microsoft JhengHei" w:hint="default"/>
          <w:b/>
          <w:bCs/>
          <w:spacing w:val="-35"/>
          <w:sz w:val="18"/>
          <w:szCs w:val="18"/>
        </w:rPr>
        <w:t> </w:t>
      </w:r>
      <w:r>
        <w:rPr>
          <w:rFonts w:ascii="Microsoft JhengHei" w:hAnsi="Microsoft JhengHei" w:cs="Microsoft JhengHei" w:eastAsia="Microsoft JhengHei" w:hint="default"/>
          <w:b/>
          <w:bCs/>
          <w:spacing w:val="-35"/>
          <w:sz w:val="18"/>
          <w:szCs w:val="18"/>
        </w:rPr>
      </w:r>
      <w:r>
        <w:rPr>
          <w:rFonts w:ascii="宋体" w:hAnsi="宋体" w:cs="宋体" w:eastAsia="宋体" w:hint="default"/>
          <w:spacing w:val="-2"/>
          <w:sz w:val="18"/>
          <w:szCs w:val="18"/>
        </w:rPr>
        <w:t>公司将积极探索适合公司的市值管理模式，提升投资者关系管理水平。通过搭建多样化的沟通平台，进一步加强与投资</w:t>
      </w:r>
    </w:p>
    <w:p>
      <w:pPr>
        <w:pStyle w:val="BodyText"/>
        <w:spacing w:line="477" w:lineRule="auto" w:before="110"/>
        <w:ind w:right="191"/>
        <w:jc w:val="both"/>
      </w:pPr>
      <w:r>
        <w:rPr>
          <w:spacing w:val="-2"/>
        </w:rPr>
        <w:t>者之间的互动与沟通，加深投资者对公司的了解与认同，促进公司与投资者之间形成长期、稳定的良好互动关系，提升公司</w:t>
      </w:r>
      <w:r>
        <w:rPr>
          <w:spacing w:val="-64"/>
        </w:rPr>
        <w:t> </w:t>
      </w:r>
      <w:r>
        <w:rPr>
          <w:spacing w:val="-64"/>
        </w:rPr>
      </w:r>
      <w:r>
        <w:rPr/>
        <w:t>的诚信度，树立良好的资本市场形象，最终实现公司价值最大化和投资者利益最大化。</w:t>
      </w:r>
    </w:p>
    <w:p>
      <w:pPr>
        <w:pStyle w:val="Heading4"/>
        <w:spacing w:line="310" w:lineRule="exact"/>
        <w:ind w:right="94"/>
        <w:jc w:val="left"/>
        <w:rPr>
          <w:b w:val="0"/>
          <w:bCs w:val="0"/>
        </w:rPr>
      </w:pPr>
      <w:r>
        <w:rPr/>
        <w:t>上述计划并不代表公司对</w:t>
      </w:r>
      <w:r>
        <w:rPr>
          <w:rFonts w:ascii="Times New Roman" w:hAnsi="Times New Roman" w:cs="Times New Roman" w:eastAsia="Times New Roman" w:hint="default"/>
        </w:rPr>
        <w:t>2018</w:t>
      </w:r>
      <w:r>
        <w:rPr/>
        <w:t>年度的盈利预测，不构成公司对投资者的实质承诺，请投资者注意投资风险。</w:t>
      </w:r>
      <w:r>
        <w:rPr>
          <w:b w:val="0"/>
          <w:bCs w:val="0"/>
        </w:rPr>
      </w:r>
    </w:p>
    <w:p>
      <w:pPr>
        <w:pStyle w:val="Heading4"/>
        <w:spacing w:line="357" w:lineRule="auto" w:before="154"/>
        <w:ind w:left="515" w:right="6483" w:hanging="92"/>
        <w:jc w:val="left"/>
        <w:rPr>
          <w:b w:val="0"/>
          <w:bCs w:val="0"/>
        </w:rPr>
      </w:pPr>
      <w:r>
        <w:rPr/>
        <w:t>（三）公司可能面对的风险及应对措施</w:t>
      </w:r>
      <w:r>
        <w:rPr>
          <w:spacing w:val="-36"/>
        </w:rPr>
        <w:t> </w:t>
      </w:r>
      <w:r>
        <w:rPr>
          <w:spacing w:val="-36"/>
        </w:rPr>
      </w:r>
      <w:r>
        <w:rPr>
          <w:rFonts w:ascii="Times New Roman" w:hAnsi="Times New Roman" w:cs="Times New Roman" w:eastAsia="Times New Roman" w:hint="default"/>
        </w:rPr>
        <w:t>1</w:t>
      </w:r>
      <w:r>
        <w:rPr/>
        <w:t>、应收账款增加风险</w:t>
      </w:r>
      <w:r>
        <w:rPr>
          <w:b w:val="0"/>
          <w:bCs w:val="0"/>
        </w:rPr>
      </w:r>
    </w:p>
    <w:p>
      <w:pPr>
        <w:pStyle w:val="BodyText"/>
        <w:spacing w:line="477" w:lineRule="auto" w:before="94"/>
        <w:ind w:right="190" w:firstLine="362"/>
        <w:jc w:val="both"/>
      </w:pPr>
      <w:r>
        <w:rPr>
          <w:spacing w:val="-2"/>
        </w:rPr>
        <w:t>应收账款较大的原因是公司按照与客户之间的合同确认相应的应收账款，结算与回款存在时间差，导致公司应收账款金</w:t>
      </w:r>
      <w:r>
        <w:rPr/>
        <w:t> </w:t>
      </w:r>
      <w:r>
        <w:rPr>
          <w:spacing w:val="-2"/>
        </w:rPr>
        <w:t>额和占比均较大，公司按照既定会计政策在期末对应收账款计提了相应的坏账准备。虽然应收账款余额较大，但公司客户一</w:t>
      </w:r>
      <w:r>
        <w:rPr>
          <w:spacing w:val="-63"/>
        </w:rPr>
        <w:t> </w:t>
      </w:r>
      <w:r>
        <w:rPr>
          <w:spacing w:val="-63"/>
        </w:rPr>
      </w:r>
      <w:r>
        <w:rPr>
          <w:spacing w:val="-2"/>
        </w:rPr>
        <w:t>般是优质政府部门、资金实力较好的大型企事业等，资金回收保障较高，应收账款发生坏账的风险较小。公司不断完善了应</w:t>
      </w:r>
      <w:r>
        <w:rPr>
          <w:spacing w:val="-65"/>
        </w:rPr>
        <w:t> </w:t>
      </w:r>
      <w:r>
        <w:rPr>
          <w:spacing w:val="-65"/>
        </w:rPr>
      </w:r>
      <w:r>
        <w:rPr>
          <w:spacing w:val="-2"/>
        </w:rPr>
        <w:t>收账款管理，强化客户信用调查和信用评估制度，并根据客户性质的不同，规定不同的信用期限，加强项目管理，确保项目</w:t>
      </w:r>
      <w:r>
        <w:rPr>
          <w:spacing w:val="-66"/>
        </w:rPr>
        <w:t> </w:t>
      </w:r>
      <w:r>
        <w:rPr>
          <w:spacing w:val="-66"/>
        </w:rPr>
      </w:r>
      <w:r>
        <w:rPr/>
        <w:t>能够及时得到验收。公司组织专人进行应收账款的管理，并加大对相关责任人奖惩力度，促进应收账款的回款。</w:t>
      </w:r>
    </w:p>
    <w:p>
      <w:pPr>
        <w:spacing w:line="480" w:lineRule="auto" w:before="0"/>
        <w:ind w:left="513" w:right="9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Microsoft JhengHei" w:hAnsi="Microsoft JhengHei" w:cs="Microsoft JhengHei" w:eastAsia="Microsoft JhengHei" w:hint="default"/>
          <w:b/>
          <w:bCs/>
          <w:sz w:val="18"/>
          <w:szCs w:val="18"/>
        </w:rPr>
        <w:t>、产品销售季节不均衡风险</w:t>
      </w:r>
      <w:r>
        <w:rPr>
          <w:rFonts w:ascii="Microsoft JhengHei" w:hAnsi="Microsoft JhengHei" w:cs="Microsoft JhengHei" w:eastAsia="Microsoft JhengHei" w:hint="default"/>
          <w:b/>
          <w:bCs/>
          <w:spacing w:val="-39"/>
          <w:sz w:val="18"/>
          <w:szCs w:val="18"/>
        </w:rPr>
        <w:t> </w:t>
      </w:r>
      <w:r>
        <w:rPr>
          <w:rFonts w:ascii="Microsoft JhengHei" w:hAnsi="Microsoft JhengHei" w:cs="Microsoft JhengHei" w:eastAsia="Microsoft JhengHei" w:hint="default"/>
          <w:b/>
          <w:bCs/>
          <w:spacing w:val="-39"/>
          <w:sz w:val="18"/>
          <w:szCs w:val="18"/>
        </w:rPr>
      </w:r>
      <w:r>
        <w:rPr>
          <w:rFonts w:ascii="宋体" w:hAnsi="宋体" w:cs="宋体" w:eastAsia="宋体" w:hint="default"/>
          <w:spacing w:val="-2"/>
          <w:sz w:val="18"/>
          <w:szCs w:val="18"/>
        </w:rPr>
        <w:t>公司作为专业的信息安全软件的提供商，主要客户为政府部门、军队及军工企业、能源、金融等重要领域的大型国有企</w:t>
      </w:r>
    </w:p>
    <w:p>
      <w:pPr>
        <w:pStyle w:val="BodyText"/>
        <w:spacing w:line="477" w:lineRule="auto" w:before="52"/>
        <w:ind w:right="190"/>
        <w:jc w:val="both"/>
      </w:pPr>
      <w:r>
        <w:rPr>
          <w:spacing w:val="-2"/>
        </w:rPr>
        <w:t>业和事业单位，这些客户通常采取预算管理制度和产品集中采购制度，一般下半年制定次年年度预算和投资计划，审批通常</w:t>
      </w:r>
      <w:r>
        <w:rPr>
          <w:spacing w:val="-63"/>
        </w:rPr>
        <w:t> </w:t>
      </w:r>
      <w:r>
        <w:rPr>
          <w:spacing w:val="-63"/>
        </w:rPr>
      </w:r>
      <w:r>
        <w:rPr>
          <w:spacing w:val="-2"/>
        </w:rPr>
        <w:t>集中在次年的上半年，采购招标则安排在次年年中或下半年。因此，公司每年上半年存在销售较少的可能性，销售主要集中</w:t>
      </w:r>
      <w:r>
        <w:rPr>
          <w:spacing w:val="-64"/>
        </w:rPr>
        <w:t> </w:t>
      </w:r>
      <w:r>
        <w:rPr>
          <w:spacing w:val="-64"/>
        </w:rPr>
      </w:r>
      <w:r>
        <w:rPr>
          <w:spacing w:val="-2"/>
        </w:rPr>
        <w:t>在下半年尤其是第四季度，公司销售呈现较明显的季节性分布，并由此使得公司营业收入在第四季度集中实现，由于费用在</w:t>
      </w:r>
      <w:r>
        <w:rPr>
          <w:spacing w:val="-63"/>
        </w:rPr>
        <w:t> </w:t>
      </w:r>
      <w:r>
        <w:rPr>
          <w:spacing w:val="-63"/>
        </w:rPr>
      </w:r>
      <w:r>
        <w:rPr/>
        <w:t>年度内较为均衡地发生，因而可能会造成公司第一季度、半年度或第三季度出现季节性波动或亏损。</w:t>
      </w:r>
    </w:p>
    <w:p>
      <w:pPr>
        <w:pStyle w:val="BodyText"/>
        <w:spacing w:line="480" w:lineRule="auto" w:before="95"/>
        <w:ind w:left="510" w:right="94"/>
        <w:jc w:val="left"/>
      </w:pPr>
      <w:r>
        <w:rPr>
          <w:rFonts w:ascii="Times New Roman" w:hAnsi="Times New Roman" w:cs="Times New Roman" w:eastAsia="Times New Roman" w:hint="default"/>
          <w:b/>
          <w:bCs/>
        </w:rPr>
        <w:t>3</w:t>
      </w:r>
      <w:r>
        <w:rPr>
          <w:rFonts w:ascii="Microsoft JhengHei" w:hAnsi="Microsoft JhengHei" w:cs="Microsoft JhengHei" w:eastAsia="Microsoft JhengHei" w:hint="default"/>
          <w:b/>
          <w:bCs/>
        </w:rPr>
        <w:t>、管理风险</w:t>
      </w:r>
      <w:r>
        <w:rPr>
          <w:rFonts w:ascii="Microsoft JhengHei" w:hAnsi="Microsoft JhengHei" w:cs="Microsoft JhengHei" w:eastAsia="Microsoft JhengHei" w:hint="default"/>
          <w:b/>
          <w:bCs/>
          <w:spacing w:val="-42"/>
        </w:rPr>
        <w:t> </w:t>
      </w:r>
      <w:r>
        <w:rPr>
          <w:rFonts w:ascii="Microsoft JhengHei" w:hAnsi="Microsoft JhengHei" w:cs="Microsoft JhengHei" w:eastAsia="Microsoft JhengHei" w:hint="default"/>
          <w:b/>
          <w:bCs/>
          <w:spacing w:val="-42"/>
        </w:rPr>
      </w:r>
      <w:r>
        <w:rPr>
          <w:spacing w:val="-2"/>
        </w:rPr>
        <w:t>随着公司业务的持续增长和对外投资事项的不断增多，公司的业务规模将进一步扩大，人员规模也将进一步增加，公司</w:t>
      </w:r>
    </w:p>
    <w:p>
      <w:pPr>
        <w:pStyle w:val="BodyText"/>
        <w:spacing w:line="477" w:lineRule="auto" w:before="52"/>
        <w:ind w:right="191"/>
        <w:jc w:val="both"/>
      </w:pPr>
      <w:r>
        <w:rPr>
          <w:spacing w:val="-2"/>
        </w:rPr>
        <w:t>在执行战略规划、人力资源管理、项目管理、财务管理和内部控制等方面将面临更大的挑战。如果公司不能持续有效地提升</w:t>
      </w:r>
      <w:r>
        <w:rPr>
          <w:spacing w:val="-64"/>
        </w:rPr>
        <w:t> </w:t>
      </w:r>
      <w:r>
        <w:rPr>
          <w:spacing w:val="-64"/>
        </w:rPr>
      </w:r>
      <w:r>
        <w:rPr/>
        <w:t>管理能力，将导致公司管理体系不能完全适应规模的扩张，对公司未来的经营和持续盈利能力造成不利影响。</w:t>
      </w:r>
    </w:p>
    <w:p>
      <w:pPr>
        <w:pStyle w:val="BodyText"/>
        <w:spacing w:line="477" w:lineRule="auto" w:before="155"/>
        <w:ind w:right="94" w:firstLine="358"/>
        <w:jc w:val="left"/>
      </w:pPr>
      <w:r>
        <w:rPr>
          <w:spacing w:val="-2"/>
        </w:rPr>
        <w:t>公司将根据业务发展需要，持续优化组织架构和管理流程，通过业务培训、管理培训、岗位轮换、外派深造等各种措施</w:t>
      </w:r>
      <w:r>
        <w:rPr/>
        <w:t> </w:t>
      </w:r>
      <w:r>
        <w:rPr>
          <w:spacing w:val="-2"/>
        </w:rPr>
        <w:t>培养、选拔和任用管理人才，以及锻炼和提升与其管理岗位相适应的管理能力；公司将积极引进高端管理人才，以满足公司</w:t>
      </w:r>
    </w:p>
    <w:p>
      <w:pPr>
        <w:spacing w:after="0" w:line="477" w:lineRule="auto"/>
        <w:jc w:val="left"/>
        <w:sectPr>
          <w:pgSz w:w="11910" w:h="16840"/>
          <w:pgMar w:header="745" w:footer="1133" w:top="1060" w:bottom="132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417" w:lineRule="auto" w:before="0"/>
        <w:ind w:left="513" w:right="7474" w:hanging="361"/>
        <w:jc w:val="left"/>
        <w:rPr>
          <w:rFonts w:ascii="Microsoft JhengHei" w:hAnsi="Microsoft JhengHei" w:cs="Microsoft JhengHei" w:eastAsia="Microsoft JhengHei" w:hint="default"/>
          <w:sz w:val="18"/>
          <w:szCs w:val="18"/>
        </w:rPr>
      </w:pPr>
      <w:r>
        <w:rPr>
          <w:rFonts w:ascii="宋体" w:hAnsi="宋体" w:cs="宋体" w:eastAsia="宋体" w:hint="default"/>
          <w:sz w:val="18"/>
          <w:szCs w:val="18"/>
        </w:rPr>
        <w:t>高速发展过程中的管理需求。 </w:t>
      </w:r>
      <w:r>
        <w:rPr>
          <w:rFonts w:ascii="Times New Roman" w:hAnsi="Times New Roman" w:cs="Times New Roman" w:eastAsia="Times New Roman" w:hint="default"/>
          <w:b/>
          <w:bCs/>
          <w:sz w:val="18"/>
          <w:szCs w:val="18"/>
        </w:rPr>
        <w:t>4</w:t>
      </w:r>
      <w:r>
        <w:rPr>
          <w:rFonts w:ascii="Microsoft JhengHei" w:hAnsi="Microsoft JhengHei" w:cs="Microsoft JhengHei" w:eastAsia="Microsoft JhengHei" w:hint="default"/>
          <w:b/>
          <w:bCs/>
          <w:sz w:val="18"/>
          <w:szCs w:val="18"/>
        </w:rPr>
        <w:t>、研发技术风险</w:t>
      </w:r>
      <w:r>
        <w:rPr>
          <w:rFonts w:ascii="Microsoft JhengHei" w:hAnsi="Microsoft JhengHei" w:cs="Microsoft JhengHei" w:eastAsia="Microsoft JhengHei" w:hint="default"/>
          <w:sz w:val="18"/>
          <w:szCs w:val="18"/>
        </w:rPr>
      </w:r>
    </w:p>
    <w:p>
      <w:pPr>
        <w:pStyle w:val="BodyText"/>
        <w:spacing w:line="477" w:lineRule="auto" w:before="135"/>
        <w:ind w:right="94" w:firstLine="362"/>
        <w:jc w:val="left"/>
      </w:pPr>
      <w:r>
        <w:rPr>
          <w:spacing w:val="-2"/>
        </w:rPr>
        <w:t>公司自成立以来，经过多年的技术积累和创新，公司拥有众多核心软件产品和行业应用解决方案，公司依托自主研发的</w:t>
      </w:r>
      <w:r>
        <w:rPr/>
        <w:t> </w:t>
      </w:r>
      <w:r>
        <w:rPr>
          <w:spacing w:val="-4"/>
        </w:rPr>
        <w:t>构建平台，形成了多项核心软件和行业应用解决方案，技术优势明显。但软件行业属于技术高速发展的行业，公司在新技术、</w:t>
      </w:r>
      <w:r>
        <w:rPr>
          <w:spacing w:val="-46"/>
        </w:rPr>
        <w:t> </w:t>
      </w:r>
      <w:r>
        <w:rPr>
          <w:spacing w:val="-46"/>
        </w:rPr>
      </w:r>
      <w:r>
        <w:rPr>
          <w:spacing w:val="-2"/>
        </w:rPr>
        <w:t>新产品研发上面临着一定程度的投入高、更新换代快的风险。公司在继续保持技术预研和产品研发高投入的同时，不断完善</w:t>
      </w:r>
      <w:r>
        <w:rPr>
          <w:spacing w:val="-63"/>
        </w:rPr>
        <w:t> </w:t>
      </w:r>
      <w:r>
        <w:rPr>
          <w:spacing w:val="-63"/>
        </w:rPr>
      </w:r>
      <w:r>
        <w:rPr>
          <w:spacing w:val="-2"/>
        </w:rPr>
        <w:t>技术研发、技术创新体系。紧跟行业技术发展趋势，把握产品和技术研发方向，让技术研发面向市场，及时根据市场变化和</w:t>
      </w:r>
      <w:r>
        <w:rPr>
          <w:spacing w:val="-67"/>
        </w:rPr>
        <w:t> </w:t>
      </w:r>
      <w:r>
        <w:rPr>
          <w:spacing w:val="-67"/>
        </w:rPr>
      </w:r>
      <w:r>
        <w:rPr/>
        <w:t>客户需求推出新产品和解决方案，保障技术的创新性和领先性，保证公司的市场竞争力。</w:t>
      </w:r>
    </w:p>
    <w:p>
      <w:pPr>
        <w:pStyle w:val="BodyText"/>
        <w:spacing w:line="477" w:lineRule="auto" w:before="153"/>
        <w:ind w:right="190" w:firstLine="360"/>
        <w:jc w:val="both"/>
      </w:pPr>
      <w:r>
        <w:rPr>
          <w:spacing w:val="-2"/>
        </w:rPr>
        <w:t>技术优势是公司在行业中保持竞争优势的最主要因素之一，目前，公司拥有的计算机软件著作权、专利、产品、在研技</w:t>
      </w:r>
      <w:r>
        <w:rPr/>
        <w:t> </w:t>
      </w:r>
      <w:r>
        <w:rPr>
          <w:spacing w:val="-2"/>
        </w:rPr>
        <w:t>术等均属于公司的核心技术，上述核心技术是公司平稳快速发展的基础，如果公司核心技术泄密，则会对公司生产经营造成</w:t>
      </w:r>
      <w:r>
        <w:rPr>
          <w:spacing w:val="-63"/>
        </w:rPr>
        <w:t> </w:t>
      </w:r>
      <w:r>
        <w:rPr>
          <w:spacing w:val="-63"/>
        </w:rPr>
      </w:r>
      <w:r>
        <w:rPr>
          <w:spacing w:val="-2"/>
        </w:rPr>
        <w:t>较大负面影响。为控制核心技术泄密，公司在与员工签订劳动合同的同时签订保密协议书，要求员工严格遵守公司制定的保</w:t>
      </w:r>
      <w:r>
        <w:rPr>
          <w:spacing w:val="-63"/>
        </w:rPr>
        <w:t> </w:t>
      </w:r>
      <w:r>
        <w:rPr>
          <w:spacing w:val="-63"/>
        </w:rPr>
      </w:r>
      <w:r>
        <w:rPr>
          <w:spacing w:val="-2"/>
        </w:rPr>
        <w:t>密制度；为防范技术被侵权，公司及时将已开发的技术或产品在国家知识产权管理机构登记，通过法律手段保护公司的知识</w:t>
      </w:r>
      <w:r>
        <w:rPr>
          <w:spacing w:val="-65"/>
        </w:rPr>
        <w:t> </w:t>
      </w:r>
      <w:r>
        <w:rPr>
          <w:spacing w:val="-65"/>
        </w:rPr>
      </w:r>
      <w:r>
        <w:rPr/>
        <w:t>产权。</w:t>
      </w:r>
    </w:p>
    <w:p>
      <w:pPr>
        <w:pStyle w:val="Heading2"/>
        <w:spacing w:line="240" w:lineRule="auto" w:before="152"/>
        <w:ind w:right="94"/>
        <w:jc w:val="left"/>
        <w:rPr>
          <w:b w:val="0"/>
          <w:bCs w:val="0"/>
        </w:rPr>
      </w:pPr>
      <w:r>
        <w:rPr/>
        <w:t>十、接待调研、沟通、采访等活动登记表</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94"/>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2208"/>
        <w:gridCol w:w="2206"/>
        <w:gridCol w:w="2206"/>
        <w:gridCol w:w="3077"/>
      </w:tblGrid>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34"/>
              <w:jc w:val="right"/>
              <w:rPr>
                <w:rFonts w:ascii="宋体" w:hAnsi="宋体" w:cs="宋体" w:eastAsia="宋体" w:hint="default"/>
                <w:sz w:val="18"/>
                <w:szCs w:val="18"/>
              </w:rPr>
            </w:pPr>
            <w:r>
              <w:rPr>
                <w:rFonts w:ascii="宋体" w:hAnsi="宋体" w:cs="宋体" w:eastAsia="宋体" w:hint="default"/>
                <w:sz w:val="18"/>
                <w:szCs w:val="18"/>
              </w:rPr>
              <w:t>接待方式</w:t>
            </w:r>
          </w:p>
        </w:tc>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3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1"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34"/>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hyperlink r:id="rId9">
              <w:r>
                <w:rPr>
                  <w:rFonts w:ascii="宋体"/>
                  <w:sz w:val="18"/>
                </w:rPr>
                <w:t>http://www.cninfo.com.cn</w:t>
              </w:r>
            </w:hyperlink>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34"/>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hyperlink r:id="rId9">
              <w:r>
                <w:rPr>
                  <w:rFonts w:ascii="宋体"/>
                  <w:sz w:val="18"/>
                </w:rPr>
                <w:t>http://www.cninfo.com.cn</w:t>
              </w:r>
            </w:hyperlink>
          </w:p>
        </w:tc>
      </w:tr>
    </w:tbl>
    <w:p>
      <w:pPr>
        <w:spacing w:after="0" w:line="240" w:lineRule="auto"/>
        <w:jc w:val="center"/>
        <w:rPr>
          <w:rFonts w:ascii="宋体" w:hAnsi="宋体" w:cs="宋体" w:eastAsia="宋体" w:hint="default"/>
          <w:sz w:val="18"/>
          <w:szCs w:val="18"/>
        </w:rPr>
        <w:sectPr>
          <w:pgSz w:w="11910" w:h="16840"/>
          <w:pgMar w:header="745" w:footer="1133" w:top="1060" w:bottom="132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589" w:right="3625"/>
        <w:jc w:val="center"/>
        <w:rPr>
          <w:b w:val="0"/>
          <w:bCs w:val="0"/>
        </w:rPr>
      </w:pPr>
      <w:bookmarkStart w:name="_TOC_250007" w:id="5"/>
      <w:r>
        <w:rPr/>
        <w:t>第五节 </w:t>
      </w:r>
      <w:r>
        <w:rPr>
          <w:spacing w:val="9"/>
        </w:rPr>
        <w:t> </w:t>
      </w:r>
      <w:r>
        <w:rPr/>
        <w:t>重要事项</w:t>
      </w:r>
      <w:bookmarkEnd w:id="5"/>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94"/>
        <w:jc w:val="left"/>
        <w:rPr>
          <w:b w:val="0"/>
          <w:bCs w:val="0"/>
        </w:rPr>
      </w:pPr>
      <w:r>
        <w:rPr/>
        <w:t>一、公司普通股利润分配及资本公积金转增股本情况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94"/>
        <w:jc w:val="left"/>
      </w:pPr>
      <w:r>
        <w:rPr/>
        <w:t>报告期内普通股利润分配政策，特别是现金分红政策的制定、执行或调整情况</w:t>
      </w:r>
    </w:p>
    <w:p>
      <w:pPr>
        <w:pStyle w:val="BodyText"/>
        <w:spacing w:line="412" w:lineRule="auto" w:before="117"/>
        <w:ind w:left="477" w:right="94" w:hanging="32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3"/>
        </w:rPr>
        <w:t>报告期内，公司严格按照《公司章程》相关利润分配政策和审议程序实施利润分配方案，分红标准和分红比例明确清晰，</w:t>
      </w:r>
    </w:p>
    <w:p>
      <w:pPr>
        <w:pStyle w:val="BodyText"/>
        <w:spacing w:line="477" w:lineRule="auto" w:before="103"/>
        <w:ind w:right="94"/>
        <w:jc w:val="left"/>
      </w:pPr>
      <w:r>
        <w:rPr>
          <w:spacing w:val="-2"/>
        </w:rPr>
        <w:t>相关的决策程序和机制完备。公司利润分配方案经由董事会、监事会审议过后提交股东大会审议，并由独立董事发表独立意</w:t>
      </w:r>
      <w:r>
        <w:rPr>
          <w:spacing w:val="-63"/>
        </w:rPr>
        <w:t> </w:t>
      </w:r>
      <w:r>
        <w:rPr>
          <w:spacing w:val="-63"/>
        </w:rPr>
      </w:r>
      <w:r>
        <w:rPr/>
        <w:t>见，审议通过后在规定时间内进行实施，切实保证了全体股东的利益。</w:t>
      </w:r>
    </w:p>
    <w:p>
      <w:pPr>
        <w:pStyle w:val="BodyText"/>
        <w:spacing w:line="477" w:lineRule="auto" w:before="54"/>
        <w:ind w:right="94" w:firstLine="362"/>
        <w:jc w:val="left"/>
      </w:pP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8</w:t>
      </w:r>
      <w:r>
        <w:rPr/>
        <w:t>日，公司</w:t>
      </w:r>
      <w:r>
        <w:rPr>
          <w:rFonts w:ascii="宋体" w:hAnsi="宋体" w:cs="宋体" w:eastAsia="宋体" w:hint="default"/>
        </w:rPr>
        <w:t>2016</w:t>
      </w:r>
      <w:r>
        <w:rPr/>
        <w:t>年度股东大会审议通过了</w:t>
      </w:r>
      <w:r>
        <w:rPr>
          <w:rFonts w:ascii="宋体" w:hAnsi="宋体" w:cs="宋体" w:eastAsia="宋体" w:hint="default"/>
        </w:rPr>
        <w:t>2016</w:t>
      </w:r>
      <w:r>
        <w:rPr/>
        <w:t>年度利润分配及资本公积金转增股本方案的，以</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31</w:t>
      </w:r>
      <w:r>
        <w:rPr>
          <w:rFonts w:ascii="宋体" w:hAnsi="宋体" w:cs="宋体" w:eastAsia="宋体" w:hint="default"/>
          <w:spacing w:val="-2"/>
        </w:rPr>
        <w:t> </w:t>
      </w:r>
      <w:r>
        <w:rPr>
          <w:spacing w:val="-2"/>
        </w:rPr>
        <w:t>日公司总股本</w:t>
      </w:r>
      <w:r>
        <w:rPr>
          <w:rFonts w:ascii="宋体" w:hAnsi="宋体" w:cs="宋体" w:eastAsia="宋体" w:hint="default"/>
          <w:spacing w:val="-2"/>
        </w:rPr>
        <w:t>579,929,635</w:t>
      </w:r>
      <w:r>
        <w:rPr>
          <w:spacing w:val="-2"/>
        </w:rPr>
        <w:t>股为基数，向全体股东每</w:t>
      </w:r>
      <w:r>
        <w:rPr>
          <w:rFonts w:ascii="宋体" w:hAnsi="宋体" w:cs="宋体" w:eastAsia="宋体" w:hint="default"/>
          <w:spacing w:val="-2"/>
        </w:rPr>
        <w:t>10</w:t>
      </w:r>
      <w:r>
        <w:rPr>
          <w:spacing w:val="-2"/>
        </w:rPr>
        <w:t>股派发现金</w:t>
      </w:r>
      <w:r>
        <w:rPr>
          <w:rFonts w:ascii="宋体" w:hAnsi="宋体" w:cs="宋体" w:eastAsia="宋体" w:hint="default"/>
          <w:spacing w:val="-2"/>
        </w:rPr>
        <w:t>0.4</w:t>
      </w:r>
      <w:r>
        <w:rPr>
          <w:spacing w:val="-2"/>
        </w:rPr>
        <w:t>元（含税），同时进行资本公积金转增股本每</w:t>
      </w:r>
      <w:r>
        <w:rPr>
          <w:rFonts w:ascii="宋体" w:hAnsi="宋体" w:cs="宋体" w:eastAsia="宋体" w:hint="default"/>
          <w:spacing w:val="-2"/>
        </w:rPr>
        <w:t>10</w:t>
      </w:r>
      <w:r>
        <w:rPr>
          <w:spacing w:val="-2"/>
        </w:rPr>
        <w:t>股转增</w:t>
      </w:r>
      <w:r>
        <w:rPr>
          <w:spacing w:val="-51"/>
        </w:rPr>
        <w:t> </w:t>
      </w:r>
      <w:r>
        <w:rPr>
          <w:spacing w:val="-51"/>
        </w:rPr>
      </w:r>
      <w:r>
        <w:rPr>
          <w:rFonts w:ascii="宋体" w:hAnsi="宋体" w:cs="宋体" w:eastAsia="宋体" w:hint="default"/>
          <w:spacing w:val="-2"/>
        </w:rPr>
        <w:t>15</w:t>
      </w:r>
      <w:r>
        <w:rPr>
          <w:spacing w:val="-2"/>
        </w:rPr>
        <w:t>股。本次权益分派股权登记日为：</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19</w:t>
      </w:r>
      <w:r>
        <w:rPr>
          <w:spacing w:val="-2"/>
        </w:rPr>
        <w:t>日，除权除息日为：</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22</w:t>
      </w:r>
      <w:r>
        <w:rPr>
          <w:spacing w:val="-2"/>
        </w:rPr>
        <w:t>日。公司</w:t>
      </w:r>
      <w:r>
        <w:rPr>
          <w:rFonts w:ascii="宋体" w:hAnsi="宋体" w:cs="宋体" w:eastAsia="宋体" w:hint="default"/>
          <w:spacing w:val="-2"/>
        </w:rPr>
        <w:t>2016</w:t>
      </w:r>
      <w:r>
        <w:rPr>
          <w:spacing w:val="-2"/>
        </w:rPr>
        <w:t>年度利润分配方案已于</w:t>
      </w:r>
      <w:r>
        <w:rPr>
          <w:rFonts w:ascii="宋体" w:hAnsi="宋体" w:cs="宋体" w:eastAsia="宋体" w:hint="default"/>
          <w:spacing w:val="-2"/>
        </w:rPr>
        <w:t>2017</w:t>
      </w:r>
      <w:r>
        <w:rPr>
          <w:rFonts w:ascii="宋体" w:hAnsi="宋体" w:cs="宋体" w:eastAsia="宋体" w:hint="default"/>
          <w:spacing w:val="-50"/>
        </w:rPr>
        <w:t> </w:t>
      </w:r>
      <w:r>
        <w:rPr>
          <w:rFonts w:ascii="宋体" w:hAnsi="宋体" w:cs="宋体" w:eastAsia="宋体" w:hint="default"/>
          <w:spacing w:val="-50"/>
        </w:rPr>
      </w:r>
      <w:r>
        <w:rPr/>
        <w:t>年</w:t>
      </w:r>
      <w:r>
        <w:rPr>
          <w:rFonts w:ascii="宋体" w:hAnsi="宋体" w:cs="宋体" w:eastAsia="宋体" w:hint="default"/>
        </w:rPr>
        <w:t>5</w:t>
      </w:r>
      <w:r>
        <w:rPr/>
        <w:t>月</w:t>
      </w:r>
      <w:r>
        <w:rPr>
          <w:rFonts w:ascii="宋体" w:hAnsi="宋体" w:cs="宋体" w:eastAsia="宋体" w:hint="default"/>
        </w:rPr>
        <w:t>22</w:t>
      </w:r>
      <w:r>
        <w:rPr/>
        <w:t>日实施完毕。</w:t>
      </w:r>
    </w:p>
    <w:p>
      <w:pPr>
        <w:spacing w:line="240" w:lineRule="auto" w:before="5"/>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8"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6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94"/>
        <w:jc w:val="left"/>
      </w:pPr>
      <w:r>
        <w:rPr/>
        <w:t>公司报告期利润分配预案及资本公积金转增股本预案与公司章程和分红管理办法等的相关规定一致</w:t>
      </w:r>
    </w:p>
    <w:p>
      <w:pPr>
        <w:pStyle w:val="BodyText"/>
        <w:spacing w:line="350" w:lineRule="auto" w:before="115"/>
        <w:ind w:right="3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本年度利润分配及资本公积金转增股本预案</w:t>
      </w:r>
    </w:p>
    <w:tbl>
      <w:tblPr>
        <w:tblW w:w="0" w:type="auto"/>
        <w:jc w:val="left"/>
        <w:tblInd w:w="120" w:type="dxa"/>
        <w:tblLayout w:type="fixed"/>
        <w:tblCellMar>
          <w:top w:w="0" w:type="dxa"/>
          <w:left w:w="0" w:type="dxa"/>
          <w:bottom w:w="0" w:type="dxa"/>
          <w:right w:w="0" w:type="dxa"/>
        </w:tblCellMar>
        <w:tblLook w:val="01E0"/>
      </w:tblPr>
      <w:tblGrid>
        <w:gridCol w:w="3765"/>
        <w:gridCol w:w="5931"/>
      </w:tblGrid>
      <w:tr>
        <w:trPr>
          <w:trHeight w:val="403" w:hRule="exact"/>
        </w:trPr>
        <w:tc>
          <w:tcPr>
            <w:tcW w:w="3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0.12</w:t>
            </w:r>
          </w:p>
        </w:tc>
      </w:tr>
      <w:tr>
        <w:trPr>
          <w:trHeight w:val="402" w:hRule="exact"/>
        </w:trPr>
        <w:tc>
          <w:tcPr>
            <w:tcW w:w="3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1,449,824,087</w:t>
            </w:r>
          </w:p>
        </w:tc>
      </w:tr>
      <w:tr>
        <w:trPr>
          <w:trHeight w:val="402" w:hRule="exact"/>
        </w:trPr>
        <w:tc>
          <w:tcPr>
            <w:tcW w:w="3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17,397,889.04</w:t>
            </w:r>
          </w:p>
        </w:tc>
      </w:tr>
      <w:tr>
        <w:trPr>
          <w:trHeight w:val="403" w:hRule="exact"/>
        </w:trPr>
        <w:tc>
          <w:tcPr>
            <w:tcW w:w="3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母公司可分配利润（元）</w:t>
            </w:r>
          </w:p>
        </w:tc>
        <w:tc>
          <w:tcPr>
            <w:tcW w:w="5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380,213,823.60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33" w:top="1060" w:bottom="1320" w:left="980" w:right="940"/>
        </w:sectPr>
      </w:pPr>
    </w:p>
    <w:p>
      <w:pPr>
        <w:spacing w:line="240" w:lineRule="auto" w:before="6"/>
        <w:rPr>
          <w:rFonts w:ascii="宋体" w:hAnsi="宋体" w:cs="宋体" w:eastAsia="宋体" w:hint="default"/>
          <w:sz w:val="28"/>
          <w:szCs w:val="28"/>
        </w:rPr>
      </w:pPr>
    </w:p>
    <w:tbl>
      <w:tblPr>
        <w:tblW w:w="0" w:type="auto"/>
        <w:jc w:val="left"/>
        <w:tblInd w:w="120" w:type="dxa"/>
        <w:tblLayout w:type="fixed"/>
        <w:tblCellMar>
          <w:top w:w="0" w:type="dxa"/>
          <w:left w:w="0" w:type="dxa"/>
          <w:bottom w:w="0" w:type="dxa"/>
          <w:right w:w="0" w:type="dxa"/>
        </w:tblCellMar>
        <w:tblLook w:val="01E0"/>
      </w:tblPr>
      <w:tblGrid>
        <w:gridCol w:w="3765"/>
        <w:gridCol w:w="5931"/>
      </w:tblGrid>
      <w:tr>
        <w:trPr>
          <w:trHeight w:val="402" w:hRule="exact"/>
        </w:trPr>
        <w:tc>
          <w:tcPr>
            <w:tcW w:w="3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6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66" w:hRule="exact"/>
        </w:trPr>
        <w:tc>
          <w:tcPr>
            <w:tcW w:w="96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2" w:right="0"/>
              <w:jc w:val="left"/>
              <w:rPr>
                <w:rFonts w:ascii="宋体" w:hAnsi="宋体" w:cs="宋体" w:eastAsia="宋体" w:hint="default"/>
                <w:sz w:val="18"/>
                <w:szCs w:val="18"/>
              </w:rPr>
            </w:pPr>
            <w:r>
              <w:rPr>
                <w:rFonts w:ascii="宋体" w:hAnsi="宋体" w:cs="宋体" w:eastAsia="宋体" w:hint="default"/>
                <w:sz w:val="18"/>
                <w:szCs w:val="18"/>
              </w:rPr>
              <w:t>公司发展阶段属成长期且有重大资金支出安排的，进行利润分配时，现金分红在本次利润分配中所占比例最低应达到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30" w:hRule="exact"/>
        </w:trPr>
        <w:tc>
          <w:tcPr>
            <w:tcW w:w="96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951"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002" w:hRule="exact"/>
        </w:trPr>
        <w:tc>
          <w:tcPr>
            <w:tcW w:w="96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firstLine="360"/>
              <w:jc w:val="left"/>
              <w:rPr>
                <w:rFonts w:ascii="宋体" w:hAnsi="宋体" w:cs="宋体" w:eastAsia="宋体" w:hint="default"/>
                <w:sz w:val="18"/>
                <w:szCs w:val="18"/>
              </w:rPr>
            </w:pPr>
            <w:r>
              <w:rPr>
                <w:rFonts w:ascii="宋体" w:hAnsi="宋体" w:cs="宋体" w:eastAsia="宋体" w:hint="default"/>
                <w:sz w:val="18"/>
                <w:szCs w:val="18"/>
              </w:rPr>
              <w:t>经瑞华会计师事务所（特殊普通合伙）审计</w:t>
            </w:r>
            <w:r>
              <w:rPr>
                <w:rFonts w:ascii="宋体" w:hAnsi="宋体" w:cs="宋体" w:eastAsia="宋体" w:hint="default"/>
                <w:sz w:val="18"/>
                <w:szCs w:val="18"/>
              </w:rPr>
              <w:t>,2017</w:t>
            </w:r>
            <w:r>
              <w:rPr>
                <w:rFonts w:ascii="宋体" w:hAnsi="宋体" w:cs="宋体" w:eastAsia="宋体" w:hint="default"/>
                <w:spacing w:val="-54"/>
                <w:sz w:val="18"/>
                <w:szCs w:val="18"/>
              </w:rPr>
              <w:t> </w:t>
            </w:r>
            <w:r>
              <w:rPr>
                <w:rFonts w:ascii="宋体" w:hAnsi="宋体" w:cs="宋体" w:eastAsia="宋体" w:hint="default"/>
                <w:sz w:val="18"/>
                <w:szCs w:val="18"/>
              </w:rPr>
              <w:t>年度，公司实现归属于上市公司股东的净利润</w:t>
            </w:r>
            <w:r>
              <w:rPr>
                <w:rFonts w:ascii="宋体" w:hAnsi="宋体" w:cs="宋体" w:eastAsia="宋体" w:hint="default"/>
                <w:spacing w:val="-55"/>
                <w:sz w:val="18"/>
                <w:szCs w:val="18"/>
              </w:rPr>
              <w:t> </w:t>
            </w:r>
            <w:r>
              <w:rPr>
                <w:rFonts w:ascii="宋体" w:hAnsi="宋体" w:cs="宋体" w:eastAsia="宋体" w:hint="default"/>
                <w:sz w:val="18"/>
                <w:szCs w:val="18"/>
              </w:rPr>
              <w:t>91,451,980.39</w:t>
            </w:r>
            <w:r>
              <w:rPr>
                <w:rFonts w:ascii="宋体" w:hAnsi="宋体" w:cs="宋体" w:eastAsia="宋体" w:hint="default"/>
                <w:spacing w:val="-54"/>
                <w:sz w:val="18"/>
                <w:szCs w:val="18"/>
              </w:rPr>
              <w:t> </w:t>
            </w:r>
            <w:r>
              <w:rPr>
                <w:rFonts w:ascii="宋体" w:hAnsi="宋体" w:cs="宋体" w:eastAsia="宋体" w:hint="default"/>
                <w:spacing w:val="-4"/>
                <w:sz w:val="18"/>
                <w:szCs w:val="18"/>
              </w:rPr>
              <w:t>元，母</w:t>
            </w:r>
            <w:r>
              <w:rPr>
                <w:rFonts w:ascii="宋体" w:hAnsi="宋体" w:cs="宋体" w:eastAsia="宋体" w:hint="default"/>
                <w:sz w:val="18"/>
                <w:szCs w:val="18"/>
              </w:rPr>
              <w:t> 公司实现净利润</w:t>
            </w:r>
            <w:r>
              <w:rPr>
                <w:rFonts w:ascii="宋体" w:hAnsi="宋体" w:cs="宋体" w:eastAsia="宋体" w:hint="default"/>
                <w:spacing w:val="-44"/>
                <w:sz w:val="18"/>
                <w:szCs w:val="18"/>
              </w:rPr>
              <w:t> </w:t>
            </w:r>
            <w:r>
              <w:rPr>
                <w:rFonts w:ascii="宋体" w:hAnsi="宋体" w:cs="宋体" w:eastAsia="宋体" w:hint="default"/>
                <w:sz w:val="18"/>
                <w:szCs w:val="18"/>
              </w:rPr>
              <w:t>89,808,812.05</w:t>
            </w:r>
            <w:r>
              <w:rPr>
                <w:rFonts w:ascii="宋体" w:hAnsi="宋体" w:cs="宋体" w:eastAsia="宋体" w:hint="default"/>
                <w:spacing w:val="-43"/>
                <w:sz w:val="18"/>
                <w:szCs w:val="18"/>
              </w:rPr>
              <w:t> </w:t>
            </w:r>
            <w:r>
              <w:rPr>
                <w:rFonts w:ascii="宋体" w:hAnsi="宋体" w:cs="宋体" w:eastAsia="宋体" w:hint="default"/>
                <w:spacing w:val="-3"/>
                <w:sz w:val="18"/>
                <w:szCs w:val="18"/>
              </w:rPr>
              <w:t>元</w:t>
            </w:r>
            <w:r>
              <w:rPr>
                <w:rFonts w:ascii="宋体" w:hAnsi="宋体" w:cs="宋体" w:eastAsia="宋体" w:hint="default"/>
                <w:spacing w:val="-3"/>
                <w:sz w:val="18"/>
                <w:szCs w:val="18"/>
              </w:rPr>
              <w:t>,</w:t>
            </w:r>
            <w:r>
              <w:rPr>
                <w:rFonts w:ascii="宋体" w:hAnsi="宋体" w:cs="宋体" w:eastAsia="宋体" w:hint="default"/>
                <w:spacing w:val="-3"/>
                <w:sz w:val="18"/>
                <w:szCs w:val="18"/>
              </w:rPr>
              <w:t>根据《公司章程》相关规定，按照母公司</w:t>
            </w:r>
            <w:r>
              <w:rPr>
                <w:rFonts w:ascii="宋体" w:hAnsi="宋体" w:cs="宋体" w:eastAsia="宋体" w:hint="default"/>
                <w:spacing w:val="-44"/>
                <w:sz w:val="18"/>
                <w:szCs w:val="18"/>
              </w:rPr>
              <w:t> </w:t>
            </w: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年度实现净利润的</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z w:val="18"/>
                <w:szCs w:val="18"/>
              </w:rPr>
              <w:t>提取法定盈余公积</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7"/>
                <w:sz w:val="18"/>
                <w:szCs w:val="18"/>
              </w:rPr>
              <w:t> </w:t>
            </w:r>
            <w:r>
              <w:rPr>
                <w:rFonts w:ascii="宋体" w:hAnsi="宋体" w:cs="宋体" w:eastAsia="宋体" w:hint="default"/>
                <w:sz w:val="18"/>
                <w:szCs w:val="18"/>
              </w:rPr>
              <w:t>8,980,881.21</w:t>
            </w:r>
            <w:r>
              <w:rPr>
                <w:rFonts w:ascii="宋体" w:hAnsi="宋体" w:cs="宋体" w:eastAsia="宋体" w:hint="default"/>
                <w:spacing w:val="-46"/>
                <w:sz w:val="18"/>
                <w:szCs w:val="18"/>
              </w:rPr>
              <w:t> </w:t>
            </w:r>
            <w:r>
              <w:rPr>
                <w:rFonts w:ascii="宋体" w:hAnsi="宋体" w:cs="宋体" w:eastAsia="宋体" w:hint="default"/>
                <w:sz w:val="18"/>
                <w:szCs w:val="18"/>
              </w:rPr>
              <w:t>元，截至</w:t>
            </w:r>
            <w:r>
              <w:rPr>
                <w:rFonts w:ascii="宋体" w:hAnsi="宋体" w:cs="宋体" w:eastAsia="宋体" w:hint="default"/>
                <w:spacing w:val="-48"/>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日，母公司累计可供分配的利润</w:t>
            </w:r>
            <w:r>
              <w:rPr>
                <w:rFonts w:ascii="宋体" w:hAnsi="宋体" w:cs="宋体" w:eastAsia="宋体" w:hint="default"/>
                <w:spacing w:val="-48"/>
                <w:sz w:val="18"/>
                <w:szCs w:val="18"/>
              </w:rPr>
              <w:t> </w:t>
            </w:r>
            <w:r>
              <w:rPr>
                <w:rFonts w:ascii="宋体" w:hAnsi="宋体" w:cs="宋体" w:eastAsia="宋体" w:hint="default"/>
                <w:sz w:val="18"/>
                <w:szCs w:val="18"/>
              </w:rPr>
              <w:t>380,213,823.60</w:t>
            </w:r>
            <w:r>
              <w:rPr>
                <w:rFonts w:ascii="宋体" w:hAnsi="宋体" w:cs="宋体" w:eastAsia="宋体" w:hint="default"/>
                <w:spacing w:val="-45"/>
                <w:sz w:val="18"/>
                <w:szCs w:val="18"/>
              </w:rPr>
              <w:t> </w:t>
            </w:r>
            <w:r>
              <w:rPr>
                <w:rFonts w:ascii="宋体" w:hAnsi="宋体" w:cs="宋体" w:eastAsia="宋体" w:hint="default"/>
                <w:sz w:val="18"/>
                <w:szCs w:val="18"/>
              </w:rPr>
              <w:t>元。</w:t>
            </w:r>
          </w:p>
          <w:p>
            <w:pPr>
              <w:pStyle w:val="TableParagraph"/>
              <w:spacing w:line="240" w:lineRule="auto" w:before="115"/>
              <w:ind w:left="385" w:right="0"/>
              <w:jc w:val="left"/>
              <w:rPr>
                <w:rFonts w:ascii="宋体" w:hAnsi="宋体" w:cs="宋体" w:eastAsia="宋体" w:hint="default"/>
                <w:sz w:val="18"/>
                <w:szCs w:val="18"/>
              </w:rPr>
            </w:pPr>
            <w:r>
              <w:rPr>
                <w:rFonts w:ascii="宋体" w:hAnsi="宋体" w:cs="宋体" w:eastAsia="宋体" w:hint="default"/>
                <w:sz w:val="18"/>
                <w:szCs w:val="18"/>
              </w:rPr>
              <w:t>鉴于公司当前经营状况良好，为了回报公司股东，与广大投资者共享公司发展的经营成果，公司以截至</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50"/>
                <w:sz w:val="18"/>
                <w:szCs w:val="18"/>
              </w:rPr>
              <w:t> </w:t>
            </w:r>
            <w:r>
              <w:rPr>
                <w:rFonts w:ascii="宋体" w:hAnsi="宋体" w:cs="宋体" w:eastAsia="宋体" w:hint="default"/>
                <w:sz w:val="18"/>
                <w:szCs w:val="18"/>
              </w:rPr>
              <w:t>日公司总股本</w:t>
            </w:r>
            <w:r>
              <w:rPr>
                <w:rFonts w:ascii="宋体" w:hAnsi="宋体" w:cs="宋体" w:eastAsia="宋体" w:hint="default"/>
                <w:spacing w:val="-53"/>
                <w:sz w:val="18"/>
                <w:szCs w:val="18"/>
              </w:rPr>
              <w:t> </w:t>
            </w:r>
            <w:r>
              <w:rPr>
                <w:rFonts w:ascii="宋体" w:hAnsi="宋体" w:cs="宋体" w:eastAsia="宋体" w:hint="default"/>
                <w:sz w:val="18"/>
                <w:szCs w:val="18"/>
              </w:rPr>
              <w:t>1,449,824,087</w:t>
            </w:r>
            <w:r>
              <w:rPr>
                <w:rFonts w:ascii="宋体" w:hAnsi="宋体" w:cs="宋体" w:eastAsia="宋体" w:hint="default"/>
                <w:spacing w:val="-50"/>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53"/>
                <w:sz w:val="18"/>
                <w:szCs w:val="18"/>
              </w:rPr>
              <w:t> </w:t>
            </w:r>
            <w:r>
              <w:rPr>
                <w:rFonts w:ascii="宋体" w:hAnsi="宋体" w:cs="宋体" w:eastAsia="宋体" w:hint="default"/>
                <w:sz w:val="18"/>
                <w:szCs w:val="18"/>
              </w:rPr>
              <w:t>10</w:t>
            </w:r>
            <w:r>
              <w:rPr>
                <w:rFonts w:ascii="宋体" w:hAnsi="宋体" w:cs="宋体" w:eastAsia="宋体" w:hint="default"/>
                <w:spacing w:val="-52"/>
                <w:sz w:val="18"/>
                <w:szCs w:val="18"/>
              </w:rPr>
              <w:t> </w:t>
            </w:r>
            <w:r>
              <w:rPr>
                <w:rFonts w:ascii="宋体" w:hAnsi="宋体" w:cs="宋体" w:eastAsia="宋体" w:hint="default"/>
                <w:sz w:val="18"/>
                <w:szCs w:val="18"/>
              </w:rPr>
              <w:t>股派发现金股利人民币</w:t>
            </w:r>
            <w:r>
              <w:rPr>
                <w:rFonts w:ascii="宋体" w:hAnsi="宋体" w:cs="宋体" w:eastAsia="宋体" w:hint="default"/>
                <w:spacing w:val="-51"/>
                <w:sz w:val="18"/>
                <w:szCs w:val="18"/>
              </w:rPr>
              <w:t> </w:t>
            </w:r>
            <w:r>
              <w:rPr>
                <w:rFonts w:ascii="宋体" w:hAnsi="宋体" w:cs="宋体" w:eastAsia="宋体" w:hint="default"/>
                <w:sz w:val="18"/>
                <w:szCs w:val="18"/>
              </w:rPr>
              <w:t>0.12</w:t>
            </w:r>
            <w:r>
              <w:rPr>
                <w:rFonts w:ascii="宋体" w:hAnsi="宋体" w:cs="宋体" w:eastAsia="宋体" w:hint="default"/>
                <w:spacing w:val="-50"/>
                <w:sz w:val="18"/>
                <w:szCs w:val="18"/>
              </w:rPr>
              <w:t> </w:t>
            </w:r>
            <w:r>
              <w:rPr>
                <w:rFonts w:ascii="宋体" w:hAnsi="宋体" w:cs="宋体" w:eastAsia="宋体" w:hint="default"/>
                <w:sz w:val="18"/>
                <w:szCs w:val="18"/>
              </w:rPr>
              <w:t>元（含税）</w:t>
            </w:r>
            <w:r>
              <w:rPr>
                <w:rFonts w:ascii="宋体" w:hAnsi="宋体" w:cs="宋体" w:eastAsia="宋体" w:hint="default"/>
                <w:sz w:val="18"/>
                <w:szCs w:val="18"/>
              </w:rPr>
              <w:t>,</w:t>
            </w:r>
            <w:r>
              <w:rPr>
                <w:rFonts w:ascii="宋体" w:hAnsi="宋体" w:cs="宋体" w:eastAsia="宋体" w:hint="default"/>
                <w:sz w:val="18"/>
                <w:szCs w:val="18"/>
              </w:rPr>
              <w:t>合计派发现金股利人</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4"/>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7</w:t>
            </w:r>
            <w:r>
              <w:rPr>
                <w:rFonts w:ascii="宋体" w:hAnsi="宋体" w:cs="宋体" w:eastAsia="宋体" w:hint="default"/>
                <w:spacing w:val="1"/>
                <w:sz w:val="18"/>
                <w:szCs w:val="18"/>
              </w:rPr>
              <w:t>,</w:t>
            </w:r>
            <w:r>
              <w:rPr>
                <w:rFonts w:ascii="宋体" w:hAnsi="宋体" w:cs="宋体" w:eastAsia="宋体" w:hint="default"/>
                <w:spacing w:val="-2"/>
                <w:sz w:val="18"/>
                <w:szCs w:val="18"/>
              </w:rPr>
              <w:t>3</w:t>
            </w:r>
            <w:r>
              <w:rPr>
                <w:rFonts w:ascii="宋体" w:hAnsi="宋体" w:cs="宋体" w:eastAsia="宋体" w:hint="default"/>
                <w:spacing w:val="1"/>
                <w:sz w:val="18"/>
                <w:szCs w:val="18"/>
              </w:rPr>
              <w:t>9</w:t>
            </w:r>
            <w:r>
              <w:rPr>
                <w:rFonts w:ascii="宋体" w:hAnsi="宋体" w:cs="宋体" w:eastAsia="宋体" w:hint="default"/>
                <w:spacing w:val="-2"/>
                <w:sz w:val="18"/>
                <w:szCs w:val="18"/>
              </w:rPr>
              <w:t>7</w:t>
            </w:r>
            <w:r>
              <w:rPr>
                <w:rFonts w:ascii="宋体" w:hAnsi="宋体" w:cs="宋体" w:eastAsia="宋体" w:hint="default"/>
                <w:spacing w:val="1"/>
                <w:sz w:val="18"/>
                <w:szCs w:val="18"/>
              </w:rPr>
              <w:t>,</w:t>
            </w:r>
            <w:r>
              <w:rPr>
                <w:rFonts w:ascii="宋体" w:hAnsi="宋体" w:cs="宋体" w:eastAsia="宋体" w:hint="default"/>
                <w:spacing w:val="-2"/>
                <w:sz w:val="18"/>
                <w:szCs w:val="18"/>
              </w:rPr>
              <w:t>8</w:t>
            </w:r>
            <w:r>
              <w:rPr>
                <w:rFonts w:ascii="宋体" w:hAnsi="宋体" w:cs="宋体" w:eastAsia="宋体" w:hint="default"/>
                <w:spacing w:val="1"/>
                <w:sz w:val="18"/>
                <w:szCs w:val="18"/>
              </w:rPr>
              <w:t>8</w:t>
            </w:r>
            <w:r>
              <w:rPr>
                <w:rFonts w:ascii="宋体" w:hAnsi="宋体" w:cs="宋体" w:eastAsia="宋体" w:hint="default"/>
                <w:spacing w:val="-2"/>
                <w:sz w:val="18"/>
                <w:szCs w:val="18"/>
              </w:rPr>
              <w:t>9</w:t>
            </w:r>
            <w:r>
              <w:rPr>
                <w:rFonts w:ascii="宋体" w:hAnsi="宋体" w:cs="宋体" w:eastAsia="宋体" w:hint="default"/>
                <w:spacing w:val="1"/>
                <w:sz w:val="18"/>
                <w:szCs w:val="18"/>
              </w:rPr>
              <w:t>.</w:t>
            </w:r>
            <w:r>
              <w:rPr>
                <w:rFonts w:ascii="宋体" w:hAnsi="宋体" w:cs="宋体" w:eastAsia="宋体" w:hint="default"/>
                <w:spacing w:val="-2"/>
                <w:sz w:val="18"/>
                <w:szCs w:val="18"/>
              </w:rPr>
              <w:t>0</w:t>
            </w: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；本年度不进行资本公积金转增股本，不送红股。</w:t>
            </w:r>
          </w:p>
        </w:tc>
      </w:tr>
    </w:tbl>
    <w:p>
      <w:pPr>
        <w:pStyle w:val="BodyText"/>
        <w:spacing w:line="415" w:lineRule="auto" w:before="49"/>
        <w:ind w:left="551" w:right="0" w:hanging="399"/>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61"/>
        </w:rPr>
        <w:t> </w:t>
      </w:r>
      <w:r>
        <w:rPr>
          <w:spacing w:val="-61"/>
        </w:rPr>
      </w:r>
      <w:r>
        <w:rPr>
          <w:rFonts w:ascii="宋体" w:hAnsi="宋体" w:cs="宋体" w:eastAsia="宋体" w:hint="default"/>
          <w:spacing w:val="-1"/>
        </w:rPr>
        <w:t>2015</w:t>
      </w:r>
      <w:r>
        <w:rPr>
          <w:spacing w:val="-1"/>
        </w:rPr>
        <w:t>年度利润分配方案：以</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日公司总股本</w:t>
      </w:r>
      <w:r>
        <w:rPr>
          <w:rFonts w:ascii="宋体" w:hAnsi="宋体" w:cs="宋体" w:eastAsia="宋体" w:hint="default"/>
          <w:spacing w:val="-1"/>
        </w:rPr>
        <w:t>270,226,124</w:t>
      </w:r>
      <w:r>
        <w:rPr>
          <w:spacing w:val="-1"/>
        </w:rPr>
        <w:t>股为基数，向全体股东每</w:t>
      </w:r>
      <w:r>
        <w:rPr>
          <w:rFonts w:ascii="宋体" w:hAnsi="宋体" w:cs="宋体" w:eastAsia="宋体" w:hint="default"/>
          <w:spacing w:val="-1"/>
        </w:rPr>
        <w:t>10</w:t>
      </w:r>
      <w:r>
        <w:rPr>
          <w:spacing w:val="-1"/>
        </w:rPr>
        <w:t>股派发现金</w:t>
      </w:r>
      <w:r>
        <w:rPr>
          <w:rFonts w:ascii="宋体" w:hAnsi="宋体" w:cs="宋体" w:eastAsia="宋体" w:hint="default"/>
          <w:spacing w:val="-1"/>
        </w:rPr>
        <w:t>0.45</w:t>
      </w:r>
      <w:r>
        <w:rPr>
          <w:spacing w:val="-1"/>
        </w:rPr>
        <w:t>元（含</w:t>
      </w:r>
    </w:p>
    <w:p>
      <w:pPr>
        <w:pStyle w:val="BodyText"/>
        <w:spacing w:line="477" w:lineRule="auto" w:before="101"/>
        <w:ind w:left="515" w:right="141" w:hanging="363"/>
        <w:jc w:val="left"/>
        <w:rPr>
          <w:rFonts w:ascii="宋体" w:hAnsi="宋体" w:cs="宋体" w:eastAsia="宋体" w:hint="default"/>
        </w:rPr>
      </w:pPr>
      <w:r>
        <w:rPr/>
        <w:t>税），同时进行资本公积金转增股本每</w:t>
      </w:r>
      <w:r>
        <w:rPr>
          <w:rFonts w:ascii="宋体" w:hAnsi="宋体" w:cs="宋体" w:eastAsia="宋体" w:hint="default"/>
        </w:rPr>
        <w:t>10</w:t>
      </w:r>
      <w:r>
        <w:rPr/>
        <w:t>股转增</w:t>
      </w:r>
      <w:r>
        <w:rPr>
          <w:rFonts w:ascii="宋体" w:hAnsi="宋体" w:cs="宋体" w:eastAsia="宋体" w:hint="default"/>
        </w:rPr>
        <w:t>9</w:t>
      </w:r>
      <w:r>
        <w:rPr/>
        <w:t>股。该权益分配已于</w:t>
      </w:r>
      <w:r>
        <w:rPr>
          <w:rFonts w:ascii="宋体" w:hAnsi="宋体" w:cs="宋体" w:eastAsia="宋体" w:hint="default"/>
        </w:rPr>
        <w:t>2016</w:t>
      </w:r>
      <w:r>
        <w:rPr/>
        <w:t>年</w:t>
      </w:r>
      <w:r>
        <w:rPr>
          <w:rFonts w:ascii="宋体" w:hAnsi="宋体" w:cs="宋体" w:eastAsia="宋体" w:hint="default"/>
        </w:rPr>
        <w:t>5</w:t>
      </w:r>
      <w:r>
        <w:rPr/>
        <w:t>月实施完毕。</w:t>
      </w:r>
      <w:r>
        <w:rPr>
          <w:spacing w:val="-87"/>
        </w:rPr>
        <w:t> </w:t>
      </w:r>
      <w:r>
        <w:rPr>
          <w:rFonts w:ascii="宋体" w:hAnsi="宋体" w:cs="宋体" w:eastAsia="宋体" w:hint="default"/>
        </w:rPr>
        <w:t>2016</w:t>
      </w:r>
      <w:r>
        <w:rPr/>
        <w:t>年度利润分配及资本公积金转增股本方案：以</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579,929,635</w:t>
      </w:r>
      <w:r>
        <w:rPr/>
        <w:t>股为基数，向全体股东每</w:t>
      </w:r>
      <w:r>
        <w:rPr>
          <w:rFonts w:ascii="宋体" w:hAnsi="宋体" w:cs="宋体" w:eastAsia="宋体" w:hint="default"/>
        </w:rPr>
        <w:t>10</w:t>
      </w:r>
    </w:p>
    <w:p>
      <w:pPr>
        <w:pStyle w:val="BodyText"/>
        <w:spacing w:line="477" w:lineRule="auto" w:before="54"/>
        <w:ind w:left="515" w:right="0" w:hanging="363"/>
        <w:jc w:val="left"/>
      </w:pPr>
      <w:r>
        <w:rPr/>
        <w:t>股派发现金</w:t>
      </w:r>
      <w:r>
        <w:rPr>
          <w:rFonts w:ascii="宋体" w:hAnsi="宋体" w:cs="宋体" w:eastAsia="宋体" w:hint="default"/>
        </w:rPr>
        <w:t>0.4</w:t>
      </w:r>
      <w:r>
        <w:rPr/>
        <w:t>元（含税），同时进行资本公积金转增股本每</w:t>
      </w:r>
      <w:r>
        <w:rPr>
          <w:rFonts w:ascii="宋体" w:hAnsi="宋体" w:cs="宋体" w:eastAsia="宋体" w:hint="default"/>
        </w:rPr>
        <w:t>10</w:t>
      </w:r>
      <w:r>
        <w:rPr/>
        <w:t>股转增</w:t>
      </w:r>
      <w:r>
        <w:rPr>
          <w:rFonts w:ascii="宋体" w:hAnsi="宋体" w:cs="宋体" w:eastAsia="宋体" w:hint="default"/>
        </w:rPr>
        <w:t>15</w:t>
      </w:r>
      <w:r>
        <w:rPr/>
        <w:t>股。该权益分配已于</w:t>
      </w:r>
      <w:r>
        <w:rPr>
          <w:rFonts w:ascii="宋体" w:hAnsi="宋体" w:cs="宋体" w:eastAsia="宋体" w:hint="default"/>
        </w:rPr>
        <w:t>2017</w:t>
      </w:r>
      <w:r>
        <w:rPr/>
        <w:t>年</w:t>
      </w:r>
      <w:r>
        <w:rPr>
          <w:rFonts w:ascii="宋体" w:hAnsi="宋体" w:cs="宋体" w:eastAsia="宋体" w:hint="default"/>
        </w:rPr>
        <w:t>5</w:t>
      </w:r>
      <w:r>
        <w:rPr/>
        <w:t>月实施完毕。</w:t>
      </w:r>
      <w:r>
        <w:rPr>
          <w:spacing w:val="-87"/>
        </w:rPr>
        <w:t> </w:t>
      </w:r>
      <w:r>
        <w:rPr>
          <w:rFonts w:ascii="宋体" w:hAnsi="宋体" w:cs="宋体" w:eastAsia="宋体" w:hint="default"/>
          <w:spacing w:val="-3"/>
        </w:rPr>
        <w:t>2017</w:t>
      </w:r>
      <w:r>
        <w:rPr>
          <w:spacing w:val="-3"/>
        </w:rPr>
        <w:t>年度利润分配预案：以</w:t>
      </w:r>
      <w:r>
        <w:rPr>
          <w:rFonts w:ascii="宋体" w:hAnsi="宋体" w:cs="宋体" w:eastAsia="宋体" w:hint="default"/>
          <w:spacing w:val="-3"/>
        </w:rPr>
        <w:t>2017</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日公司总股本</w:t>
      </w:r>
      <w:r>
        <w:rPr>
          <w:rFonts w:ascii="宋体" w:hAnsi="宋体" w:cs="宋体" w:eastAsia="宋体" w:hint="default"/>
          <w:spacing w:val="-3"/>
        </w:rPr>
        <w:t>1,449,824,087</w:t>
      </w:r>
      <w:r>
        <w:rPr>
          <w:spacing w:val="-3"/>
        </w:rPr>
        <w:t>股为基数，向全体股东每</w:t>
      </w:r>
      <w:r>
        <w:rPr>
          <w:rFonts w:ascii="宋体" w:hAnsi="宋体" w:cs="宋体" w:eastAsia="宋体" w:hint="default"/>
          <w:spacing w:val="-3"/>
        </w:rPr>
        <w:t>10</w:t>
      </w:r>
      <w:r>
        <w:rPr>
          <w:spacing w:val="-3"/>
        </w:rPr>
        <w:t>股派发现金</w:t>
      </w:r>
      <w:r>
        <w:rPr>
          <w:rFonts w:ascii="宋体" w:hAnsi="宋体" w:cs="宋体" w:eastAsia="宋体" w:hint="default"/>
          <w:spacing w:val="-3"/>
        </w:rPr>
        <w:t>0.12</w:t>
      </w:r>
      <w:r>
        <w:rPr>
          <w:spacing w:val="-3"/>
        </w:rPr>
        <w:t>元（含</w:t>
      </w:r>
    </w:p>
    <w:p>
      <w:pPr>
        <w:pStyle w:val="BodyText"/>
        <w:spacing w:line="240" w:lineRule="auto" w:before="54"/>
        <w:ind w:right="0"/>
        <w:jc w:val="left"/>
      </w:pPr>
      <w:r>
        <w:rPr/>
        <w:t>税），本年度不进行资本公积金转增股本，不送红股。</w:t>
      </w:r>
    </w:p>
    <w:p>
      <w:pPr>
        <w:spacing w:line="240" w:lineRule="auto" w:before="6"/>
        <w:rPr>
          <w:rFonts w:ascii="宋体" w:hAnsi="宋体" w:cs="宋体" w:eastAsia="宋体" w:hint="default"/>
          <w:sz w:val="11"/>
          <w:szCs w:val="11"/>
        </w:rPr>
      </w:pPr>
    </w:p>
    <w:p>
      <w:pPr>
        <w:pStyle w:val="BodyText"/>
        <w:spacing w:line="240" w:lineRule="auto" w:before="44"/>
        <w:ind w:right="0"/>
        <w:jc w:val="left"/>
      </w:pPr>
      <w:r>
        <w:rPr/>
        <w:t>公司近三年（包括本报告期）普通股现金分红情况表</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623"/>
        <w:gridCol w:w="1618"/>
        <w:gridCol w:w="1752"/>
        <w:gridCol w:w="1702"/>
        <w:gridCol w:w="1561"/>
        <w:gridCol w:w="1442"/>
      </w:tblGrid>
      <w:tr>
        <w:trPr>
          <w:trHeight w:val="1025"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46"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624" w:right="82"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9"/>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归属于上市公司普通 股股东的净利润</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4"/>
              <w:jc w:val="center"/>
              <w:rPr>
                <w:rFonts w:ascii="宋体" w:hAnsi="宋体" w:cs="宋体" w:eastAsia="宋体" w:hint="default"/>
                <w:sz w:val="18"/>
                <w:szCs w:val="18"/>
              </w:rPr>
            </w:pPr>
            <w:r>
              <w:rPr>
                <w:rFonts w:ascii="宋体" w:hAnsi="宋体" w:cs="宋体" w:eastAsia="宋体" w:hint="default"/>
                <w:sz w:val="18"/>
                <w:szCs w:val="18"/>
              </w:rPr>
              <w:t>占合并报表中归属于 上市公司普通股股东 的净利润的比率</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15" w:right="53"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66" w:right="84"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分红的比例</w:t>
            </w:r>
          </w:p>
        </w:tc>
      </w:tr>
      <w:tr>
        <w:trPr>
          <w:trHeight w:val="403"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17,397,889.04</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91,451,980.39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19.02%</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23,197,185.40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80,347,228.14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28.87%</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12,160,175.59</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70,719,566.59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17.19%</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公司报告期内盈利且母公司可供普通股股东分配利润为正但未提出普通股现金红利分配预案</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二、承诺事项履行情况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Heading3"/>
        <w:spacing w:line="312" w:lineRule="exact"/>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26"/>
        </w:rPr>
        <w:t> </w:t>
      </w:r>
      <w:r>
        <w:rPr>
          <w:spacing w:val="26"/>
        </w:rPr>
      </w:r>
      <w:r>
        <w:rPr/>
        <w:t>尚未履行完毕的承诺事项</w:t>
      </w:r>
      <w:r>
        <w:rPr>
          <w:b w:val="0"/>
          <w:bCs w:val="0"/>
        </w:rPr>
      </w:r>
    </w:p>
    <w:p>
      <w:pPr>
        <w:spacing w:line="240" w:lineRule="auto" w:before="14"/>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2851"/>
        <w:gridCol w:w="1151"/>
        <w:gridCol w:w="1140"/>
        <w:gridCol w:w="1140"/>
        <w:gridCol w:w="1140"/>
        <w:gridCol w:w="1138"/>
        <w:gridCol w:w="1126"/>
      </w:tblGrid>
      <w:tr>
        <w:trPr>
          <w:trHeight w:val="404" w:hRule="exact"/>
        </w:trPr>
        <w:tc>
          <w:tcPr>
            <w:tcW w:w="2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8"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3" w:hRule="exact"/>
        </w:trPr>
        <w:tc>
          <w:tcPr>
            <w:tcW w:w="2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27"/>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51" w:type="dxa"/>
            <w:tcBorders>
              <w:top w:val="single" w:sz="4" w:space="0" w:color="000000"/>
              <w:left w:val="single" w:sz="10" w:space="0" w:color="D2D2D2"/>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33" w:top="1060" w:bottom="13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2873"/>
        <w:gridCol w:w="1140"/>
        <w:gridCol w:w="1140"/>
        <w:gridCol w:w="1140"/>
        <w:gridCol w:w="1140"/>
        <w:gridCol w:w="1138"/>
        <w:gridCol w:w="1126"/>
      </w:tblGrid>
      <w:tr>
        <w:trPr>
          <w:trHeight w:val="9450" w:hRule="exact"/>
        </w:trPr>
        <w:tc>
          <w:tcPr>
            <w:tcW w:w="28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马永清</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股份限售承诺</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4"/>
              <w:jc w:val="left"/>
              <w:rPr>
                <w:rFonts w:ascii="宋体" w:hAnsi="宋体" w:cs="宋体" w:eastAsia="宋体" w:hint="default"/>
                <w:sz w:val="18"/>
                <w:szCs w:val="18"/>
              </w:rPr>
            </w:pPr>
            <w:r>
              <w:rPr>
                <w:rFonts w:ascii="宋体" w:hAnsi="宋体" w:cs="宋体" w:eastAsia="宋体" w:hint="default"/>
                <w:sz w:val="18"/>
                <w:szCs w:val="18"/>
              </w:rPr>
              <w:t>自本次新增股 份上市之日 </w:t>
            </w:r>
            <w:r>
              <w:rPr>
                <w:rFonts w:ascii="宋体" w:hAnsi="宋体" w:cs="宋体" w:eastAsia="宋体" w:hint="default"/>
                <w:spacing w:val="-29"/>
                <w:sz w:val="18"/>
                <w:szCs w:val="18"/>
              </w:rPr>
              <w:t>起，至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届满之日和本 人在《业绩补 偿协议》中利 润补偿义务履 行完毕之日中 的较晚日之 前，不转让本 人持有的本次 发行取得的上 市公司新增股 </w:t>
            </w:r>
            <w:r>
              <w:rPr>
                <w:rFonts w:ascii="宋体" w:hAnsi="宋体" w:cs="宋体" w:eastAsia="宋体" w:hint="default"/>
                <w:spacing w:val="-26"/>
                <w:sz w:val="18"/>
                <w:szCs w:val="18"/>
              </w:rPr>
              <w:t>份，但按照《业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绩补偿协议》 进行回购的股 份除外；上述 锁定期满后， 如本人在中软 华泰或者上市 公司担任董 事、监事或高 级管理人员 的，任职期间 内，本人每年 转让的上市公 司股份不超过 本人持有上市 公司股份总数 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6" w:right="17"/>
              <w:jc w:val="left"/>
              <w:rPr>
                <w:rFonts w:ascii="宋体" w:hAnsi="宋体" w:cs="宋体" w:eastAsia="宋体" w:hint="default"/>
                <w:sz w:val="18"/>
                <w:szCs w:val="18"/>
              </w:rPr>
            </w:pPr>
            <w:r>
              <w:rPr>
                <w:rFonts w:ascii="宋体" w:hAnsi="宋体" w:cs="宋体" w:eastAsia="宋体" w:hint="default"/>
                <w:sz w:val="18"/>
                <w:szCs w:val="18"/>
              </w:rPr>
              <w:t>自本次新增股 份上市之日 </w:t>
            </w:r>
            <w:r>
              <w:rPr>
                <w:rFonts w:ascii="宋体" w:hAnsi="宋体" w:cs="宋体" w:eastAsia="宋体" w:hint="default"/>
                <w:spacing w:val="-31"/>
                <w:sz w:val="18"/>
                <w:szCs w:val="18"/>
              </w:rPr>
              <w:t>起，至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届满之日和本 人在《业绩补 偿协议》中利 润补偿义务履 行完毕之日中 的较晚日之 前。</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2"/>
              <w:ind w:left="24" w:right="11"/>
              <w:jc w:val="left"/>
              <w:rPr>
                <w:rFonts w:ascii="宋体" w:hAnsi="宋体" w:cs="宋体" w:eastAsia="宋体" w:hint="default"/>
                <w:sz w:val="18"/>
                <w:szCs w:val="18"/>
              </w:rPr>
            </w:pPr>
            <w:r>
              <w:rPr>
                <w:rFonts w:ascii="宋体" w:hAnsi="宋体" w:cs="宋体" w:eastAsia="宋体" w:hint="default"/>
                <w:sz w:val="18"/>
                <w:szCs w:val="18"/>
              </w:rPr>
              <w:t>严格履行中， 无违反承诺 的情形。</w:t>
            </w:r>
          </w:p>
        </w:tc>
      </w:tr>
      <w:tr>
        <w:trPr>
          <w:trHeight w:val="4419" w:hRule="exact"/>
        </w:trPr>
        <w:tc>
          <w:tcPr>
            <w:tcW w:w="2873" w:type="dxa"/>
            <w:vMerge/>
            <w:tcBorders>
              <w:left w:val="single" w:sz="4" w:space="0" w:color="000000"/>
              <w:bottom w:val="single" w:sz="4" w:space="0" w:color="000000"/>
              <w:right w:val="single" w:sz="4" w:space="0" w:color="000000"/>
            </w:tcBorders>
            <w:shd w:val="clear" w:color="auto" w:fill="D2D2D2"/>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田秋桂</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股份限售承诺</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4"/>
              <w:jc w:val="left"/>
              <w:rPr>
                <w:rFonts w:ascii="宋体" w:hAnsi="宋体" w:cs="宋体" w:eastAsia="宋体" w:hint="default"/>
                <w:sz w:val="18"/>
                <w:szCs w:val="18"/>
              </w:rPr>
            </w:pPr>
            <w:r>
              <w:rPr>
                <w:rFonts w:ascii="宋体" w:hAnsi="宋体" w:cs="宋体" w:eastAsia="宋体" w:hint="default"/>
                <w:sz w:val="18"/>
                <w:szCs w:val="18"/>
              </w:rPr>
              <w:t>自本次新增股 份上市之日 </w:t>
            </w:r>
            <w:r>
              <w:rPr>
                <w:rFonts w:ascii="宋体" w:hAnsi="宋体" w:cs="宋体" w:eastAsia="宋体" w:hint="default"/>
                <w:spacing w:val="-29"/>
                <w:sz w:val="18"/>
                <w:szCs w:val="18"/>
              </w:rPr>
              <w:t>起，至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届满之日和本 人在《业绩补 偿协议》中利 润补偿义务履 行完毕之日中 的较晚日之 前，不转让本 人持有的本次 发行取得的上 市公司新增股 </w:t>
            </w:r>
            <w:r>
              <w:rPr>
                <w:rFonts w:ascii="宋体" w:hAnsi="宋体" w:cs="宋体" w:eastAsia="宋体" w:hint="default"/>
                <w:spacing w:val="-26"/>
                <w:sz w:val="18"/>
                <w:szCs w:val="18"/>
              </w:rPr>
              <w:t>份，但按照《业</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6" w:right="17"/>
              <w:jc w:val="left"/>
              <w:rPr>
                <w:rFonts w:ascii="宋体" w:hAnsi="宋体" w:cs="宋体" w:eastAsia="宋体" w:hint="default"/>
                <w:sz w:val="18"/>
                <w:szCs w:val="18"/>
              </w:rPr>
            </w:pPr>
            <w:r>
              <w:rPr>
                <w:rFonts w:ascii="宋体" w:hAnsi="宋体" w:cs="宋体" w:eastAsia="宋体" w:hint="default"/>
                <w:sz w:val="18"/>
                <w:szCs w:val="18"/>
              </w:rPr>
              <w:t>自本次新增股 份上市之日 </w:t>
            </w:r>
            <w:r>
              <w:rPr>
                <w:rFonts w:ascii="宋体" w:hAnsi="宋体" w:cs="宋体" w:eastAsia="宋体" w:hint="default"/>
                <w:spacing w:val="-31"/>
                <w:sz w:val="18"/>
                <w:szCs w:val="18"/>
              </w:rPr>
              <w:t>起，至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届满之日和本 人在《业绩补 偿协议》中利 润补偿义务履 行完毕之日中 的较晚日之 前。</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4" w:right="11"/>
              <w:jc w:val="left"/>
              <w:rPr>
                <w:rFonts w:ascii="宋体" w:hAnsi="宋体" w:cs="宋体" w:eastAsia="宋体" w:hint="default"/>
                <w:sz w:val="18"/>
                <w:szCs w:val="18"/>
              </w:rPr>
            </w:pPr>
            <w:r>
              <w:rPr>
                <w:rFonts w:ascii="宋体" w:hAnsi="宋体" w:cs="宋体" w:eastAsia="宋体" w:hint="default"/>
                <w:sz w:val="18"/>
                <w:szCs w:val="18"/>
              </w:rPr>
              <w:t>严格履行中， 无违反承诺 的情形。</w:t>
            </w:r>
          </w:p>
        </w:tc>
      </w:tr>
    </w:tbl>
    <w:p>
      <w:pPr>
        <w:spacing w:after="0" w:line="316" w:lineRule="auto"/>
        <w:jc w:val="left"/>
        <w:rPr>
          <w:rFonts w:ascii="宋体" w:hAnsi="宋体" w:cs="宋体" w:eastAsia="宋体" w:hint="default"/>
          <w:sz w:val="18"/>
          <w:szCs w:val="18"/>
        </w:rPr>
        <w:sectPr>
          <w:pgSz w:w="11910" w:h="16840"/>
          <w:pgMar w:header="745" w:footer="1133" w:top="1060" w:bottom="13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2873"/>
        <w:gridCol w:w="1140"/>
        <w:gridCol w:w="1140"/>
        <w:gridCol w:w="1140"/>
        <w:gridCol w:w="1140"/>
        <w:gridCol w:w="1138"/>
        <w:gridCol w:w="1126"/>
      </w:tblGrid>
      <w:tr>
        <w:trPr>
          <w:trHeight w:val="10036"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3"/>
              <w:jc w:val="both"/>
              <w:rPr>
                <w:rFonts w:ascii="宋体" w:hAnsi="宋体" w:cs="宋体" w:eastAsia="宋体" w:hint="default"/>
                <w:sz w:val="18"/>
                <w:szCs w:val="18"/>
              </w:rPr>
            </w:pPr>
            <w:r>
              <w:rPr>
                <w:rFonts w:ascii="宋体" w:hAnsi="宋体" w:cs="宋体" w:eastAsia="宋体" w:hint="default"/>
                <w:sz w:val="18"/>
                <w:szCs w:val="18"/>
              </w:rPr>
              <w:t>绩补偿协议》 进行回购的股 份除外；鉴于 本人与中软华 泰另一股东马 永清系一致行 动人，共同控 制中软华泰， 在马永清于中 软华泰或者上 市公司担任董 事、监事或高 级管理人员期 间内，本人每 年转让的上市 公司股份不超 过本人持有上 市公司股份总 数的</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25%</w:t>
            </w:r>
            <w:r>
              <w:rPr>
                <w:rFonts w:ascii="宋体" w:hAnsi="宋体" w:cs="宋体" w:eastAsia="宋体" w:hint="default"/>
                <w:spacing w:val="-5"/>
                <w:sz w:val="18"/>
                <w:szCs w:val="18"/>
              </w:rPr>
              <w:t>；同</w:t>
            </w:r>
            <w:r>
              <w:rPr>
                <w:rFonts w:ascii="宋体" w:hAnsi="宋体" w:cs="宋体" w:eastAsia="宋体" w:hint="default"/>
                <w:spacing w:val="-12"/>
                <w:sz w:val="18"/>
                <w:szCs w:val="18"/>
              </w:rPr>
              <w:t> </w:t>
            </w:r>
            <w:r>
              <w:rPr>
                <w:rFonts w:ascii="宋体" w:hAnsi="宋体" w:cs="宋体" w:eastAsia="宋体" w:hint="default"/>
                <w:sz w:val="18"/>
                <w:szCs w:val="18"/>
              </w:rPr>
              <w:t>时，在陈青松</w:t>
            </w:r>
          </w:p>
          <w:p>
            <w:pPr>
              <w:pStyle w:val="TableParagraph"/>
              <w:spacing w:line="316" w:lineRule="auto" w:before="19"/>
              <w:ind w:left="26" w:right="23"/>
              <w:jc w:val="left"/>
              <w:rPr>
                <w:rFonts w:ascii="宋体" w:hAnsi="宋体" w:cs="宋体" w:eastAsia="宋体" w:hint="default"/>
                <w:sz w:val="18"/>
                <w:szCs w:val="18"/>
              </w:rPr>
            </w:pPr>
            <w:r>
              <w:rPr>
                <w:rFonts w:ascii="宋体" w:hAnsi="宋体" w:cs="宋体" w:eastAsia="宋体" w:hint="default"/>
                <w:sz w:val="18"/>
                <w:szCs w:val="18"/>
              </w:rPr>
              <w:t>（系本人之 子）于中软华 泰或者上市公 司担任董事、 监事或高级管 理人员期间 内，本人每年 转让的上市公 司股份亦不超 过本人持有上 市公司股份总 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3209" w:hRule="exact"/>
        </w:trPr>
        <w:tc>
          <w:tcPr>
            <w:tcW w:w="28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哈连琴</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股份限售承诺</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23"/>
              <w:jc w:val="left"/>
              <w:rPr>
                <w:rFonts w:ascii="宋体" w:hAnsi="宋体" w:cs="宋体" w:eastAsia="宋体" w:hint="default"/>
                <w:sz w:val="18"/>
                <w:szCs w:val="18"/>
              </w:rPr>
            </w:pPr>
            <w:r>
              <w:rPr>
                <w:rFonts w:ascii="宋体" w:hAnsi="宋体" w:cs="宋体" w:eastAsia="宋体" w:hint="default"/>
                <w:sz w:val="18"/>
                <w:szCs w:val="18"/>
              </w:rPr>
              <w:t>在第二届监事 会任期届满 后，哈连琴女 士不再担任公 司监事一职。 哈连琴女士承 诺自离任监事 后半年内，不 转让其持有的 公司股份。</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674" w:hRule="exact"/>
        </w:trPr>
        <w:tc>
          <w:tcPr>
            <w:tcW w:w="2873" w:type="dxa"/>
            <w:vMerge/>
            <w:tcBorders>
              <w:left w:val="single" w:sz="4" w:space="0" w:color="000000"/>
              <w:bottom w:val="single" w:sz="4" w:space="0" w:color="000000"/>
              <w:right w:val="single" w:sz="4" w:space="0" w:color="000000"/>
            </w:tcBorders>
            <w:shd w:val="clear" w:color="auto" w:fill="D2D2D2"/>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马承栋</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股份限售承诺</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23"/>
              <w:jc w:val="left"/>
              <w:rPr>
                <w:rFonts w:ascii="宋体" w:hAnsi="宋体" w:cs="宋体" w:eastAsia="宋体" w:hint="default"/>
                <w:sz w:val="18"/>
                <w:szCs w:val="18"/>
              </w:rPr>
            </w:pPr>
            <w:r>
              <w:rPr>
                <w:rFonts w:ascii="宋体" w:hAnsi="宋体" w:cs="宋体" w:eastAsia="宋体" w:hint="default"/>
                <w:sz w:val="18"/>
                <w:szCs w:val="18"/>
              </w:rPr>
              <w:t>在第二届监事 会任期届满</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19</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bl>
    <w:p>
      <w:pPr>
        <w:spacing w:after="0" w:line="240" w:lineRule="auto"/>
        <w:jc w:val="left"/>
        <w:rPr>
          <w:rFonts w:ascii="宋体" w:hAnsi="宋体" w:cs="宋体" w:eastAsia="宋体" w:hint="default"/>
          <w:sz w:val="18"/>
          <w:szCs w:val="18"/>
        </w:rPr>
        <w:sectPr>
          <w:pgSz w:w="11910" w:h="16840"/>
          <w:pgMar w:header="745" w:footer="1133" w:top="1060" w:bottom="13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2873"/>
        <w:gridCol w:w="1140"/>
        <w:gridCol w:w="1140"/>
        <w:gridCol w:w="1140"/>
        <w:gridCol w:w="1140"/>
        <w:gridCol w:w="1138"/>
        <w:gridCol w:w="1128"/>
      </w:tblGrid>
      <w:tr>
        <w:trPr>
          <w:trHeight w:val="2547" w:hRule="exact"/>
        </w:trPr>
        <w:tc>
          <w:tcPr>
            <w:tcW w:w="2873" w:type="dxa"/>
            <w:vMerge w:val="restart"/>
            <w:tcBorders>
              <w:top w:val="single" w:sz="4" w:space="0" w:color="000000"/>
              <w:left w:val="single" w:sz="4" w:space="0" w:color="000000"/>
              <w:right w:val="single" w:sz="4" w:space="0" w:color="000000"/>
            </w:tcBorders>
            <w:shd w:val="clear" w:color="auto" w:fill="D2D2D2"/>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3"/>
              <w:jc w:val="both"/>
              <w:rPr>
                <w:rFonts w:ascii="宋体" w:hAnsi="宋体" w:cs="宋体" w:eastAsia="宋体" w:hint="default"/>
                <w:sz w:val="18"/>
                <w:szCs w:val="18"/>
              </w:rPr>
            </w:pPr>
            <w:r>
              <w:rPr>
                <w:rFonts w:ascii="宋体" w:hAnsi="宋体" w:cs="宋体" w:eastAsia="宋体" w:hint="default"/>
                <w:sz w:val="18"/>
                <w:szCs w:val="18"/>
              </w:rPr>
              <w:t>后，马承栋先 生不再担任公 司监事一职。 马承栋承诺自 离任监事后半 年内，不转让 其持有的公司 股份。</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3209" w:hRule="exact"/>
        </w:trPr>
        <w:tc>
          <w:tcPr>
            <w:tcW w:w="2873" w:type="dxa"/>
            <w:vMerge/>
            <w:tcBorders>
              <w:left w:val="single" w:sz="4" w:space="0" w:color="000000"/>
              <w:right w:val="single" w:sz="4" w:space="0" w:color="000000"/>
            </w:tcBorders>
            <w:shd w:val="clear" w:color="auto" w:fill="D2D2D2"/>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26" w:right="23"/>
              <w:jc w:val="left"/>
              <w:rPr>
                <w:rFonts w:ascii="宋体" w:hAnsi="宋体" w:cs="宋体" w:eastAsia="宋体" w:hint="default"/>
                <w:sz w:val="18"/>
                <w:szCs w:val="18"/>
              </w:rPr>
            </w:pPr>
            <w:r>
              <w:rPr>
                <w:rFonts w:ascii="宋体" w:hAnsi="宋体" w:cs="宋体" w:eastAsia="宋体" w:hint="default"/>
                <w:sz w:val="18"/>
                <w:szCs w:val="18"/>
              </w:rPr>
              <w:t>林皓、杨杰、 高曦、杨维</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股份限售承诺</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23"/>
              <w:jc w:val="left"/>
              <w:rPr>
                <w:rFonts w:ascii="宋体" w:hAnsi="宋体" w:cs="宋体" w:eastAsia="宋体" w:hint="default"/>
                <w:sz w:val="18"/>
                <w:szCs w:val="18"/>
              </w:rPr>
            </w:pPr>
            <w:r>
              <w:rPr>
                <w:rFonts w:ascii="宋体" w:hAnsi="宋体" w:cs="宋体" w:eastAsia="宋体" w:hint="default"/>
                <w:sz w:val="18"/>
                <w:szCs w:val="18"/>
              </w:rPr>
              <w:t>其在任职期 间，每年转让 的公司股份不 超过其持有公 司股份总数的 百分之二十 五；离职后半 年内，不转让 其持有的公司 股份。</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9999-12-31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2"/>
              <w:jc w:val="left"/>
              <w:rPr>
                <w:rFonts w:ascii="宋体" w:hAnsi="宋体" w:cs="宋体" w:eastAsia="宋体" w:hint="default"/>
                <w:sz w:val="18"/>
                <w:szCs w:val="18"/>
              </w:rPr>
            </w:pPr>
            <w:r>
              <w:rPr>
                <w:rFonts w:ascii="宋体" w:hAnsi="宋体" w:cs="宋体" w:eastAsia="宋体" w:hint="default"/>
                <w:sz w:val="18"/>
                <w:szCs w:val="18"/>
              </w:rPr>
              <w:t>严格履行中， 无违反承诺 的情形</w:t>
            </w:r>
          </w:p>
        </w:tc>
      </w:tr>
      <w:tr>
        <w:trPr>
          <w:trHeight w:val="8164" w:hRule="exact"/>
        </w:trPr>
        <w:tc>
          <w:tcPr>
            <w:tcW w:w="2873" w:type="dxa"/>
            <w:vMerge/>
            <w:tcBorders>
              <w:left w:val="single" w:sz="4" w:space="0" w:color="000000"/>
              <w:bottom w:val="single" w:sz="4" w:space="0" w:color="000000"/>
              <w:right w:val="single" w:sz="4" w:space="0" w:color="000000"/>
            </w:tcBorders>
            <w:shd w:val="clear" w:color="auto" w:fill="D2D2D2"/>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王晓峰</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股份限售承诺</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23"/>
              <w:jc w:val="both"/>
              <w:rPr>
                <w:rFonts w:ascii="宋体" w:hAnsi="宋体" w:cs="宋体" w:eastAsia="宋体" w:hint="default"/>
                <w:sz w:val="18"/>
                <w:szCs w:val="18"/>
              </w:rPr>
            </w:pPr>
            <w:r>
              <w:rPr>
                <w:rFonts w:ascii="宋体" w:hAnsi="宋体" w:cs="宋体" w:eastAsia="宋体" w:hint="default"/>
                <w:sz w:val="18"/>
                <w:szCs w:val="18"/>
              </w:rPr>
              <w:t>自公司股票上 市之日起三十 六个月内，不 转让或者委托 他人管理其直 接或间接持有 的公司股份， 也不由公司回 购其持有的公 司股份。除前 述锁定期外， 在王晓娜女士 任职期间，其 每年转让的股 份公司股份不 超过其所持有 股份公司股份 总数的百分之 二十五；在王 晓娜女士离职 后半年内，其 不转让直接或 者间接持有的 公司股份；如 王晓娜女士在 首次公开发行</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9999-12-31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9" w:lineRule="auto"/>
              <w:ind w:left="24" w:right="12"/>
              <w:jc w:val="left"/>
              <w:rPr>
                <w:rFonts w:ascii="宋体" w:hAnsi="宋体" w:cs="宋体" w:eastAsia="宋体" w:hint="default"/>
                <w:sz w:val="18"/>
                <w:szCs w:val="18"/>
              </w:rPr>
            </w:pPr>
            <w:r>
              <w:rPr>
                <w:rFonts w:ascii="宋体" w:hAnsi="宋体" w:cs="宋体" w:eastAsia="宋体" w:hint="default"/>
                <w:sz w:val="18"/>
                <w:szCs w:val="18"/>
              </w:rPr>
              <w:t>严格履行中， 无违反承诺 的情形。</w:t>
            </w:r>
          </w:p>
        </w:tc>
      </w:tr>
    </w:tbl>
    <w:p>
      <w:pPr>
        <w:spacing w:after="0" w:line="319" w:lineRule="auto"/>
        <w:jc w:val="left"/>
        <w:rPr>
          <w:rFonts w:ascii="宋体" w:hAnsi="宋体" w:cs="宋体" w:eastAsia="宋体" w:hint="default"/>
          <w:sz w:val="18"/>
          <w:szCs w:val="18"/>
        </w:rPr>
        <w:sectPr>
          <w:pgSz w:w="11910" w:h="16840"/>
          <w:pgMar w:header="745" w:footer="1133" w:top="1060" w:bottom="13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2873"/>
        <w:gridCol w:w="1140"/>
        <w:gridCol w:w="1140"/>
        <w:gridCol w:w="1140"/>
        <w:gridCol w:w="1140"/>
        <w:gridCol w:w="1138"/>
        <w:gridCol w:w="1126"/>
      </w:tblGrid>
      <w:tr>
        <w:trPr>
          <w:trHeight w:val="6916"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3"/>
              <w:jc w:val="left"/>
              <w:rPr>
                <w:rFonts w:ascii="宋体" w:hAnsi="宋体" w:cs="宋体" w:eastAsia="宋体" w:hint="default"/>
                <w:sz w:val="18"/>
                <w:szCs w:val="18"/>
              </w:rPr>
            </w:pPr>
            <w:r>
              <w:rPr>
                <w:rFonts w:ascii="宋体" w:hAnsi="宋体" w:cs="宋体" w:eastAsia="宋体" w:hint="default"/>
                <w:sz w:val="18"/>
                <w:szCs w:val="18"/>
              </w:rPr>
              <w:t>股票上市之日 起六个月内申 报离职的，自 王晓娜女士申 报离职之日起 十八个月内其 不转让直接或 者间接持有的 公司股份；如 王晓娜女士在 首次公开发行 股票上市之日 起第七个月至 第十二个月之 间申报离职 的，自王晓娜 女士申报离职 之日起十二个 月内其不转让 直接或者间接 持有的公司股 份。</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4"/>
                <w:sz w:val="18"/>
                <w:szCs w:val="18"/>
              </w:rPr>
              <w:t>如承诺超期未履行完毕的，应当详细</w:t>
            </w:r>
            <w:r>
              <w:rPr>
                <w:rFonts w:ascii="宋体" w:hAnsi="宋体" w:cs="宋体" w:eastAsia="宋体" w:hint="default"/>
                <w:sz w:val="18"/>
                <w:szCs w:val="18"/>
              </w:rPr>
              <w:t> 说明未完成履行的具体原因及下一 步的工作计划</w:t>
            </w:r>
          </w:p>
        </w:tc>
        <w:tc>
          <w:tcPr>
            <w:tcW w:w="6824" w:type="dxa"/>
            <w:gridSpan w:val="6"/>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9"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4"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3"/>
        <w:spacing w:line="314" w:lineRule="exact" w:before="30"/>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26"/>
        </w:rPr>
        <w:t> </w:t>
      </w:r>
      <w:r>
        <w:rPr>
          <w:spacing w:val="26"/>
        </w:rPr>
      </w:r>
      <w:r>
        <w:rPr/>
        <w:t>其原因做出说明</w:t>
      </w:r>
      <w:r>
        <w:rPr>
          <w:b w:val="0"/>
          <w:bCs w:val="0"/>
        </w:rPr>
      </w:r>
    </w:p>
    <w:p>
      <w:pPr>
        <w:spacing w:line="240" w:lineRule="auto" w:before="14"/>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169"/>
        <w:gridCol w:w="1171"/>
        <w:gridCol w:w="1234"/>
        <w:gridCol w:w="1104"/>
        <w:gridCol w:w="1169"/>
        <w:gridCol w:w="1169"/>
        <w:gridCol w:w="1172"/>
        <w:gridCol w:w="1510"/>
      </w:tblGrid>
      <w:tr>
        <w:trPr>
          <w:trHeight w:val="715" w:hRule="exact"/>
        </w:trPr>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0" w:right="39" w:hanging="92"/>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5"/>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 w:right="36"/>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1" w:right="39" w:hanging="452"/>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1337" w:hRule="exact"/>
        </w:trPr>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发行股份及支 付现金购买中 软华泰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股权项目</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32" w:right="0"/>
              <w:jc w:val="left"/>
              <w:rPr>
                <w:rFonts w:ascii="Times New Roman" w:hAnsi="Times New Roman" w:cs="Times New Roman" w:eastAsia="Times New Roman" w:hint="default"/>
                <w:sz w:val="18"/>
                <w:szCs w:val="18"/>
              </w:rPr>
            </w:pPr>
            <w:r>
              <w:rPr>
                <w:rFonts w:ascii="Times New Roman"/>
                <w:sz w:val="18"/>
              </w:rPr>
              <w:t>1,627.6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1,731.01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hyperlink r:id="rId9">
              <w:r>
                <w:rPr>
                  <w:rFonts w:ascii="Times New Roman"/>
                  <w:sz w:val="18"/>
                </w:rPr>
                <w:t>www.cninfo.com.cn</w:t>
              </w:r>
            </w:hyperlink>
          </w:p>
        </w:tc>
      </w:tr>
    </w:tbl>
    <w:p>
      <w:pPr>
        <w:pStyle w:val="BodyText"/>
        <w:spacing w:line="240" w:lineRule="auto" w:before="49"/>
        <w:ind w:right="0"/>
        <w:jc w:val="left"/>
      </w:pPr>
      <w:r>
        <w:rPr/>
        <w:t>公司股东、交易对手方对公司或相关资产年度经营业绩作出的承诺情况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1133" w:top="1060" w:bottom="132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50" w:firstLine="379"/>
        <w:jc w:val="both"/>
      </w:pPr>
      <w:r>
        <w:rPr/>
        <w:t>根据公司与交易对方签署的《北京北信源软件股份有限公司发行股份及支付现金购买资产协议》、《北京北信源软件 </w:t>
      </w:r>
      <w:r>
        <w:rPr>
          <w:spacing w:val="-2"/>
        </w:rPr>
        <w:t>股份有限公司发行股份及支付现金购买资产协议之补充协议》、《北京北信源软件股份有限公司发行股份及支付现金购买资</w:t>
      </w:r>
      <w:r>
        <w:rPr>
          <w:spacing w:val="-65"/>
        </w:rPr>
        <w:t> </w:t>
      </w:r>
      <w:r>
        <w:rPr>
          <w:spacing w:val="-65"/>
        </w:rPr>
      </w:r>
      <w:r>
        <w:rPr>
          <w:spacing w:val="-2"/>
        </w:rPr>
        <w:t>产协议之补充协议（一）》、《业绩补偿协议》，田秋桂、马永清作为业绩承诺方承诺中软华泰</w:t>
      </w:r>
      <w:r>
        <w:rPr>
          <w:rFonts w:ascii="宋体" w:hAnsi="宋体" w:cs="宋体" w:eastAsia="宋体" w:hint="default"/>
          <w:spacing w:val="-2"/>
        </w:rPr>
        <w:t>2014</w:t>
      </w:r>
      <w:r>
        <w:rPr>
          <w:spacing w:val="-2"/>
        </w:rPr>
        <w:t>年度、</w:t>
      </w:r>
      <w:r>
        <w:rPr>
          <w:rFonts w:ascii="宋体" w:hAnsi="宋体" w:cs="宋体" w:eastAsia="宋体" w:hint="default"/>
          <w:spacing w:val="-2"/>
        </w:rPr>
        <w:t>2015</w:t>
      </w:r>
      <w:r>
        <w:rPr>
          <w:spacing w:val="-2"/>
        </w:rPr>
        <w:t>年度、</w:t>
      </w:r>
      <w:r>
        <w:rPr>
          <w:rFonts w:ascii="宋体" w:hAnsi="宋体" w:cs="宋体" w:eastAsia="宋体" w:hint="default"/>
          <w:spacing w:val="-2"/>
        </w:rPr>
        <w:t>2016</w:t>
      </w:r>
      <w:r>
        <w:rPr>
          <w:rFonts w:ascii="宋体" w:hAnsi="宋体" w:cs="宋体" w:eastAsia="宋体" w:hint="default"/>
          <w:spacing w:val="-59"/>
        </w:rPr>
        <w:t> </w:t>
      </w:r>
      <w:r>
        <w:rPr>
          <w:rFonts w:ascii="宋体" w:hAnsi="宋体" w:cs="宋体" w:eastAsia="宋体" w:hint="default"/>
          <w:spacing w:val="-59"/>
        </w:rPr>
      </w:r>
      <w:r>
        <w:rPr>
          <w:spacing w:val="-2"/>
        </w:rPr>
        <w:t>年度和</w:t>
      </w:r>
      <w:r>
        <w:rPr>
          <w:rFonts w:ascii="宋体" w:hAnsi="宋体" w:cs="宋体" w:eastAsia="宋体" w:hint="default"/>
          <w:spacing w:val="-2"/>
        </w:rPr>
        <w:t>2017</w:t>
      </w:r>
      <w:r>
        <w:rPr>
          <w:spacing w:val="-2"/>
        </w:rPr>
        <w:t>年度实现的净利润（以经北信源认可的会计师审计标的公司扣除非经常性损益后归属于母公司的净利润）分别不</w:t>
      </w:r>
      <w:r>
        <w:rPr>
          <w:spacing w:val="-61"/>
        </w:rPr>
        <w:t> </w:t>
      </w:r>
      <w:r>
        <w:rPr>
          <w:spacing w:val="-61"/>
        </w:rPr>
      </w:r>
      <w:r>
        <w:rPr/>
        <w:t>低于</w:t>
      </w:r>
      <w:r>
        <w:rPr>
          <w:rFonts w:ascii="宋体" w:hAnsi="宋体" w:cs="宋体" w:eastAsia="宋体" w:hint="default"/>
        </w:rPr>
        <w:t>833.33</w:t>
      </w:r>
      <w:r>
        <w:rPr/>
        <w:t>万元、</w:t>
      </w:r>
      <w:r>
        <w:rPr>
          <w:rFonts w:ascii="宋体" w:hAnsi="宋体" w:cs="宋体" w:eastAsia="宋体" w:hint="default"/>
        </w:rPr>
        <w:t>1,041.66</w:t>
      </w:r>
      <w:r>
        <w:rPr/>
        <w:t>万元、</w:t>
      </w:r>
      <w:r>
        <w:rPr>
          <w:rFonts w:ascii="宋体" w:hAnsi="宋体" w:cs="宋体" w:eastAsia="宋体" w:hint="default"/>
        </w:rPr>
        <w:t>1,302.08</w:t>
      </w:r>
      <w:r>
        <w:rPr/>
        <w:t>万元和</w:t>
      </w:r>
      <w:r>
        <w:rPr>
          <w:rFonts w:ascii="宋体" w:hAnsi="宋体" w:cs="宋体" w:eastAsia="宋体" w:hint="default"/>
        </w:rPr>
        <w:t>1,627.60</w:t>
      </w:r>
      <w:r>
        <w:rPr/>
        <w:t>万元。</w:t>
      </w:r>
    </w:p>
    <w:p>
      <w:pPr>
        <w:pStyle w:val="BodyText"/>
        <w:spacing w:line="477" w:lineRule="auto" w:before="54"/>
        <w:ind w:right="148" w:firstLine="360"/>
        <w:jc w:val="both"/>
      </w:pPr>
      <w:r>
        <w:rPr>
          <w:spacing w:val="-2"/>
        </w:rPr>
        <w:t>中软华泰</w:t>
      </w:r>
      <w:r>
        <w:rPr>
          <w:rFonts w:ascii="宋体" w:hAnsi="宋体" w:cs="宋体" w:eastAsia="宋体" w:hint="default"/>
          <w:spacing w:val="-2"/>
        </w:rPr>
        <w:t>2017</w:t>
      </w:r>
      <w:r>
        <w:rPr>
          <w:spacing w:val="-2"/>
        </w:rPr>
        <w:t>年财务报表业经瑞华会计师事务所（特殊普通合伙）审计，公司出具了《关于</w:t>
      </w:r>
      <w:r>
        <w:rPr>
          <w:rFonts w:ascii="宋体" w:hAnsi="宋体" w:cs="宋体" w:eastAsia="宋体" w:hint="default"/>
          <w:spacing w:val="-2"/>
        </w:rPr>
        <w:t>2017</w:t>
      </w:r>
      <w:r>
        <w:rPr>
          <w:spacing w:val="-2"/>
        </w:rPr>
        <w:t>年度发行股份及支付现</w:t>
      </w:r>
      <w:r>
        <w:rPr/>
        <w:t> 金购买资产之盈利预测实现情况的说明》</w:t>
      </w:r>
      <w:r>
        <w:rPr>
          <w:rFonts w:ascii="宋体" w:hAnsi="宋体" w:cs="宋体" w:eastAsia="宋体" w:hint="default"/>
        </w:rPr>
        <w:t>,</w:t>
      </w:r>
      <w:r>
        <w:rPr/>
        <w:t>同时瑞华会计师事务所（特殊普通合伙）出具了《北京北信源软件股份有限公司</w:t>
      </w:r>
      <w:r>
        <w:rPr>
          <w:spacing w:val="-83"/>
        </w:rPr>
        <w:t> </w:t>
      </w:r>
      <w:r>
        <w:rPr>
          <w:spacing w:val="-83"/>
        </w:rPr>
      </w:r>
      <w:r>
        <w:rPr/>
        <w:t>盈利预测实现情况的专项报告》。</w:t>
      </w:r>
    </w:p>
    <w:p>
      <w:pPr>
        <w:pStyle w:val="BodyText"/>
        <w:spacing w:line="477" w:lineRule="auto" w:before="54"/>
        <w:ind w:right="148" w:firstLine="360"/>
        <w:jc w:val="both"/>
      </w:pPr>
      <w:r>
        <w:rPr>
          <w:rFonts w:ascii="宋体" w:hAnsi="宋体" w:cs="宋体" w:eastAsia="宋体" w:hint="default"/>
          <w:spacing w:val="-2"/>
        </w:rPr>
        <w:t>2017</w:t>
      </w:r>
      <w:r>
        <w:rPr>
          <w:spacing w:val="-2"/>
        </w:rPr>
        <w:t>年度中软华泰经审计后实现净利润</w:t>
      </w:r>
      <w:r>
        <w:rPr>
          <w:rFonts w:ascii="宋体" w:hAnsi="宋体" w:cs="宋体" w:eastAsia="宋体" w:hint="default"/>
          <w:spacing w:val="-2"/>
        </w:rPr>
        <w:t>1,744.00</w:t>
      </w:r>
      <w:r>
        <w:rPr>
          <w:spacing w:val="-2"/>
        </w:rPr>
        <w:t>万元，扣除非经常性损益后归属母公司净利润为</w:t>
      </w:r>
      <w:r>
        <w:rPr>
          <w:rFonts w:ascii="宋体" w:hAnsi="宋体" w:cs="宋体" w:eastAsia="宋体" w:hint="default"/>
          <w:spacing w:val="-2"/>
        </w:rPr>
        <w:t>1,731.01</w:t>
      </w:r>
      <w:r>
        <w:rPr>
          <w:spacing w:val="-2"/>
        </w:rPr>
        <w:t>万元，已达到</w:t>
      </w:r>
      <w:r>
        <w:rPr/>
        <w:t> 承诺经营业绩。</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r>
        <w:rPr/>
        <w:t>三、控股股东及其关联方对上市公司的非经营性占用资金情况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38" w:lineRule="auto"/>
        <w:ind w:right="40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10"/>
        <w:rPr>
          <w:rFonts w:ascii="宋体" w:hAnsi="宋体" w:cs="宋体" w:eastAsia="宋体" w:hint="default"/>
          <w:sz w:val="13"/>
          <w:szCs w:val="13"/>
        </w:rPr>
      </w:pPr>
    </w:p>
    <w:p>
      <w:pPr>
        <w:pStyle w:val="Heading2"/>
        <w:spacing w:line="240" w:lineRule="auto"/>
        <w:ind w:right="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六、董事会关于报告期会计政策、会计估计变更或重大会计差错更正的说明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412" w:lineRule="auto"/>
        <w:ind w:left="513" w:right="599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因执行新企业会计准则导致的会计政策变更</w:t>
      </w:r>
    </w:p>
    <w:p>
      <w:pPr>
        <w:pStyle w:val="BodyText"/>
        <w:spacing w:line="456" w:lineRule="auto" w:before="103"/>
        <w:ind w:right="0"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日，财政部以财会</w:t>
      </w:r>
      <w:r>
        <w:rPr>
          <w:rFonts w:ascii="Times New Roman" w:hAnsi="Times New Roman" w:cs="Times New Roman" w:eastAsia="Times New Roman" w:hint="default"/>
        </w:rPr>
        <w:t>[2017]13</w:t>
      </w:r>
      <w:r>
        <w:rPr/>
        <w:t>号发布了《企业会计准则第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 </w:t>
      </w:r>
      <w:r>
        <w:rPr>
          <w:spacing w:val="-4"/>
        </w:rPr>
        <w:t>营》，自</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28</w:t>
      </w:r>
      <w:r>
        <w:rPr>
          <w:spacing w:val="-4"/>
        </w:rPr>
        <w:t>日起实施。</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10</w:t>
      </w:r>
      <w:r>
        <w:rPr>
          <w:spacing w:val="-4"/>
        </w:rPr>
        <w:t>日，财政部以财会</w:t>
      </w:r>
      <w:r>
        <w:rPr>
          <w:rFonts w:ascii="Times New Roman" w:hAnsi="Times New Roman" w:cs="Times New Roman" w:eastAsia="Times New Roman" w:hint="default"/>
          <w:spacing w:val="-4"/>
        </w:rPr>
        <w:t>[2017]15</w:t>
      </w:r>
      <w:r>
        <w:rPr>
          <w:spacing w:val="-4"/>
        </w:rPr>
        <w:t>号发布了《企业会计准则第</w:t>
      </w:r>
      <w:r>
        <w:rPr>
          <w:rFonts w:ascii="Times New Roman" w:hAnsi="Times New Roman" w:cs="Times New Roman" w:eastAsia="Times New Roman" w:hint="default"/>
          <w:spacing w:val="-4"/>
        </w:rPr>
        <w:t>16</w:t>
      </w:r>
      <w:r>
        <w:rPr>
          <w:spacing w:val="-4"/>
        </w:rPr>
        <w:t>号</w:t>
      </w:r>
      <w:r>
        <w:rPr>
          <w:rFonts w:ascii="Times New Roman" w:hAnsi="Times New Roman" w:cs="Times New Roman" w:eastAsia="Times New Roman" w:hint="default"/>
          <w:spacing w:val="-4"/>
        </w:rPr>
        <w:t>——</w:t>
      </w:r>
      <w:r>
        <w:rPr>
          <w:spacing w:val="-4"/>
        </w:rPr>
        <w:t>政府补助（</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16"/>
        </w:rPr>
        <w:t> </w:t>
      </w:r>
      <w:r>
        <w:rPr>
          <w:spacing w:val="-2"/>
        </w:rPr>
        <w:t>年修订）》，自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日起实施。经本公司第三届董事会第四次会议和第三届监事会第四次会议于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28</w:t>
      </w:r>
      <w:r>
        <w:rPr>
          <w:spacing w:val="-2"/>
        </w:rPr>
        <w:t>日决议</w:t>
      </w:r>
      <w:r>
        <w:rPr>
          <w:spacing w:val="-54"/>
        </w:rPr>
        <w:t> </w:t>
      </w:r>
      <w:r>
        <w:rPr>
          <w:spacing w:val="-54"/>
        </w:rPr>
      </w:r>
      <w:r>
        <w:rPr>
          <w:spacing w:val="-2"/>
        </w:rPr>
        <w:t>通过，本公司按照财政部的要求时间开始执行前述两项会计准则。《企业会计准则第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w:t>
      </w:r>
      <w:r>
        <w:rPr>
          <w:spacing w:val="-61"/>
        </w:rPr>
        <w:t> </w:t>
      </w:r>
      <w:r>
        <w:rPr>
          <w:spacing w:val="-61"/>
        </w:rPr>
      </w:r>
      <w:r>
        <w:rPr>
          <w:spacing w:val="-2"/>
        </w:rPr>
        <w:t>组和终止经营》准则规范了持有待售的非流动资产或处置组的分类、计量和列报，以及终止经营的列报。本财务报表已按该</w:t>
      </w:r>
      <w:r>
        <w:rPr>
          <w:spacing w:val="-63"/>
        </w:rPr>
        <w:t> </w:t>
      </w:r>
      <w:r>
        <w:rPr>
          <w:spacing w:val="-63"/>
        </w:rPr>
      </w:r>
      <w:r>
        <w:rPr/>
        <w:t>准则对实施日（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日）存在的终止经营对可比年度财务报表列报和附注的披露进行了相应调整。</w:t>
      </w:r>
    </w:p>
    <w:p>
      <w:pPr>
        <w:pStyle w:val="BodyText"/>
        <w:spacing w:line="240" w:lineRule="auto" w:before="39"/>
        <w:ind w:left="513" w:right="0"/>
        <w:jc w:val="left"/>
      </w:pPr>
      <w:r>
        <w:rPr/>
        <w:t>执行《企业会计准则第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w:t>
      </w:r>
      <w:r>
        <w:rPr>
          <w:rFonts w:ascii="Times New Roman" w:hAnsi="Times New Roman" w:cs="Times New Roman" w:eastAsia="Times New Roman" w:hint="default"/>
        </w:rPr>
        <w:t>2017</w:t>
      </w:r>
      <w:r>
        <w:rPr/>
        <w:t>年修订）》之前，本公司将取得的政府补助计入营业外收入；与资产相</w:t>
      </w:r>
    </w:p>
    <w:p>
      <w:pPr>
        <w:spacing w:after="0" w:line="240" w:lineRule="auto"/>
        <w:jc w:val="left"/>
        <w:sectPr>
          <w:pgSz w:w="11910" w:h="16840"/>
          <w:pgMar w:header="745" w:footer="1133" w:top="1060" w:bottom="132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167"/>
        <w:jc w:val="both"/>
      </w:pPr>
      <w:r>
        <w:rPr>
          <w:spacing w:val="-2"/>
        </w:rPr>
        <w:t>关的政府补助确认为递延收益，在资产使用寿命内平均摊销计入当期损益。执行《企业会计准则第</w:t>
      </w:r>
      <w:r>
        <w:rPr>
          <w:rFonts w:ascii="Times New Roman" w:hAnsi="Times New Roman" w:cs="Times New Roman" w:eastAsia="Times New Roman" w:hint="default"/>
          <w:spacing w:val="-2"/>
        </w:rPr>
        <w:t>16</w:t>
      </w:r>
      <w:r>
        <w:rPr>
          <w:spacing w:val="-2"/>
        </w:rPr>
        <w:t>号</w:t>
      </w:r>
      <w:r>
        <w:rPr>
          <w:rFonts w:ascii="Times New Roman" w:hAnsi="Times New Roman" w:cs="Times New Roman" w:eastAsia="Times New Roman" w:hint="default"/>
          <w:spacing w:val="-2"/>
        </w:rPr>
        <w:t>——</w:t>
      </w:r>
      <w:r>
        <w:rPr>
          <w:spacing w:val="-2"/>
        </w:rPr>
        <w:t>政府补助（</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spacing w:val="-2"/>
        </w:rPr>
        <w:t>年修订）》之后，对</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日之后发生的与日常活动相关的政府补助，计入其他收益；与日常活动无关的政府补助，计</w:t>
      </w:r>
      <w:r>
        <w:rPr>
          <w:spacing w:val="-63"/>
        </w:rPr>
        <w:t> </w:t>
      </w:r>
      <w:r>
        <w:rPr>
          <w:spacing w:val="-63"/>
        </w:rPr>
      </w:r>
      <w:r>
        <w:rPr/>
        <w:t>入营业外收支。</w:t>
      </w:r>
    </w:p>
    <w:p>
      <w:pPr>
        <w:pStyle w:val="BodyText"/>
        <w:spacing w:line="451" w:lineRule="auto" w:before="74"/>
        <w:ind w:right="108"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日，财政部修订并发布了《财政部关于修订印发一般企业财务报表格式的通知》（财会</w:t>
      </w:r>
      <w:r>
        <w:rPr>
          <w:rFonts w:ascii="Times New Roman" w:hAnsi="Times New Roman" w:cs="Times New Roman" w:eastAsia="Times New Roman" w:hint="default"/>
        </w:rPr>
        <w:t>[2017]30</w:t>
      </w:r>
      <w:r>
        <w:rPr/>
        <w:t>号），对 一般企业财务报表格式进行了修订，适用于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年度及以后期间的财务报表。经本公司第三届董事会第六次会议于</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日决议通过，本公司按照财政部的要求执行《关于修订印发一般企业财务报表格式的通知》（财会〔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30</w:t>
      </w:r>
      <w:r>
        <w:rPr>
          <w:rFonts w:ascii="Times New Roman" w:hAnsi="Times New Roman" w:cs="Times New Roman" w:eastAsia="Times New Roman" w:hint="default"/>
          <w:spacing w:val="28"/>
        </w:rPr>
        <w:t> </w:t>
      </w:r>
      <w:r>
        <w:rPr>
          <w:spacing w:val="-3"/>
        </w:rPr>
        <w:t>号） </w:t>
      </w:r>
      <w:r>
        <w:rPr/>
        <w:t>在利润表中新增</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项目，将部分原列示为</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营业外支出</w:t>
      </w:r>
      <w:r>
        <w:rPr>
          <w:rFonts w:ascii="Times New Roman" w:hAnsi="Times New Roman" w:cs="Times New Roman" w:eastAsia="Times New Roman" w:hint="default"/>
        </w:rPr>
        <w:t>”</w:t>
      </w:r>
      <w:r>
        <w:rPr/>
        <w:t>的资产处置损益重分类至</w:t>
      </w:r>
      <w:r>
        <w:rPr>
          <w:rFonts w:ascii="Times New Roman" w:hAnsi="Times New Roman" w:cs="Times New Roman" w:eastAsia="Times New Roman" w:hint="default"/>
        </w:rPr>
        <w:t>“</w:t>
      </w:r>
      <w:r>
        <w:rPr/>
        <w:t>资产处置收 益</w:t>
      </w:r>
      <w:r>
        <w:rPr>
          <w:rFonts w:ascii="Times New Roman" w:hAnsi="Times New Roman" w:cs="Times New Roman" w:eastAsia="Times New Roman" w:hint="default"/>
        </w:rPr>
        <w:t>”</w:t>
      </w:r>
      <w:r>
        <w:rPr/>
        <w:t>项目，按照《企业会计准则第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财务报表列报》等相关规定，对可比期间的比较数据按照规定进行调整。</w:t>
      </w:r>
    </w:p>
    <w:p>
      <w:pPr>
        <w:pStyle w:val="Heading2"/>
        <w:spacing w:line="240" w:lineRule="auto" w:before="141"/>
        <w:ind w:right="0"/>
        <w:jc w:val="both"/>
        <w:rPr>
          <w:b w:val="0"/>
          <w:bCs w:val="0"/>
        </w:rPr>
      </w:pPr>
      <w:r>
        <w:rPr/>
        <w:t>七、与上年度财务报告相比，合并报表范围发生变化的情况说明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412" w:lineRule="auto"/>
        <w:ind w:left="441" w:right="145" w:hanging="2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报告期内，因新设子公司，合并报表范围新增北京北信源信息安全技术有限公司、人工智能产业技术创新联盟（北京）</w:t>
      </w:r>
    </w:p>
    <w:p>
      <w:pPr>
        <w:pStyle w:val="BodyText"/>
        <w:spacing w:line="240" w:lineRule="auto" w:before="103"/>
        <w:ind w:right="0"/>
        <w:jc w:val="both"/>
      </w:pPr>
      <w:r>
        <w:rPr/>
        <w:t>科技有限公司、北信源国际有限公司。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0"/>
        <w:jc w:val="both"/>
        <w:rPr>
          <w:b w:val="0"/>
          <w:bCs w:val="0"/>
        </w:rPr>
      </w:pPr>
      <w:r>
        <w:rPr/>
        <w:t>八、聘任、解聘会计师事务所情况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both"/>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荣健、单大信</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荣健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 单大信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r>
    </w:tbl>
    <w:p>
      <w:pPr>
        <w:pStyle w:val="BodyText"/>
        <w:spacing w:line="240" w:lineRule="auto" w:before="49"/>
        <w:ind w:right="108"/>
        <w:jc w:val="left"/>
      </w:pPr>
      <w:r>
        <w:rPr/>
        <w:t>是否改聘会计师事务所</w:t>
      </w:r>
    </w:p>
    <w:p>
      <w:pPr>
        <w:pStyle w:val="BodyText"/>
        <w:spacing w:line="340" w:lineRule="auto" w:before="115"/>
        <w:ind w:right="52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1"/>
        <w:ind w:right="1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108"/>
        <w:jc w:val="left"/>
        <w:rPr>
          <w:b w:val="0"/>
          <w:bCs w:val="0"/>
        </w:rPr>
      </w:pPr>
      <w:r>
        <w:rPr/>
        <w:t>九、年度报告披露后面临暂停上市和终止上市情况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1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108"/>
        <w:jc w:val="left"/>
        <w:rPr>
          <w:b w:val="0"/>
          <w:bCs w:val="0"/>
        </w:rPr>
      </w:pPr>
      <w:r>
        <w:rPr/>
        <w:t>十、破产重整相关事项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38" w:lineRule="auto"/>
        <w:ind w:right="67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after="0" w:line="338" w:lineRule="auto"/>
        <w:jc w:val="left"/>
        <w:sectPr>
          <w:pgSz w:w="11910" w:h="16840"/>
          <w:pgMar w:header="745" w:footer="1133" w:top="1060" w:bottom="1320" w:left="980" w:right="96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十一、重大诉讼、仲裁事项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pict>
          <v:shape style="position:absolute;margin-left:165.617004pt;margin-top:17.591728pt;width:82pt;height:35.3pt;mso-position-horizontal-relative:page;mso-position-vertical-relative:paragraph;z-index:-795640" type="#_x0000_t202" filled="false" stroked="false">
            <v:textbox inset="0,0,0,0">
              <w:txbxContent>
                <w:p>
                  <w:pPr>
                    <w:spacing w:line="240" w:lineRule="auto" w:before="9"/>
                    <w:rPr>
                      <w:rFonts w:ascii="宋体" w:hAnsi="宋体" w:cs="宋体" w:eastAsia="宋体" w:hint="default"/>
                      <w:sz w:val="15"/>
                      <w:szCs w:val="15"/>
                    </w:rPr>
                  </w:pPr>
                </w:p>
                <w:p>
                  <w:pPr>
                    <w:pStyle w:val="BodyText"/>
                    <w:spacing w:line="240" w:lineRule="auto"/>
                    <w:ind w:left="0" w:right="0"/>
                    <w:jc w:val="left"/>
                  </w:pPr>
                  <w:r>
                    <w:rPr/>
                    <w:t>（万元）</w:t>
                  </w:r>
                </w:p>
              </w:txbxContent>
            </v:textbox>
            <w10:wrap type="none"/>
          </v:shape>
        </w:pict>
      </w:r>
      <w:r>
        <w:rPr/>
        <w:pict>
          <v:group style="position:absolute;margin-left:366.910004pt;margin-top:53.35173pt;width:83.2pt;height:253.65pt;mso-position-horizontal-relative:page;mso-position-vertical-relative:paragraph;z-index:-795616" coordorigin="7338,1067" coordsize="1664,5073">
            <v:group style="position:absolute;left:7338;top:1067;width:1664;height:5073" coordorigin="7338,1067" coordsize="1664,5073">
              <v:shape style="position:absolute;left:7338;top:1067;width:1664;height:5073" coordorigin="7338,1067" coordsize="1664,5073" path="m7338,6139l9002,6139,9002,1067,7338,1067,7338,6139xe" filled="true" fillcolor="#ffffff" stroked="false">
                <v:path arrowok="t"/>
                <v:fill type="solid"/>
              </v:shape>
            </v:group>
            <v:group style="position:absolute;left:7362;top:3408;width:1616;height:392" coordorigin="7362,3408" coordsize="1616,392">
              <v:shape style="position:absolute;left:7362;top:3408;width:1616;height:392" coordorigin="7362,3408" coordsize="1616,392" path="m7362,3799l8978,3799,8978,3408,7362,3408,7362,3799xe" filled="true" fillcolor="#ffffff" stroked="false">
                <v:path arrowok="t"/>
                <v:fill type="solid"/>
              </v:shape>
            </v:group>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469"/>
        <w:gridCol w:w="1395"/>
        <w:gridCol w:w="989"/>
        <w:gridCol w:w="965"/>
        <w:gridCol w:w="1412"/>
        <w:gridCol w:w="1671"/>
        <w:gridCol w:w="862"/>
        <w:gridCol w:w="936"/>
      </w:tblGrid>
      <w:tr>
        <w:trPr>
          <w:trHeight w:val="715"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641" w:right="36"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涉案金额</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8" w:right="38" w:hanging="180"/>
              <w:jc w:val="left"/>
              <w:rPr>
                <w:rFonts w:ascii="宋体" w:hAnsi="宋体" w:cs="宋体" w:eastAsia="宋体" w:hint="default"/>
                <w:sz w:val="18"/>
                <w:szCs w:val="18"/>
              </w:rPr>
            </w:pPr>
            <w:r>
              <w:rPr>
                <w:rFonts w:ascii="宋体" w:hAnsi="宋体" w:cs="宋体" w:eastAsia="宋体" w:hint="default"/>
                <w:sz w:val="18"/>
                <w:szCs w:val="18"/>
              </w:rPr>
              <w:t>是否形成预 计负债</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97" w:right="55"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51" w:right="98" w:hanging="152"/>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650" w:right="50" w:hanging="60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判决执行 情况</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508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24" w:right="173"/>
              <w:jc w:val="both"/>
              <w:rPr>
                <w:rFonts w:ascii="宋体" w:hAnsi="宋体" w:cs="宋体" w:eastAsia="宋体" w:hint="default"/>
                <w:sz w:val="18"/>
                <w:szCs w:val="18"/>
              </w:rPr>
            </w:pPr>
            <w:r>
              <w:rPr>
                <w:rFonts w:ascii="宋体" w:hAnsi="宋体" w:cs="宋体" w:eastAsia="宋体" w:hint="default"/>
                <w:sz w:val="18"/>
                <w:szCs w:val="18"/>
              </w:rPr>
              <w:t>北信源诉内蒙古 雪洋科技有限公 司合同纠纷</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19.44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已判决</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判决被告内蒙古 雪洋科技于本判 决生效之日起十 日内向原告北信 源公司支付合同 款</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129,600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元及违</w:t>
            </w:r>
          </w:p>
          <w:p>
            <w:pPr>
              <w:pStyle w:val="TableParagraph"/>
              <w:spacing w:line="312" w:lineRule="auto"/>
              <w:ind w:left="23" w:right="19"/>
              <w:jc w:val="left"/>
              <w:rPr>
                <w:rFonts w:ascii="宋体" w:hAnsi="宋体" w:cs="宋体" w:eastAsia="宋体" w:hint="default"/>
                <w:sz w:val="18"/>
                <w:szCs w:val="18"/>
              </w:rPr>
            </w:pPr>
            <w:r>
              <w:rPr>
                <w:rFonts w:ascii="宋体" w:hAnsi="宋体" w:cs="宋体" w:eastAsia="宋体" w:hint="default"/>
                <w:sz w:val="18"/>
                <w:szCs w:val="18"/>
              </w:rPr>
              <w:t>约金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38,880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未按期履行给付 金钱的义务将加 倍支付迟延履行 期间的债务利息 由被告负担</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3,670 </w:t>
            </w:r>
            <w:r>
              <w:rPr>
                <w:rFonts w:ascii="宋体" w:hAnsi="宋体" w:cs="宋体" w:eastAsia="宋体" w:hint="default"/>
                <w:sz w:val="18"/>
                <w:szCs w:val="18"/>
              </w:rPr>
              <w:t>元案件受理费和 </w:t>
            </w:r>
            <w:r>
              <w:rPr>
                <w:rFonts w:ascii="Times New Roman" w:hAnsi="Times New Roman" w:cs="Times New Roman" w:eastAsia="Times New Roman" w:hint="default"/>
                <w:sz w:val="18"/>
                <w:szCs w:val="18"/>
              </w:rPr>
              <w:t>260</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元公告费，原</w:t>
            </w:r>
          </w:p>
          <w:p>
            <w:pPr>
              <w:pStyle w:val="TableParagraph"/>
              <w:spacing w:line="300" w:lineRule="auto" w:before="3"/>
              <w:ind w:left="23" w:right="113"/>
              <w:jc w:val="left"/>
              <w:rPr>
                <w:rFonts w:ascii="宋体" w:hAnsi="宋体" w:cs="宋体" w:eastAsia="宋体" w:hint="default"/>
                <w:sz w:val="18"/>
                <w:szCs w:val="18"/>
              </w:rPr>
            </w:pPr>
            <w:r>
              <w:rPr>
                <w:rFonts w:ascii="宋体" w:hAnsi="宋体" w:cs="宋体" w:eastAsia="宋体" w:hint="default"/>
                <w:sz w:val="18"/>
                <w:szCs w:val="18"/>
              </w:rPr>
              <w:t>告负担</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518 </w:t>
            </w:r>
            <w:r>
              <w:rPr>
                <w:rFonts w:ascii="宋体" w:hAnsi="宋体" w:cs="宋体" w:eastAsia="宋体" w:hint="default"/>
                <w:sz w:val="18"/>
                <w:szCs w:val="18"/>
              </w:rPr>
              <w:t>元案 件受理费。</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尚未执行。</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862"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289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北信源诉武汉信 安科技有限公司 </w:t>
            </w:r>
            <w:r>
              <w:rPr>
                <w:rFonts w:ascii="宋体" w:hAnsi="宋体" w:cs="宋体" w:eastAsia="宋体" w:hint="default"/>
                <w:spacing w:val="-4"/>
                <w:sz w:val="18"/>
                <w:szCs w:val="18"/>
              </w:rPr>
              <w:t>合同纠纷一案，因</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公司法人胡伟已 将此合同尾款转 为个人债务并签 </w:t>
            </w:r>
            <w:r>
              <w:rPr>
                <w:rFonts w:ascii="宋体" w:hAnsi="宋体" w:cs="宋体" w:eastAsia="宋体" w:hint="default"/>
                <w:spacing w:val="-12"/>
                <w:sz w:val="18"/>
                <w:szCs w:val="18"/>
              </w:rPr>
              <w:t>订《还款协议》，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请求判决胡伟履 行债务归还</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z w:val="18"/>
              </w:rPr>
              <w:t>10.4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一审阶段</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目前尚未判决</w:t>
            </w:r>
          </w:p>
        </w:tc>
        <w:tc>
          <w:tcPr>
            <w:tcW w:w="862"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4" w:right="173"/>
              <w:jc w:val="both"/>
              <w:rPr>
                <w:rFonts w:ascii="宋体" w:hAnsi="宋体" w:cs="宋体" w:eastAsia="宋体" w:hint="default"/>
                <w:sz w:val="18"/>
                <w:szCs w:val="18"/>
              </w:rPr>
            </w:pPr>
            <w:r>
              <w:rPr>
                <w:rFonts w:ascii="宋体" w:hAnsi="宋体" w:cs="宋体" w:eastAsia="宋体" w:hint="default"/>
                <w:sz w:val="18"/>
                <w:szCs w:val="18"/>
              </w:rPr>
              <w:t>北信源诉北京天 地开元科技有限 公司合同纠纷</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58.05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执行完毕</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
              <w:jc w:val="left"/>
              <w:rPr>
                <w:rFonts w:ascii="宋体" w:hAnsi="宋体" w:cs="宋体" w:eastAsia="宋体" w:hint="default"/>
                <w:sz w:val="18"/>
                <w:szCs w:val="18"/>
              </w:rPr>
            </w:pPr>
            <w:r>
              <w:rPr>
                <w:rFonts w:ascii="宋体" w:hAnsi="宋体" w:cs="宋体" w:eastAsia="宋体" w:hint="default"/>
                <w:spacing w:val="-11"/>
                <w:sz w:val="18"/>
                <w:szCs w:val="18"/>
              </w:rPr>
              <w:t>经调解，原告北信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源公司退还一台 服务器至被告天 </w:t>
            </w:r>
            <w:r>
              <w:rPr>
                <w:rFonts w:ascii="宋体" w:hAnsi="宋体" w:cs="宋体" w:eastAsia="宋体" w:hint="default"/>
                <w:spacing w:val="-11"/>
                <w:sz w:val="18"/>
                <w:szCs w:val="18"/>
              </w:rPr>
              <w:t>地开元科技，被告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经检测无误后当 日给付原告 </w:t>
            </w:r>
            <w:r>
              <w:rPr>
                <w:rFonts w:ascii="Times New Roman" w:hAnsi="Times New Roman" w:cs="Times New Roman" w:eastAsia="Times New Roman" w:hint="default"/>
                <w:spacing w:val="-1"/>
                <w:sz w:val="18"/>
                <w:szCs w:val="18"/>
              </w:rPr>
              <w:t>38,162</w:t>
            </w:r>
            <w:r>
              <w:rPr>
                <w:rFonts w:ascii="Times New Roman" w:hAnsi="Times New Roman" w:cs="Times New Roman" w:eastAsia="Times New Roman" w:hint="default"/>
                <w:spacing w:val="5"/>
                <w:sz w:val="18"/>
                <w:szCs w:val="18"/>
              </w:rPr>
              <w:t> </w:t>
            </w:r>
            <w:r>
              <w:rPr>
                <w:rFonts w:ascii="宋体" w:hAnsi="宋体" w:cs="宋体" w:eastAsia="宋体" w:hint="default"/>
                <w:spacing w:val="-17"/>
                <w:sz w:val="18"/>
                <w:szCs w:val="18"/>
              </w:rPr>
              <w:t>元，案件受</w:t>
            </w:r>
            <w:r>
              <w:rPr>
                <w:rFonts w:ascii="宋体" w:hAnsi="宋体" w:cs="宋体" w:eastAsia="宋体" w:hint="default"/>
                <w:sz w:val="18"/>
                <w:szCs w:val="18"/>
              </w:rPr>
              <w:t> 理费由原告承担</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案件已执行完毕。</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862"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pict>
          <v:group style="position:absolute;margin-left:366.910004pt;margin-top:-141.067505pt;width:83.2pt;height:128.8pt;mso-position-horizontal-relative:page;mso-position-vertical-relative:paragraph;z-index:-795592" coordorigin="7338,-2821" coordsize="1664,2576">
            <v:group style="position:absolute;left:7338;top:-2821;width:1664;height:2576" coordorigin="7338,-2821" coordsize="1664,2576">
              <v:shape style="position:absolute;left:7338;top:-2821;width:1664;height:2576" coordorigin="7338,-2821" coordsize="1664,2576" path="m7338,-246l9002,-246,9002,-2821,7338,-2821,7338,-246xe" filled="true" fillcolor="#ffffff" stroked="false">
                <v:path arrowok="t"/>
                <v:fill type="solid"/>
              </v:shape>
            </v:group>
            <v:group style="position:absolute;left:7362;top:-1729;width:1616;height:392" coordorigin="7362,-1729" coordsize="1616,392">
              <v:shape style="position:absolute;left:7362;top:-1729;width:1616;height:392" coordorigin="7362,-1729" coordsize="1616,392" path="m7362,-1338l8978,-1338,8978,-1729,7362,-1729,7362,-1338xe" filled="true" fillcolor="#ffffff" stroked="false">
                <v:path arrowok="t"/>
                <v:fill type="solid"/>
              </v:shape>
            </v:group>
            <w10:wrap type="none"/>
          </v:group>
        </w:pict>
      </w:r>
      <w:r>
        <w:rPr/>
        <w:t>十二、处罚及整改情况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40"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after="0" w:line="340" w:lineRule="auto"/>
        <w:jc w:val="left"/>
        <w:sectPr>
          <w:pgSz w:w="11910" w:h="16840"/>
          <w:pgMar w:header="745" w:footer="1133" w:top="1060" w:bottom="1320" w:left="980" w:right="980"/>
        </w:sectPr>
      </w:pPr>
    </w:p>
    <w:p>
      <w:pPr>
        <w:spacing w:line="240" w:lineRule="auto" w:before="8"/>
        <w:rPr>
          <w:rFonts w:ascii="宋体" w:hAnsi="宋体" w:cs="宋体" w:eastAsia="宋体" w:hint="default"/>
          <w:sz w:val="23"/>
          <w:szCs w:val="23"/>
        </w:rPr>
      </w:pPr>
    </w:p>
    <w:p>
      <w:pPr>
        <w:pStyle w:val="Heading2"/>
        <w:spacing w:line="367" w:lineRule="exact"/>
        <w:ind w:right="94"/>
        <w:jc w:val="left"/>
        <w:rPr>
          <w:b w:val="0"/>
          <w:bCs w:val="0"/>
        </w:rPr>
      </w:pPr>
      <w:r>
        <w:rPr/>
        <w:t>十三、公司及其控股股东、实际控制人的诚信状况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412" w:lineRule="auto"/>
        <w:ind w:left="532" w:right="254" w:hanging="38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报告期内，公司及控股股东、实际控制人的诚信状况良好，不存在未履行法院生效判决、所负数额较大的债务到期未</w:t>
      </w:r>
    </w:p>
    <w:p>
      <w:pPr>
        <w:pStyle w:val="BodyText"/>
        <w:spacing w:line="240" w:lineRule="auto" w:before="103"/>
        <w:ind w:right="94"/>
        <w:jc w:val="left"/>
      </w:pPr>
      <w:r>
        <w:rPr/>
        <w:t>清偿情况。</w:t>
      </w:r>
    </w:p>
    <w:p>
      <w:pPr>
        <w:spacing w:line="240" w:lineRule="auto" w:before="4"/>
        <w:rPr>
          <w:rFonts w:ascii="宋体" w:hAnsi="宋体" w:cs="宋体" w:eastAsia="宋体" w:hint="default"/>
          <w:sz w:val="25"/>
          <w:szCs w:val="25"/>
        </w:rPr>
      </w:pPr>
    </w:p>
    <w:p>
      <w:pPr>
        <w:pStyle w:val="Heading2"/>
        <w:spacing w:line="240" w:lineRule="auto"/>
        <w:ind w:right="94"/>
        <w:jc w:val="left"/>
        <w:rPr>
          <w:b w:val="0"/>
          <w:bCs w:val="0"/>
        </w:rPr>
      </w:pPr>
      <w:r>
        <w:rPr/>
        <w:t>十四、公司股权激励计划、员工持股计划或其他员工激励措施的实施情况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415" w:lineRule="auto"/>
        <w:ind w:left="515" w:right="94" w:hanging="36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公司于</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19</w:t>
      </w:r>
      <w:r>
        <w:rPr>
          <w:spacing w:val="-2"/>
        </w:rPr>
        <w:t>日、</w:t>
      </w:r>
      <w:r>
        <w:rPr>
          <w:rFonts w:ascii="宋体" w:hAnsi="宋体" w:cs="宋体" w:eastAsia="宋体" w:hint="default"/>
          <w:spacing w:val="-2"/>
        </w:rPr>
        <w:t>2015</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6</w:t>
      </w:r>
      <w:r>
        <w:rPr>
          <w:spacing w:val="-2"/>
        </w:rPr>
        <w:t>日召开了第二届董事会第十一次会议和</w:t>
      </w:r>
      <w:r>
        <w:rPr>
          <w:rFonts w:ascii="宋体" w:hAnsi="宋体" w:cs="宋体" w:eastAsia="宋体" w:hint="default"/>
          <w:spacing w:val="-2"/>
        </w:rPr>
        <w:t>2015</w:t>
      </w:r>
      <w:r>
        <w:rPr>
          <w:spacing w:val="-2"/>
        </w:rPr>
        <w:t>年第一次临时股东大会</w:t>
      </w:r>
      <w:r>
        <w:rPr>
          <w:rFonts w:ascii="宋体" w:hAnsi="宋体" w:cs="宋体" w:eastAsia="宋体" w:hint="default"/>
          <w:spacing w:val="-2"/>
        </w:rPr>
        <w:t>,</w:t>
      </w:r>
      <w:r>
        <w:rPr>
          <w:spacing w:val="-2"/>
        </w:rPr>
        <w:t>审议通过了《关</w:t>
      </w:r>
    </w:p>
    <w:p>
      <w:pPr>
        <w:pStyle w:val="BodyText"/>
        <w:spacing w:line="477" w:lineRule="auto" w:before="101"/>
        <w:ind w:right="94"/>
        <w:jc w:val="left"/>
      </w:pPr>
      <w:r>
        <w:rPr>
          <w:spacing w:val="-2"/>
        </w:rPr>
        <w:t>于北京北信源软件股份有限公司第一期核心人员持股计划（草案）及其摘要的议案》，并于</w:t>
      </w:r>
      <w:r>
        <w:rPr>
          <w:rFonts w:ascii="宋体" w:hAnsi="宋体" w:cs="宋体" w:eastAsia="宋体" w:hint="default"/>
          <w:spacing w:val="-2"/>
        </w:rPr>
        <w:t>2016</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5</w:t>
      </w:r>
      <w:r>
        <w:rPr>
          <w:spacing w:val="-2"/>
        </w:rPr>
        <w:t>日，在中国证监会指</w:t>
      </w:r>
      <w:r>
        <w:rPr>
          <w:spacing w:val="-61"/>
        </w:rPr>
        <w:t> </w:t>
      </w:r>
      <w:r>
        <w:rPr>
          <w:spacing w:val="-61"/>
        </w:rPr>
      </w:r>
      <w:r>
        <w:rPr>
          <w:spacing w:val="-4"/>
        </w:rPr>
        <w:t>定创业板信息披露网站发布了《关于第一期核心人员持股计划完成股票购买的公告》，公司核心人员持股计划完成股票购买，</w:t>
      </w:r>
      <w:r>
        <w:rPr>
          <w:spacing w:val="-44"/>
        </w:rPr>
        <w:t> </w:t>
      </w:r>
      <w:r>
        <w:rPr>
          <w:spacing w:val="-44"/>
        </w:rPr>
      </w:r>
      <w:r>
        <w:rPr/>
        <w:t>通过二级市场购买方式共买入北信源股票</w:t>
      </w:r>
      <w:r>
        <w:rPr>
          <w:rFonts w:ascii="宋体" w:hAnsi="宋体" w:cs="宋体" w:eastAsia="宋体" w:hint="default"/>
        </w:rPr>
        <w:t>3,877,491</w:t>
      </w:r>
      <w:r>
        <w:rPr/>
        <w:t>股，占公司总股本</w:t>
      </w:r>
      <w:r>
        <w:rPr>
          <w:rFonts w:ascii="宋体" w:hAnsi="宋体" w:cs="宋体" w:eastAsia="宋体" w:hint="default"/>
        </w:rPr>
        <w:t>1.43%</w:t>
      </w:r>
      <w:r>
        <w:rPr/>
        <w:t>，成交均价</w:t>
      </w:r>
      <w:r>
        <w:rPr>
          <w:rFonts w:ascii="宋体" w:hAnsi="宋体" w:cs="宋体" w:eastAsia="宋体" w:hint="default"/>
        </w:rPr>
        <w:t>43.0917</w:t>
      </w:r>
      <w:r>
        <w:rPr/>
        <w:t>元。本核心人员持股计划所 购买的股票锁定期为</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6</w:t>
      </w:r>
      <w:r>
        <w:rPr/>
        <w:t>日至</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5</w:t>
      </w:r>
      <w:r>
        <w:rPr/>
        <w:t>日。</w:t>
      </w:r>
    </w:p>
    <w:p>
      <w:pPr>
        <w:pStyle w:val="BodyText"/>
        <w:spacing w:line="477" w:lineRule="auto" w:before="54"/>
        <w:ind w:right="188" w:firstLine="360"/>
        <w:jc w:val="both"/>
      </w:pPr>
      <w:r>
        <w:rPr>
          <w:spacing w:val="-2"/>
        </w:rPr>
        <w:t>根据</w:t>
      </w:r>
      <w:r>
        <w:rPr>
          <w:rFonts w:ascii="宋体" w:hAnsi="宋体" w:cs="宋体" w:eastAsia="宋体" w:hint="default"/>
          <w:spacing w:val="-2"/>
        </w:rPr>
        <w:t>2015</w:t>
      </w:r>
      <w:r>
        <w:rPr>
          <w:spacing w:val="-2"/>
        </w:rPr>
        <w:t>年年度股东大会决议，公司</w:t>
      </w:r>
      <w:r>
        <w:rPr>
          <w:rFonts w:ascii="宋体" w:hAnsi="宋体" w:cs="宋体" w:eastAsia="宋体" w:hint="default"/>
          <w:spacing w:val="-2"/>
        </w:rPr>
        <w:t>2015</w:t>
      </w:r>
      <w:r>
        <w:rPr>
          <w:spacing w:val="-2"/>
        </w:rPr>
        <w:t>年度利润分配方案为</w:t>
      </w:r>
      <w:r>
        <w:rPr>
          <w:rFonts w:ascii="宋体" w:hAnsi="宋体" w:cs="宋体" w:eastAsia="宋体" w:hint="default"/>
          <w:spacing w:val="-2"/>
        </w:rPr>
        <w:t>:</w:t>
      </w:r>
      <w:r>
        <w:rPr>
          <w:spacing w:val="-2"/>
        </w:rPr>
        <w:t>以截止</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日总股本</w:t>
      </w:r>
      <w:r>
        <w:rPr>
          <w:rFonts w:ascii="宋体" w:hAnsi="宋体" w:cs="宋体" w:eastAsia="宋体" w:hint="default"/>
          <w:spacing w:val="-2"/>
        </w:rPr>
        <w:t>270,226,124</w:t>
      </w:r>
      <w:r>
        <w:rPr>
          <w:spacing w:val="-2"/>
        </w:rPr>
        <w:t>股为基数，向</w:t>
      </w:r>
      <w:r>
        <w:rPr/>
        <w:t> </w:t>
      </w:r>
      <w:r>
        <w:rPr>
          <w:spacing w:val="-2"/>
        </w:rPr>
        <w:t>全体股东每</w:t>
      </w:r>
      <w:r>
        <w:rPr>
          <w:rFonts w:ascii="宋体" w:hAnsi="宋体" w:cs="宋体" w:eastAsia="宋体" w:hint="default"/>
          <w:spacing w:val="-2"/>
        </w:rPr>
        <w:t>10</w:t>
      </w:r>
      <w:r>
        <w:rPr>
          <w:spacing w:val="-2"/>
        </w:rPr>
        <w:t>股派人民币</w:t>
      </w:r>
      <w:r>
        <w:rPr>
          <w:rFonts w:ascii="宋体" w:hAnsi="宋体" w:cs="宋体" w:eastAsia="宋体" w:hint="default"/>
          <w:spacing w:val="-2"/>
        </w:rPr>
        <w:t>0.45</w:t>
      </w:r>
      <w:r>
        <w:rPr>
          <w:spacing w:val="-2"/>
        </w:rPr>
        <w:t>元（含税）现金</w:t>
      </w:r>
      <w:r>
        <w:rPr>
          <w:rFonts w:ascii="宋体" w:hAnsi="宋体" w:cs="宋体" w:eastAsia="宋体" w:hint="default"/>
          <w:spacing w:val="-2"/>
        </w:rPr>
        <w:t>,</w:t>
      </w:r>
      <w:r>
        <w:rPr>
          <w:spacing w:val="-2"/>
        </w:rPr>
        <w:t>共分配现金股利</w:t>
      </w:r>
      <w:r>
        <w:rPr>
          <w:rFonts w:ascii="宋体" w:hAnsi="宋体" w:cs="宋体" w:eastAsia="宋体" w:hint="default"/>
          <w:spacing w:val="-2"/>
        </w:rPr>
        <w:t>12,160,175.58</w:t>
      </w:r>
      <w:r>
        <w:rPr>
          <w:spacing w:val="-2"/>
        </w:rPr>
        <w:t>元（含税）；同时进行资本公积金转增股本每</w:t>
      </w:r>
      <w:r>
        <w:rPr>
          <w:spacing w:val="-52"/>
        </w:rPr>
        <w:t> </w:t>
      </w:r>
      <w:r>
        <w:rPr>
          <w:spacing w:val="-52"/>
        </w:rPr>
      </w:r>
      <w:r>
        <w:rPr>
          <w:rFonts w:ascii="宋体" w:hAnsi="宋体" w:cs="宋体" w:eastAsia="宋体" w:hint="default"/>
        </w:rPr>
        <w:t>10</w:t>
      </w:r>
      <w:r>
        <w:rPr/>
        <w:t>股转增</w:t>
      </w:r>
      <w:r>
        <w:rPr>
          <w:rFonts w:ascii="宋体" w:hAnsi="宋体" w:cs="宋体" w:eastAsia="宋体" w:hint="default"/>
        </w:rPr>
        <w:t>9</w:t>
      </w:r>
      <w:r>
        <w:rPr/>
        <w:t>股</w:t>
      </w:r>
      <w:r>
        <w:rPr>
          <w:rFonts w:ascii="宋体" w:hAnsi="宋体" w:cs="宋体" w:eastAsia="宋体" w:hint="default"/>
        </w:rPr>
        <w:t>, </w:t>
      </w:r>
      <w:r>
        <w:rPr/>
        <w:t>共计转增</w:t>
      </w:r>
      <w:r>
        <w:rPr>
          <w:rFonts w:ascii="宋体" w:hAnsi="宋体" w:cs="宋体" w:eastAsia="宋体" w:hint="default"/>
        </w:rPr>
        <w:t>243,203,511</w:t>
      </w:r>
      <w:r>
        <w:rPr/>
        <w:t>股</w:t>
      </w:r>
      <w:r>
        <w:rPr>
          <w:rFonts w:ascii="宋体" w:hAnsi="宋体" w:cs="宋体" w:eastAsia="宋体" w:hint="default"/>
        </w:rPr>
        <w:t>,</w:t>
      </w:r>
      <w:r>
        <w:rPr/>
        <w:t>转增后公司总股本将增加至</w:t>
      </w:r>
      <w:r>
        <w:rPr>
          <w:rFonts w:ascii="宋体" w:hAnsi="宋体" w:cs="宋体" w:eastAsia="宋体" w:hint="default"/>
        </w:rPr>
        <w:t>513,429,635</w:t>
      </w:r>
      <w:r>
        <w:rPr>
          <w:rFonts w:ascii="宋体" w:hAnsi="宋体" w:cs="宋体" w:eastAsia="宋体" w:hint="default"/>
          <w:spacing w:val="-10"/>
        </w:rPr>
        <w:t> </w:t>
      </w:r>
      <w:r>
        <w:rPr/>
        <w:t>股。核心人员持股计划获得派送现金红利 为人民币</w:t>
      </w:r>
      <w:r>
        <w:rPr>
          <w:rFonts w:ascii="宋体" w:hAnsi="宋体" w:cs="宋体" w:eastAsia="宋体" w:hint="default"/>
        </w:rPr>
        <w:t>174,487.095</w:t>
      </w:r>
      <w:r>
        <w:rPr/>
        <w:t>元（含税），持股数量变为</w:t>
      </w:r>
      <w:r>
        <w:rPr>
          <w:rFonts w:ascii="宋体" w:hAnsi="宋体" w:cs="宋体" w:eastAsia="宋体" w:hint="default"/>
        </w:rPr>
        <w:t>7,367,233</w:t>
      </w:r>
      <w:r>
        <w:rPr/>
        <w:t>股。</w:t>
      </w:r>
      <w:r>
        <w:rPr>
          <w:rFonts w:ascii="宋体" w:hAnsi="宋体" w:cs="宋体" w:eastAsia="宋体" w:hint="default"/>
        </w:rPr>
        <w:t>2016</w:t>
      </w:r>
      <w:r>
        <w:rPr/>
        <w:t>年</w:t>
      </w:r>
      <w:r>
        <w:rPr>
          <w:rFonts w:ascii="宋体" w:hAnsi="宋体" w:cs="宋体" w:eastAsia="宋体" w:hint="default"/>
        </w:rPr>
        <w:t>11</w:t>
      </w:r>
      <w:r>
        <w:rPr/>
        <w:t>月</w:t>
      </w:r>
      <w:r>
        <w:rPr>
          <w:rFonts w:ascii="宋体" w:hAnsi="宋体" w:cs="宋体" w:eastAsia="宋体" w:hint="default"/>
        </w:rPr>
        <w:t>16</w:t>
      </w:r>
      <w:r>
        <w:rPr/>
        <w:t>日，公司非公开发行新增股份</w:t>
      </w:r>
      <w:r>
        <w:rPr>
          <w:rFonts w:ascii="宋体" w:hAnsi="宋体" w:cs="宋体" w:eastAsia="宋体" w:hint="default"/>
        </w:rPr>
        <w:t>6,650</w:t>
      </w:r>
      <w:r>
        <w:rPr/>
        <w:t>万股在深 圳证券交易所上市，公司总股本变更为</w:t>
      </w:r>
      <w:r>
        <w:rPr>
          <w:rFonts w:ascii="宋体" w:hAnsi="宋体" w:cs="宋体" w:eastAsia="宋体" w:hint="default"/>
        </w:rPr>
        <w:t>579,929,635</w:t>
      </w:r>
      <w:r>
        <w:rPr/>
        <w:t>股。</w:t>
      </w:r>
    </w:p>
    <w:p>
      <w:pPr>
        <w:pStyle w:val="BodyText"/>
        <w:spacing w:line="477" w:lineRule="auto" w:before="54"/>
        <w:ind w:right="199" w:firstLine="360"/>
        <w:jc w:val="both"/>
      </w:pP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4</w:t>
      </w:r>
      <w:r>
        <w:rPr/>
        <w:t>日</w:t>
      </w:r>
      <w:r>
        <w:rPr>
          <w:rFonts w:ascii="宋体" w:hAnsi="宋体" w:cs="宋体" w:eastAsia="宋体" w:hint="default"/>
        </w:rPr>
        <w:t>,</w:t>
      </w:r>
      <w:r>
        <w:rPr/>
        <w:t>公司在中国证监会指定创业板信息披露网站巨潮资讯网发布了《关于第一期核心人员持股计划锁定期届 </w:t>
      </w:r>
      <w:r>
        <w:rPr>
          <w:spacing w:val="-2"/>
        </w:rPr>
        <w:t>满的提示性公告》。截至本公告披露日，公司核心人员持股计划持有公司股票</w:t>
      </w:r>
      <w:r>
        <w:rPr>
          <w:rFonts w:ascii="宋体" w:hAnsi="宋体" w:cs="宋体" w:eastAsia="宋体" w:hint="default"/>
          <w:spacing w:val="-2"/>
        </w:rPr>
        <w:t>7,367,233</w:t>
      </w:r>
      <w:r>
        <w:rPr>
          <w:spacing w:val="-2"/>
        </w:rPr>
        <w:t>股，占公司目前总股本的</w:t>
      </w:r>
      <w:r>
        <w:rPr>
          <w:rFonts w:ascii="宋体" w:hAnsi="宋体" w:cs="宋体" w:eastAsia="宋体" w:hint="default"/>
          <w:spacing w:val="-2"/>
        </w:rPr>
        <w:t>1.27%</w:t>
      </w:r>
      <w:r>
        <w:rPr>
          <w:spacing w:val="-2"/>
        </w:rPr>
        <w:t>，后</w:t>
      </w:r>
      <w:r>
        <w:rPr>
          <w:spacing w:val="-76"/>
        </w:rPr>
        <w:t> </w:t>
      </w:r>
      <w:r>
        <w:rPr/>
        <w:t>续将根据员工持股计划的安排和市场情况通过二级市场交易、大宗交易等法律法规许可的方式卖出其持有的公司股票。</w:t>
      </w:r>
    </w:p>
    <w:p>
      <w:pPr>
        <w:pStyle w:val="BodyText"/>
        <w:spacing w:line="477" w:lineRule="auto" w:before="54"/>
        <w:ind w:right="190" w:firstLine="360"/>
        <w:jc w:val="both"/>
      </w:pPr>
      <w:r>
        <w:rPr>
          <w:spacing w:val="-2"/>
        </w:rPr>
        <w:t>根据公司</w:t>
      </w:r>
      <w:r>
        <w:rPr>
          <w:rFonts w:ascii="宋体" w:hAnsi="宋体" w:cs="宋体" w:eastAsia="宋体" w:hint="default"/>
          <w:spacing w:val="-2"/>
        </w:rPr>
        <w:t>2016</w:t>
      </w:r>
      <w:r>
        <w:rPr>
          <w:spacing w:val="-2"/>
        </w:rPr>
        <w:t>年度股东大会决议，公司于</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22</w:t>
      </w:r>
      <w:r>
        <w:rPr>
          <w:spacing w:val="-2"/>
        </w:rPr>
        <w:t>日实施了</w:t>
      </w:r>
      <w:r>
        <w:rPr>
          <w:rFonts w:ascii="宋体" w:hAnsi="宋体" w:cs="宋体" w:eastAsia="宋体" w:hint="default"/>
          <w:spacing w:val="-2"/>
        </w:rPr>
        <w:t>2016</w:t>
      </w:r>
      <w:r>
        <w:rPr>
          <w:spacing w:val="-2"/>
        </w:rPr>
        <w:t>年度权益分派方案：以公司原有总股本</w:t>
      </w:r>
      <w:r>
        <w:rPr>
          <w:rFonts w:ascii="宋体" w:hAnsi="宋体" w:cs="宋体" w:eastAsia="宋体" w:hint="default"/>
          <w:spacing w:val="-2"/>
        </w:rPr>
        <w:t>579,929,635</w:t>
      </w:r>
      <w:r>
        <w:rPr>
          <w:rFonts w:ascii="宋体" w:hAnsi="宋体" w:cs="宋体" w:eastAsia="宋体" w:hint="default"/>
        </w:rPr>
        <w:t> </w:t>
      </w:r>
      <w:r>
        <w:rPr/>
        <w:t>股为基数，向全体股东每</w:t>
      </w:r>
      <w:r>
        <w:rPr>
          <w:rFonts w:ascii="宋体" w:hAnsi="宋体" w:cs="宋体" w:eastAsia="宋体" w:hint="default"/>
        </w:rPr>
        <w:t>10</w:t>
      </w:r>
      <w:r>
        <w:rPr/>
        <w:t>股派</w:t>
      </w:r>
      <w:r>
        <w:rPr>
          <w:rFonts w:ascii="宋体" w:hAnsi="宋体" w:cs="宋体" w:eastAsia="宋体" w:hint="default"/>
        </w:rPr>
        <w:t>0.4</w:t>
      </w:r>
      <w:r>
        <w:rPr/>
        <w:t>元人民币现金，不送红股，同时，以资本公积金向全体股东每</w:t>
      </w:r>
      <w:r>
        <w:rPr>
          <w:rFonts w:ascii="宋体" w:hAnsi="宋体" w:cs="宋体" w:eastAsia="宋体" w:hint="default"/>
        </w:rPr>
        <w:t>10</w:t>
      </w:r>
      <w:r>
        <w:rPr/>
        <w:t>股转增</w:t>
      </w:r>
      <w:r>
        <w:rPr>
          <w:rFonts w:ascii="宋体" w:hAnsi="宋体" w:cs="宋体" w:eastAsia="宋体" w:hint="default"/>
        </w:rPr>
        <w:t>15</w:t>
      </w:r>
      <w:r>
        <w:rPr/>
        <w:t>股。本次权益 分派实施后，公司第一期核心人员持股计划合计持有股数变更为</w:t>
      </w:r>
      <w:r>
        <w:rPr>
          <w:rFonts w:ascii="宋体" w:hAnsi="宋体" w:cs="宋体" w:eastAsia="宋体" w:hint="default"/>
        </w:rPr>
        <w:t>18,418,082</w:t>
      </w:r>
      <w:r>
        <w:rPr/>
        <w:t>股。</w:t>
      </w:r>
    </w:p>
    <w:p>
      <w:pPr>
        <w:pStyle w:val="BodyText"/>
        <w:spacing w:line="477" w:lineRule="auto" w:before="54"/>
        <w:ind w:right="169" w:firstLine="331"/>
        <w:jc w:val="left"/>
      </w:pPr>
      <w:r>
        <w:rPr>
          <w:rFonts w:ascii="宋体" w:hAnsi="宋体" w:cs="宋体" w:eastAsia="宋体" w:hint="default"/>
          <w:spacing w:val="-1"/>
        </w:rPr>
        <w:t>2017</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21</w:t>
      </w:r>
      <w:r>
        <w:rPr>
          <w:spacing w:val="-1"/>
        </w:rPr>
        <w:t>日</w:t>
      </w:r>
      <w:r>
        <w:rPr>
          <w:rFonts w:ascii="宋体" w:hAnsi="宋体" w:cs="宋体" w:eastAsia="宋体" w:hint="default"/>
          <w:spacing w:val="-1"/>
        </w:rPr>
        <w:t>,</w:t>
      </w:r>
      <w:r>
        <w:rPr>
          <w:spacing w:val="-1"/>
        </w:rPr>
        <w:t>公司召开第三届董事会第二次临时会议，审议通过了《关于公司第一期核心人员持股计划存续期展期的</w:t>
      </w:r>
      <w:r>
        <w:rPr/>
        <w:t> </w:t>
      </w:r>
      <w:r>
        <w:rPr>
          <w:spacing w:val="-7"/>
        </w:rPr>
        <w:t>议案》</w:t>
      </w:r>
      <w:r>
        <w:rPr>
          <w:rFonts w:ascii="宋体" w:hAnsi="宋体" w:cs="宋体" w:eastAsia="宋体" w:hint="default"/>
          <w:spacing w:val="-7"/>
        </w:rPr>
        <w:t>,</w:t>
      </w:r>
      <w:r>
        <w:rPr>
          <w:rFonts w:ascii="宋体" w:hAnsi="宋体" w:cs="宋体" w:eastAsia="宋体" w:hint="default"/>
          <w:spacing w:val="-47"/>
        </w:rPr>
        <w:t> </w:t>
      </w:r>
      <w:r>
        <w:rPr/>
        <w:t>鉴于公司第一期核心人员持股计划存续期即将到期，基于对公司未来发展的信心和对公司价值的认可，公司于</w:t>
      </w:r>
      <w:r>
        <w:rPr>
          <w:rFonts w:ascii="宋体" w:hAnsi="宋体" w:cs="宋体" w:eastAsia="宋体" w:hint="default"/>
        </w:rPr>
        <w:t>2017 </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15</w:t>
      </w:r>
      <w:r>
        <w:rPr>
          <w:spacing w:val="-2"/>
        </w:rPr>
        <w:t>日召开持有人会议，经出席持有人会议的持有人所持</w:t>
      </w:r>
      <w:r>
        <w:rPr>
          <w:rFonts w:ascii="宋体" w:hAnsi="宋体" w:cs="宋体" w:eastAsia="宋体" w:hint="default"/>
          <w:spacing w:val="-2"/>
        </w:rPr>
        <w:t>2/3</w:t>
      </w:r>
      <w:r>
        <w:rPr>
          <w:spacing w:val="-2"/>
        </w:rPr>
        <w:t>以上份额同意对第一期核心人员持股计划存续期展期。董事</w:t>
      </w:r>
      <w:r>
        <w:rPr>
          <w:spacing w:val="-61"/>
        </w:rPr>
        <w:t> </w:t>
      </w:r>
      <w:r>
        <w:rPr>
          <w:spacing w:val="-61"/>
        </w:rPr>
      </w:r>
      <w:r>
        <w:rPr/>
        <w:t>会同意根据持有人会议表决结果，将公司第一期核心人员持股计划存续期进行展期，延长期限自</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5</w:t>
      </w:r>
      <w:r>
        <w:rPr/>
        <w:t>日起不超过</w:t>
      </w:r>
      <w:r>
        <w:rPr>
          <w:rFonts w:ascii="宋体" w:hAnsi="宋体" w:cs="宋体" w:eastAsia="宋体" w:hint="default"/>
        </w:rPr>
        <w:t>24</w:t>
      </w:r>
      <w:r>
        <w:rPr>
          <w:rFonts w:ascii="宋体" w:hAnsi="宋体" w:cs="宋体" w:eastAsia="宋体" w:hint="default"/>
          <w:spacing w:val="-2"/>
        </w:rPr>
        <w:t> </w:t>
      </w:r>
      <w:r>
        <w:rPr/>
        <w:t>个月，即本员工持股计划可以</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4</w:t>
      </w:r>
      <w:r>
        <w:rPr/>
        <w:t>日前出售股票，如期满前仍未出售股票，可在期满前</w:t>
      </w:r>
      <w:r>
        <w:rPr>
          <w:rFonts w:ascii="宋体" w:hAnsi="宋体" w:cs="宋体" w:eastAsia="宋体" w:hint="default"/>
        </w:rPr>
        <w:t>2</w:t>
      </w:r>
      <w:r>
        <w:rPr/>
        <w:t>个月再次召开持有人会议和 董事会，审议后续相关事宜。</w:t>
      </w:r>
    </w:p>
    <w:p>
      <w:pPr>
        <w:pStyle w:val="BodyText"/>
        <w:spacing w:line="240" w:lineRule="auto" w:before="54"/>
        <w:ind w:left="513" w:right="94"/>
        <w:jc w:val="left"/>
      </w:pP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2</w:t>
      </w:r>
      <w:r>
        <w:rPr/>
        <w:t>日，公司披露了《关于第一期核心人员持股计划出售完毕暨计划终止的公告》，公司第一期核心人员持股</w:t>
      </w:r>
    </w:p>
    <w:p>
      <w:pPr>
        <w:spacing w:after="0" w:line="240" w:lineRule="auto"/>
        <w:jc w:val="left"/>
        <w:sectPr>
          <w:pgSz w:w="11910" w:h="16840"/>
          <w:pgMar w:header="745" w:footer="1133" w:top="1060" w:bottom="132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42"/>
        <w:jc w:val="left"/>
      </w:pPr>
      <w:r>
        <w:rPr/>
        <w:t>计划“兴证资管鑫众－北信源</w:t>
      </w:r>
      <w:r>
        <w:rPr>
          <w:rFonts w:ascii="宋体" w:hAnsi="宋体" w:cs="宋体" w:eastAsia="宋体" w:hint="default"/>
        </w:rPr>
        <w:t>1 </w:t>
      </w:r>
      <w:r>
        <w:rPr/>
        <w:t>号集合资产管理计划”所持有的公司股票已全部出售完毕，总计卖出股票</w:t>
      </w:r>
      <w:r>
        <w:rPr>
          <w:rFonts w:ascii="宋体" w:hAnsi="宋体" w:cs="宋体" w:eastAsia="宋体" w:hint="default"/>
        </w:rPr>
        <w:t>18,418,082</w:t>
      </w:r>
      <w:r>
        <w:rPr>
          <w:rFonts w:ascii="宋体" w:hAnsi="宋体" w:cs="宋体" w:eastAsia="宋体" w:hint="default"/>
          <w:spacing w:val="2"/>
        </w:rPr>
        <w:t> </w:t>
      </w:r>
      <w:r>
        <w:rPr/>
        <w:t>股。 截至目前，公司已完成第一期核心人员持股计划相关财产清算和分配工作。</w:t>
      </w:r>
    </w:p>
    <w:p>
      <w:pPr>
        <w:pStyle w:val="BodyText"/>
        <w:spacing w:line="211" w:lineRule="exact"/>
        <w:ind w:left="532" w:right="0"/>
        <w:jc w:val="left"/>
      </w:pPr>
      <w:r>
        <w:rPr/>
        <w:t>主要公告索引如下：</w:t>
      </w:r>
    </w:p>
    <w:p>
      <w:pPr>
        <w:spacing w:line="240" w:lineRule="auto" w:before="3"/>
        <w:rPr>
          <w:rFonts w:ascii="宋体" w:hAnsi="宋体" w:cs="宋体" w:eastAsia="宋体" w:hint="default"/>
          <w:sz w:val="5"/>
          <w:szCs w:val="5"/>
        </w:rPr>
      </w:pPr>
    </w:p>
    <w:tbl>
      <w:tblPr>
        <w:tblW w:w="0" w:type="auto"/>
        <w:jc w:val="left"/>
        <w:tblInd w:w="123" w:type="dxa"/>
        <w:tblLayout w:type="fixed"/>
        <w:tblCellMar>
          <w:top w:w="0" w:type="dxa"/>
          <w:left w:w="0" w:type="dxa"/>
          <w:bottom w:w="0" w:type="dxa"/>
          <w:right w:w="0" w:type="dxa"/>
        </w:tblCellMar>
        <w:tblLook w:val="01E0"/>
      </w:tblPr>
      <w:tblGrid>
        <w:gridCol w:w="1856"/>
        <w:gridCol w:w="4967"/>
        <w:gridCol w:w="2847"/>
      </w:tblGrid>
      <w:tr>
        <w:trPr>
          <w:trHeight w:val="353" w:hRule="exact"/>
        </w:trPr>
        <w:tc>
          <w:tcPr>
            <w:tcW w:w="1856" w:type="dxa"/>
            <w:tcBorders>
              <w:top w:val="single" w:sz="12" w:space="0" w:color="000000"/>
              <w:left w:val="single" w:sz="12" w:space="0" w:color="000000"/>
              <w:bottom w:val="single" w:sz="4" w:space="0" w:color="000000"/>
              <w:right w:val="single" w:sz="4" w:space="0" w:color="000000"/>
            </w:tcBorders>
          </w:tcPr>
          <w:p>
            <w:pPr>
              <w:pStyle w:val="TableParagraph"/>
              <w:spacing w:line="276"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日期</w:t>
            </w:r>
            <w:r>
              <w:rPr>
                <w:rFonts w:ascii="Microsoft JhengHei" w:hAnsi="Microsoft JhengHei" w:cs="Microsoft JhengHei" w:eastAsia="Microsoft JhengHei" w:hint="default"/>
                <w:sz w:val="18"/>
                <w:szCs w:val="18"/>
              </w:rPr>
            </w:r>
          </w:p>
        </w:tc>
        <w:tc>
          <w:tcPr>
            <w:tcW w:w="4967" w:type="dxa"/>
            <w:tcBorders>
              <w:top w:val="single" w:sz="12"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重要事项概述</w:t>
            </w:r>
            <w:r>
              <w:rPr>
                <w:rFonts w:ascii="Microsoft JhengHei" w:hAnsi="Microsoft JhengHei" w:cs="Microsoft JhengHei" w:eastAsia="Microsoft JhengHei" w:hint="default"/>
                <w:sz w:val="18"/>
                <w:szCs w:val="18"/>
              </w:rPr>
            </w:r>
          </w:p>
        </w:tc>
        <w:tc>
          <w:tcPr>
            <w:tcW w:w="2847" w:type="dxa"/>
            <w:tcBorders>
              <w:top w:val="single" w:sz="12" w:space="0" w:color="000000"/>
              <w:left w:val="single" w:sz="4" w:space="0" w:color="000000"/>
              <w:bottom w:val="single" w:sz="4" w:space="0" w:color="000000"/>
              <w:right w:val="single" w:sz="12" w:space="0" w:color="000000"/>
            </w:tcBorders>
          </w:tcPr>
          <w:p>
            <w:pPr>
              <w:pStyle w:val="TableParagraph"/>
              <w:spacing w:line="276" w:lineRule="exact"/>
              <w:ind w:left="69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临时报告查询索引</w:t>
            </w:r>
            <w:r>
              <w:rPr>
                <w:rFonts w:ascii="Microsoft JhengHei" w:hAnsi="Microsoft JhengHei" w:cs="Microsoft JhengHei" w:eastAsia="Microsoft JhengHei" w:hint="default"/>
                <w:sz w:val="18"/>
                <w:szCs w:val="18"/>
              </w:rPr>
            </w:r>
          </w:p>
        </w:tc>
      </w:tr>
      <w:tr>
        <w:trPr>
          <w:trHeight w:val="965" w:hRule="exact"/>
        </w:trPr>
        <w:tc>
          <w:tcPr>
            <w:tcW w:w="185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19</w:t>
            </w:r>
            <w:r>
              <w:rPr>
                <w:rFonts w:ascii="宋体" w:hAnsi="宋体" w:cs="宋体" w:eastAsia="宋体" w:hint="default"/>
                <w:sz w:val="18"/>
                <w:szCs w:val="18"/>
              </w:rPr>
              <w:t>日</w:t>
            </w:r>
          </w:p>
        </w:tc>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8" w:right="48"/>
              <w:jc w:val="center"/>
              <w:rPr>
                <w:rFonts w:ascii="宋体" w:hAnsi="宋体" w:cs="宋体" w:eastAsia="宋体" w:hint="default"/>
                <w:sz w:val="18"/>
                <w:szCs w:val="18"/>
              </w:rPr>
            </w:pPr>
            <w:r>
              <w:rPr>
                <w:rFonts w:ascii="宋体" w:hAnsi="宋体" w:cs="宋体" w:eastAsia="宋体" w:hint="default"/>
                <w:sz w:val="18"/>
                <w:szCs w:val="18"/>
              </w:rPr>
              <w:t>召开第二届董事会第十一次会议，审议通过《关于北京北信源 软件股份有限公司第一期核心人员持股计划（草案）及摘要的 议案》等议案，并同意提交股东大会。</w:t>
            </w:r>
          </w:p>
        </w:tc>
        <w:tc>
          <w:tcPr>
            <w:tcW w:w="28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520" w:right="0"/>
              <w:jc w:val="left"/>
              <w:rPr>
                <w:rFonts w:ascii="宋体" w:hAnsi="宋体" w:cs="宋体" w:eastAsia="宋体" w:hint="default"/>
                <w:sz w:val="18"/>
                <w:szCs w:val="18"/>
              </w:rPr>
            </w:pPr>
            <w:r>
              <w:rPr>
                <w:rFonts w:ascii="宋体" w:hAnsi="宋体" w:cs="宋体" w:eastAsia="宋体" w:hint="default"/>
                <w:sz w:val="18"/>
                <w:szCs w:val="18"/>
              </w:rPr>
              <w:t>查询网站：巨潮资讯网</w:t>
            </w:r>
          </w:p>
          <w:p>
            <w:pPr>
              <w:pStyle w:val="TableParagraph"/>
              <w:spacing w:line="240" w:lineRule="auto" w:before="76"/>
              <w:ind w:left="475" w:right="0"/>
              <w:jc w:val="left"/>
              <w:rPr>
                <w:rFonts w:ascii="宋体" w:hAnsi="宋体" w:cs="宋体" w:eastAsia="宋体" w:hint="default"/>
                <w:sz w:val="18"/>
                <w:szCs w:val="18"/>
              </w:rPr>
            </w:pPr>
            <w:r>
              <w:rPr>
                <w:rFonts w:ascii="宋体" w:hAnsi="宋体" w:cs="宋体" w:eastAsia="宋体" w:hint="default"/>
                <w:sz w:val="18"/>
                <w:szCs w:val="18"/>
              </w:rPr>
              <w:t>（</w:t>
            </w:r>
            <w:hyperlink r:id="rId9">
              <w:r>
                <w:rPr>
                  <w:rFonts w:ascii="宋体" w:hAnsi="宋体" w:cs="宋体" w:eastAsia="宋体" w:hint="default"/>
                  <w:sz w:val="18"/>
                  <w:szCs w:val="18"/>
                </w:rPr>
                <w:t>www.cninfo.com.cn</w:t>
              </w:r>
            </w:hyperlink>
            <w:r>
              <w:rPr>
                <w:rFonts w:ascii="宋体" w:hAnsi="宋体" w:cs="宋体" w:eastAsia="宋体" w:hint="default"/>
                <w:sz w:val="18"/>
                <w:szCs w:val="18"/>
              </w:rPr>
              <w:t>）</w:t>
            </w:r>
          </w:p>
        </w:tc>
      </w:tr>
      <w:tr>
        <w:trPr>
          <w:trHeight w:val="968" w:hRule="exact"/>
        </w:trPr>
        <w:tc>
          <w:tcPr>
            <w:tcW w:w="185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19</w:t>
            </w:r>
            <w:r>
              <w:rPr>
                <w:rFonts w:ascii="宋体" w:hAnsi="宋体" w:cs="宋体" w:eastAsia="宋体" w:hint="default"/>
                <w:sz w:val="18"/>
                <w:szCs w:val="18"/>
              </w:rPr>
              <w:t>日</w:t>
            </w:r>
          </w:p>
        </w:tc>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48" w:right="48"/>
              <w:jc w:val="center"/>
              <w:rPr>
                <w:rFonts w:ascii="宋体" w:hAnsi="宋体" w:cs="宋体" w:eastAsia="宋体" w:hint="default"/>
                <w:sz w:val="18"/>
                <w:szCs w:val="18"/>
              </w:rPr>
            </w:pPr>
            <w:r>
              <w:rPr>
                <w:rFonts w:ascii="宋体" w:hAnsi="宋体" w:cs="宋体" w:eastAsia="宋体" w:hint="default"/>
                <w:sz w:val="18"/>
                <w:szCs w:val="18"/>
              </w:rPr>
              <w:t>召开第二届监事会第十一次会议，审议通过《关于北京北信源 软件股份有限公司第一期核心人员持股计划（草案）及摘要的 议案》等议案，并同意提交股东大会。</w:t>
            </w:r>
          </w:p>
        </w:tc>
        <w:tc>
          <w:tcPr>
            <w:tcW w:w="28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查询网站：巨潮资讯网</w:t>
            </w:r>
          </w:p>
          <w:p>
            <w:pPr>
              <w:pStyle w:val="TableParagraph"/>
              <w:spacing w:line="240" w:lineRule="auto" w:before="76"/>
              <w:ind w:left="475" w:right="0"/>
              <w:jc w:val="left"/>
              <w:rPr>
                <w:rFonts w:ascii="宋体" w:hAnsi="宋体" w:cs="宋体" w:eastAsia="宋体" w:hint="default"/>
                <w:sz w:val="18"/>
                <w:szCs w:val="18"/>
              </w:rPr>
            </w:pPr>
            <w:r>
              <w:rPr>
                <w:rFonts w:ascii="宋体" w:hAnsi="宋体" w:cs="宋体" w:eastAsia="宋体" w:hint="default"/>
                <w:sz w:val="18"/>
                <w:szCs w:val="18"/>
              </w:rPr>
              <w:t>（</w:t>
            </w:r>
            <w:hyperlink r:id="rId9">
              <w:r>
                <w:rPr>
                  <w:rFonts w:ascii="宋体" w:hAnsi="宋体" w:cs="宋体" w:eastAsia="宋体" w:hint="default"/>
                  <w:sz w:val="18"/>
                  <w:szCs w:val="18"/>
                </w:rPr>
                <w:t>www.cninfo.com.cn</w:t>
              </w:r>
            </w:hyperlink>
            <w:r>
              <w:rPr>
                <w:rFonts w:ascii="宋体" w:hAnsi="宋体" w:cs="宋体" w:eastAsia="宋体" w:hint="default"/>
                <w:sz w:val="18"/>
                <w:szCs w:val="18"/>
              </w:rPr>
              <w:t>）</w:t>
            </w:r>
          </w:p>
        </w:tc>
      </w:tr>
      <w:tr>
        <w:trPr>
          <w:trHeight w:val="653" w:hRule="exact"/>
        </w:trPr>
        <w:tc>
          <w:tcPr>
            <w:tcW w:w="185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19</w:t>
            </w:r>
            <w:r>
              <w:rPr>
                <w:rFonts w:ascii="宋体" w:hAnsi="宋体" w:cs="宋体" w:eastAsia="宋体" w:hint="default"/>
                <w:sz w:val="18"/>
                <w:szCs w:val="18"/>
              </w:rPr>
              <w:t>日</w:t>
            </w:r>
          </w:p>
        </w:tc>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披露《核心人员持股计划（草案）》及摘要、独立董事意见等</w:t>
            </w:r>
          </w:p>
        </w:tc>
        <w:tc>
          <w:tcPr>
            <w:tcW w:w="28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520" w:right="0"/>
              <w:jc w:val="left"/>
              <w:rPr>
                <w:rFonts w:ascii="宋体" w:hAnsi="宋体" w:cs="宋体" w:eastAsia="宋体" w:hint="default"/>
                <w:sz w:val="18"/>
                <w:szCs w:val="18"/>
              </w:rPr>
            </w:pPr>
            <w:r>
              <w:rPr>
                <w:rFonts w:ascii="宋体" w:hAnsi="宋体" w:cs="宋体" w:eastAsia="宋体" w:hint="default"/>
                <w:sz w:val="18"/>
                <w:szCs w:val="18"/>
              </w:rPr>
              <w:t>查询网站：巨潮资讯网</w:t>
            </w:r>
          </w:p>
          <w:p>
            <w:pPr>
              <w:pStyle w:val="TableParagraph"/>
              <w:spacing w:line="240" w:lineRule="auto" w:before="76"/>
              <w:ind w:left="475" w:right="0"/>
              <w:jc w:val="left"/>
              <w:rPr>
                <w:rFonts w:ascii="宋体" w:hAnsi="宋体" w:cs="宋体" w:eastAsia="宋体" w:hint="default"/>
                <w:sz w:val="18"/>
                <w:szCs w:val="18"/>
              </w:rPr>
            </w:pPr>
            <w:r>
              <w:rPr>
                <w:rFonts w:ascii="宋体" w:hAnsi="宋体" w:cs="宋体" w:eastAsia="宋体" w:hint="default"/>
                <w:sz w:val="18"/>
                <w:szCs w:val="18"/>
              </w:rPr>
              <w:t>（</w:t>
            </w:r>
            <w:hyperlink r:id="rId9">
              <w:r>
                <w:rPr>
                  <w:rFonts w:ascii="宋体" w:hAnsi="宋体" w:cs="宋体" w:eastAsia="宋体" w:hint="default"/>
                  <w:sz w:val="18"/>
                  <w:szCs w:val="18"/>
                </w:rPr>
                <w:t>www.cninfo.com.cn</w:t>
              </w:r>
            </w:hyperlink>
            <w:r>
              <w:rPr>
                <w:rFonts w:ascii="宋体" w:hAnsi="宋体" w:cs="宋体" w:eastAsia="宋体" w:hint="default"/>
                <w:sz w:val="18"/>
                <w:szCs w:val="18"/>
              </w:rPr>
              <w:t>）</w:t>
            </w:r>
          </w:p>
        </w:tc>
      </w:tr>
      <w:tr>
        <w:trPr>
          <w:trHeight w:val="655" w:hRule="exact"/>
        </w:trPr>
        <w:tc>
          <w:tcPr>
            <w:tcW w:w="185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tc>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2297" w:right="47" w:hanging="2250"/>
              <w:jc w:val="left"/>
              <w:rPr>
                <w:rFonts w:ascii="宋体" w:hAnsi="宋体" w:cs="宋体" w:eastAsia="宋体" w:hint="default"/>
                <w:sz w:val="18"/>
                <w:szCs w:val="18"/>
              </w:rPr>
            </w:pPr>
            <w:r>
              <w:rPr>
                <w:rFonts w:ascii="宋体" w:hAnsi="宋体" w:cs="宋体" w:eastAsia="宋体" w:hint="default"/>
                <w:sz w:val="18"/>
                <w:szCs w:val="18"/>
              </w:rPr>
              <w:t>北京天银律师事务所关于公司第一期核心人员持股计划法律意 见书</w:t>
            </w:r>
          </w:p>
        </w:tc>
        <w:tc>
          <w:tcPr>
            <w:tcW w:w="28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520" w:right="0"/>
              <w:jc w:val="left"/>
              <w:rPr>
                <w:rFonts w:ascii="宋体" w:hAnsi="宋体" w:cs="宋体" w:eastAsia="宋体" w:hint="default"/>
                <w:sz w:val="18"/>
                <w:szCs w:val="18"/>
              </w:rPr>
            </w:pPr>
            <w:r>
              <w:rPr>
                <w:rFonts w:ascii="宋体" w:hAnsi="宋体" w:cs="宋体" w:eastAsia="宋体" w:hint="default"/>
                <w:sz w:val="18"/>
                <w:szCs w:val="18"/>
              </w:rPr>
              <w:t>查询网站：巨潮资讯网</w:t>
            </w:r>
          </w:p>
          <w:p>
            <w:pPr>
              <w:pStyle w:val="TableParagraph"/>
              <w:spacing w:line="240" w:lineRule="auto" w:before="76"/>
              <w:ind w:left="475" w:right="0"/>
              <w:jc w:val="left"/>
              <w:rPr>
                <w:rFonts w:ascii="宋体" w:hAnsi="宋体" w:cs="宋体" w:eastAsia="宋体" w:hint="default"/>
                <w:sz w:val="18"/>
                <w:szCs w:val="18"/>
              </w:rPr>
            </w:pPr>
            <w:r>
              <w:rPr>
                <w:rFonts w:ascii="宋体" w:hAnsi="宋体" w:cs="宋体" w:eastAsia="宋体" w:hint="default"/>
                <w:sz w:val="18"/>
                <w:szCs w:val="18"/>
              </w:rPr>
              <w:t>（</w:t>
            </w:r>
            <w:hyperlink r:id="rId9">
              <w:r>
                <w:rPr>
                  <w:rFonts w:ascii="宋体" w:hAnsi="宋体" w:cs="宋体" w:eastAsia="宋体" w:hint="default"/>
                  <w:sz w:val="18"/>
                  <w:szCs w:val="18"/>
                </w:rPr>
                <w:t>www.cninfo.com.cn</w:t>
              </w:r>
            </w:hyperlink>
            <w:r>
              <w:rPr>
                <w:rFonts w:ascii="宋体" w:hAnsi="宋体" w:cs="宋体" w:eastAsia="宋体" w:hint="default"/>
                <w:sz w:val="18"/>
                <w:szCs w:val="18"/>
              </w:rPr>
              <w:t>）</w:t>
            </w:r>
          </w:p>
        </w:tc>
      </w:tr>
      <w:tr>
        <w:trPr>
          <w:trHeight w:val="965" w:hRule="exact"/>
        </w:trPr>
        <w:tc>
          <w:tcPr>
            <w:tcW w:w="185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6</w:t>
            </w:r>
            <w:r>
              <w:rPr>
                <w:rFonts w:ascii="宋体" w:hAnsi="宋体" w:cs="宋体" w:eastAsia="宋体" w:hint="default"/>
                <w:sz w:val="18"/>
                <w:szCs w:val="18"/>
              </w:rPr>
              <w:t>日</w:t>
            </w:r>
          </w:p>
        </w:tc>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7" w:right="46"/>
              <w:jc w:val="center"/>
              <w:rPr>
                <w:rFonts w:ascii="宋体" w:hAnsi="宋体" w:cs="宋体" w:eastAsia="宋体" w:hint="default"/>
                <w:sz w:val="18"/>
                <w:szCs w:val="18"/>
              </w:rPr>
            </w:pPr>
            <w:r>
              <w:rPr>
                <w:rFonts w:ascii="宋体" w:hAnsi="宋体" w:cs="宋体" w:eastAsia="宋体" w:hint="default"/>
                <w:sz w:val="18"/>
                <w:szCs w:val="18"/>
              </w:rPr>
              <w:t>召开</w:t>
            </w:r>
            <w:r>
              <w:rPr>
                <w:rFonts w:ascii="宋体" w:hAnsi="宋体" w:cs="宋体" w:eastAsia="宋体" w:hint="default"/>
                <w:sz w:val="18"/>
                <w:szCs w:val="18"/>
              </w:rPr>
              <w:t>2015</w:t>
            </w:r>
            <w:r>
              <w:rPr>
                <w:rFonts w:ascii="宋体" w:hAnsi="宋体" w:cs="宋体" w:eastAsia="宋体" w:hint="default"/>
                <w:sz w:val="18"/>
                <w:szCs w:val="18"/>
              </w:rPr>
              <w:t>年第一次临时股东大会审议通过《关于北京北信源软 件股份有限公司第一期核心人员持股计划（草案）及摘要的议 案》</w:t>
            </w:r>
          </w:p>
        </w:tc>
        <w:tc>
          <w:tcPr>
            <w:tcW w:w="28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查询网站：巨潮资讯网</w:t>
            </w:r>
          </w:p>
          <w:p>
            <w:pPr>
              <w:pStyle w:val="TableParagraph"/>
              <w:spacing w:line="240" w:lineRule="auto" w:before="76"/>
              <w:ind w:left="475" w:right="0"/>
              <w:jc w:val="left"/>
              <w:rPr>
                <w:rFonts w:ascii="宋体" w:hAnsi="宋体" w:cs="宋体" w:eastAsia="宋体" w:hint="default"/>
                <w:sz w:val="18"/>
                <w:szCs w:val="18"/>
              </w:rPr>
            </w:pPr>
            <w:r>
              <w:rPr>
                <w:rFonts w:ascii="宋体" w:hAnsi="宋体" w:cs="宋体" w:eastAsia="宋体" w:hint="default"/>
                <w:sz w:val="18"/>
                <w:szCs w:val="18"/>
              </w:rPr>
              <w:t>（</w:t>
            </w:r>
            <w:hyperlink r:id="rId9">
              <w:r>
                <w:rPr>
                  <w:rFonts w:ascii="宋体" w:hAnsi="宋体" w:cs="宋体" w:eastAsia="宋体" w:hint="default"/>
                  <w:sz w:val="18"/>
                  <w:szCs w:val="18"/>
                </w:rPr>
                <w:t>www.cninfo.com.cn</w:t>
              </w:r>
            </w:hyperlink>
            <w:r>
              <w:rPr>
                <w:rFonts w:ascii="宋体" w:hAnsi="宋体" w:cs="宋体" w:eastAsia="宋体" w:hint="default"/>
                <w:sz w:val="18"/>
                <w:szCs w:val="18"/>
              </w:rPr>
              <w:t>）</w:t>
            </w:r>
          </w:p>
        </w:tc>
      </w:tr>
      <w:tr>
        <w:trPr>
          <w:trHeight w:val="655" w:hRule="exact"/>
        </w:trPr>
        <w:tc>
          <w:tcPr>
            <w:tcW w:w="185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5</w:t>
            </w:r>
            <w:r>
              <w:rPr>
                <w:rFonts w:ascii="宋体" w:hAnsi="宋体" w:cs="宋体" w:eastAsia="宋体" w:hint="default"/>
                <w:sz w:val="18"/>
                <w:szCs w:val="18"/>
              </w:rPr>
              <w:t>日</w:t>
            </w:r>
          </w:p>
        </w:tc>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关于第一期核心人员持股计划完成购买的公告</w:t>
            </w:r>
          </w:p>
        </w:tc>
        <w:tc>
          <w:tcPr>
            <w:tcW w:w="28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520" w:right="0"/>
              <w:jc w:val="left"/>
              <w:rPr>
                <w:rFonts w:ascii="宋体" w:hAnsi="宋体" w:cs="宋体" w:eastAsia="宋体" w:hint="default"/>
                <w:sz w:val="18"/>
                <w:szCs w:val="18"/>
              </w:rPr>
            </w:pPr>
            <w:r>
              <w:rPr>
                <w:rFonts w:ascii="宋体" w:hAnsi="宋体" w:cs="宋体" w:eastAsia="宋体" w:hint="default"/>
                <w:sz w:val="18"/>
                <w:szCs w:val="18"/>
              </w:rPr>
              <w:t>查询网站：巨潮资讯网</w:t>
            </w:r>
          </w:p>
          <w:p>
            <w:pPr>
              <w:pStyle w:val="TableParagraph"/>
              <w:spacing w:line="240" w:lineRule="auto" w:before="76"/>
              <w:ind w:left="475" w:right="0"/>
              <w:jc w:val="left"/>
              <w:rPr>
                <w:rFonts w:ascii="宋体" w:hAnsi="宋体" w:cs="宋体" w:eastAsia="宋体" w:hint="default"/>
                <w:sz w:val="18"/>
                <w:szCs w:val="18"/>
              </w:rPr>
            </w:pPr>
            <w:r>
              <w:rPr>
                <w:rFonts w:ascii="宋体" w:hAnsi="宋体" w:cs="宋体" w:eastAsia="宋体" w:hint="default"/>
                <w:sz w:val="18"/>
                <w:szCs w:val="18"/>
              </w:rPr>
              <w:t>（</w:t>
            </w:r>
            <w:hyperlink r:id="rId9">
              <w:r>
                <w:rPr>
                  <w:rFonts w:ascii="宋体" w:hAnsi="宋体" w:cs="宋体" w:eastAsia="宋体" w:hint="default"/>
                  <w:sz w:val="18"/>
                  <w:szCs w:val="18"/>
                </w:rPr>
                <w:t>www.cninfo.com.cn</w:t>
              </w:r>
            </w:hyperlink>
            <w:r>
              <w:rPr>
                <w:rFonts w:ascii="宋体" w:hAnsi="宋体" w:cs="宋体" w:eastAsia="宋体" w:hint="default"/>
                <w:sz w:val="18"/>
                <w:szCs w:val="18"/>
              </w:rPr>
              <w:t>）</w:t>
            </w:r>
          </w:p>
        </w:tc>
      </w:tr>
      <w:tr>
        <w:trPr>
          <w:trHeight w:val="653" w:hRule="exact"/>
        </w:trPr>
        <w:tc>
          <w:tcPr>
            <w:tcW w:w="185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4</w:t>
            </w:r>
            <w:r>
              <w:rPr>
                <w:rFonts w:ascii="宋体" w:hAnsi="宋体" w:cs="宋体" w:eastAsia="宋体" w:hint="default"/>
                <w:sz w:val="18"/>
                <w:szCs w:val="18"/>
              </w:rPr>
              <w:t>日</w:t>
            </w:r>
          </w:p>
        </w:tc>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关于第一期核心人员持股计划锁定期届满的提示性公告</w:t>
            </w:r>
          </w:p>
        </w:tc>
        <w:tc>
          <w:tcPr>
            <w:tcW w:w="28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8"/>
              <w:ind w:left="520" w:right="0"/>
              <w:jc w:val="left"/>
              <w:rPr>
                <w:rFonts w:ascii="宋体" w:hAnsi="宋体" w:cs="宋体" w:eastAsia="宋体" w:hint="default"/>
                <w:sz w:val="18"/>
                <w:szCs w:val="18"/>
              </w:rPr>
            </w:pPr>
            <w:r>
              <w:rPr>
                <w:rFonts w:ascii="宋体" w:hAnsi="宋体" w:cs="宋体" w:eastAsia="宋体" w:hint="default"/>
                <w:sz w:val="18"/>
                <w:szCs w:val="18"/>
              </w:rPr>
              <w:t>查询网站：巨潮资讯网</w:t>
            </w:r>
          </w:p>
          <w:p>
            <w:pPr>
              <w:pStyle w:val="TableParagraph"/>
              <w:spacing w:line="240" w:lineRule="auto" w:before="76"/>
              <w:ind w:left="475" w:right="0"/>
              <w:jc w:val="left"/>
              <w:rPr>
                <w:rFonts w:ascii="宋体" w:hAnsi="宋体" w:cs="宋体" w:eastAsia="宋体" w:hint="default"/>
                <w:sz w:val="18"/>
                <w:szCs w:val="18"/>
              </w:rPr>
            </w:pPr>
            <w:r>
              <w:rPr>
                <w:rFonts w:ascii="宋体" w:hAnsi="宋体" w:cs="宋体" w:eastAsia="宋体" w:hint="default"/>
                <w:sz w:val="18"/>
                <w:szCs w:val="18"/>
              </w:rPr>
              <w:t>（</w:t>
            </w:r>
            <w:hyperlink r:id="rId9">
              <w:r>
                <w:rPr>
                  <w:rFonts w:ascii="宋体" w:hAnsi="宋体" w:cs="宋体" w:eastAsia="宋体" w:hint="default"/>
                  <w:sz w:val="18"/>
                  <w:szCs w:val="18"/>
                </w:rPr>
                <w:t>www.cninfo.com.cn</w:t>
              </w:r>
            </w:hyperlink>
            <w:r>
              <w:rPr>
                <w:rFonts w:ascii="宋体" w:hAnsi="宋体" w:cs="宋体" w:eastAsia="宋体" w:hint="default"/>
                <w:sz w:val="18"/>
                <w:szCs w:val="18"/>
              </w:rPr>
              <w:t>）</w:t>
            </w:r>
          </w:p>
        </w:tc>
      </w:tr>
      <w:tr>
        <w:trPr>
          <w:trHeight w:val="655" w:hRule="exact"/>
        </w:trPr>
        <w:tc>
          <w:tcPr>
            <w:tcW w:w="185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w:t>
            </w:r>
          </w:p>
        </w:tc>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857" w:right="48" w:hanging="810"/>
              <w:jc w:val="left"/>
              <w:rPr>
                <w:rFonts w:ascii="宋体" w:hAnsi="宋体" w:cs="宋体" w:eastAsia="宋体" w:hint="default"/>
                <w:sz w:val="18"/>
                <w:szCs w:val="18"/>
              </w:rPr>
            </w:pPr>
            <w:r>
              <w:rPr>
                <w:rFonts w:ascii="宋体" w:hAnsi="宋体" w:cs="宋体" w:eastAsia="宋体" w:hint="default"/>
                <w:sz w:val="18"/>
                <w:szCs w:val="18"/>
              </w:rPr>
              <w:t>召开第三届董事会第二次临时会议审议通过了《关于公司第一 期核心人员持股计划存续期展期的议案》</w:t>
            </w:r>
          </w:p>
        </w:tc>
        <w:tc>
          <w:tcPr>
            <w:tcW w:w="28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520" w:right="0"/>
              <w:jc w:val="left"/>
              <w:rPr>
                <w:rFonts w:ascii="宋体" w:hAnsi="宋体" w:cs="宋体" w:eastAsia="宋体" w:hint="default"/>
                <w:sz w:val="18"/>
                <w:szCs w:val="18"/>
              </w:rPr>
            </w:pPr>
            <w:r>
              <w:rPr>
                <w:rFonts w:ascii="宋体" w:hAnsi="宋体" w:cs="宋体" w:eastAsia="宋体" w:hint="default"/>
                <w:sz w:val="18"/>
                <w:szCs w:val="18"/>
              </w:rPr>
              <w:t>查询网站：巨潮资讯网</w:t>
            </w:r>
          </w:p>
          <w:p>
            <w:pPr>
              <w:pStyle w:val="TableParagraph"/>
              <w:spacing w:line="240" w:lineRule="auto" w:before="76"/>
              <w:ind w:left="475" w:right="0"/>
              <w:jc w:val="left"/>
              <w:rPr>
                <w:rFonts w:ascii="宋体" w:hAnsi="宋体" w:cs="宋体" w:eastAsia="宋体" w:hint="default"/>
                <w:sz w:val="18"/>
                <w:szCs w:val="18"/>
              </w:rPr>
            </w:pPr>
            <w:r>
              <w:rPr>
                <w:rFonts w:ascii="宋体" w:hAnsi="宋体" w:cs="宋体" w:eastAsia="宋体" w:hint="default"/>
                <w:sz w:val="18"/>
                <w:szCs w:val="18"/>
              </w:rPr>
              <w:t>（</w:t>
            </w:r>
            <w:hyperlink r:id="rId9">
              <w:r>
                <w:rPr>
                  <w:rFonts w:ascii="宋体" w:hAnsi="宋体" w:cs="宋体" w:eastAsia="宋体" w:hint="default"/>
                  <w:sz w:val="18"/>
                  <w:szCs w:val="18"/>
                </w:rPr>
                <w:t>www.cninfo.com.cn</w:t>
              </w:r>
            </w:hyperlink>
            <w:r>
              <w:rPr>
                <w:rFonts w:ascii="宋体" w:hAnsi="宋体" w:cs="宋体" w:eastAsia="宋体" w:hint="default"/>
                <w:sz w:val="18"/>
                <w:szCs w:val="18"/>
              </w:rPr>
              <w:t>）</w:t>
            </w:r>
          </w:p>
        </w:tc>
      </w:tr>
      <w:tr>
        <w:trPr>
          <w:trHeight w:val="653" w:hRule="exact"/>
        </w:trPr>
        <w:tc>
          <w:tcPr>
            <w:tcW w:w="185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关于第一期核心人员持股计划存续期展期的公告</w:t>
            </w:r>
          </w:p>
        </w:tc>
        <w:tc>
          <w:tcPr>
            <w:tcW w:w="28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520" w:right="0"/>
              <w:jc w:val="left"/>
              <w:rPr>
                <w:rFonts w:ascii="宋体" w:hAnsi="宋体" w:cs="宋体" w:eastAsia="宋体" w:hint="default"/>
                <w:sz w:val="18"/>
                <w:szCs w:val="18"/>
              </w:rPr>
            </w:pPr>
            <w:r>
              <w:rPr>
                <w:rFonts w:ascii="宋体" w:hAnsi="宋体" w:cs="宋体" w:eastAsia="宋体" w:hint="default"/>
                <w:sz w:val="18"/>
                <w:szCs w:val="18"/>
              </w:rPr>
              <w:t>查询网站：巨潮资讯网</w:t>
            </w:r>
          </w:p>
          <w:p>
            <w:pPr>
              <w:pStyle w:val="TableParagraph"/>
              <w:spacing w:line="240" w:lineRule="auto" w:before="76"/>
              <w:ind w:left="475" w:right="0"/>
              <w:jc w:val="left"/>
              <w:rPr>
                <w:rFonts w:ascii="宋体" w:hAnsi="宋体" w:cs="宋体" w:eastAsia="宋体" w:hint="default"/>
                <w:sz w:val="18"/>
                <w:szCs w:val="18"/>
              </w:rPr>
            </w:pPr>
            <w:r>
              <w:rPr>
                <w:rFonts w:ascii="宋体" w:hAnsi="宋体" w:cs="宋体" w:eastAsia="宋体" w:hint="default"/>
                <w:sz w:val="18"/>
                <w:szCs w:val="18"/>
              </w:rPr>
              <w:t>（</w:t>
            </w:r>
            <w:hyperlink r:id="rId9">
              <w:r>
                <w:rPr>
                  <w:rFonts w:ascii="宋体" w:hAnsi="宋体" w:cs="宋体" w:eastAsia="宋体" w:hint="default"/>
                  <w:sz w:val="18"/>
                  <w:szCs w:val="18"/>
                </w:rPr>
                <w:t>www.cninfo.com.cn</w:t>
              </w:r>
            </w:hyperlink>
            <w:r>
              <w:rPr>
                <w:rFonts w:ascii="宋体" w:hAnsi="宋体" w:cs="宋体" w:eastAsia="宋体" w:hint="default"/>
                <w:sz w:val="18"/>
                <w:szCs w:val="18"/>
              </w:rPr>
              <w:t>）</w:t>
            </w:r>
          </w:p>
        </w:tc>
      </w:tr>
      <w:tr>
        <w:trPr>
          <w:trHeight w:val="665" w:hRule="exact"/>
        </w:trPr>
        <w:tc>
          <w:tcPr>
            <w:tcW w:w="185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w:t>
            </w:r>
            <w:r>
              <w:rPr>
                <w:rFonts w:ascii="宋体" w:hAnsi="宋体" w:cs="宋体" w:eastAsia="宋体" w:hint="default"/>
                <w:sz w:val="18"/>
                <w:szCs w:val="18"/>
              </w:rPr>
              <w:t>日</w:t>
            </w:r>
          </w:p>
        </w:tc>
        <w:tc>
          <w:tcPr>
            <w:tcW w:w="49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85"/>
              <w:jc w:val="center"/>
              <w:rPr>
                <w:rFonts w:ascii="宋体" w:hAnsi="宋体" w:cs="宋体" w:eastAsia="宋体" w:hint="default"/>
                <w:sz w:val="18"/>
                <w:szCs w:val="18"/>
              </w:rPr>
            </w:pPr>
            <w:r>
              <w:rPr>
                <w:rFonts w:ascii="宋体" w:hAnsi="宋体" w:cs="宋体" w:eastAsia="宋体" w:hint="default"/>
                <w:sz w:val="18"/>
                <w:szCs w:val="18"/>
              </w:rPr>
              <w:t>关于第一期核心人员持股计划出售完毕暨计划终止的公告</w:t>
            </w:r>
          </w:p>
        </w:tc>
        <w:tc>
          <w:tcPr>
            <w:tcW w:w="284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0"/>
              <w:ind w:left="520" w:right="0"/>
              <w:jc w:val="left"/>
              <w:rPr>
                <w:rFonts w:ascii="宋体" w:hAnsi="宋体" w:cs="宋体" w:eastAsia="宋体" w:hint="default"/>
                <w:sz w:val="18"/>
                <w:szCs w:val="18"/>
              </w:rPr>
            </w:pPr>
            <w:r>
              <w:rPr>
                <w:rFonts w:ascii="宋体" w:hAnsi="宋体" w:cs="宋体" w:eastAsia="宋体" w:hint="default"/>
                <w:sz w:val="18"/>
                <w:szCs w:val="18"/>
              </w:rPr>
              <w:t>查询网站：巨潮资讯网</w:t>
            </w:r>
          </w:p>
          <w:p>
            <w:pPr>
              <w:pStyle w:val="TableParagraph"/>
              <w:spacing w:line="240" w:lineRule="auto" w:before="76"/>
              <w:ind w:left="475" w:right="0"/>
              <w:jc w:val="left"/>
              <w:rPr>
                <w:rFonts w:ascii="宋体" w:hAnsi="宋体" w:cs="宋体" w:eastAsia="宋体" w:hint="default"/>
                <w:sz w:val="18"/>
                <w:szCs w:val="18"/>
              </w:rPr>
            </w:pPr>
            <w:r>
              <w:rPr>
                <w:rFonts w:ascii="宋体" w:hAnsi="宋体" w:cs="宋体" w:eastAsia="宋体" w:hint="default"/>
                <w:sz w:val="18"/>
                <w:szCs w:val="18"/>
              </w:rPr>
              <w:t>（</w:t>
            </w:r>
            <w:hyperlink r:id="rId9">
              <w:r>
                <w:rPr>
                  <w:rFonts w:ascii="宋体" w:hAnsi="宋体" w:cs="宋体" w:eastAsia="宋体" w:hint="default"/>
                  <w:sz w:val="18"/>
                  <w:szCs w:val="18"/>
                </w:rPr>
                <w:t>www.cninfo.com.cn</w:t>
              </w:r>
            </w:hyperlink>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367" w:lineRule="exact"/>
        <w:ind w:right="0"/>
        <w:jc w:val="left"/>
        <w:rPr>
          <w:b w:val="0"/>
          <w:bCs w:val="0"/>
        </w:rPr>
      </w:pPr>
      <w:r>
        <w:rPr/>
        <w:t>十五、重大关联交易</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54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after="0" w:line="338" w:lineRule="auto"/>
        <w:jc w:val="left"/>
        <w:sectPr>
          <w:pgSz w:w="11910" w:h="16840"/>
          <w:pgMar w:header="745" w:footer="1133" w:top="1060" w:bottom="1320" w:left="980" w:right="980"/>
        </w:sectPr>
      </w:pPr>
    </w:p>
    <w:p>
      <w:pPr>
        <w:spacing w:line="240" w:lineRule="auto" w:before="10"/>
        <w:rPr>
          <w:rFonts w:ascii="宋体" w:hAnsi="宋体" w:cs="宋体" w:eastAsia="宋体" w:hint="default"/>
          <w:sz w:val="24"/>
          <w:szCs w:val="24"/>
        </w:rPr>
      </w:pPr>
    </w:p>
    <w:p>
      <w:pPr>
        <w:pStyle w:val="Heading3"/>
        <w:spacing w:line="335" w:lineRule="exact"/>
        <w:ind w:right="116"/>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62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6"/>
        <w:rPr>
          <w:rFonts w:ascii="宋体" w:hAnsi="宋体" w:cs="宋体" w:eastAsia="宋体" w:hint="default"/>
          <w:sz w:val="16"/>
          <w:szCs w:val="16"/>
        </w:rPr>
      </w:pPr>
    </w:p>
    <w:p>
      <w:pPr>
        <w:pStyle w:val="Heading3"/>
        <w:spacing w:line="240" w:lineRule="auto"/>
        <w:ind w:right="116"/>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6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6"/>
        <w:rPr>
          <w:rFonts w:ascii="宋体" w:hAnsi="宋体" w:cs="宋体" w:eastAsia="宋体" w:hint="default"/>
          <w:sz w:val="16"/>
          <w:szCs w:val="16"/>
        </w:rPr>
      </w:pPr>
    </w:p>
    <w:p>
      <w:pPr>
        <w:pStyle w:val="Heading3"/>
        <w:spacing w:line="240" w:lineRule="auto"/>
        <w:ind w:right="116"/>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439" w:lineRule="auto"/>
        <w:ind w:left="515" w:right="116" w:hanging="363"/>
        <w:jc w:val="left"/>
      </w:pPr>
      <w:r>
        <w:rPr/>
        <w:t>√ 适用 □</w:t>
      </w:r>
      <w:r>
        <w:rPr>
          <w:spacing w:val="3"/>
        </w:rPr>
        <w:t> </w:t>
      </w:r>
      <w:r>
        <w:rPr/>
        <w:t>不适用</w:t>
      </w:r>
      <w:r>
        <w:rPr/>
        <w:t> </w:t>
      </w:r>
      <w:r>
        <w:rPr>
          <w:rFonts w:ascii="宋体" w:hAnsi="宋体" w:cs="宋体" w:eastAsia="宋体" w:hint="default"/>
          <w:spacing w:val="-2"/>
        </w:rPr>
        <w:t>2017</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23</w:t>
      </w:r>
      <w:r>
        <w:rPr>
          <w:spacing w:val="-2"/>
        </w:rPr>
        <w:t>日，公司召开第三届董事会第一次临时会议审议通过了《关于公司与关联方共同投资暨关联交易的议案》，</w:t>
      </w:r>
    </w:p>
    <w:p>
      <w:pPr>
        <w:pStyle w:val="BodyText"/>
        <w:spacing w:line="477" w:lineRule="auto" w:before="83"/>
        <w:ind w:right="114"/>
        <w:jc w:val="left"/>
      </w:pPr>
      <w:r>
        <w:rPr/>
        <w:t>公司</w:t>
      </w:r>
      <w:r>
        <w:rPr>
          <w:color w:val="242424"/>
        </w:rPr>
        <w:t>与关联方浙江华睿北信源数据信息产业投资合伙企业、非关联人</w:t>
      </w:r>
      <w:r>
        <w:rPr/>
        <w:t>周丽芳共同对杭州芸品绿信息科技有限公司进行增资，</w:t>
      </w:r>
      <w:r>
        <w:rPr/>
        <w:t> 公司使用自有资金</w:t>
      </w:r>
      <w:r>
        <w:rPr>
          <w:rFonts w:ascii="宋体" w:hAnsi="宋体" w:cs="宋体" w:eastAsia="宋体" w:hint="default"/>
        </w:rPr>
        <w:t>500</w:t>
      </w:r>
      <w:r>
        <w:rPr/>
        <w:t>万元人民币向芸品绿增资，截至报告期末，已完成工商变更登记。</w:t>
      </w:r>
    </w:p>
    <w:p>
      <w:pPr>
        <w:pStyle w:val="BodyText"/>
        <w:spacing w:line="477" w:lineRule="auto" w:before="54"/>
        <w:ind w:right="216" w:firstLine="362"/>
        <w:jc w:val="both"/>
      </w:pP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17</w:t>
      </w:r>
      <w:r>
        <w:rPr/>
        <w:t>日，公司召开第三届董事会第二次会议审议通过了《关于</w:t>
      </w:r>
      <w:r>
        <w:rPr>
          <w:rFonts w:ascii="宋体" w:hAnsi="宋体" w:cs="宋体" w:eastAsia="宋体" w:hint="default"/>
        </w:rPr>
        <w:t>2016</w:t>
      </w:r>
      <w:r>
        <w:rPr/>
        <w:t>年度日常关联交易的确认及</w:t>
      </w:r>
      <w:r>
        <w:rPr>
          <w:rFonts w:ascii="宋体" w:hAnsi="宋体" w:cs="宋体" w:eastAsia="宋体" w:hint="default"/>
        </w:rPr>
        <w:t>2017</w:t>
      </w:r>
      <w:r>
        <w:rPr/>
        <w:t>年度日常关 联交易预计的议案》，公司与关联方发生交易，出于公司生产经营需要，定价公允、合理。</w:t>
      </w:r>
    </w:p>
    <w:p>
      <w:pPr>
        <w:pStyle w:val="BodyText"/>
        <w:spacing w:line="477" w:lineRule="auto" w:before="54"/>
        <w:ind w:right="210" w:firstLine="334"/>
        <w:jc w:val="both"/>
      </w:pP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18</w:t>
      </w:r>
      <w:r>
        <w:rPr/>
        <w:t>日，公司召开第三届董事会第四次临时会议，审议通过《关于公司与关联方共同投资暨关联交易的议案， </w:t>
      </w:r>
      <w:r>
        <w:rPr>
          <w:spacing w:val="-2"/>
        </w:rPr>
        <w:t>公司与关联方深圳市金城保密技术有限公司、非关联方中孚信息股份有限公司、北京中健祥电子科技有限公司、北京天融信</w:t>
      </w:r>
      <w:r>
        <w:rPr>
          <w:spacing w:val="-63"/>
        </w:rPr>
        <w:t> </w:t>
      </w:r>
      <w:r>
        <w:rPr>
          <w:spacing w:val="-63"/>
        </w:rPr>
      </w:r>
      <w:r>
        <w:rPr>
          <w:spacing w:val="-2"/>
        </w:rPr>
        <w:t>网络安全技术有限公司、蓝盾信息安全技术有限公司等五家信息安全保密技术企业共同签署了《国保联盟信息安全技术有限</w:t>
      </w:r>
    </w:p>
    <w:p>
      <w:pPr>
        <w:pStyle w:val="BodyText"/>
        <w:spacing w:line="436" w:lineRule="auto" w:before="54"/>
        <w:ind w:right="2274"/>
        <w:jc w:val="left"/>
      </w:pPr>
      <w:r>
        <w:rPr/>
        <w:t>公司出资协议》，公司以自有资金出资</w:t>
      </w:r>
      <w:r>
        <w:rPr>
          <w:rFonts w:ascii="宋体" w:hAnsi="宋体" w:cs="宋体" w:eastAsia="宋体" w:hint="default"/>
        </w:rPr>
        <w:t>1000</w:t>
      </w:r>
      <w:r>
        <w:rPr/>
        <w:t>万元人民币，截至报告期末，已完成工商变更登记。 重大关联交易临时报告披露网站相关查询</w:t>
      </w:r>
    </w:p>
    <w:p>
      <w:pPr>
        <w:spacing w:line="240" w:lineRule="auto" w:before="10"/>
        <w:rPr>
          <w:rFonts w:ascii="宋体" w:hAnsi="宋体" w:cs="宋体" w:eastAsia="宋体" w:hint="default"/>
          <w:sz w:val="28"/>
          <w:szCs w:val="28"/>
        </w:rPr>
      </w:pPr>
    </w:p>
    <w:p>
      <w:pPr>
        <w:pStyle w:val="BodyText"/>
        <w:spacing w:line="240" w:lineRule="auto" w:before="44"/>
        <w:ind w:left="0" w:right="120"/>
        <w:jc w:val="right"/>
      </w:pPr>
      <w:r>
        <w:rPr/>
        <w:pict>
          <v:shape style="position:absolute;margin-left:54.959999pt;margin-top:-20.888304pt;width:485.65pt;height:127.7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07"/>
                    <w:gridCol w:w="2686"/>
                    <w:gridCol w:w="3505"/>
                  </w:tblGrid>
                  <w:tr>
                    <w:trPr>
                      <w:trHeight w:val="401" w:hRule="exact"/>
                    </w:trPr>
                    <w:tc>
                      <w:tcPr>
                        <w:tcW w:w="3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北信源：关于与关联方共同投资暨关联交易 的公告</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0"/>
                          <w:jc w:val="left"/>
                          <w:rPr>
                            <w:rFonts w:ascii="宋体" w:hAnsi="宋体" w:cs="宋体" w:eastAsia="宋体" w:hint="default"/>
                            <w:sz w:val="18"/>
                            <w:szCs w:val="18"/>
                          </w:rPr>
                        </w:pPr>
                        <w:r>
                          <w:rPr>
                            <w:rFonts w:ascii="宋体" w:hAnsi="宋体" w:cs="宋体" w:eastAsia="宋体" w:hint="default"/>
                            <w:spacing w:val="-6"/>
                            <w:sz w:val="18"/>
                            <w:szCs w:val="18"/>
                          </w:rPr>
                          <w:t>巨潮资讯网（</w:t>
                        </w:r>
                        <w:hyperlink r:id="rId9">
                          <w:r>
                            <w:rPr>
                              <w:rFonts w:ascii="宋体" w:hAnsi="宋体" w:cs="宋体" w:eastAsia="宋体" w:hint="default"/>
                              <w:spacing w:val="-6"/>
                              <w:sz w:val="18"/>
                              <w:szCs w:val="18"/>
                            </w:rPr>
                            <w:t>www.cninfo.com.cn</w:t>
                          </w:r>
                        </w:hyperlink>
                        <w:r>
                          <w:rPr>
                            <w:rFonts w:ascii="宋体" w:hAnsi="宋体" w:cs="宋体" w:eastAsia="宋体" w:hint="default"/>
                            <w:spacing w:val="-6"/>
                            <w:sz w:val="18"/>
                            <w:szCs w:val="18"/>
                          </w:rPr>
                          <w:t>）公告编码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2017-010</w:t>
                        </w:r>
                      </w:p>
                    </w:tc>
                  </w:tr>
                  <w:tr>
                    <w:trPr>
                      <w:trHeight w:val="71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10"/>
                            <w:sz w:val="18"/>
                            <w:szCs w:val="18"/>
                          </w:rPr>
                          <w:t>北信源：关于</w:t>
                        </w:r>
                        <w:r>
                          <w:rPr>
                            <w:rFonts w:ascii="宋体" w:hAnsi="宋体" w:cs="宋体" w:eastAsia="宋体" w:hint="default"/>
                            <w:spacing w:val="-47"/>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年度日常关联交易的确认</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及</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年度日常关联交易预计的公告</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0"/>
                          <w:jc w:val="left"/>
                          <w:rPr>
                            <w:rFonts w:ascii="宋体" w:hAnsi="宋体" w:cs="宋体" w:eastAsia="宋体" w:hint="default"/>
                            <w:sz w:val="18"/>
                            <w:szCs w:val="18"/>
                          </w:rPr>
                        </w:pPr>
                        <w:r>
                          <w:rPr>
                            <w:rFonts w:ascii="宋体" w:hAnsi="宋体" w:cs="宋体" w:eastAsia="宋体" w:hint="default"/>
                            <w:spacing w:val="-6"/>
                            <w:sz w:val="18"/>
                            <w:szCs w:val="18"/>
                          </w:rPr>
                          <w:t>巨潮资讯网（</w:t>
                        </w:r>
                        <w:hyperlink r:id="rId9">
                          <w:r>
                            <w:rPr>
                              <w:rFonts w:ascii="宋体" w:hAnsi="宋体" w:cs="宋体" w:eastAsia="宋体" w:hint="default"/>
                              <w:spacing w:val="-6"/>
                              <w:sz w:val="18"/>
                              <w:szCs w:val="18"/>
                            </w:rPr>
                            <w:t>www.cninfo.com.cn</w:t>
                          </w:r>
                        </w:hyperlink>
                        <w:r>
                          <w:rPr>
                            <w:rFonts w:ascii="宋体" w:hAnsi="宋体" w:cs="宋体" w:eastAsia="宋体" w:hint="default"/>
                            <w:spacing w:val="-6"/>
                            <w:sz w:val="18"/>
                            <w:szCs w:val="18"/>
                          </w:rPr>
                          <w:t>）公告编码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2017-019</w:t>
                        </w:r>
                      </w:p>
                    </w:tc>
                  </w:tr>
                  <w:tr>
                    <w:trPr>
                      <w:trHeight w:val="71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北信源：关于与关联方共同投资暨关联交易 的公告</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0"/>
                          <w:jc w:val="left"/>
                          <w:rPr>
                            <w:rFonts w:ascii="宋体" w:hAnsi="宋体" w:cs="宋体" w:eastAsia="宋体" w:hint="default"/>
                            <w:sz w:val="18"/>
                            <w:szCs w:val="18"/>
                          </w:rPr>
                        </w:pPr>
                        <w:r>
                          <w:rPr>
                            <w:rFonts w:ascii="宋体" w:hAnsi="宋体" w:cs="宋体" w:eastAsia="宋体" w:hint="default"/>
                            <w:spacing w:val="-6"/>
                            <w:sz w:val="18"/>
                            <w:szCs w:val="18"/>
                          </w:rPr>
                          <w:t>巨潮资讯网（</w:t>
                        </w:r>
                        <w:hyperlink r:id="rId9">
                          <w:r>
                            <w:rPr>
                              <w:rFonts w:ascii="宋体" w:hAnsi="宋体" w:cs="宋体" w:eastAsia="宋体" w:hint="default"/>
                              <w:spacing w:val="-6"/>
                              <w:sz w:val="18"/>
                              <w:szCs w:val="18"/>
                            </w:rPr>
                            <w:t>www.cninfo.com.cn</w:t>
                          </w:r>
                        </w:hyperlink>
                        <w:r>
                          <w:rPr>
                            <w:rFonts w:ascii="宋体" w:hAnsi="宋体" w:cs="宋体" w:eastAsia="宋体" w:hint="default"/>
                            <w:spacing w:val="-6"/>
                            <w:sz w:val="18"/>
                            <w:szCs w:val="18"/>
                          </w:rPr>
                          <w:t>）公告编码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2017-044</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ind w:left="0" w:right="120"/>
        <w:jc w:val="right"/>
      </w:pPr>
      <w:r>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left="0" w:right="12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90"/>
        <w:ind w:right="116"/>
        <w:jc w:val="left"/>
        <w:rPr>
          <w:b w:val="0"/>
          <w:bCs w:val="0"/>
        </w:rPr>
      </w:pPr>
      <w:r>
        <w:rPr/>
        <w:t>十六、重大合同及其履行情况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116"/>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116"/>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1133" w:top="1060" w:bottom="1320" w:left="980" w:right="92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公司报告期不存在托管情况。</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728"/>
        <w:gridCol w:w="937"/>
        <w:gridCol w:w="914"/>
        <w:gridCol w:w="1416"/>
        <w:gridCol w:w="1131"/>
        <w:gridCol w:w="1138"/>
        <w:gridCol w:w="849"/>
        <w:gridCol w:w="802"/>
        <w:gridCol w:w="783"/>
      </w:tblGrid>
      <w:tr>
        <w:trPr>
          <w:trHeight w:val="403" w:hRule="exact"/>
        </w:trPr>
        <w:tc>
          <w:tcPr>
            <w:tcW w:w="969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9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7" w:right="97"/>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 w:right="0"/>
              <w:jc w:val="center"/>
              <w:rPr>
                <w:rFonts w:ascii="宋体" w:hAnsi="宋体" w:cs="宋体" w:eastAsia="宋体" w:hint="default"/>
                <w:sz w:val="18"/>
                <w:szCs w:val="18"/>
              </w:rPr>
            </w:pPr>
            <w:r>
              <w:rPr>
                <w:rFonts w:ascii="宋体" w:hAnsi="宋体" w:cs="宋体" w:eastAsia="宋体" w:hint="default"/>
                <w:sz w:val="18"/>
                <w:szCs w:val="18"/>
              </w:rPr>
              <w:t>担保额度</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51" w:right="21" w:hanging="228"/>
              <w:jc w:val="left"/>
              <w:rPr>
                <w:rFonts w:ascii="宋体" w:hAnsi="宋体" w:cs="宋体" w:eastAsia="宋体" w:hint="default"/>
                <w:sz w:val="18"/>
                <w:szCs w:val="18"/>
              </w:rPr>
            </w:pPr>
            <w:r>
              <w:rPr>
                <w:rFonts w:ascii="宋体" w:hAnsi="宋体" w:cs="宋体" w:eastAsia="宋体" w:hint="default"/>
                <w:spacing w:val="-11"/>
                <w:sz w:val="18"/>
                <w:szCs w:val="18"/>
              </w:rPr>
              <w:t>实际发生日期（协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议签署日）</w:t>
            </w:r>
          </w:p>
        </w:tc>
        <w:tc>
          <w:tcPr>
            <w:tcW w:w="1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70" w:right="108"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9" w:right="30"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7"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3" w:hRule="exact"/>
        </w:trPr>
        <w:tc>
          <w:tcPr>
            <w:tcW w:w="969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7" w:right="97"/>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 w:right="0"/>
              <w:jc w:val="center"/>
              <w:rPr>
                <w:rFonts w:ascii="宋体" w:hAnsi="宋体" w:cs="宋体" w:eastAsia="宋体" w:hint="default"/>
                <w:sz w:val="18"/>
                <w:szCs w:val="18"/>
              </w:rPr>
            </w:pPr>
            <w:r>
              <w:rPr>
                <w:rFonts w:ascii="宋体" w:hAnsi="宋体" w:cs="宋体" w:eastAsia="宋体" w:hint="default"/>
                <w:sz w:val="18"/>
                <w:szCs w:val="18"/>
              </w:rPr>
              <w:t>担保额度</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51" w:right="21" w:hanging="228"/>
              <w:jc w:val="left"/>
              <w:rPr>
                <w:rFonts w:ascii="宋体" w:hAnsi="宋体" w:cs="宋体" w:eastAsia="宋体" w:hint="default"/>
                <w:sz w:val="18"/>
                <w:szCs w:val="18"/>
              </w:rPr>
            </w:pPr>
            <w:r>
              <w:rPr>
                <w:rFonts w:ascii="宋体" w:hAnsi="宋体" w:cs="宋体" w:eastAsia="宋体" w:hint="default"/>
                <w:spacing w:val="-11"/>
                <w:sz w:val="18"/>
                <w:szCs w:val="18"/>
              </w:rPr>
              <w:t>实际发生日期（协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议签署日）</w:t>
            </w:r>
          </w:p>
        </w:tc>
        <w:tc>
          <w:tcPr>
            <w:tcW w:w="1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70" w:right="108"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6"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7"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5"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江苏神州信源系统工 程有限公司</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3,000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3,000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6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9"/>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330"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4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r>
      <w:tr>
        <w:trPr>
          <w:trHeight w:val="720" w:hRule="exact"/>
        </w:trPr>
        <w:tc>
          <w:tcPr>
            <w:tcW w:w="26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9"/>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330"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4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r>
      <w:tr>
        <w:trPr>
          <w:trHeight w:val="396" w:hRule="exact"/>
        </w:trPr>
        <w:tc>
          <w:tcPr>
            <w:tcW w:w="969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7"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10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担保额度</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1" w:right="21" w:hanging="228"/>
              <w:jc w:val="left"/>
              <w:rPr>
                <w:rFonts w:ascii="宋体" w:hAnsi="宋体" w:cs="宋体" w:eastAsia="宋体" w:hint="default"/>
                <w:sz w:val="18"/>
                <w:szCs w:val="18"/>
              </w:rPr>
            </w:pPr>
            <w:r>
              <w:rPr>
                <w:rFonts w:ascii="宋体" w:hAnsi="宋体" w:cs="宋体" w:eastAsia="宋体" w:hint="default"/>
                <w:spacing w:val="-11"/>
                <w:sz w:val="18"/>
                <w:szCs w:val="18"/>
              </w:rPr>
              <w:t>实际发生日期（协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议签署日）</w:t>
            </w:r>
          </w:p>
        </w:tc>
        <w:tc>
          <w:tcPr>
            <w:tcW w:w="1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0" w:right="108"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2" w:right="3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6" w:hRule="exact"/>
        </w:trPr>
        <w:tc>
          <w:tcPr>
            <w:tcW w:w="969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20" w:hRule="exact"/>
        </w:trPr>
        <w:tc>
          <w:tcPr>
            <w:tcW w:w="26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330"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72"/>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4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6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tc>
        <w:tc>
          <w:tcPr>
            <w:tcW w:w="23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tc>
        <w:tc>
          <w:tcPr>
            <w:tcW w:w="24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33" w:top="1060" w:bottom="1320" w:left="980" w:right="980"/>
        </w:sectPr>
      </w:pPr>
    </w:p>
    <w:p>
      <w:pPr>
        <w:spacing w:line="240" w:lineRule="auto" w:before="6"/>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2672"/>
        <w:gridCol w:w="2323"/>
        <w:gridCol w:w="2268"/>
        <w:gridCol w:w="2434"/>
      </w:tblGrid>
      <w:tr>
        <w:trPr>
          <w:trHeight w:val="36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32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434"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49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w:t>
            </w:r>
          </w:p>
        </w:tc>
      </w:tr>
      <w:tr>
        <w:trPr>
          <w:trHeight w:val="398" w:hRule="exact"/>
        </w:trPr>
        <w:tc>
          <w:tcPr>
            <w:tcW w:w="96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1133" w:top="1060" w:bottom="1320" w:left="980" w:right="98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320" w:left="980" w:right="980"/>
          <w:cols w:num="2" w:equalWidth="0">
            <w:col w:w="1953" w:space="6787"/>
            <w:col w:w="1210"/>
          </w:cols>
        </w:sectPr>
      </w:pP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894"/>
        <w:gridCol w:w="1988"/>
        <w:gridCol w:w="2009"/>
        <w:gridCol w:w="1935"/>
        <w:gridCol w:w="1872"/>
      </w:tblGrid>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0"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3"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2,110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2,110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320" w:left="980" w:right="980"/>
        </w:sectPr>
      </w:pPr>
    </w:p>
    <w:p>
      <w:pPr>
        <w:pStyle w:val="BodyText"/>
        <w:spacing w:line="240" w:lineRule="auto" w:before="49"/>
        <w:ind w:right="-20"/>
        <w:jc w:val="left"/>
      </w:pPr>
      <w:r>
        <w:rPr/>
        <w:t>单项金额重大或安全性较低、流动性较差、不保本的高风险委托理财具体情况</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320" w:left="980" w:right="980"/>
          <w:cols w:num="2" w:equalWidth="0">
            <w:col w:w="6273" w:space="2467"/>
            <w:col w:w="1210"/>
          </w:cols>
        </w:sectPr>
      </w:pP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581"/>
        <w:gridCol w:w="598"/>
        <w:gridCol w:w="617"/>
        <w:gridCol w:w="583"/>
        <w:gridCol w:w="567"/>
        <w:gridCol w:w="569"/>
        <w:gridCol w:w="569"/>
        <w:gridCol w:w="566"/>
        <w:gridCol w:w="569"/>
        <w:gridCol w:w="569"/>
        <w:gridCol w:w="566"/>
        <w:gridCol w:w="569"/>
        <w:gridCol w:w="569"/>
        <w:gridCol w:w="555"/>
        <w:gridCol w:w="554"/>
        <w:gridCol w:w="554"/>
        <w:gridCol w:w="542"/>
      </w:tblGrid>
      <w:tr>
        <w:trPr>
          <w:trHeight w:val="2273" w:hRule="exact"/>
        </w:trPr>
        <w:tc>
          <w:tcPr>
            <w:tcW w:w="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6" w:right="103"/>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6" w:lineRule="auto" w:before="19"/>
              <w:ind w:left="106" w:right="103"/>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19"/>
              <w:jc w:val="center"/>
              <w:rPr>
                <w:rFonts w:ascii="宋体" w:hAnsi="宋体" w:cs="宋体" w:eastAsia="宋体" w:hint="default"/>
                <w:sz w:val="18"/>
                <w:szCs w:val="18"/>
              </w:rPr>
            </w:pPr>
            <w:r>
              <w:rPr>
                <w:rFonts w:ascii="宋体" w:hAnsi="宋体" w:cs="宋体" w:eastAsia="宋体" w:hint="default"/>
                <w:sz w:val="18"/>
                <w:szCs w:val="18"/>
              </w:rPr>
              <w:t>受托机 构（或 受托 人）类 型</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13" w:right="31"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98" w:right="98"/>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100" w:right="96"/>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98" w:right="98"/>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98" w:right="96"/>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00" w:right="96"/>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8" w:right="98"/>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98" w:right="96"/>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6" w:lineRule="auto" w:before="20"/>
              <w:ind w:left="189" w:right="96" w:hanging="92"/>
              <w:jc w:val="left"/>
              <w:rPr>
                <w:rFonts w:ascii="宋体" w:hAnsi="宋体" w:cs="宋体" w:eastAsia="宋体" w:hint="default"/>
                <w:sz w:val="18"/>
                <w:szCs w:val="18"/>
              </w:rPr>
            </w:pPr>
            <w:r>
              <w:rPr>
                <w:rFonts w:ascii="宋体" w:hAnsi="宋体" w:cs="宋体" w:eastAsia="宋体" w:hint="default"/>
                <w:sz w:val="18"/>
                <w:szCs w:val="18"/>
              </w:rPr>
              <w:t>（如 有</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0" w:right="96"/>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8"/>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6" w:lineRule="auto" w:before="19"/>
              <w:ind w:left="93" w:right="89"/>
              <w:jc w:val="both"/>
              <w:rPr>
                <w:rFonts w:ascii="宋体" w:hAnsi="宋体" w:cs="宋体" w:eastAsia="宋体" w:hint="default"/>
                <w:sz w:val="18"/>
                <w:szCs w:val="18"/>
              </w:rPr>
            </w:pPr>
            <w:r>
              <w:rPr>
                <w:rFonts w:ascii="宋体" w:hAnsi="宋体" w:cs="宋体" w:eastAsia="宋体" w:hint="default"/>
                <w:sz w:val="18"/>
                <w:szCs w:val="18"/>
              </w:rPr>
              <w:t>（如 有）</w:t>
            </w:r>
          </w:p>
        </w:tc>
        <w:tc>
          <w:tcPr>
            <w:tcW w:w="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1" w:right="91"/>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19"/>
                <w:sz w:val="18"/>
                <w:szCs w:val="18"/>
              </w:rPr>
              <w:t>引（如</w:t>
            </w:r>
            <w:r>
              <w:rPr>
                <w:rFonts w:ascii="宋体" w:hAnsi="宋体" w:cs="宋体" w:eastAsia="宋体" w:hint="default"/>
                <w:sz w:val="18"/>
                <w:szCs w:val="18"/>
              </w:rPr>
              <w:t> 有）</w:t>
            </w:r>
          </w:p>
        </w:tc>
      </w:tr>
      <w:tr>
        <w:trPr>
          <w:trHeight w:val="1963"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85"/>
              <w:jc w:val="left"/>
              <w:rPr>
                <w:rFonts w:ascii="宋体" w:hAnsi="宋体" w:cs="宋体" w:eastAsia="宋体" w:hint="default"/>
                <w:sz w:val="18"/>
                <w:szCs w:val="18"/>
              </w:rPr>
            </w:pPr>
            <w:r>
              <w:rPr>
                <w:rFonts w:ascii="宋体" w:hAnsi="宋体" w:cs="宋体" w:eastAsia="宋体" w:hint="default"/>
                <w:sz w:val="18"/>
                <w:szCs w:val="18"/>
              </w:rPr>
              <w:t>交通 银行</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蕴通</w:t>
            </w:r>
          </w:p>
          <w:p>
            <w:pPr>
              <w:pStyle w:val="TableParagraph"/>
              <w:spacing w:line="309" w:lineRule="auto" w:before="63"/>
              <w:ind w:left="23" w:right="84"/>
              <w:jc w:val="left"/>
              <w:rPr>
                <w:rFonts w:ascii="宋体" w:hAnsi="宋体" w:cs="宋体" w:eastAsia="宋体" w:hint="default"/>
                <w:sz w:val="18"/>
                <w:szCs w:val="18"/>
              </w:rPr>
            </w:pPr>
            <w:r>
              <w:rPr>
                <w:rFonts w:ascii="宋体" w:hAnsi="宋体" w:cs="宋体" w:eastAsia="宋体" w:hint="default"/>
                <w:sz w:val="18"/>
                <w:szCs w:val="18"/>
              </w:rPr>
              <w:t>财富</w:t>
            </w:r>
            <w:r>
              <w:rPr>
                <w:rFonts w:ascii="Times New Roman" w:hAnsi="Times New Roman" w:cs="Times New Roman" w:eastAsia="Times New Roman" w:hint="default"/>
                <w:sz w:val="18"/>
                <w:szCs w:val="18"/>
              </w:rPr>
              <w:t>. </w:t>
            </w:r>
            <w:r>
              <w:rPr>
                <w:rFonts w:ascii="宋体" w:hAnsi="宋体" w:cs="宋体" w:eastAsia="宋体" w:hint="default"/>
                <w:sz w:val="18"/>
                <w:szCs w:val="18"/>
              </w:rPr>
              <w:t>生息 </w:t>
            </w:r>
            <w:r>
              <w:rPr>
                <w:rFonts w:ascii="Times New Roman" w:hAnsi="Times New Roman" w:cs="Times New Roman" w:eastAsia="Times New Roman" w:hint="default"/>
                <w:sz w:val="18"/>
                <w:szCs w:val="18"/>
              </w:rPr>
              <w:t>365 </w:t>
            </w:r>
            <w:r>
              <w:rPr>
                <w:rFonts w:ascii="宋体" w:hAnsi="宋体" w:cs="宋体" w:eastAsia="宋体" w:hint="default"/>
                <w:sz w:val="18"/>
                <w:szCs w:val="18"/>
              </w:rPr>
              <w:t>增</w:t>
            </w:r>
          </w:p>
          <w:p>
            <w:pPr>
              <w:pStyle w:val="TableParagraph"/>
              <w:spacing w:line="300" w:lineRule="auto" w:before="5"/>
              <w:ind w:left="23" w:right="141"/>
              <w:jc w:val="left"/>
              <w:rPr>
                <w:rFonts w:ascii="宋体" w:hAnsi="宋体" w:cs="宋体" w:eastAsia="宋体" w:hint="default"/>
                <w:sz w:val="18"/>
                <w:szCs w:val="18"/>
              </w:rPr>
            </w:pPr>
            <w:r>
              <w:rPr>
                <w:rFonts w:ascii="宋体" w:hAnsi="宋体" w:cs="宋体" w:eastAsia="宋体" w:hint="default"/>
                <w:sz w:val="18"/>
                <w:szCs w:val="18"/>
              </w:rPr>
              <w:t>强版</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产品</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1,410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71"/>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25"/>
              <w:ind w:left="23" w:right="95"/>
              <w:jc w:val="left"/>
              <w:rPr>
                <w:rFonts w:ascii="宋体" w:hAnsi="宋体" w:cs="宋体" w:eastAsia="宋体" w:hint="default"/>
                <w:sz w:val="18"/>
                <w:szCs w:val="18"/>
              </w:rPr>
            </w:pPr>
            <w:r>
              <w:rPr>
                <w:rFonts w:ascii="Times New Roman" w:hAnsi="Times New Roman" w:cs="Times New Roman" w:eastAsia="Times New Roman" w:hint="default"/>
                <w:sz w:val="18"/>
                <w:szCs w:val="18"/>
              </w:rPr>
              <w:t>3R </w:t>
            </w:r>
            <w:r>
              <w:rPr>
                <w:rFonts w:ascii="宋体" w:hAnsi="宋体" w:cs="宋体" w:eastAsia="宋体" w:hint="default"/>
                <w:sz w:val="18"/>
                <w:szCs w:val="18"/>
              </w:rPr>
              <w:t>较 低风 险资 产</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171"/>
              <w:jc w:val="both"/>
              <w:rPr>
                <w:rFonts w:ascii="宋体" w:hAnsi="宋体" w:cs="宋体" w:eastAsia="宋体" w:hint="default"/>
                <w:sz w:val="18"/>
                <w:szCs w:val="18"/>
              </w:rPr>
            </w:pPr>
            <w:r>
              <w:rPr>
                <w:rFonts w:ascii="宋体" w:hAnsi="宋体" w:cs="宋体" w:eastAsia="宋体" w:hint="default"/>
                <w:sz w:val="18"/>
                <w:szCs w:val="18"/>
              </w:rPr>
              <w:t>赎回 时确 认</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3.20%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z w:val="18"/>
              </w:rPr>
              <w:t>12.2</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2"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4" w:right="185"/>
              <w:jc w:val="left"/>
              <w:rPr>
                <w:rFonts w:ascii="宋体" w:hAnsi="宋体" w:cs="宋体" w:eastAsia="宋体" w:hint="default"/>
                <w:sz w:val="18"/>
                <w:szCs w:val="18"/>
              </w:rPr>
            </w:pPr>
            <w:r>
              <w:rPr>
                <w:rFonts w:ascii="宋体" w:hAnsi="宋体" w:cs="宋体" w:eastAsia="宋体" w:hint="default"/>
                <w:sz w:val="18"/>
                <w:szCs w:val="18"/>
              </w:rPr>
              <w:t>交通 银行</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蕴通</w:t>
            </w:r>
          </w:p>
          <w:p>
            <w:pPr>
              <w:pStyle w:val="TableParagraph"/>
              <w:spacing w:line="300" w:lineRule="auto" w:before="60"/>
              <w:ind w:left="23" w:right="176"/>
              <w:jc w:val="left"/>
              <w:rPr>
                <w:rFonts w:ascii="宋体" w:hAnsi="宋体" w:cs="宋体" w:eastAsia="宋体" w:hint="default"/>
                <w:sz w:val="18"/>
                <w:szCs w:val="18"/>
              </w:rPr>
            </w:pPr>
            <w:r>
              <w:rPr>
                <w:rFonts w:ascii="宋体" w:hAnsi="宋体" w:cs="宋体" w:eastAsia="宋体" w:hint="default"/>
                <w:sz w:val="18"/>
                <w:szCs w:val="18"/>
              </w:rPr>
              <w:t>财富</w:t>
            </w:r>
            <w:r>
              <w:rPr>
                <w:rFonts w:ascii="Times New Roman" w:hAnsi="Times New Roman" w:cs="Times New Roman" w:eastAsia="Times New Roman" w:hint="default"/>
                <w:sz w:val="18"/>
                <w:szCs w:val="18"/>
              </w:rPr>
              <w:t>. </w:t>
            </w:r>
            <w:r>
              <w:rPr>
                <w:rFonts w:ascii="宋体" w:hAnsi="宋体" w:cs="宋体" w:eastAsia="宋体" w:hint="default"/>
                <w:sz w:val="18"/>
                <w:szCs w:val="18"/>
              </w:rPr>
              <w:t>生息</w:t>
            </w:r>
          </w:p>
          <w:p>
            <w:pPr>
              <w:pStyle w:val="TableParagraph"/>
              <w:spacing w:line="240" w:lineRule="auto" w:before="3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365”</w:t>
            </w:r>
            <w:r>
              <w:rPr>
                <w:rFonts w:ascii="宋体" w:hAnsi="宋体" w:cs="宋体" w:eastAsia="宋体" w:hint="default"/>
                <w:sz w:val="18"/>
                <w:szCs w:val="18"/>
              </w:rPr>
              <w:t>产</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品</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4" w:right="171"/>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5"/>
              <w:ind w:left="23" w:right="95"/>
              <w:jc w:val="left"/>
              <w:rPr>
                <w:rFonts w:ascii="宋体" w:hAnsi="宋体" w:cs="宋体" w:eastAsia="宋体" w:hint="default"/>
                <w:sz w:val="18"/>
                <w:szCs w:val="18"/>
              </w:rPr>
            </w:pPr>
            <w:r>
              <w:rPr>
                <w:rFonts w:ascii="Times New Roman" w:hAnsi="Times New Roman" w:cs="Times New Roman" w:eastAsia="Times New Roman" w:hint="default"/>
                <w:sz w:val="18"/>
                <w:szCs w:val="18"/>
              </w:rPr>
              <w:t>2R </w:t>
            </w:r>
            <w:r>
              <w:rPr>
                <w:rFonts w:ascii="宋体" w:hAnsi="宋体" w:cs="宋体" w:eastAsia="宋体" w:hint="default"/>
                <w:sz w:val="18"/>
                <w:szCs w:val="18"/>
              </w:rPr>
              <w:t>低 风险 资产</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171"/>
              <w:jc w:val="both"/>
              <w:rPr>
                <w:rFonts w:ascii="宋体" w:hAnsi="宋体" w:cs="宋体" w:eastAsia="宋体" w:hint="default"/>
                <w:sz w:val="18"/>
                <w:szCs w:val="18"/>
              </w:rPr>
            </w:pPr>
            <w:r>
              <w:rPr>
                <w:rFonts w:ascii="宋体" w:hAnsi="宋体" w:cs="宋体" w:eastAsia="宋体" w:hint="default"/>
                <w:sz w:val="18"/>
                <w:szCs w:val="18"/>
              </w:rPr>
              <w:t>赎回 时确 认</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3.20%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w:t>
            </w:r>
            <w:r>
              <w:rPr>
                <w:rFonts w:ascii="Times New Roman"/>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2.41</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8"/>
              <w:jc w:val="right"/>
              <w:rPr>
                <w:rFonts w:ascii="Times New Roman" w:hAnsi="Times New Roman" w:cs="Times New Roman" w:eastAsia="Times New Roman" w:hint="default"/>
                <w:sz w:val="18"/>
                <w:szCs w:val="18"/>
              </w:rPr>
            </w:pPr>
            <w:r>
              <w:rPr>
                <w:rFonts w:ascii="Times New Roman"/>
                <w:spacing w:val="-1"/>
                <w:sz w:val="18"/>
              </w:rPr>
              <w:t>2.41</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9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2,110</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14.61</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14.61</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8"/>
              <w:jc w:val="right"/>
              <w:rPr>
                <w:rFonts w:ascii="Times New Roman" w:hAnsi="Times New Roman" w:cs="Times New Roman" w:eastAsia="Times New Roman" w:hint="default"/>
                <w:sz w:val="18"/>
                <w:szCs w:val="18"/>
              </w:rPr>
            </w:pPr>
            <w:r>
              <w:rPr>
                <w:rFonts w:ascii="Times New Roman"/>
                <w:sz w:val="18"/>
              </w:rPr>
              <w:t>--</w:t>
            </w:r>
          </w:p>
        </w:tc>
        <w:tc>
          <w:tcPr>
            <w:tcW w:w="555"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32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94"/>
        <w:jc w:val="left"/>
      </w:pPr>
      <w:r>
        <w:rPr/>
        <w:t>委托理财出现预期无法收回本金或存在其他可能导致减值的情形</w:t>
      </w:r>
    </w:p>
    <w:p>
      <w:pPr>
        <w:pStyle w:val="BodyText"/>
        <w:spacing w:line="240" w:lineRule="auto" w:before="117"/>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7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4"/>
        <w:rPr>
          <w:rFonts w:ascii="宋体" w:hAnsi="宋体" w:cs="宋体" w:eastAsia="宋体" w:hint="default"/>
          <w:sz w:val="16"/>
          <w:szCs w:val="16"/>
        </w:rPr>
      </w:pPr>
    </w:p>
    <w:p>
      <w:pPr>
        <w:pStyle w:val="Heading3"/>
        <w:spacing w:line="240" w:lineRule="auto"/>
        <w:ind w:right="94"/>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40" w:lineRule="auto"/>
        <w:ind w:right="7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8"/>
        <w:rPr>
          <w:rFonts w:ascii="宋体" w:hAnsi="宋体" w:cs="宋体" w:eastAsia="宋体" w:hint="default"/>
          <w:sz w:val="13"/>
          <w:szCs w:val="13"/>
        </w:rPr>
      </w:pPr>
    </w:p>
    <w:p>
      <w:pPr>
        <w:pStyle w:val="Heading2"/>
        <w:spacing w:line="240" w:lineRule="auto"/>
        <w:ind w:right="94"/>
        <w:jc w:val="left"/>
        <w:rPr>
          <w:b w:val="0"/>
          <w:bCs w:val="0"/>
        </w:rPr>
      </w:pPr>
      <w:r>
        <w:rPr/>
        <w:t>十七、社会责任情况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94"/>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8"/>
        <w:rPr>
          <w:rFonts w:ascii="Microsoft JhengHei" w:hAnsi="Microsoft JhengHei" w:cs="Microsoft JhengHei" w:eastAsia="Microsoft JhengHei" w:hint="default"/>
          <w:b/>
          <w:bCs/>
          <w:sz w:val="20"/>
          <w:szCs w:val="20"/>
        </w:rPr>
      </w:pPr>
    </w:p>
    <w:p>
      <w:pPr>
        <w:spacing w:line="403" w:lineRule="auto" w:before="0"/>
        <w:ind w:left="513" w:right="94" w:hanging="89"/>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（一）股东及债权人权益保护</w:t>
      </w:r>
      <w:r>
        <w:rPr>
          <w:rFonts w:ascii="Microsoft JhengHei" w:hAnsi="Microsoft JhengHei" w:cs="Microsoft JhengHei" w:eastAsia="Microsoft JhengHei" w:hint="default"/>
          <w:b/>
          <w:bCs/>
          <w:spacing w:val="-38"/>
          <w:sz w:val="18"/>
          <w:szCs w:val="18"/>
        </w:rPr>
        <w:t> </w:t>
      </w:r>
      <w:r>
        <w:rPr>
          <w:rFonts w:ascii="Microsoft JhengHei" w:hAnsi="Microsoft JhengHei" w:cs="Microsoft JhengHei" w:eastAsia="Microsoft JhengHei" w:hint="default"/>
          <w:b/>
          <w:bCs/>
          <w:spacing w:val="-38"/>
          <w:sz w:val="18"/>
          <w:szCs w:val="18"/>
        </w:rPr>
      </w:r>
      <w:r>
        <w:rPr>
          <w:rFonts w:ascii="宋体" w:hAnsi="宋体" w:cs="宋体" w:eastAsia="宋体" w:hint="default"/>
          <w:spacing w:val="-2"/>
          <w:sz w:val="18"/>
          <w:szCs w:val="18"/>
        </w:rPr>
        <w:t>公司严格按照《公司法》、《证券法》、《股票上市规则》等法律法规、部门规章、规范性文件和公司章程的规定，依</w:t>
      </w:r>
    </w:p>
    <w:p>
      <w:pPr>
        <w:pStyle w:val="BodyText"/>
        <w:spacing w:line="477" w:lineRule="auto" w:before="110"/>
        <w:ind w:right="191"/>
        <w:jc w:val="both"/>
      </w:pPr>
      <w:r>
        <w:rPr>
          <w:spacing w:val="-2"/>
        </w:rPr>
        <w:t>法召开股东大会，积极主动采用网络投票等方式扩大股东参与股东大会的比例。报告期内，公司不断完善法人治理结构，保</w:t>
      </w:r>
      <w:r>
        <w:rPr>
          <w:spacing w:val="-64"/>
        </w:rPr>
        <w:t> </w:t>
      </w:r>
      <w:r>
        <w:rPr>
          <w:spacing w:val="-64"/>
        </w:rPr>
      </w:r>
      <w:r>
        <w:rPr>
          <w:spacing w:val="-2"/>
        </w:rPr>
        <w:t>障股东知情权、参与权及分红权的实现，积极实施现金分红政策，确保股东投资回报；不断完善内控体系及治理结构，严格</w:t>
      </w:r>
      <w:r>
        <w:rPr>
          <w:spacing w:val="-67"/>
        </w:rPr>
        <w:t> </w:t>
      </w:r>
      <w:r>
        <w:rPr>
          <w:spacing w:val="-67"/>
        </w:rPr>
      </w:r>
      <w:r>
        <w:rPr>
          <w:spacing w:val="-2"/>
        </w:rPr>
        <w:t>履行信息披露义务，真实、准确、完整、及时、公平地向所有股东披露信息；通过网上业绩说明会、投资者电话、传真、电</w:t>
      </w:r>
      <w:r>
        <w:rPr>
          <w:spacing w:val="-70"/>
        </w:rPr>
        <w:t> </w:t>
      </w:r>
      <w:r>
        <w:rPr>
          <w:spacing w:val="-70"/>
        </w:rPr>
      </w:r>
      <w:r>
        <w:rPr>
          <w:spacing w:val="-2"/>
        </w:rPr>
        <w:t>子邮箱和投资者关系互动平台、接待投资者现场调研等多种方式与投资者进行沟通交流，建立良好的互动平台。同时，公司</w:t>
      </w:r>
      <w:r>
        <w:rPr>
          <w:spacing w:val="-64"/>
        </w:rPr>
        <w:t> </w:t>
      </w:r>
      <w:r>
        <w:rPr>
          <w:spacing w:val="-64"/>
        </w:rPr>
      </w:r>
      <w:r>
        <w:rPr>
          <w:spacing w:val="-2"/>
        </w:rPr>
        <w:t>的财务政策稳健，资产、资金安全，在维护股东利益的同时兼顾债权人的利益。报告期内，公司无大股东及关联方占用公司</w:t>
      </w:r>
      <w:r>
        <w:rPr>
          <w:spacing w:val="-67"/>
        </w:rPr>
        <w:t> </w:t>
      </w:r>
      <w:r>
        <w:rPr>
          <w:spacing w:val="-67"/>
        </w:rPr>
      </w:r>
      <w:r>
        <w:rPr/>
        <w:t>资金情形，亦不存在将资金直接或间接地提供给大股东及关联方使用的各种情形，公司无任何形式的对外担保事项。</w:t>
      </w:r>
    </w:p>
    <w:p>
      <w:pPr>
        <w:pStyle w:val="BodyText"/>
        <w:spacing w:line="403" w:lineRule="auto"/>
        <w:ind w:left="513" w:right="94" w:hanging="89"/>
        <w:jc w:val="left"/>
      </w:pPr>
      <w:r>
        <w:rPr>
          <w:rFonts w:ascii="Microsoft JhengHei" w:hAnsi="Microsoft JhengHei" w:cs="Microsoft JhengHei" w:eastAsia="Microsoft JhengHei" w:hint="default"/>
          <w:b/>
          <w:bCs/>
        </w:rPr>
        <w:t>（二）职工权益保护</w:t>
      </w:r>
      <w:r>
        <w:rPr>
          <w:rFonts w:ascii="Microsoft JhengHei" w:hAnsi="Microsoft JhengHei" w:cs="Microsoft JhengHei" w:eastAsia="Microsoft JhengHei" w:hint="default"/>
          <w:b/>
          <w:bCs/>
          <w:spacing w:val="-40"/>
        </w:rPr>
        <w:t> </w:t>
      </w:r>
      <w:r>
        <w:rPr>
          <w:rFonts w:ascii="Microsoft JhengHei" w:hAnsi="Microsoft JhengHei" w:cs="Microsoft JhengHei" w:eastAsia="Microsoft JhengHei" w:hint="default"/>
          <w:b/>
          <w:bCs/>
          <w:spacing w:val="-40"/>
        </w:rPr>
      </w:r>
      <w:r>
        <w:rPr>
          <w:spacing w:val="-2"/>
        </w:rPr>
        <w:t>公司始终坚持“以人为本”的核心价值观，尊重员工人格，关注员工健康、安全和满意度，保障员工合法权益，致力于</w:t>
      </w:r>
    </w:p>
    <w:p>
      <w:pPr>
        <w:pStyle w:val="BodyText"/>
        <w:spacing w:line="477" w:lineRule="auto" w:before="110"/>
        <w:ind w:right="94"/>
        <w:jc w:val="left"/>
      </w:pPr>
      <w:r>
        <w:rPr>
          <w:spacing w:val="-2"/>
        </w:rPr>
        <w:t>培育员工的认同感和归属感，实现员工与企业共同成长。为员工提供健康、安全的工作环境；尊重和保护员工权益，严格贯</w:t>
      </w:r>
      <w:r>
        <w:rPr>
          <w:spacing w:val="-67"/>
        </w:rPr>
        <w:t> </w:t>
      </w:r>
      <w:r>
        <w:rPr>
          <w:spacing w:val="-67"/>
        </w:rPr>
      </w:r>
      <w:r>
        <w:rPr>
          <w:spacing w:val="-2"/>
        </w:rPr>
        <w:t>彻执行《劳动合同法》《社会保险法》等各项法律法规；不断完善具有吸引力和竞争性的福利体系；改善员工生产环境，定</w:t>
      </w:r>
      <w:r>
        <w:rPr>
          <w:spacing w:val="-68"/>
        </w:rPr>
        <w:t> </w:t>
      </w:r>
      <w:r>
        <w:rPr>
          <w:spacing w:val="-68"/>
        </w:rPr>
      </w:r>
      <w:r>
        <w:rPr>
          <w:spacing w:val="-2"/>
        </w:rPr>
        <w:t>期发放节日礼品；持续优化员工关怀体系，努力为员工提供更好的工作环境及更多的人文关怀；公司继续完善员工生活设施</w:t>
      </w:r>
      <w:r>
        <w:rPr>
          <w:spacing w:val="-63"/>
        </w:rPr>
        <w:t> </w:t>
      </w:r>
      <w:r>
        <w:rPr>
          <w:spacing w:val="-63"/>
        </w:rPr>
      </w:r>
      <w:r>
        <w:rPr/>
        <w:t>建设，公司定期举办技术交流活动，定期评选优秀员工并给予奖励；注重员工培训与职业规划，积极开展职工内外部培训， </w:t>
      </w:r>
      <w:r>
        <w:rPr>
          <w:spacing w:val="-2"/>
        </w:rPr>
        <w:t>公司试行内部讲师培训体系并按需求要求专家进行授课培训，提升自身素质和综合能力，并为员工发展提供更多的机会和广</w:t>
      </w:r>
      <w:r>
        <w:rPr>
          <w:spacing w:val="-64"/>
        </w:rPr>
        <w:t> </w:t>
      </w:r>
      <w:r>
        <w:rPr>
          <w:spacing w:val="-64"/>
        </w:rPr>
      </w:r>
      <w:r>
        <w:rPr/>
        <w:t>阔的舞台。</w:t>
      </w:r>
    </w:p>
    <w:p>
      <w:pPr>
        <w:spacing w:line="403" w:lineRule="auto" w:before="0"/>
        <w:ind w:left="513" w:right="183" w:hanging="89"/>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（三）供应商、客户权益保护</w:t>
      </w:r>
      <w:r>
        <w:rPr>
          <w:rFonts w:ascii="Microsoft JhengHei" w:hAnsi="Microsoft JhengHei" w:cs="Microsoft JhengHei" w:eastAsia="Microsoft JhengHei" w:hint="default"/>
          <w:b/>
          <w:bCs/>
          <w:spacing w:val="-38"/>
          <w:sz w:val="18"/>
          <w:szCs w:val="18"/>
        </w:rPr>
        <w:t> </w:t>
      </w:r>
      <w:r>
        <w:rPr>
          <w:rFonts w:ascii="Microsoft JhengHei" w:hAnsi="Microsoft JhengHei" w:cs="Microsoft JhengHei" w:eastAsia="Microsoft JhengHei" w:hint="default"/>
          <w:b/>
          <w:bCs/>
          <w:spacing w:val="-38"/>
          <w:sz w:val="18"/>
          <w:szCs w:val="18"/>
        </w:rPr>
      </w:r>
      <w:r>
        <w:rPr>
          <w:rFonts w:ascii="宋体" w:hAnsi="宋体" w:cs="宋体" w:eastAsia="宋体" w:hint="default"/>
          <w:sz w:val="18"/>
          <w:szCs w:val="18"/>
        </w:rPr>
        <w:t>依托现有供应商、客户，采用市场</w:t>
      </w:r>
      <w:r>
        <w:rPr>
          <w:rFonts w:ascii="宋体" w:hAnsi="宋体" w:cs="宋体" w:eastAsia="宋体" w:hint="default"/>
          <w:sz w:val="18"/>
          <w:szCs w:val="18"/>
        </w:rPr>
        <w:t>/</w:t>
      </w:r>
      <w:r>
        <w:rPr>
          <w:rFonts w:ascii="宋体" w:hAnsi="宋体" w:cs="宋体" w:eastAsia="宋体" w:hint="default"/>
          <w:sz w:val="18"/>
          <w:szCs w:val="18"/>
        </w:rPr>
        <w:t>客户延伸策略，采用有所为，有所不为的营销策略，开展与其长期、紧密合作，形</w:t>
      </w:r>
    </w:p>
    <w:p>
      <w:pPr>
        <w:spacing w:after="0" w:line="403" w:lineRule="auto"/>
        <w:jc w:val="left"/>
        <w:rPr>
          <w:rFonts w:ascii="宋体" w:hAnsi="宋体" w:cs="宋体" w:eastAsia="宋体" w:hint="default"/>
          <w:sz w:val="18"/>
          <w:szCs w:val="18"/>
        </w:rPr>
        <w:sectPr>
          <w:pgSz w:w="11910" w:h="16840"/>
          <w:pgMar w:header="745" w:footer="1133" w:top="1060" w:bottom="132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94"/>
        <w:jc w:val="left"/>
      </w:pPr>
      <w:r>
        <w:rPr/>
        <w:t>成资源共享、资金互补、共同市场、紧密型客户关系，与供应商、客户实现双赢策略，保持同供应商、客户良好合作关系， </w:t>
      </w:r>
      <w:r>
        <w:rPr>
          <w:spacing w:val="-2"/>
        </w:rPr>
        <w:t>不断拓展、延伸业务。并通过自身的规范运作积极带动供应商及外协厂商不断规范经营，引导上下游合作伙伴企业相关经营</w:t>
      </w:r>
      <w:r>
        <w:rPr>
          <w:spacing w:val="-66"/>
        </w:rPr>
        <w:t> </w:t>
      </w:r>
      <w:r>
        <w:rPr>
          <w:spacing w:val="-66"/>
        </w:rPr>
      </w:r>
      <w:r>
        <w:rPr/>
        <w:t>决策者理解社会责任经营的重要性。</w:t>
      </w:r>
    </w:p>
    <w:p>
      <w:pPr>
        <w:spacing w:line="240" w:lineRule="auto" w:before="4"/>
        <w:rPr>
          <w:rFonts w:ascii="宋体" w:hAnsi="宋体" w:cs="宋体" w:eastAsia="宋体" w:hint="default"/>
          <w:sz w:val="14"/>
          <w:szCs w:val="14"/>
        </w:rPr>
      </w:pPr>
    </w:p>
    <w:p>
      <w:pPr>
        <w:pStyle w:val="Heading3"/>
        <w:spacing w:line="240" w:lineRule="auto"/>
        <w:ind w:right="94"/>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）精准扶贫规划</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4"/>
        <w:jc w:val="left"/>
      </w:pPr>
      <w:r>
        <w:rPr/>
        <w:t>公司报告期内，暂未开展精准扶贫工作，也暂无后续精准扶贫计划。</w:t>
      </w:r>
    </w:p>
    <w:p>
      <w:pPr>
        <w:spacing w:line="240" w:lineRule="auto" w:before="2"/>
        <w:rPr>
          <w:rFonts w:ascii="宋体" w:hAnsi="宋体" w:cs="宋体" w:eastAsia="宋体" w:hint="default"/>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4"/>
        <w:jc w:val="left"/>
      </w:pPr>
      <w:r>
        <w:rPr/>
        <w:t>公司报告期内，暂未开展精准扶贫工作，也暂无后续精准扶贫计划。</w:t>
      </w:r>
    </w:p>
    <w:p>
      <w:pPr>
        <w:spacing w:line="240" w:lineRule="auto" w:before="1"/>
        <w:rPr>
          <w:rFonts w:ascii="宋体" w:hAnsi="宋体" w:cs="宋体" w:eastAsia="宋体" w:hint="default"/>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3</w:t>
      </w:r>
      <w:r>
        <w:rPr/>
        <w:t>）后续精准扶贫计划</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225" w:right="94"/>
        <w:jc w:val="left"/>
      </w:pPr>
      <w:r>
        <w:rPr/>
        <w:t>目前暂无后续精准扶贫计划。</w:t>
      </w:r>
    </w:p>
    <w:p>
      <w:pPr>
        <w:spacing w:line="240" w:lineRule="auto" w:before="1"/>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4774"/>
        <w:jc w:val="left"/>
      </w:pPr>
      <w:r>
        <w:rPr/>
        <w:t>上市公司及其子公司是否属于环境保护部门公布的重点排污单位 否</w:t>
      </w:r>
    </w:p>
    <w:p>
      <w:pPr>
        <w:pStyle w:val="BodyText"/>
        <w:spacing w:line="240" w:lineRule="auto" w:before="29"/>
        <w:ind w:right="94"/>
        <w:jc w:val="left"/>
      </w:pPr>
      <w:r>
        <w:rPr/>
        <w:t>公司及子公司不属于环境保护部门公布的重点排污单位。</w:t>
      </w:r>
    </w:p>
    <w:p>
      <w:pPr>
        <w:spacing w:line="240" w:lineRule="auto" w:before="5"/>
        <w:rPr>
          <w:rFonts w:ascii="宋体" w:hAnsi="宋体" w:cs="宋体" w:eastAsia="宋体" w:hint="default"/>
          <w:sz w:val="19"/>
          <w:szCs w:val="19"/>
        </w:rPr>
      </w:pPr>
    </w:p>
    <w:p>
      <w:pPr>
        <w:pStyle w:val="Heading2"/>
        <w:spacing w:line="240" w:lineRule="auto"/>
        <w:ind w:right="94"/>
        <w:jc w:val="left"/>
        <w:rPr>
          <w:b w:val="0"/>
          <w:bCs w:val="0"/>
        </w:rPr>
      </w:pPr>
      <w:r>
        <w:rPr/>
        <w:t>十八、其他重大事项的说明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38" w:lineRule="auto"/>
        <w:ind w:right="62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公司报告期不存在需要说明的其他重大事项。</w:t>
      </w:r>
    </w:p>
    <w:p>
      <w:pPr>
        <w:spacing w:line="240" w:lineRule="auto" w:before="10"/>
        <w:rPr>
          <w:rFonts w:ascii="宋体" w:hAnsi="宋体" w:cs="宋体" w:eastAsia="宋体" w:hint="default"/>
          <w:sz w:val="13"/>
          <w:szCs w:val="13"/>
        </w:rPr>
      </w:pPr>
    </w:p>
    <w:p>
      <w:pPr>
        <w:pStyle w:val="Heading2"/>
        <w:spacing w:line="240" w:lineRule="auto"/>
        <w:ind w:right="94"/>
        <w:jc w:val="left"/>
        <w:rPr>
          <w:b w:val="0"/>
          <w:bCs w:val="0"/>
        </w:rPr>
      </w:pPr>
      <w:r>
        <w:rPr/>
        <w:t>十九、公司子公司重大事项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513" w:right="94"/>
        <w:jc w:val="left"/>
      </w:pPr>
      <w:r>
        <w:rPr/>
        <w:t>（一）报告期内，公司全资子公司江苏神州信源系统工程有限公司完成了注册资本的变更由</w:t>
      </w:r>
      <w:r>
        <w:rPr>
          <w:rFonts w:ascii="Times New Roman" w:hAnsi="Times New Roman" w:cs="Times New Roman" w:eastAsia="Times New Roman" w:hint="default"/>
        </w:rPr>
        <w:t>10,000</w:t>
      </w:r>
      <w:r>
        <w:rPr/>
        <w:t>万元变更为</w:t>
      </w:r>
      <w:r>
        <w:rPr>
          <w:rFonts w:ascii="Times New Roman" w:hAnsi="Times New Roman" w:cs="Times New Roman" w:eastAsia="Times New Roman" w:hint="default"/>
        </w:rPr>
        <w:t>20,000</w:t>
      </w:r>
      <w:r>
        <w:rPr/>
        <w:t>万</w:t>
      </w:r>
    </w:p>
    <w:p>
      <w:pPr>
        <w:pStyle w:val="BodyText"/>
        <w:spacing w:line="240" w:lineRule="auto" w:before="63"/>
        <w:ind w:right="94"/>
        <w:jc w:val="left"/>
      </w:pPr>
      <w:r>
        <w:rPr/>
        <w:t>元。</w:t>
      </w:r>
    </w:p>
    <w:p>
      <w:pPr>
        <w:pStyle w:val="BodyText"/>
        <w:spacing w:line="240" w:lineRule="auto" w:before="76"/>
        <w:ind w:left="513" w:right="94"/>
        <w:jc w:val="left"/>
      </w:pPr>
      <w:r>
        <w:rPr/>
        <w:t>（二）报告期内，公司新设全资子公司北信源国际有限公司，并取得企业境外投资证书和项目备案通知书。</w:t>
      </w:r>
    </w:p>
    <w:p>
      <w:pPr>
        <w:pStyle w:val="BodyText"/>
        <w:spacing w:line="240" w:lineRule="auto" w:before="76"/>
        <w:ind w:left="513" w:right="94"/>
        <w:jc w:val="left"/>
      </w:pPr>
      <w:r>
        <w:rPr/>
        <w:t>（三）报告期内，公司新设全资子公司北京北信源信息安全技术有限公司，完成工商登记并取得工商营业执照。</w:t>
      </w:r>
    </w:p>
    <w:p>
      <w:pPr>
        <w:spacing w:line="240" w:lineRule="auto" w:before="1"/>
        <w:rPr>
          <w:rFonts w:ascii="宋体" w:hAnsi="宋体" w:cs="宋体" w:eastAsia="宋体" w:hint="default"/>
          <w:sz w:val="29"/>
          <w:szCs w:val="29"/>
        </w:rPr>
      </w:pPr>
    </w:p>
    <w:tbl>
      <w:tblPr>
        <w:tblW w:w="0" w:type="auto"/>
        <w:jc w:val="left"/>
        <w:tblInd w:w="107" w:type="dxa"/>
        <w:tblLayout w:type="fixed"/>
        <w:tblCellMar>
          <w:top w:w="0" w:type="dxa"/>
          <w:left w:w="0" w:type="dxa"/>
          <w:bottom w:w="0" w:type="dxa"/>
          <w:right w:w="0" w:type="dxa"/>
        </w:tblCellMar>
        <w:tblLook w:val="01E0"/>
      </w:tblPr>
      <w:tblGrid>
        <w:gridCol w:w="4847"/>
        <w:gridCol w:w="4839"/>
      </w:tblGrid>
      <w:tr>
        <w:trPr>
          <w:trHeight w:val="362" w:hRule="exact"/>
        </w:trPr>
        <w:tc>
          <w:tcPr>
            <w:tcW w:w="4847" w:type="dxa"/>
            <w:tcBorders>
              <w:top w:val="single" w:sz="17" w:space="0" w:color="000000"/>
              <w:left w:val="single" w:sz="17" w:space="0" w:color="000000"/>
              <w:bottom w:val="single" w:sz="4" w:space="0" w:color="000000"/>
              <w:right w:val="single" w:sz="4" w:space="0" w:color="000000"/>
            </w:tcBorders>
          </w:tcPr>
          <w:p>
            <w:pPr>
              <w:pStyle w:val="TableParagraph"/>
              <w:spacing w:line="276" w:lineRule="exact"/>
              <w:ind w:left="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事项概述</w:t>
            </w:r>
            <w:r>
              <w:rPr>
                <w:rFonts w:ascii="Microsoft JhengHei" w:hAnsi="Microsoft JhengHei" w:cs="Microsoft JhengHei" w:eastAsia="Microsoft JhengHei" w:hint="default"/>
                <w:sz w:val="18"/>
                <w:szCs w:val="18"/>
              </w:rPr>
            </w:r>
          </w:p>
        </w:tc>
        <w:tc>
          <w:tcPr>
            <w:tcW w:w="4839" w:type="dxa"/>
            <w:tcBorders>
              <w:top w:val="single" w:sz="17" w:space="0" w:color="000000"/>
              <w:left w:val="single" w:sz="4" w:space="0" w:color="000000"/>
              <w:bottom w:val="single" w:sz="4" w:space="0" w:color="000000"/>
              <w:right w:val="single" w:sz="17" w:space="0" w:color="000000"/>
            </w:tcBorders>
          </w:tcPr>
          <w:p>
            <w:pPr>
              <w:pStyle w:val="TableParagraph"/>
              <w:spacing w:line="276" w:lineRule="exact"/>
              <w:ind w:left="6"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临时报告查询索引</w:t>
            </w:r>
            <w:r>
              <w:rPr>
                <w:rFonts w:ascii="Microsoft JhengHei" w:hAnsi="Microsoft JhengHei" w:cs="Microsoft JhengHei" w:eastAsia="Microsoft JhengHei" w:hint="default"/>
                <w:sz w:val="18"/>
                <w:szCs w:val="18"/>
              </w:rPr>
            </w:r>
          </w:p>
        </w:tc>
      </w:tr>
      <w:tr>
        <w:trPr>
          <w:trHeight w:val="420" w:hRule="exact"/>
        </w:trPr>
        <w:tc>
          <w:tcPr>
            <w:tcW w:w="4847"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58"/>
              <w:ind w:left="94" w:right="0"/>
              <w:jc w:val="left"/>
              <w:rPr>
                <w:rFonts w:ascii="宋体" w:hAnsi="宋体" w:cs="宋体" w:eastAsia="宋体" w:hint="default"/>
                <w:sz w:val="18"/>
                <w:szCs w:val="18"/>
              </w:rPr>
            </w:pPr>
            <w:r>
              <w:rPr>
                <w:rFonts w:ascii="宋体" w:hAnsi="宋体" w:cs="宋体" w:eastAsia="宋体" w:hint="default"/>
                <w:sz w:val="18"/>
                <w:szCs w:val="18"/>
              </w:rPr>
              <w:t>关于全资子公司完成工商变更登记并取得营业执照的公告</w:t>
            </w:r>
          </w:p>
        </w:tc>
        <w:tc>
          <w:tcPr>
            <w:tcW w:w="483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宋体" w:hAnsi="宋体" w:cs="宋体" w:eastAsia="宋体" w:hint="default"/>
                  <w:sz w:val="18"/>
                  <w:szCs w:val="18"/>
                </w:rPr>
                <w:t>www.cninfo.com.cn</w:t>
              </w:r>
            </w:hyperlink>
            <w:r>
              <w:rPr>
                <w:rFonts w:ascii="宋体" w:hAnsi="宋体" w:cs="宋体" w:eastAsia="宋体" w:hint="default"/>
                <w:sz w:val="18"/>
                <w:szCs w:val="18"/>
              </w:rPr>
              <w:t>）公告编码</w:t>
            </w:r>
            <w:r>
              <w:rPr>
                <w:rFonts w:ascii="宋体" w:hAnsi="宋体" w:cs="宋体" w:eastAsia="宋体" w:hint="default"/>
                <w:sz w:val="18"/>
                <w:szCs w:val="18"/>
              </w:rPr>
              <w:t>2017-003</w:t>
            </w:r>
          </w:p>
        </w:tc>
      </w:tr>
      <w:tr>
        <w:trPr>
          <w:trHeight w:val="735" w:hRule="exact"/>
        </w:trPr>
        <w:tc>
          <w:tcPr>
            <w:tcW w:w="4847" w:type="dxa"/>
            <w:tcBorders>
              <w:top w:val="single" w:sz="4" w:space="0" w:color="000000"/>
              <w:left w:val="single" w:sz="17" w:space="0" w:color="000000"/>
              <w:bottom w:val="single" w:sz="4" w:space="0" w:color="000000"/>
              <w:right w:val="single" w:sz="4" w:space="0" w:color="000000"/>
            </w:tcBorders>
          </w:tcPr>
          <w:p>
            <w:pPr>
              <w:pStyle w:val="TableParagraph"/>
              <w:spacing w:line="316" w:lineRule="auto" w:before="61"/>
              <w:ind w:left="2" w:right="4"/>
              <w:jc w:val="left"/>
              <w:rPr>
                <w:rFonts w:ascii="宋体" w:hAnsi="宋体" w:cs="宋体" w:eastAsia="宋体" w:hint="default"/>
                <w:sz w:val="18"/>
                <w:szCs w:val="18"/>
              </w:rPr>
            </w:pPr>
            <w:r>
              <w:rPr>
                <w:rFonts w:ascii="宋体" w:hAnsi="宋体" w:cs="宋体" w:eastAsia="宋体" w:hint="default"/>
                <w:spacing w:val="4"/>
                <w:sz w:val="18"/>
                <w:szCs w:val="18"/>
              </w:rPr>
              <w:t>关于对外投资进展情况暨北京北信源信息安全技术有限公司</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完成工商注册登记的公告</w:t>
            </w:r>
          </w:p>
        </w:tc>
        <w:tc>
          <w:tcPr>
            <w:tcW w:w="483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0"/>
              <w:ind w:left="10"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宋体" w:hAnsi="宋体" w:cs="宋体" w:eastAsia="宋体" w:hint="default"/>
                  <w:sz w:val="18"/>
                  <w:szCs w:val="18"/>
                </w:rPr>
                <w:t>www.cninfo.com.cn</w:t>
              </w:r>
            </w:hyperlink>
            <w:r>
              <w:rPr>
                <w:rFonts w:ascii="宋体" w:hAnsi="宋体" w:cs="宋体" w:eastAsia="宋体" w:hint="default"/>
                <w:sz w:val="18"/>
                <w:szCs w:val="18"/>
              </w:rPr>
              <w:t>）公告编码</w:t>
            </w:r>
            <w:r>
              <w:rPr>
                <w:rFonts w:ascii="宋体" w:hAnsi="宋体" w:cs="宋体" w:eastAsia="宋体" w:hint="default"/>
                <w:sz w:val="18"/>
                <w:szCs w:val="18"/>
              </w:rPr>
              <w:t>2017-051</w:t>
            </w:r>
          </w:p>
        </w:tc>
      </w:tr>
      <w:tr>
        <w:trPr>
          <w:trHeight w:val="360" w:hRule="exact"/>
        </w:trPr>
        <w:tc>
          <w:tcPr>
            <w:tcW w:w="4847"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关于取得企业境外投资证书和项目备案通知书的公告。</w:t>
            </w:r>
          </w:p>
        </w:tc>
        <w:tc>
          <w:tcPr>
            <w:tcW w:w="4839"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17"/>
              <w:ind w:left="1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7">
              <w:r>
                <w:rPr>
                  <w:rFonts w:ascii="宋体" w:hAnsi="宋体" w:cs="宋体" w:eastAsia="宋体" w:hint="default"/>
                  <w:sz w:val="18"/>
                  <w:szCs w:val="18"/>
                </w:rPr>
                <w:t>www.cninfo.com.cn???</w:t>
              </w:r>
              <w:r>
                <w:rPr>
                  <w:rFonts w:ascii="宋体" w:hAnsi="宋体" w:cs="宋体" w:eastAsia="宋体" w:hint="default"/>
                  <w:sz w:val="18"/>
                  <w:szCs w:val="18"/>
                </w:rPr>
                <w:t>编码</w:t>
              </w:r>
              <w:r>
                <w:rPr>
                  <w:rFonts w:ascii="宋体" w:hAnsi="宋体" w:cs="宋体" w:eastAsia="宋体" w:hint="default"/>
                  <w:sz w:val="18"/>
                  <w:szCs w:val="18"/>
                </w:rPr>
                <w:t>2017-070</w:t>
              </w:r>
            </w:hyperlink>
          </w:p>
        </w:tc>
      </w:tr>
    </w:tbl>
    <w:p>
      <w:pPr>
        <w:spacing w:after="0" w:line="240" w:lineRule="auto"/>
        <w:jc w:val="center"/>
        <w:rPr>
          <w:rFonts w:ascii="宋体" w:hAnsi="宋体" w:cs="宋体" w:eastAsia="宋体" w:hint="default"/>
          <w:sz w:val="18"/>
          <w:szCs w:val="18"/>
        </w:rPr>
        <w:sectPr>
          <w:pgSz w:w="11910" w:h="16840"/>
          <w:pgMar w:header="745" w:footer="1133" w:top="1060" w:bottom="132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456" w:lineRule="exact"/>
        <w:ind w:left="2964" w:right="0"/>
        <w:jc w:val="left"/>
        <w:rPr>
          <w:b w:val="0"/>
          <w:bCs w:val="0"/>
        </w:rPr>
      </w:pPr>
      <w:bookmarkStart w:name="_TOC_250006" w:id="6"/>
      <w:r>
        <w:rPr/>
        <w:t>第六节 </w:t>
      </w:r>
      <w:r>
        <w:rPr>
          <w:spacing w:val="11"/>
        </w:rPr>
        <w:t> </w:t>
      </w:r>
      <w:r>
        <w:rPr/>
        <w:t>股份变动及股东情况</w:t>
      </w:r>
      <w:bookmarkEnd w:id="6"/>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一、股份变动情况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单位：股</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115"/>
        <w:gridCol w:w="958"/>
        <w:gridCol w:w="701"/>
        <w:gridCol w:w="686"/>
        <w:gridCol w:w="694"/>
        <w:gridCol w:w="955"/>
        <w:gridCol w:w="835"/>
        <w:gridCol w:w="958"/>
        <w:gridCol w:w="1092"/>
        <w:gridCol w:w="703"/>
      </w:tblGrid>
      <w:tr>
        <w:trPr>
          <w:trHeight w:val="403" w:hRule="exact"/>
        </w:trPr>
        <w:tc>
          <w:tcPr>
            <w:tcW w:w="2115" w:type="dxa"/>
            <w:vMerge w:val="restart"/>
            <w:tcBorders>
              <w:top w:val="single" w:sz="4" w:space="0" w:color="000000"/>
              <w:left w:val="single" w:sz="4" w:space="0" w:color="000000"/>
              <w:right w:val="single" w:sz="4" w:space="0" w:color="000000"/>
            </w:tcBorders>
            <w:shd w:val="clear" w:color="auto" w:fill="D2D2D2"/>
          </w:tcPr>
          <w:p>
            <w:pPr/>
          </w:p>
        </w:tc>
        <w:tc>
          <w:tcPr>
            <w:tcW w:w="16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2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115"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9" w:right="65"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公积金转股</w:t>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163,271,642</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28.15%</w:t>
            </w:r>
          </w:p>
        </w:tc>
        <w:tc>
          <w:tcPr>
            <w:tcW w:w="68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244,907,460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-2,177,400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242,730,060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406,001,702</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28.00%</w:t>
            </w:r>
          </w:p>
        </w:tc>
      </w:tr>
      <w:tr>
        <w:trPr>
          <w:trHeight w:val="403" w:hRule="exact"/>
        </w:trPr>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163,271,642</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28.15%</w:t>
            </w:r>
          </w:p>
        </w:tc>
        <w:tc>
          <w:tcPr>
            <w:tcW w:w="68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244,907,460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-2,177,400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242,730,060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406,001,702</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28.00%</w:t>
            </w:r>
          </w:p>
        </w:tc>
      </w:tr>
      <w:tr>
        <w:trPr>
          <w:trHeight w:val="401" w:hRule="exact"/>
        </w:trPr>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163,271,642</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28.15%</w:t>
            </w:r>
          </w:p>
        </w:tc>
        <w:tc>
          <w:tcPr>
            <w:tcW w:w="68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244,907,460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-2,177,400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242,730,060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406,001,702</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28.00%</w:t>
            </w:r>
          </w:p>
        </w:tc>
      </w:tr>
      <w:tr>
        <w:trPr>
          <w:trHeight w:val="403" w:hRule="exact"/>
        </w:trPr>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416,657,993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71.85%</w:t>
            </w:r>
          </w:p>
        </w:tc>
        <w:tc>
          <w:tcPr>
            <w:tcW w:w="68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624,986,992</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2,177,400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627,164,392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1,043,822,385</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72.00%</w:t>
            </w:r>
          </w:p>
        </w:tc>
      </w:tr>
      <w:tr>
        <w:trPr>
          <w:trHeight w:val="401" w:hRule="exact"/>
        </w:trPr>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416,657,993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71.85%</w:t>
            </w:r>
          </w:p>
        </w:tc>
        <w:tc>
          <w:tcPr>
            <w:tcW w:w="68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624,986,992</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2,177,400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627,164,392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1,043,822,385</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72.00%</w:t>
            </w:r>
          </w:p>
        </w:tc>
      </w:tr>
      <w:tr>
        <w:trPr>
          <w:trHeight w:val="403" w:hRule="exact"/>
        </w:trPr>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579,929,635</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869,894,452</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869,894,452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1,449,824,087</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0"/>
        <w:jc w:val="left"/>
      </w:pPr>
      <w:r>
        <w:rPr/>
        <w:t>股份变动的原因</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58"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日，公司召开</w:t>
      </w:r>
      <w:r>
        <w:rPr>
          <w:rFonts w:ascii="Times New Roman" w:hAnsi="Times New Roman" w:cs="Times New Roman" w:eastAsia="Times New Roman" w:hint="default"/>
        </w:rPr>
        <w:t>2016</w:t>
      </w:r>
      <w:r>
        <w:rPr/>
        <w:t>年度股东大会，审议通过了《关于</w:t>
      </w:r>
      <w:r>
        <w:rPr>
          <w:rFonts w:ascii="Times New Roman" w:hAnsi="Times New Roman" w:cs="Times New Roman" w:eastAsia="Times New Roman" w:hint="default"/>
        </w:rPr>
        <w:t>2016</w:t>
      </w:r>
      <w:r>
        <w:rPr/>
        <w:t>年度利润分配及资本公积金转增股本预案的议 案》，同意以截止</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579,929,635</w:t>
      </w:r>
      <w:r>
        <w:rPr/>
        <w:t>为基数，向全体股东每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0.4</w:t>
      </w:r>
      <w:r>
        <w:rPr/>
        <w:t>元（含税）， 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15</w:t>
      </w:r>
      <w:r>
        <w:rPr/>
        <w:t>股，本次权益分派事宜已于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日完成。</w:t>
      </w:r>
    </w:p>
    <w:p>
      <w:pPr>
        <w:pStyle w:val="BodyText"/>
        <w:spacing w:line="307" w:lineRule="auto" w:before="13"/>
        <w:ind w:right="146"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日，公司召开</w:t>
      </w:r>
      <w:r>
        <w:rPr>
          <w:rFonts w:ascii="Times New Roman" w:hAnsi="Times New Roman" w:cs="Times New Roman" w:eastAsia="Times New Roman" w:hint="default"/>
        </w:rPr>
        <w:t>2016</w:t>
      </w:r>
      <w:r>
        <w:rPr/>
        <w:t>年第四次临时股东大会，审议通过了《关于监事会换届选举第三届监事会非职工代 </w:t>
      </w:r>
      <w:r>
        <w:rPr>
          <w:spacing w:val="-2"/>
        </w:rPr>
        <w:t>表监事候选人的议案》，公司监事会换届后原监事哈连琴女士和马承栋先生不再担任公司监事职务，根据深交所相关规定及</w:t>
      </w:r>
      <w:r>
        <w:rPr>
          <w:spacing w:val="-66"/>
        </w:rPr>
        <w:t> </w:t>
      </w:r>
      <w:r>
        <w:rPr>
          <w:spacing w:val="-66"/>
        </w:rPr>
      </w:r>
      <w:r>
        <w:rPr>
          <w:spacing w:val="-2"/>
        </w:rPr>
        <w:t>哈连琴女士、马承栋先生相关承诺，哈连琴女士和马承栋先生自离任公司监事职务半年内，不减持其持有的公司股票，</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1"/>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日，哈连琴女士和马承栋先生切实履行了相关承诺，其持有的公司股票已正式转为无限售流通股。</w:t>
      </w:r>
    </w:p>
    <w:p>
      <w:pPr>
        <w:spacing w:line="240" w:lineRule="auto" w:before="0"/>
        <w:rPr>
          <w:rFonts w:ascii="宋体" w:hAnsi="宋体" w:cs="宋体" w:eastAsia="宋体" w:hint="default"/>
          <w:sz w:val="18"/>
          <w:szCs w:val="18"/>
        </w:rPr>
      </w:pPr>
    </w:p>
    <w:p>
      <w:pPr>
        <w:pStyle w:val="BodyText"/>
        <w:spacing w:line="240" w:lineRule="auto" w:before="125"/>
        <w:ind w:right="0"/>
        <w:jc w:val="left"/>
      </w:pPr>
      <w:r>
        <w:rPr/>
        <w:t>股份变动的批准情况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51" w:firstLine="307"/>
        <w:jc w:val="both"/>
      </w:pPr>
      <w:r>
        <w:rPr>
          <w:spacing w:val="-1"/>
        </w:rPr>
        <w:t>《关于</w:t>
      </w:r>
      <w:r>
        <w:rPr>
          <w:rFonts w:ascii="Times New Roman" w:hAnsi="Times New Roman" w:cs="Times New Roman" w:eastAsia="Times New Roman" w:hint="default"/>
          <w:spacing w:val="-1"/>
        </w:rPr>
        <w:t>2016</w:t>
      </w:r>
      <w:r>
        <w:rPr>
          <w:spacing w:val="-1"/>
        </w:rPr>
        <w:t>年度利润分配及资本公积金转增股本预案的议案》已经公司</w:t>
      </w:r>
      <w:r>
        <w:rPr>
          <w:rFonts w:ascii="Times New Roman" w:hAnsi="Times New Roman" w:cs="Times New Roman" w:eastAsia="Times New Roman" w:hint="default"/>
          <w:spacing w:val="-1"/>
        </w:rPr>
        <w:t>2016</w:t>
      </w:r>
      <w:r>
        <w:rPr>
          <w:spacing w:val="-1"/>
        </w:rPr>
        <w:t>年度股东大会审议通过；《关于监事会换届</w:t>
      </w:r>
      <w:r>
        <w:rPr/>
        <w:t> 选举第三届监事会非职工代表监事候选人的议案》已经公司</w:t>
      </w:r>
      <w:r>
        <w:rPr>
          <w:rFonts w:ascii="Times New Roman" w:hAnsi="Times New Roman" w:cs="Times New Roman" w:eastAsia="Times New Roman" w:hint="default"/>
        </w:rPr>
        <w:t>2016</w:t>
      </w:r>
      <w:r>
        <w:rPr/>
        <w:t>年第四次临时股东大会审议通过。</w:t>
      </w:r>
    </w:p>
    <w:p>
      <w:pPr>
        <w:spacing w:line="240" w:lineRule="auto" w:before="0"/>
        <w:rPr>
          <w:rFonts w:ascii="宋体" w:hAnsi="宋体" w:cs="宋体" w:eastAsia="宋体" w:hint="default"/>
          <w:sz w:val="18"/>
          <w:szCs w:val="18"/>
        </w:rPr>
      </w:pPr>
    </w:p>
    <w:p>
      <w:pPr>
        <w:pStyle w:val="BodyText"/>
        <w:spacing w:line="240" w:lineRule="auto" w:before="130"/>
        <w:ind w:right="0"/>
        <w:jc w:val="left"/>
      </w:pPr>
      <w:r>
        <w:rPr/>
        <w:t>股份变动的过户情况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532" w:right="0"/>
        <w:jc w:val="left"/>
        <w:rPr>
          <w:rFonts w:ascii="Times New Roman" w:hAnsi="Times New Roman" w:cs="Times New Roman" w:eastAsia="Times New Roman" w:hint="default"/>
        </w:rPr>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日，公司发布了《</w:t>
      </w:r>
      <w:r>
        <w:rPr>
          <w:rFonts w:ascii="Times New Roman" w:hAnsi="Times New Roman" w:cs="Times New Roman" w:eastAsia="Times New Roman" w:hint="default"/>
        </w:rPr>
        <w:t>2016</w:t>
      </w:r>
      <w:r>
        <w:rPr/>
        <w:t>年年度权益分派实施公告》（公告编号：</w:t>
      </w:r>
      <w:r>
        <w:rPr>
          <w:rFonts w:ascii="Times New Roman" w:hAnsi="Times New Roman" w:cs="Times New Roman" w:eastAsia="Times New Roman" w:hint="default"/>
        </w:rPr>
        <w:t>2017-032</w:t>
      </w:r>
      <w:r>
        <w:rPr/>
        <w:t>）</w:t>
      </w:r>
      <w:r>
        <w:rPr>
          <w:rFonts w:ascii="Times New Roman" w:hAnsi="Times New Roman" w:cs="Times New Roman" w:eastAsia="Times New Roman" w:hint="default"/>
        </w:rPr>
        <w:t>,</w:t>
      </w:r>
      <w:r>
        <w:rPr>
          <w:rFonts w:ascii="Times New Roman" w:hAnsi="Times New Roman" w:cs="Times New Roman" w:eastAsia="Times New Roman" w:hint="default"/>
          <w:spacing w:val="-10"/>
        </w:rPr>
        <w:t> </w:t>
      </w:r>
      <w:r>
        <w:rPr>
          <w:rFonts w:ascii="Times New Roman" w:hAnsi="Times New Roman" w:cs="Times New Roman" w:eastAsia="Times New Roman" w:hint="default"/>
        </w:rPr>
        <w:t>2016</w:t>
      </w:r>
      <w:r>
        <w:rPr/>
        <w:t>年年度权益分派以</w:t>
      </w:r>
      <w:r>
        <w:rPr>
          <w:rFonts w:ascii="Times New Roman" w:hAnsi="Times New Roman" w:cs="Times New Roman" w:eastAsia="Times New Roman" w:hint="default"/>
        </w:rPr>
        <w:t>2017</w:t>
      </w:r>
    </w:p>
    <w:p>
      <w:pPr>
        <w:pStyle w:val="BodyText"/>
        <w:spacing w:line="240" w:lineRule="auto" w:before="63"/>
        <w:ind w:right="0"/>
        <w:jc w:val="left"/>
      </w:pP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日为股权登记日，所转增股份于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日直接记入股东证券账户。</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right="0"/>
        <w:jc w:val="left"/>
      </w:pPr>
      <w:r>
        <w:rPr/>
        <w:t>股份变动对最近一年和最近一期基本每股收益和稀释每股收益、归属于公司普通股股东的每股净资产等财务指标的影响</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1133" w:top="1060" w:bottom="1320" w:left="980" w:right="980"/>
        </w:sectPr>
      </w:pPr>
    </w:p>
    <w:p>
      <w:pPr>
        <w:spacing w:line="240" w:lineRule="auto" w:before="10"/>
        <w:rPr>
          <w:rFonts w:ascii="宋体" w:hAnsi="宋体" w:cs="宋体" w:eastAsia="宋体" w:hint="default"/>
          <w:sz w:val="25"/>
          <w:szCs w:val="25"/>
        </w:rPr>
      </w:pPr>
    </w:p>
    <w:p>
      <w:pPr>
        <w:pStyle w:val="BodyText"/>
        <w:spacing w:line="316" w:lineRule="auto" w:before="44"/>
        <w:ind w:right="144" w:firstLine="379"/>
        <w:jc w:val="left"/>
      </w:pPr>
      <w:r>
        <w:rPr/>
        <w:t>报告期内，公司总股本由</w:t>
      </w:r>
      <w:r>
        <w:rPr>
          <w:rFonts w:ascii="宋体" w:hAnsi="宋体" w:cs="宋体" w:eastAsia="宋体" w:hint="default"/>
        </w:rPr>
        <w:t>579,929,635</w:t>
      </w:r>
      <w:r>
        <w:rPr/>
        <w:t>股变更为</w:t>
      </w:r>
      <w:r>
        <w:rPr>
          <w:rFonts w:ascii="宋体" w:hAnsi="宋体" w:cs="宋体" w:eastAsia="宋体" w:hint="default"/>
        </w:rPr>
        <w:t>1,449,824,087</w:t>
      </w:r>
      <w:r>
        <w:rPr/>
        <w:t>股，按最新股本计算，</w:t>
      </w:r>
      <w:r>
        <w:rPr>
          <w:rFonts w:ascii="宋体" w:hAnsi="宋体" w:cs="宋体" w:eastAsia="宋体" w:hint="default"/>
        </w:rPr>
        <w:t>2017</w:t>
      </w:r>
      <w:r>
        <w:rPr/>
        <w:t>年基本每股收益</w:t>
      </w:r>
      <w:r>
        <w:rPr>
          <w:rFonts w:ascii="宋体" w:hAnsi="宋体" w:cs="宋体" w:eastAsia="宋体" w:hint="default"/>
        </w:rPr>
        <w:t>0.0631</w:t>
      </w:r>
      <w:r>
        <w:rPr/>
        <w:t>元， 稀释每股收益</w:t>
      </w:r>
      <w:r>
        <w:rPr>
          <w:rFonts w:ascii="宋体" w:hAnsi="宋体" w:cs="宋体" w:eastAsia="宋体" w:hint="default"/>
        </w:rPr>
        <w:t>0.0631</w:t>
      </w:r>
      <w:r>
        <w:rPr/>
        <w:t>元，归属于公司普通股股东的每股净资产</w:t>
      </w:r>
      <w:r>
        <w:rPr>
          <w:rFonts w:ascii="宋体" w:hAnsi="宋体" w:cs="宋体" w:eastAsia="宋体" w:hint="default"/>
        </w:rPr>
        <w:t>1.53</w:t>
      </w:r>
      <w:r>
        <w:rPr/>
        <w:t>元</w:t>
      </w:r>
      <w:r>
        <w:rPr>
          <w:rFonts w:ascii="宋体" w:hAnsi="宋体" w:cs="宋体" w:eastAsia="宋体" w:hint="default"/>
        </w:rPr>
        <w:t>/</w:t>
      </w:r>
      <w:r>
        <w:rPr/>
        <w:t>股，详情参见“第二节公司简介和主要财务指标”之 “五、主要会计数据和财务指标”。</w:t>
      </w:r>
    </w:p>
    <w:p>
      <w:pPr>
        <w:pStyle w:val="BodyText"/>
        <w:spacing w:line="240" w:lineRule="auto" w:before="59"/>
        <w:ind w:right="0"/>
        <w:jc w:val="left"/>
      </w:pPr>
      <w:r>
        <w:rPr/>
        <w:t>公司认为必要或证券监管机构要求披露的其他内容</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单位：股</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025"/>
        <w:gridCol w:w="1416"/>
        <w:gridCol w:w="1558"/>
        <w:gridCol w:w="1548"/>
        <w:gridCol w:w="1385"/>
        <w:gridCol w:w="1388"/>
        <w:gridCol w:w="1378"/>
      </w:tblGrid>
      <w:tr>
        <w:trPr>
          <w:trHeight w:val="404" w:hRule="exact"/>
        </w:trPr>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8"/>
              <w:jc w:val="right"/>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227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林皓</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148,462,500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222,693,748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371,156,248</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3"/>
              <w:jc w:val="left"/>
              <w:rPr>
                <w:rFonts w:ascii="Times New Roman" w:hAnsi="Times New Roman" w:cs="Times New Roman" w:eastAsia="Times New Roman" w:hint="default"/>
                <w:sz w:val="18"/>
                <w:szCs w:val="18"/>
              </w:rPr>
            </w:pPr>
            <w:r>
              <w:rPr>
                <w:rFonts w:ascii="宋体" w:hAnsi="宋体" w:cs="宋体" w:eastAsia="宋体" w:hint="default"/>
                <w:sz w:val="18"/>
                <w:szCs w:val="18"/>
              </w:rPr>
              <w:t>按高管股份解除 限售的相关规 定，在任职期间 每年转让的公司 股份不超过其持 有公司股份总数 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2276"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855,000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1,282,500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2,137,500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3"/>
              <w:jc w:val="left"/>
              <w:rPr>
                <w:rFonts w:ascii="Times New Roman" w:hAnsi="Times New Roman" w:cs="Times New Roman" w:eastAsia="Times New Roman" w:hint="default"/>
                <w:sz w:val="18"/>
                <w:szCs w:val="18"/>
              </w:rPr>
            </w:pPr>
            <w:r>
              <w:rPr>
                <w:rFonts w:ascii="宋体" w:hAnsi="宋体" w:cs="宋体" w:eastAsia="宋体" w:hint="default"/>
                <w:sz w:val="18"/>
                <w:szCs w:val="18"/>
              </w:rPr>
              <w:t>按高管股份解除 限售的相关规 定，在任职期间 每年转让的公司 股份不超过其持 有公司股份总数 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227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高曦</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760,095</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1,140,142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1,900,237</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3"/>
              <w:jc w:val="left"/>
              <w:rPr>
                <w:rFonts w:ascii="Times New Roman" w:hAnsi="Times New Roman" w:cs="Times New Roman" w:eastAsia="Times New Roman" w:hint="default"/>
                <w:sz w:val="18"/>
                <w:szCs w:val="18"/>
              </w:rPr>
            </w:pPr>
            <w:r>
              <w:rPr>
                <w:rFonts w:ascii="宋体" w:hAnsi="宋体" w:cs="宋体" w:eastAsia="宋体" w:hint="default"/>
                <w:sz w:val="18"/>
                <w:szCs w:val="18"/>
              </w:rPr>
              <w:t>按高管股份解除 限售的相关规 定，在任职期间 每年转让的公司 股份不超过其持 有公司股份总数 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2275"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胡建斌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712,538</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1,068,807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1,781,345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3"/>
              <w:jc w:val="left"/>
              <w:rPr>
                <w:rFonts w:ascii="Times New Roman" w:hAnsi="Times New Roman" w:cs="Times New Roman" w:eastAsia="Times New Roman" w:hint="default"/>
                <w:sz w:val="18"/>
                <w:szCs w:val="18"/>
              </w:rPr>
            </w:pPr>
            <w:r>
              <w:rPr>
                <w:rFonts w:ascii="宋体" w:hAnsi="宋体" w:cs="宋体" w:eastAsia="宋体" w:hint="default"/>
                <w:sz w:val="18"/>
                <w:szCs w:val="18"/>
              </w:rPr>
              <w:t>按高管股份解除 限售的相关规 定，在任职期间 每年转让的公司 股份不超过其持 有公司股份总数 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987"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1,377,405</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2,066,107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3,443,512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3"/>
              <w:jc w:val="left"/>
              <w:rPr>
                <w:rFonts w:ascii="宋体" w:hAnsi="宋体" w:cs="宋体" w:eastAsia="宋体" w:hint="default"/>
                <w:sz w:val="18"/>
                <w:szCs w:val="18"/>
              </w:rPr>
            </w:pPr>
            <w:r>
              <w:rPr>
                <w:rFonts w:ascii="宋体" w:hAnsi="宋体" w:cs="宋体" w:eastAsia="宋体" w:hint="default"/>
                <w:sz w:val="18"/>
                <w:szCs w:val="18"/>
              </w:rPr>
              <w:t>按高管股份解除 限售的相关规 定，在任职期间</w:t>
            </w:r>
          </w:p>
        </w:tc>
      </w:tr>
    </w:tbl>
    <w:p>
      <w:pPr>
        <w:spacing w:after="0" w:line="316" w:lineRule="auto"/>
        <w:jc w:val="left"/>
        <w:rPr>
          <w:rFonts w:ascii="宋体" w:hAnsi="宋体" w:cs="宋体" w:eastAsia="宋体" w:hint="default"/>
          <w:sz w:val="18"/>
          <w:szCs w:val="18"/>
        </w:rPr>
        <w:sectPr>
          <w:pgSz w:w="11910" w:h="16840"/>
          <w:pgMar w:header="745" w:footer="1133" w:top="1060" w:bottom="13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025"/>
        <w:gridCol w:w="1416"/>
        <w:gridCol w:w="1558"/>
        <w:gridCol w:w="1548"/>
        <w:gridCol w:w="1385"/>
        <w:gridCol w:w="1388"/>
        <w:gridCol w:w="1378"/>
      </w:tblGrid>
      <w:tr>
        <w:trPr>
          <w:trHeight w:val="1299" w:hRule="exact"/>
        </w:trPr>
        <w:tc>
          <w:tcPr>
            <w:tcW w:w="10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每年转让的公司 股份不超过其持 有公司股份总数 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2585"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王晓峰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4,512,476</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6,768,714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11,281,190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类高管锁定</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36"/>
              <w:jc w:val="both"/>
              <w:rPr>
                <w:rFonts w:ascii="Times New Roman" w:hAnsi="Times New Roman" w:cs="Times New Roman" w:eastAsia="Times New Roman" w:hint="default"/>
                <w:sz w:val="18"/>
                <w:szCs w:val="18"/>
              </w:rPr>
            </w:pPr>
            <w:r>
              <w:rPr>
                <w:rFonts w:ascii="宋体" w:hAnsi="宋体" w:cs="宋体" w:eastAsia="宋体" w:hint="default"/>
                <w:sz w:val="18"/>
                <w:szCs w:val="18"/>
              </w:rPr>
              <w:t>按高管股份解除 限售的相关规定 和承诺</w:t>
            </w:r>
            <w:r>
              <w:rPr>
                <w:rFonts w:ascii="Times New Roman" w:hAnsi="Times New Roman" w:cs="Times New Roman" w:eastAsia="Times New Roman" w:hint="default"/>
                <w:sz w:val="18"/>
                <w:szCs w:val="18"/>
              </w:rPr>
              <w:t>,</w:t>
            </w:r>
            <w:r>
              <w:rPr>
                <w:rFonts w:ascii="宋体" w:hAnsi="宋体" w:cs="宋体" w:eastAsia="宋体" w:hint="default"/>
                <w:sz w:val="18"/>
                <w:szCs w:val="18"/>
              </w:rPr>
              <w:t>在王晓娜 女士任职期间， 其每年转让的公 司股份不超过其 所持有公司股份 总数的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10036"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田秋桂</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2,889,628</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pacing w:val="-1"/>
                <w:sz w:val="18"/>
              </w:rPr>
              <w:t>4,334,442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7,224,070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首发后个人限售</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自公司非公开发 行股份及支付现 金购买中软华泰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股权之新增 股份上市之日 </w:t>
            </w:r>
            <w:r>
              <w:rPr>
                <w:rFonts w:ascii="宋体" w:hAnsi="宋体" w:cs="宋体" w:eastAsia="宋体" w:hint="default"/>
                <w:spacing w:val="-10"/>
                <w:sz w:val="18"/>
                <w:szCs w:val="18"/>
              </w:rPr>
              <w:t>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个月届 满之日和本人在</w:t>
            </w:r>
          </w:p>
          <w:p>
            <w:pPr>
              <w:pStyle w:val="TableParagraph"/>
              <w:spacing w:line="316" w:lineRule="auto" w:before="22"/>
              <w:ind w:left="24" w:right="65"/>
              <w:jc w:val="left"/>
              <w:rPr>
                <w:rFonts w:ascii="宋体" w:hAnsi="宋体" w:cs="宋体" w:eastAsia="宋体" w:hint="default"/>
                <w:sz w:val="18"/>
                <w:szCs w:val="18"/>
              </w:rPr>
            </w:pPr>
            <w:r>
              <w:rPr>
                <w:rFonts w:ascii="宋体" w:hAnsi="宋体" w:cs="宋体" w:eastAsia="宋体" w:hint="default"/>
                <w:sz w:val="18"/>
                <w:szCs w:val="18"/>
              </w:rPr>
              <w:t>《业绩补偿协 议》中利润补偿 义务履行完毕之 日中的较晚日之 前，不转让本人 持有的本次发行 取得的上市公司 新增股份，但按 照《业绩补偿协 议》进行回购的 股份除外；鉴于 本人与中软华泰 另一股东马永清 系一致行动人， 共同控制中软华 泰，在马永清于 中软华泰或者上 市公司担任董 事、监事或高级 管理人员期间 内，本人每年转 让的上市公司股 份不超过本人持 有上市公司股份 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；同</w:t>
            </w:r>
          </w:p>
        </w:tc>
      </w:tr>
    </w:tbl>
    <w:p>
      <w:pPr>
        <w:spacing w:after="0" w:line="316" w:lineRule="auto"/>
        <w:jc w:val="left"/>
        <w:rPr>
          <w:rFonts w:ascii="宋体" w:hAnsi="宋体" w:cs="宋体" w:eastAsia="宋体" w:hint="default"/>
          <w:sz w:val="18"/>
          <w:szCs w:val="18"/>
        </w:rPr>
        <w:sectPr>
          <w:pgSz w:w="11910" w:h="16840"/>
          <w:pgMar w:header="745" w:footer="1133" w:top="1060" w:bottom="132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54.959999pt;margin-top:71.999985pt;width:485.65pt;height:696.5pt;mso-position-horizontal-relative:page;mso-position-vertical-relative:page;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25"/>
                    <w:gridCol w:w="1416"/>
                    <w:gridCol w:w="1558"/>
                    <w:gridCol w:w="1548"/>
                    <w:gridCol w:w="1385"/>
                    <w:gridCol w:w="1388"/>
                    <w:gridCol w:w="1378"/>
                  </w:tblGrid>
                  <w:tr>
                    <w:trPr>
                      <w:trHeight w:val="3483" w:hRule="exact"/>
                    </w:trPr>
                    <w:tc>
                      <w:tcPr>
                        <w:tcW w:w="10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1"/>
                          <w:jc w:val="left"/>
                          <w:rPr>
                            <w:rFonts w:ascii="Times New Roman" w:hAnsi="Times New Roman" w:cs="Times New Roman" w:eastAsia="Times New Roman" w:hint="default"/>
                            <w:sz w:val="18"/>
                            <w:szCs w:val="18"/>
                          </w:rPr>
                        </w:pPr>
                        <w:r>
                          <w:rPr>
                            <w:rFonts w:ascii="宋体" w:hAnsi="宋体" w:cs="宋体" w:eastAsia="宋体" w:hint="default"/>
                            <w:spacing w:val="-15"/>
                            <w:sz w:val="18"/>
                            <w:szCs w:val="18"/>
                          </w:rPr>
                          <w:t>时，在陈青松（系</w:t>
                        </w:r>
                        <w:r>
                          <w:rPr>
                            <w:rFonts w:ascii="宋体" w:hAnsi="宋体" w:cs="宋体" w:eastAsia="宋体" w:hint="default"/>
                            <w:sz w:val="18"/>
                            <w:szCs w:val="18"/>
                          </w:rPr>
                          <w:t> 本人之子）于中 软华泰或者上市 公司担任董事、 监事或高级管理 人员期间内，本 人每年转让的上 市公司股份亦不 超过本人持有上 市公司股份总数 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9138"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马永清</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2,831,040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4,246,560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7,077,600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首发后个人限售</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自公司非公开发 行股份及支付现 金购买中软华泰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股权之新增 股份上市之日 </w:t>
                        </w:r>
                        <w:r>
                          <w:rPr>
                            <w:rFonts w:ascii="宋体" w:hAnsi="宋体" w:cs="宋体" w:eastAsia="宋体" w:hint="default"/>
                            <w:spacing w:val="-10"/>
                            <w:sz w:val="18"/>
                            <w:szCs w:val="18"/>
                          </w:rPr>
                          <w:t>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个月届 满之日和本人在</w:t>
                        </w:r>
                      </w:p>
                      <w:p>
                        <w:pPr>
                          <w:pStyle w:val="TableParagraph"/>
                          <w:spacing w:line="316" w:lineRule="auto" w:before="22"/>
                          <w:ind w:left="24" w:right="83"/>
                          <w:jc w:val="left"/>
                          <w:rPr>
                            <w:rFonts w:ascii="Times New Roman" w:hAnsi="Times New Roman" w:cs="Times New Roman" w:eastAsia="Times New Roman" w:hint="default"/>
                            <w:sz w:val="18"/>
                            <w:szCs w:val="18"/>
                          </w:rPr>
                        </w:pPr>
                        <w:r>
                          <w:rPr>
                            <w:rFonts w:ascii="宋体" w:hAnsi="宋体" w:cs="宋体" w:eastAsia="宋体" w:hint="default"/>
                            <w:sz w:val="18"/>
                            <w:szCs w:val="18"/>
                          </w:rPr>
                          <w:t>《业绩补偿协 议》中利润补偿 义务履行完毕之 日中的较晚日之 前，不转让本人 持有的本次发行 取得的上市公司 新增股份，但按 照《业绩补偿协 议》进行回购的 股份除外；上述 锁定期满后，如 本人在中软华泰 或者上市公司担 任董事、监事或 高级管理人员 </w:t>
                        </w:r>
                        <w:r>
                          <w:rPr>
                            <w:rFonts w:ascii="宋体" w:hAnsi="宋体" w:cs="宋体" w:eastAsia="宋体" w:hint="default"/>
                            <w:spacing w:val="-5"/>
                            <w:sz w:val="18"/>
                            <w:szCs w:val="18"/>
                          </w:rPr>
                          <w:t>的，任职期间内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本人每年转让的 上市公司股份不 超过本人持有上 市公司股份总数 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1299"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哈连琴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585,960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806" w:right="0"/>
                          <w:jc w:val="left"/>
                          <w:rPr>
                            <w:rFonts w:ascii="Times New Roman" w:hAnsi="Times New Roman" w:cs="Times New Roman" w:eastAsia="Times New Roman" w:hint="default"/>
                            <w:sz w:val="18"/>
                            <w:szCs w:val="18"/>
                          </w:rPr>
                        </w:pPr>
                        <w:r>
                          <w:rPr>
                            <w:rFonts w:ascii="Times New Roman"/>
                            <w:sz w:val="18"/>
                          </w:rPr>
                          <w:t>1,464,900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878,940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3"/>
                          <w:jc w:val="both"/>
                          <w:rPr>
                            <w:rFonts w:ascii="宋体" w:hAnsi="宋体" w:cs="宋体" w:eastAsia="宋体" w:hint="default"/>
                            <w:sz w:val="18"/>
                            <w:szCs w:val="18"/>
                          </w:rPr>
                        </w:pPr>
                        <w:r>
                          <w:rPr>
                            <w:rFonts w:ascii="宋体" w:hAnsi="宋体" w:cs="宋体" w:eastAsia="宋体" w:hint="default"/>
                            <w:sz w:val="18"/>
                            <w:szCs w:val="18"/>
                          </w:rPr>
                          <w:t>根据其承诺的相 关事项，自离任 公司监事职务半 年内，不减持其</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0"/>
          <w:szCs w:val="20"/>
        </w:rPr>
      </w:pPr>
    </w:p>
    <w:p>
      <w:pPr>
        <w:pStyle w:val="BodyText"/>
        <w:spacing w:line="240" w:lineRule="auto" w:before="44"/>
        <w:ind w:left="0" w:right="100"/>
        <w:jc w:val="right"/>
      </w:pPr>
      <w:r>
        <w:rPr/>
        <w:t>，</w:t>
      </w:r>
    </w:p>
    <w:p>
      <w:pPr>
        <w:spacing w:after="0" w:line="240" w:lineRule="auto"/>
        <w:jc w:val="right"/>
        <w:sectPr>
          <w:pgSz w:w="11910" w:h="16840"/>
          <w:pgMar w:header="745" w:footer="1133" w:top="1060" w:bottom="1320" w:left="980" w:right="940"/>
        </w:sectPr>
      </w:pPr>
    </w:p>
    <w:p>
      <w:pPr>
        <w:spacing w:line="240" w:lineRule="auto" w:before="6"/>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1025"/>
        <w:gridCol w:w="1416"/>
        <w:gridCol w:w="1558"/>
        <w:gridCol w:w="1548"/>
        <w:gridCol w:w="1385"/>
        <w:gridCol w:w="1388"/>
        <w:gridCol w:w="1378"/>
      </w:tblGrid>
      <w:tr>
        <w:trPr>
          <w:trHeight w:val="1299" w:hRule="exact"/>
        </w:trPr>
        <w:tc>
          <w:tcPr>
            <w:tcW w:w="10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宋体" w:hAnsi="宋体" w:cs="宋体" w:eastAsia="宋体" w:hint="default"/>
                <w:sz w:val="18"/>
                <w:szCs w:val="18"/>
              </w:rPr>
            </w:pPr>
            <w:r>
              <w:rPr>
                <w:rFonts w:ascii="宋体" w:hAnsi="宋体" w:cs="宋体" w:eastAsia="宋体" w:hint="default"/>
                <w:sz w:val="18"/>
                <w:szCs w:val="18"/>
              </w:rPr>
              <w:t>持有的公司股 </w:t>
            </w:r>
            <w:r>
              <w:rPr>
                <w:rFonts w:ascii="宋体" w:hAnsi="宋体" w:cs="宋体" w:eastAsia="宋体" w:hint="default"/>
                <w:spacing w:val="-8"/>
                <w:sz w:val="18"/>
                <w:szCs w:val="18"/>
              </w:rPr>
              <w:t>票，已于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00" w:lineRule="auto"/>
              <w:ind w:left="24"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日解除限 售</w:t>
            </w:r>
          </w:p>
        </w:tc>
      </w:tr>
      <w:tr>
        <w:trPr>
          <w:trHeight w:val="2585"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马承栋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712,500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427,500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632"/>
              <w:jc w:val="right"/>
              <w:rPr>
                <w:rFonts w:ascii="宋体" w:hAnsi="宋体" w:cs="宋体" w:eastAsia="宋体" w:hint="default"/>
                <w:sz w:val="18"/>
                <w:szCs w:val="18"/>
              </w:rPr>
            </w:pPr>
            <w:r>
              <w:rPr>
                <w:rFonts w:ascii="宋体" w:hAnsi="宋体" w:cs="宋体" w:eastAsia="宋体" w:hint="default"/>
                <w:sz w:val="18"/>
                <w:szCs w:val="18"/>
              </w:rPr>
              <w:t>高管锁定</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根据其承诺的相 关事项，自离任 公司监事职务半 年内，不减持其 持有的公司股 </w:t>
            </w:r>
            <w:r>
              <w:rPr>
                <w:rFonts w:ascii="宋体" w:hAnsi="宋体" w:cs="宋体" w:eastAsia="宋体" w:hint="default"/>
                <w:spacing w:val="-8"/>
                <w:sz w:val="18"/>
                <w:szCs w:val="18"/>
              </w:rPr>
              <w:t>票，已于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00" w:lineRule="auto"/>
              <w:ind w:left="24"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日解除限 售</w:t>
            </w:r>
          </w:p>
        </w:tc>
      </w:tr>
      <w:tr>
        <w:trPr>
          <w:trHeight w:val="403" w:hRule="exact"/>
        </w:trPr>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163,271,642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2,177,400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244,907,460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406,001,702</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27"/>
              <w:jc w:val="right"/>
              <w:rPr>
                <w:rFonts w:ascii="Times New Roman" w:hAnsi="Times New Roman" w:cs="Times New Roman" w:eastAsia="Times New Roman" w:hint="default"/>
                <w:sz w:val="18"/>
                <w:szCs w:val="18"/>
              </w:rPr>
            </w:pPr>
            <w:r>
              <w:rPr>
                <w:rFonts w:ascii="Times New Roman"/>
                <w:sz w:val="18"/>
              </w:rPr>
              <w:t>--</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367" w:lineRule="exact"/>
        <w:ind w:right="94"/>
        <w:jc w:val="left"/>
        <w:rPr>
          <w:b w:val="0"/>
          <w:bCs w:val="0"/>
        </w:rPr>
      </w:pPr>
      <w:r>
        <w:rPr/>
        <w:t>二、证券发行与上市情况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94"/>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94"/>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0"/>
        <w:rPr>
          <w:rFonts w:ascii="宋体" w:hAnsi="宋体" w:cs="宋体" w:eastAsia="宋体" w:hint="default"/>
          <w:sz w:val="13"/>
          <w:szCs w:val="13"/>
        </w:rPr>
      </w:pPr>
    </w:p>
    <w:p>
      <w:pPr>
        <w:pStyle w:val="BodyText"/>
        <w:spacing w:line="451" w:lineRule="auto"/>
        <w:ind w:right="94" w:firstLine="360"/>
        <w:jc w:val="left"/>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8</w:t>
      </w:r>
      <w:r>
        <w:rPr>
          <w:spacing w:val="-3"/>
        </w:rPr>
        <w:t>日，公司召开</w:t>
      </w:r>
      <w:r>
        <w:rPr>
          <w:rFonts w:ascii="Times New Roman" w:hAnsi="Times New Roman" w:cs="Times New Roman" w:eastAsia="Times New Roman" w:hint="default"/>
          <w:spacing w:val="-3"/>
        </w:rPr>
        <w:t>2016</w:t>
      </w:r>
      <w:r>
        <w:rPr>
          <w:spacing w:val="-3"/>
        </w:rPr>
        <w:t>年度股东大会，审议通过了《关于</w:t>
      </w:r>
      <w:r>
        <w:rPr>
          <w:rFonts w:ascii="Times New Roman" w:hAnsi="Times New Roman" w:cs="Times New Roman" w:eastAsia="Times New Roman" w:hint="default"/>
          <w:spacing w:val="-3"/>
        </w:rPr>
        <w:t>2016</w:t>
      </w:r>
      <w:r>
        <w:rPr>
          <w:spacing w:val="-3"/>
        </w:rPr>
        <w:t>年度利润分配及资本公积金转增股本预案的议案》，</w:t>
      </w:r>
      <w:r>
        <w:rPr/>
        <w:t> 同意以截止</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579,929,635</w:t>
      </w:r>
      <w:r>
        <w:rPr/>
        <w:t>为基数，向全体股东每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0.4</w:t>
      </w:r>
      <w:r>
        <w:rPr/>
        <w:t>元（含税），同时以 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15</w:t>
      </w:r>
      <w:r>
        <w:rPr/>
        <w:t>股，本次权益分派事宜已于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日完成，转增后总股本为</w:t>
      </w:r>
      <w:r>
        <w:rPr>
          <w:rFonts w:ascii="Times New Roman" w:hAnsi="Times New Roman" w:cs="Times New Roman" w:eastAsia="Times New Roman" w:hint="default"/>
        </w:rPr>
        <w:t>1,449,824,087</w:t>
      </w:r>
      <w:r>
        <w:rPr/>
        <w:t>股。</w:t>
      </w:r>
    </w:p>
    <w:p>
      <w:pPr>
        <w:spacing w:line="240" w:lineRule="auto" w:before="7"/>
        <w:rPr>
          <w:rFonts w:ascii="宋体" w:hAnsi="宋体" w:cs="宋体" w:eastAsia="宋体" w:hint="default"/>
          <w:sz w:val="13"/>
          <w:szCs w:val="13"/>
        </w:rPr>
      </w:pPr>
    </w:p>
    <w:p>
      <w:pPr>
        <w:pStyle w:val="Heading3"/>
        <w:spacing w:line="240" w:lineRule="auto"/>
        <w:ind w:right="94"/>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94"/>
        <w:jc w:val="left"/>
        <w:rPr>
          <w:b w:val="0"/>
          <w:bCs w:val="0"/>
        </w:rPr>
      </w:pPr>
      <w:r>
        <w:rPr/>
        <w:t>三、股东和实际控制人情况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94"/>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91"/>
        <w:jc w:val="right"/>
      </w:pPr>
      <w:r>
        <w:rPr/>
        <w:t>单位：股</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300"/>
        <w:gridCol w:w="709"/>
        <w:gridCol w:w="1384"/>
        <w:gridCol w:w="1418"/>
        <w:gridCol w:w="1601"/>
        <w:gridCol w:w="1013"/>
        <w:gridCol w:w="1251"/>
        <w:gridCol w:w="1020"/>
      </w:tblGrid>
      <w:tr>
        <w:trPr>
          <w:trHeight w:val="1961" w:hRule="exact"/>
        </w:trPr>
        <w:tc>
          <w:tcPr>
            <w:tcW w:w="1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22" w:right="185"/>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65,703</w:t>
            </w:r>
          </w:p>
        </w:tc>
        <w:tc>
          <w:tcPr>
            <w:tcW w:w="1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5" w:right="87"/>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92" w:right="0"/>
              <w:jc w:val="left"/>
              <w:rPr>
                <w:rFonts w:ascii="Times New Roman" w:hAnsi="Times New Roman" w:cs="Times New Roman" w:eastAsia="Times New Roman" w:hint="default"/>
                <w:sz w:val="18"/>
                <w:szCs w:val="18"/>
              </w:rPr>
            </w:pPr>
            <w:r>
              <w:rPr>
                <w:rFonts w:ascii="Times New Roman"/>
                <w:sz w:val="18"/>
              </w:rPr>
              <w:t>76,039</w:t>
            </w:r>
          </w:p>
        </w:tc>
        <w:tc>
          <w:tcPr>
            <w:tcW w:w="1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36"/>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1"/>
                <w:sz w:val="18"/>
                <w:szCs w:val="18"/>
              </w:rPr>
              <w:t>数（如有）（参见注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4"/>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33" w:top="1060" w:bottom="1320" w:left="980" w:right="940"/>
        </w:sectPr>
      </w:pPr>
    </w:p>
    <w:p>
      <w:pPr>
        <w:spacing w:line="240" w:lineRule="auto" w:before="0"/>
        <w:rPr>
          <w:rFonts w:ascii="Times New Roman" w:hAnsi="Times New Roman" w:cs="Times New Roman" w:eastAsia="Times New Roman" w:hint="default"/>
          <w:sz w:val="20"/>
          <w:szCs w:val="20"/>
        </w:rPr>
      </w:pPr>
      <w:r>
        <w:rPr/>
        <w:pict>
          <v:shape style="position:absolute;margin-left:176.423004pt;margin-top:656.979980pt;width:363.45pt;height:50.8pt;mso-position-horizontal-relative:page;mso-position-vertical-relative:page;z-index:-7955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4"/>
                    <w:ind w:left="0" w:right="0"/>
                    <w:jc w:val="left"/>
                  </w:pPr>
                  <w:r>
                    <w:rPr/>
                    <w:t>有）</w:t>
                  </w:r>
                </w:p>
              </w:txbxContent>
            </v:textbox>
            <w10:wrap type="none"/>
          </v:shape>
        </w:pict>
      </w:r>
      <w:r>
        <w:rPr/>
        <w:pict>
          <v:group style="position:absolute;margin-left:191.690002pt;margin-top:656.979980pt;width:348.2pt;height:15.6pt;mso-position-horizontal-relative:page;mso-position-vertical-relative:page;z-index:-795496" coordorigin="3834,13140" coordsize="6964,312">
            <v:shape style="position:absolute;left:3834;top:13140;width:6964;height:312" coordorigin="3834,13140" coordsize="6964,312" path="m3834,13452l10797,13452,10797,13140,3834,13140,3834,13452xe" filled="true" fillcolor="#ffffff" stroked="false">
              <v:path arrowok="t"/>
              <v:fill type="solid"/>
            </v:shape>
            <w10:wrap type="none"/>
          </v:group>
        </w:pict>
      </w:r>
      <w:r>
        <w:rPr/>
        <w:pict>
          <v:group style="position:absolute;margin-left:191.690002pt;margin-top:692.139954pt;width:348.2pt;height:15.6pt;mso-position-horizontal-relative:page;mso-position-vertical-relative:page;z-index:-795472" coordorigin="3834,13843" coordsize="6964,312">
            <v:shape style="position:absolute;left:3834;top:13843;width:6964;height:312" coordorigin="3834,13843" coordsize="6964,312" path="m3834,14155l10797,14155,10797,13843,3834,13843,3834,1415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395"/>
        <w:gridCol w:w="1328"/>
        <w:gridCol w:w="732"/>
        <w:gridCol w:w="955"/>
        <w:gridCol w:w="956"/>
        <w:gridCol w:w="958"/>
        <w:gridCol w:w="866"/>
        <w:gridCol w:w="1239"/>
        <w:gridCol w:w="1270"/>
      </w:tblGrid>
      <w:tr>
        <w:trPr>
          <w:trHeight w:val="402" w:hRule="exact"/>
        </w:trPr>
        <w:tc>
          <w:tcPr>
            <w:tcW w:w="969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25"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3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3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0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271" w:right="89"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203" w:right="19"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23" w:right="2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5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23" w:right="23"/>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8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69" w:right="65"/>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5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395" w:type="dxa"/>
            <w:vMerge/>
            <w:tcBorders>
              <w:left w:val="single" w:sz="4" w:space="0" w:color="000000"/>
              <w:bottom w:val="single" w:sz="4" w:space="0" w:color="000000"/>
              <w:right w:val="single" w:sz="4" w:space="0" w:color="000000"/>
            </w:tcBorders>
            <w:shd w:val="clear" w:color="auto" w:fill="D2D2D2"/>
          </w:tcPr>
          <w:p>
            <w:pPr/>
          </w:p>
        </w:tc>
        <w:tc>
          <w:tcPr>
            <w:tcW w:w="1328" w:type="dxa"/>
            <w:vMerge/>
            <w:tcBorders>
              <w:left w:val="single" w:sz="4" w:space="0" w:color="000000"/>
              <w:bottom w:val="single" w:sz="4" w:space="0" w:color="000000"/>
              <w:right w:val="single" w:sz="4" w:space="0" w:color="000000"/>
            </w:tcBorders>
            <w:shd w:val="clear" w:color="auto" w:fill="D2D2D2"/>
          </w:tcPr>
          <w:p>
            <w:pPr/>
          </w:p>
        </w:tc>
        <w:tc>
          <w:tcPr>
            <w:tcW w:w="732" w:type="dxa"/>
            <w:vMerge/>
            <w:tcBorders>
              <w:left w:val="single" w:sz="4" w:space="0" w:color="000000"/>
              <w:bottom w:val="single" w:sz="4" w:space="0" w:color="000000"/>
              <w:right w:val="single" w:sz="4" w:space="0" w:color="000000"/>
            </w:tcBorders>
            <w:shd w:val="clear" w:color="auto" w:fill="D2D2D2"/>
          </w:tcPr>
          <w:p>
            <w:pPr/>
          </w:p>
        </w:tc>
        <w:tc>
          <w:tcPr>
            <w:tcW w:w="955" w:type="dxa"/>
            <w:vMerge/>
            <w:tcBorders>
              <w:left w:val="single" w:sz="4" w:space="0" w:color="000000"/>
              <w:bottom w:val="single" w:sz="4" w:space="0" w:color="000000"/>
              <w:right w:val="single" w:sz="4" w:space="0" w:color="000000"/>
            </w:tcBorders>
            <w:shd w:val="clear" w:color="auto" w:fill="D2D2D2"/>
          </w:tcPr>
          <w:p>
            <w:pPr/>
          </w:p>
        </w:tc>
        <w:tc>
          <w:tcPr>
            <w:tcW w:w="956" w:type="dxa"/>
            <w:vMerge/>
            <w:tcBorders>
              <w:left w:val="single" w:sz="4" w:space="0" w:color="000000"/>
              <w:bottom w:val="single" w:sz="4" w:space="0" w:color="000000"/>
              <w:right w:val="single" w:sz="4" w:space="0" w:color="000000"/>
            </w:tcBorders>
            <w:shd w:val="clear" w:color="auto" w:fill="D2D2D2"/>
          </w:tcPr>
          <w:p>
            <w:pPr/>
          </w:p>
        </w:tc>
        <w:tc>
          <w:tcPr>
            <w:tcW w:w="958" w:type="dxa"/>
            <w:vMerge/>
            <w:tcBorders>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single" w:sz="4" w:space="0" w:color="000000"/>
              <w:right w:val="single" w:sz="4" w:space="0" w:color="000000"/>
            </w:tcBorders>
            <w:shd w:val="clear" w:color="auto" w:fill="D2D2D2"/>
          </w:tcPr>
          <w:p>
            <w:pPr/>
          </w:p>
        </w:tc>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54"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1"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林皓</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31.13%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451,380,400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253,430,400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371,156,248</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80,224,152</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414,800,000</w:t>
            </w:r>
          </w:p>
        </w:tc>
      </w:tr>
      <w:tr>
        <w:trPr>
          <w:trHeight w:val="2276"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36"/>
              <w:jc w:val="left"/>
              <w:rPr>
                <w:rFonts w:ascii="宋体" w:hAnsi="宋体" w:cs="宋体" w:eastAsia="宋体" w:hint="default"/>
                <w:sz w:val="18"/>
                <w:szCs w:val="18"/>
              </w:rPr>
            </w:pPr>
            <w:r>
              <w:rPr>
                <w:rFonts w:ascii="宋体" w:hAnsi="宋体" w:cs="宋体" w:eastAsia="宋体" w:hint="default"/>
                <w:sz w:val="18"/>
                <w:szCs w:val="18"/>
              </w:rPr>
              <w:t>北信瑞丰基金－ 南京银行－中航 信托－中航信 托</w:t>
            </w:r>
            <w:r>
              <w:rPr>
                <w:rFonts w:ascii="Times New Roman" w:hAnsi="Times New Roman" w:cs="Times New Roman" w:eastAsia="Times New Roman" w:hint="default"/>
                <w:sz w:val="18"/>
                <w:szCs w:val="18"/>
              </w:rPr>
              <w:t>·</w:t>
            </w:r>
            <w:r>
              <w:rPr>
                <w:rFonts w:ascii="宋体" w:hAnsi="宋体" w:cs="宋体" w:eastAsia="宋体" w:hint="default"/>
                <w:sz w:val="18"/>
                <w:szCs w:val="18"/>
              </w:rPr>
              <w:t>天启（</w:t>
            </w:r>
            <w:r>
              <w:rPr>
                <w:rFonts w:ascii="Times New Roman" w:hAnsi="Times New Roman" w:cs="Times New Roman" w:eastAsia="Times New Roman" w:hint="default"/>
                <w:sz w:val="18"/>
                <w:szCs w:val="18"/>
              </w:rPr>
              <w:t>2016</w:t>
            </w:r>
            <w:r>
              <w:rPr>
                <w:rFonts w:ascii="宋体" w:hAnsi="宋体" w:cs="宋体" w:eastAsia="宋体" w:hint="default"/>
                <w:sz w:val="18"/>
                <w:szCs w:val="18"/>
              </w:rPr>
              <w:t>） </w:t>
            </w:r>
            <w:r>
              <w:rPr>
                <w:rFonts w:ascii="Times New Roman" w:hAnsi="Times New Roman" w:cs="Times New Roman" w:eastAsia="Times New Roman" w:hint="default"/>
                <w:sz w:val="18"/>
                <w:szCs w:val="18"/>
              </w:rPr>
              <w:t>163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号南京高科 华睿集合资金信 托计划</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84"/>
              <w:jc w:val="center"/>
              <w:rPr>
                <w:rFonts w:ascii="Times New Roman" w:hAnsi="Times New Roman" w:cs="Times New Roman" w:eastAsia="Times New Roman" w:hint="default"/>
                <w:sz w:val="18"/>
                <w:szCs w:val="18"/>
              </w:rPr>
            </w:pPr>
            <w:r>
              <w:rPr>
                <w:rFonts w:ascii="Times New Roman"/>
                <w:sz w:val="18"/>
              </w:rPr>
              <w:t>19,800,000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33,000,000</w:t>
            </w:r>
          </w:p>
        </w:tc>
        <w:tc>
          <w:tcPr>
            <w:tcW w:w="123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9"/>
              <w:jc w:val="both"/>
              <w:rPr>
                <w:rFonts w:ascii="宋体" w:hAnsi="宋体" w:cs="宋体" w:eastAsia="宋体" w:hint="default"/>
                <w:sz w:val="18"/>
                <w:szCs w:val="18"/>
              </w:rPr>
            </w:pPr>
            <w:r>
              <w:rPr>
                <w:rFonts w:ascii="宋体" w:hAnsi="宋体" w:cs="宋体" w:eastAsia="宋体" w:hint="default"/>
                <w:sz w:val="18"/>
                <w:szCs w:val="18"/>
              </w:rPr>
              <w:t>北京燕赵汇金国 际投资有限责任 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26,831,200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84"/>
              <w:jc w:val="center"/>
              <w:rPr>
                <w:rFonts w:ascii="Times New Roman" w:hAnsi="Times New Roman" w:cs="Times New Roman" w:eastAsia="Times New Roman" w:hint="default"/>
                <w:sz w:val="18"/>
                <w:szCs w:val="18"/>
              </w:rPr>
            </w:pPr>
            <w:r>
              <w:rPr>
                <w:rFonts w:ascii="Times New Roman"/>
                <w:sz w:val="18"/>
              </w:rPr>
              <w:t>26,831,200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26,831,200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19,841,200</w:t>
            </w:r>
          </w:p>
        </w:tc>
      </w:tr>
      <w:tr>
        <w:trPr>
          <w:trHeight w:val="403"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魏巧霞</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1.52%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22,000,500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3"/>
              <w:jc w:val="center"/>
              <w:rPr>
                <w:rFonts w:ascii="Times New Roman" w:hAnsi="Times New Roman" w:cs="Times New Roman" w:eastAsia="Times New Roman" w:hint="default"/>
                <w:sz w:val="18"/>
                <w:szCs w:val="18"/>
              </w:rPr>
            </w:pPr>
            <w:r>
              <w:rPr>
                <w:rFonts w:ascii="Times New Roman"/>
                <w:sz w:val="18"/>
              </w:rPr>
              <w:t>22,000,500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22,000,500</w:t>
            </w:r>
          </w:p>
        </w:tc>
        <w:tc>
          <w:tcPr>
            <w:tcW w:w="123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中国金谷国际信 托有限责任公司</w:t>
            </w:r>
          </w:p>
          <w:p>
            <w:pPr>
              <w:pStyle w:val="TableParagraph"/>
              <w:spacing w:line="309" w:lineRule="auto" w:before="19"/>
              <w:ind w:left="24" w:right="36"/>
              <w:jc w:val="left"/>
              <w:rPr>
                <w:rFonts w:ascii="宋体" w:hAnsi="宋体" w:cs="宋体" w:eastAsia="宋体" w:hint="default"/>
                <w:sz w:val="18"/>
                <w:szCs w:val="18"/>
              </w:rPr>
            </w:pPr>
            <w:r>
              <w:rPr>
                <w:rFonts w:ascii="宋体" w:hAnsi="宋体" w:cs="宋体" w:eastAsia="宋体" w:hint="default"/>
                <w:sz w:val="18"/>
                <w:szCs w:val="18"/>
              </w:rPr>
              <w:t>－金谷</w:t>
            </w:r>
            <w:r>
              <w:rPr>
                <w:rFonts w:ascii="Times New Roman" w:hAnsi="Times New Roman" w:cs="Times New Roman" w:eastAsia="Times New Roman" w:hint="default"/>
                <w:sz w:val="18"/>
                <w:szCs w:val="18"/>
              </w:rPr>
              <w:t>·</w:t>
            </w:r>
            <w:r>
              <w:rPr>
                <w:rFonts w:ascii="宋体" w:hAnsi="宋体" w:cs="宋体" w:eastAsia="宋体" w:hint="default"/>
                <w:sz w:val="18"/>
                <w:szCs w:val="18"/>
              </w:rPr>
              <w:t>信惠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 证券投资集合资 金信托计划</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84"/>
              <w:jc w:val="center"/>
              <w:rPr>
                <w:rFonts w:ascii="Times New Roman" w:hAnsi="Times New Roman" w:cs="Times New Roman" w:eastAsia="Times New Roman" w:hint="default"/>
                <w:sz w:val="18"/>
                <w:szCs w:val="18"/>
              </w:rPr>
            </w:pPr>
            <w:r>
              <w:rPr>
                <w:rFonts w:ascii="Times New Roman"/>
                <w:sz w:val="18"/>
              </w:rPr>
              <w:t>14,100,000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14,100,000</w:t>
            </w:r>
          </w:p>
        </w:tc>
        <w:tc>
          <w:tcPr>
            <w:tcW w:w="123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王晓峰</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0.78%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11,281,190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5"/>
              <w:jc w:val="center"/>
              <w:rPr>
                <w:rFonts w:ascii="Times New Roman" w:hAnsi="Times New Roman" w:cs="Times New Roman" w:eastAsia="Times New Roman" w:hint="default"/>
                <w:sz w:val="18"/>
                <w:szCs w:val="18"/>
              </w:rPr>
            </w:pPr>
            <w:r>
              <w:rPr>
                <w:rFonts w:ascii="Times New Roman"/>
                <w:sz w:val="18"/>
              </w:rPr>
              <w:t>5,264,555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11,281,190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8,670,000</w:t>
            </w:r>
          </w:p>
        </w:tc>
      </w:tr>
      <w:tr>
        <w:trPr>
          <w:trHeight w:val="1337"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99"/>
              <w:jc w:val="both"/>
              <w:rPr>
                <w:rFonts w:ascii="宋体" w:hAnsi="宋体" w:cs="宋体" w:eastAsia="宋体" w:hint="default"/>
                <w:sz w:val="18"/>
                <w:szCs w:val="18"/>
              </w:rPr>
            </w:pPr>
            <w:r>
              <w:rPr>
                <w:rFonts w:ascii="宋体" w:hAnsi="宋体" w:cs="宋体" w:eastAsia="宋体" w:hint="default"/>
                <w:sz w:val="18"/>
                <w:szCs w:val="18"/>
              </w:rPr>
              <w:t>华鑫国际信托有 限公司－华鑫信 托</w:t>
            </w:r>
            <w:r>
              <w:rPr>
                <w:rFonts w:ascii="Times New Roman" w:hAnsi="Times New Roman" w:cs="Times New Roman" w:eastAsia="Times New Roman" w:hint="default"/>
                <w:sz w:val="18"/>
                <w:szCs w:val="18"/>
              </w:rPr>
              <w:t>·</w:t>
            </w:r>
            <w:r>
              <w:rPr>
                <w:rFonts w:ascii="宋体" w:hAnsi="宋体" w:cs="宋体" w:eastAsia="宋体" w:hint="default"/>
                <w:sz w:val="18"/>
                <w:szCs w:val="18"/>
              </w:rPr>
              <w:t>华鹏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 合资金信托计划</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0.73%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10,526,300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84"/>
              <w:jc w:val="center"/>
              <w:rPr>
                <w:rFonts w:ascii="Times New Roman" w:hAnsi="Times New Roman" w:cs="Times New Roman" w:eastAsia="Times New Roman" w:hint="default"/>
                <w:sz w:val="18"/>
                <w:szCs w:val="18"/>
              </w:rPr>
            </w:pPr>
            <w:r>
              <w:rPr>
                <w:rFonts w:ascii="Times New Roman"/>
                <w:sz w:val="18"/>
              </w:rPr>
              <w:t>10,526,300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10,526,300</w:t>
            </w:r>
          </w:p>
        </w:tc>
        <w:tc>
          <w:tcPr>
            <w:tcW w:w="123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9"/>
              <w:jc w:val="left"/>
              <w:rPr>
                <w:rFonts w:ascii="宋体" w:hAnsi="宋体" w:cs="宋体" w:eastAsia="宋体" w:hint="default"/>
                <w:sz w:val="18"/>
                <w:szCs w:val="18"/>
              </w:rPr>
            </w:pPr>
            <w:r>
              <w:rPr>
                <w:rFonts w:ascii="宋体" w:hAnsi="宋体" w:cs="宋体" w:eastAsia="宋体" w:hint="default"/>
                <w:sz w:val="18"/>
                <w:szCs w:val="18"/>
              </w:rPr>
              <w:t>浙江天越创业投 资有限公司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9,611,487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5"/>
              <w:jc w:val="center"/>
              <w:rPr>
                <w:rFonts w:ascii="Times New Roman" w:hAnsi="Times New Roman" w:cs="Times New Roman" w:eastAsia="Times New Roman" w:hint="default"/>
                <w:sz w:val="18"/>
                <w:szCs w:val="18"/>
              </w:rPr>
            </w:pPr>
            <w:r>
              <w:rPr>
                <w:rFonts w:ascii="Times New Roman"/>
                <w:sz w:val="18"/>
              </w:rPr>
              <w:t>5,931,892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9,611,487</w:t>
            </w:r>
          </w:p>
        </w:tc>
        <w:tc>
          <w:tcPr>
            <w:tcW w:w="123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吴荣</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8,079,600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5"/>
              <w:jc w:val="center"/>
              <w:rPr>
                <w:rFonts w:ascii="Times New Roman" w:hAnsi="Times New Roman" w:cs="Times New Roman" w:eastAsia="Times New Roman" w:hint="default"/>
                <w:sz w:val="18"/>
                <w:szCs w:val="18"/>
              </w:rPr>
            </w:pPr>
            <w:r>
              <w:rPr>
                <w:rFonts w:ascii="Times New Roman"/>
                <w:sz w:val="18"/>
              </w:rPr>
              <w:t>5,302,609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8,079,600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4,120,000</w:t>
            </w:r>
          </w:p>
        </w:tc>
      </w:tr>
      <w:tr>
        <w:trPr>
          <w:trHeight w:val="1651"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96"/>
              <w:jc w:val="both"/>
              <w:rPr>
                <w:rFonts w:ascii="宋体" w:hAnsi="宋体" w:cs="宋体" w:eastAsia="宋体" w:hint="default"/>
                <w:sz w:val="18"/>
                <w:szCs w:val="18"/>
              </w:rPr>
            </w:pPr>
            <w:r>
              <w:rPr>
                <w:rFonts w:ascii="宋体" w:hAnsi="宋体" w:cs="宋体" w:eastAsia="宋体" w:hint="default"/>
                <w:sz w:val="18"/>
                <w:szCs w:val="18"/>
              </w:rPr>
              <w:t>广东粤财信托有 限公司－粤财信 托－创盈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号结 构化证券投资集 合资金信托计划</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7,894,736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75"/>
              <w:jc w:val="center"/>
              <w:rPr>
                <w:rFonts w:ascii="Times New Roman" w:hAnsi="Times New Roman" w:cs="Times New Roman" w:eastAsia="Times New Roman" w:hint="default"/>
                <w:sz w:val="18"/>
                <w:szCs w:val="18"/>
              </w:rPr>
            </w:pPr>
            <w:r>
              <w:rPr>
                <w:rFonts w:ascii="Times New Roman"/>
                <w:sz w:val="18"/>
              </w:rPr>
              <w:t>7,894,736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7,894,736</w:t>
            </w:r>
          </w:p>
        </w:tc>
        <w:tc>
          <w:tcPr>
            <w:tcW w:w="123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8"/>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名股东的情况（如</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3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55" w:type="dxa"/>
            <w:tcBorders>
              <w:top w:val="single" w:sz="4" w:space="0" w:color="000000"/>
              <w:left w:val="nil" w:sz="6" w:space="0" w:color="auto"/>
              <w:bottom w:val="single" w:sz="4" w:space="0" w:color="000000"/>
              <w:right w:val="nil" w:sz="6" w:space="0" w:color="auto"/>
            </w:tcBorders>
          </w:tcPr>
          <w:p>
            <w:pPr/>
          </w:p>
        </w:tc>
        <w:tc>
          <w:tcPr>
            <w:tcW w:w="956" w:type="dxa"/>
            <w:tcBorders>
              <w:top w:val="single" w:sz="4" w:space="0" w:color="000000"/>
              <w:left w:val="nil" w:sz="6" w:space="0" w:color="auto"/>
              <w:bottom w:val="single" w:sz="4" w:space="0" w:color="000000"/>
              <w:right w:val="nil" w:sz="6" w:space="0" w:color="auto"/>
            </w:tcBorders>
          </w:tcPr>
          <w:p>
            <w:pPr/>
          </w:p>
        </w:tc>
        <w:tc>
          <w:tcPr>
            <w:tcW w:w="958" w:type="dxa"/>
            <w:tcBorders>
              <w:top w:val="single" w:sz="4" w:space="0" w:color="000000"/>
              <w:left w:val="nil" w:sz="6" w:space="0" w:color="auto"/>
              <w:bottom w:val="single" w:sz="4" w:space="0" w:color="000000"/>
              <w:right w:val="nil" w:sz="6" w:space="0" w:color="auto"/>
            </w:tcBorders>
          </w:tcPr>
          <w:p>
            <w:pPr/>
          </w:p>
        </w:tc>
        <w:tc>
          <w:tcPr>
            <w:tcW w:w="866" w:type="dxa"/>
            <w:tcBorders>
              <w:top w:val="single" w:sz="4" w:space="0" w:color="000000"/>
              <w:left w:val="nil" w:sz="6" w:space="0" w:color="auto"/>
              <w:bottom w:val="single" w:sz="4" w:space="0" w:color="000000"/>
              <w:right w:val="nil" w:sz="6" w:space="0" w:color="auto"/>
            </w:tcBorders>
          </w:tcPr>
          <w:p>
            <w:pPr/>
          </w:p>
        </w:tc>
        <w:tc>
          <w:tcPr>
            <w:tcW w:w="1239" w:type="dxa"/>
            <w:tcBorders>
              <w:top w:val="single" w:sz="4" w:space="0" w:color="000000"/>
              <w:left w:val="nil" w:sz="6" w:space="0" w:color="auto"/>
              <w:bottom w:val="single" w:sz="4" w:space="0" w:color="000000"/>
              <w:right w:val="nil" w:sz="6" w:space="0" w:color="auto"/>
            </w:tcBorders>
          </w:tcPr>
          <w:p>
            <w:pPr/>
          </w:p>
        </w:tc>
        <w:tc>
          <w:tcPr>
            <w:tcW w:w="1270" w:type="dxa"/>
            <w:tcBorders>
              <w:top w:val="single" w:sz="4" w:space="0" w:color="000000"/>
              <w:left w:val="nil" w:sz="6" w:space="0" w:color="auto"/>
              <w:bottom w:val="single" w:sz="4" w:space="0" w:color="000000"/>
              <w:right w:val="single" w:sz="4" w:space="0" w:color="000000"/>
            </w:tcBorders>
          </w:tcPr>
          <w:p>
            <w:pPr/>
          </w:p>
        </w:tc>
      </w:tr>
      <w:tr>
        <w:trPr>
          <w:trHeight w:val="1028" w:hRule="exact"/>
        </w:trPr>
        <w:tc>
          <w:tcPr>
            <w:tcW w:w="2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68"/>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975" w:type="dxa"/>
            <w:gridSpan w:val="7"/>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名股东中，公司第一大股东林皓先生与上述其他股东之间不存在关联关系或一致行 动关系，未知其他股东间是否存在关联关系，也未知其他股东是否属于《上市公司持股 变动信息披露管理办法》中规定的一致行动人。</w:t>
            </w:r>
          </w:p>
        </w:tc>
      </w:tr>
    </w:tbl>
    <w:p>
      <w:pPr>
        <w:spacing w:after="0" w:line="307" w:lineRule="auto"/>
        <w:jc w:val="left"/>
        <w:rPr>
          <w:rFonts w:ascii="宋体" w:hAnsi="宋体" w:cs="宋体" w:eastAsia="宋体" w:hint="default"/>
          <w:sz w:val="18"/>
          <w:szCs w:val="18"/>
        </w:rPr>
        <w:sectPr>
          <w:pgSz w:w="11910" w:h="16840"/>
          <w:pgMar w:header="745" w:footer="1133" w:top="1060" w:bottom="13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2723"/>
        <w:gridCol w:w="4467"/>
        <w:gridCol w:w="1239"/>
        <w:gridCol w:w="1270"/>
      </w:tblGrid>
      <w:tr>
        <w:trPr>
          <w:trHeight w:val="402" w:hRule="exact"/>
        </w:trPr>
        <w:tc>
          <w:tcPr>
            <w:tcW w:w="96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2" w:hRule="exact"/>
        </w:trPr>
        <w:tc>
          <w:tcPr>
            <w:tcW w:w="27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4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7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5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1" w:hRule="exact"/>
        </w:trPr>
        <w:tc>
          <w:tcPr>
            <w:tcW w:w="2723" w:type="dxa"/>
            <w:vMerge/>
            <w:tcBorders>
              <w:left w:val="single" w:sz="4" w:space="0" w:color="000000"/>
              <w:bottom w:val="single" w:sz="4" w:space="0" w:color="000000"/>
              <w:right w:val="single" w:sz="4" w:space="0" w:color="000000"/>
            </w:tcBorders>
            <w:shd w:val="clear" w:color="auto" w:fill="D2D2D2"/>
          </w:tcPr>
          <w:p>
            <w:pPr/>
          </w:p>
        </w:tc>
        <w:tc>
          <w:tcPr>
            <w:tcW w:w="4467" w:type="dxa"/>
            <w:vMerge/>
            <w:tcBorders>
              <w:left w:val="single" w:sz="4" w:space="0" w:color="000000"/>
              <w:bottom w:val="single" w:sz="4" w:space="0" w:color="000000"/>
              <w:right w:val="single" w:sz="4" w:space="0" w:color="000000"/>
            </w:tcBorders>
            <w:shd w:val="clear" w:color="auto" w:fill="D2D2D2"/>
          </w:tcPr>
          <w:p>
            <w:pPr/>
          </w:p>
        </w:tc>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林皓</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80,224,152</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80,224,152</w:t>
            </w:r>
          </w:p>
        </w:tc>
      </w:tr>
      <w:tr>
        <w:trPr>
          <w:trHeight w:val="1337" w:hRule="exact"/>
        </w:trPr>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北信瑞丰基金－南京银行－中航 信托－中航信托</w:t>
            </w:r>
            <w:r>
              <w:rPr>
                <w:rFonts w:ascii="Times New Roman" w:hAnsi="Times New Roman" w:cs="Times New Roman" w:eastAsia="Times New Roman" w:hint="default"/>
                <w:sz w:val="18"/>
                <w:szCs w:val="18"/>
              </w:rPr>
              <w:t>·</w:t>
            </w:r>
            <w:r>
              <w:rPr>
                <w:rFonts w:ascii="宋体" w:hAnsi="宋体" w:cs="宋体" w:eastAsia="宋体" w:hint="default"/>
                <w:sz w:val="18"/>
                <w:szCs w:val="18"/>
              </w:rPr>
              <w:t>天启（</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163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号南京高科华睿集合资金信托计 划</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33,000,000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99"/>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33,000,000</w:t>
            </w:r>
          </w:p>
        </w:tc>
      </w:tr>
      <w:tr>
        <w:trPr>
          <w:trHeight w:val="716" w:hRule="exact"/>
        </w:trPr>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8"/>
              <w:jc w:val="left"/>
              <w:rPr>
                <w:rFonts w:ascii="宋体" w:hAnsi="宋体" w:cs="宋体" w:eastAsia="宋体" w:hint="default"/>
                <w:sz w:val="18"/>
                <w:szCs w:val="18"/>
              </w:rPr>
            </w:pPr>
            <w:r>
              <w:rPr>
                <w:rFonts w:ascii="宋体" w:hAnsi="宋体" w:cs="宋体" w:eastAsia="宋体" w:hint="default"/>
                <w:sz w:val="18"/>
                <w:szCs w:val="18"/>
              </w:rPr>
              <w:t>北京燕赵汇金国际投资有限责任 公司</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26,831,200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9"/>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26,831,200</w:t>
            </w:r>
          </w:p>
        </w:tc>
      </w:tr>
      <w:tr>
        <w:trPr>
          <w:trHeight w:val="401" w:hRule="exact"/>
        </w:trPr>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魏巧霞</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22,000,500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22,000,500</w:t>
            </w:r>
          </w:p>
        </w:tc>
      </w:tr>
      <w:tr>
        <w:trPr>
          <w:trHeight w:val="1027" w:hRule="exact"/>
        </w:trPr>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中国金谷国际信托有限责任公司</w:t>
            </w:r>
          </w:p>
          <w:p>
            <w:pPr>
              <w:pStyle w:val="TableParagraph"/>
              <w:spacing w:line="300" w:lineRule="auto" w:before="74"/>
              <w:ind w:left="24" w:right="106"/>
              <w:jc w:val="left"/>
              <w:rPr>
                <w:rFonts w:ascii="宋体" w:hAnsi="宋体" w:cs="宋体" w:eastAsia="宋体" w:hint="default"/>
                <w:sz w:val="18"/>
                <w:szCs w:val="18"/>
              </w:rPr>
            </w:pPr>
            <w:r>
              <w:rPr>
                <w:rFonts w:ascii="宋体" w:hAnsi="宋体" w:cs="宋体" w:eastAsia="宋体" w:hint="default"/>
                <w:sz w:val="18"/>
                <w:szCs w:val="18"/>
              </w:rPr>
              <w:t>－金谷</w:t>
            </w:r>
            <w:r>
              <w:rPr>
                <w:rFonts w:ascii="Times New Roman" w:hAnsi="Times New Roman" w:cs="Times New Roman" w:eastAsia="Times New Roman" w:hint="default"/>
                <w:sz w:val="18"/>
                <w:szCs w:val="18"/>
              </w:rPr>
              <w:t>·</w:t>
            </w:r>
            <w:r>
              <w:rPr>
                <w:rFonts w:ascii="宋体" w:hAnsi="宋体" w:cs="宋体" w:eastAsia="宋体" w:hint="default"/>
                <w:sz w:val="18"/>
                <w:szCs w:val="18"/>
              </w:rPr>
              <w:t>信惠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号证券投资集合资 金信托计划</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14,100,000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99"/>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14,100,000</w:t>
            </w:r>
          </w:p>
        </w:tc>
      </w:tr>
      <w:tr>
        <w:trPr>
          <w:trHeight w:val="713" w:hRule="exact"/>
        </w:trPr>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8"/>
              <w:jc w:val="left"/>
              <w:rPr>
                <w:rFonts w:ascii="宋体" w:hAnsi="宋体" w:cs="宋体" w:eastAsia="宋体" w:hint="default"/>
                <w:sz w:val="18"/>
                <w:szCs w:val="18"/>
              </w:rPr>
            </w:pPr>
            <w:r>
              <w:rPr>
                <w:rFonts w:ascii="宋体" w:hAnsi="宋体" w:cs="宋体" w:eastAsia="宋体" w:hint="default"/>
                <w:sz w:val="18"/>
                <w:szCs w:val="18"/>
              </w:rPr>
              <w:t>华鑫国际信托有限公司－华鑫信 托</w:t>
            </w:r>
            <w:r>
              <w:rPr>
                <w:rFonts w:ascii="Times New Roman" w:hAnsi="Times New Roman" w:cs="Times New Roman" w:eastAsia="Times New Roman" w:hint="default"/>
                <w:sz w:val="18"/>
                <w:szCs w:val="18"/>
              </w:rPr>
              <w:t>·</w:t>
            </w:r>
            <w:r>
              <w:rPr>
                <w:rFonts w:ascii="宋体" w:hAnsi="宋体" w:cs="宋体" w:eastAsia="宋体" w:hint="default"/>
                <w:sz w:val="18"/>
                <w:szCs w:val="18"/>
              </w:rPr>
              <w:t>华鹏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号集合资金信托计划</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10,526,300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9"/>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10,526,300</w:t>
            </w:r>
          </w:p>
        </w:tc>
      </w:tr>
      <w:tr>
        <w:trPr>
          <w:trHeight w:val="403" w:hRule="exact"/>
        </w:trPr>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浙江天越创业投资有限公司</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9,611,487</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9,611,487</w:t>
            </w:r>
          </w:p>
        </w:tc>
      </w:tr>
      <w:tr>
        <w:trPr>
          <w:trHeight w:val="401" w:hRule="exact"/>
        </w:trPr>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吴荣</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8,079,600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8,079,600</w:t>
            </w:r>
          </w:p>
        </w:tc>
      </w:tr>
      <w:tr>
        <w:trPr>
          <w:trHeight w:val="1028" w:hRule="exact"/>
        </w:trPr>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广东粤财信托有限公司－粤财信 托－创盈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号结构化证券投资集合 资金信托计划</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7,894,736</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99"/>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7,894,736</w:t>
            </w:r>
          </w:p>
        </w:tc>
      </w:tr>
      <w:tr>
        <w:trPr>
          <w:trHeight w:val="713" w:hRule="exact"/>
        </w:trPr>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6"/>
              <w:jc w:val="left"/>
              <w:rPr>
                <w:rFonts w:ascii="宋体" w:hAnsi="宋体" w:cs="宋体" w:eastAsia="宋体" w:hint="default"/>
                <w:sz w:val="18"/>
                <w:szCs w:val="18"/>
              </w:rPr>
            </w:pPr>
            <w:r>
              <w:rPr>
                <w:rFonts w:ascii="宋体" w:hAnsi="宋体" w:cs="宋体" w:eastAsia="宋体" w:hint="default"/>
                <w:sz w:val="18"/>
                <w:szCs w:val="18"/>
              </w:rPr>
              <w:t>国民信托有限公司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金汇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 资金信托计划</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9"/>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w:t>
            </w:r>
          </w:p>
        </w:tc>
      </w:tr>
      <w:tr>
        <w:trPr>
          <w:trHeight w:val="1339" w:hRule="exact"/>
        </w:trPr>
        <w:tc>
          <w:tcPr>
            <w:tcW w:w="2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w:t>
            </w:r>
          </w:p>
          <w:p>
            <w:pPr>
              <w:pStyle w:val="TableParagraph"/>
              <w:spacing w:line="300" w:lineRule="auto" w:before="63"/>
              <w:ind w:left="24" w:right="75"/>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 行动的说明</w:t>
            </w:r>
          </w:p>
        </w:tc>
        <w:tc>
          <w:tcPr>
            <w:tcW w:w="69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上述股东中，公司第一大股东林皓先生与上述其他股东之间不存在关联关系或一致行动 关系，未知其他股东间是否存在关联关系，也未知其他股东是否属于《上市公司持股变 动信息披露管理办法》中规定的一致行动人。</w:t>
            </w:r>
          </w:p>
        </w:tc>
      </w:tr>
      <w:tr>
        <w:trPr>
          <w:trHeight w:val="1028" w:hRule="exact"/>
        </w:trPr>
        <w:tc>
          <w:tcPr>
            <w:tcW w:w="2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w:t>
            </w:r>
          </w:p>
        </w:tc>
        <w:tc>
          <w:tcPr>
            <w:tcW w:w="6975"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上述股东中，北京燕赵汇金国际投资有限责任公司通过华安证券股份有限公司客户信用 交易担保证券账户持有</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2,750,000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股，通过普通证券账户持有</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24,081,200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股，合计持股数</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量为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26,831,200 </w:t>
            </w:r>
            <w:r>
              <w:rPr>
                <w:rFonts w:ascii="宋体" w:hAnsi="宋体" w:cs="宋体" w:eastAsia="宋体" w:hint="default"/>
                <w:sz w:val="18"/>
                <w:szCs w:val="18"/>
              </w:rPr>
              <w:t>股。</w:t>
            </w:r>
          </w:p>
        </w:tc>
      </w:tr>
    </w:tbl>
    <w:p>
      <w:pPr>
        <w:pStyle w:val="BodyText"/>
        <w:spacing w:line="240" w:lineRule="auto" w:before="49"/>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right="7614"/>
        <w:jc w:val="left"/>
      </w:pPr>
      <w:r>
        <w:rPr/>
        <w:t>控股股东性质：自然人控股 控股股东类型：自然人</w:t>
      </w:r>
    </w:p>
    <w:tbl>
      <w:tblPr>
        <w:tblW w:w="0" w:type="auto"/>
        <w:jc w:val="left"/>
        <w:tblInd w:w="120" w:type="dxa"/>
        <w:tblLayout w:type="fixed"/>
        <w:tblCellMar>
          <w:top w:w="0" w:type="dxa"/>
          <w:left w:w="0" w:type="dxa"/>
          <w:bottom w:w="0" w:type="dxa"/>
          <w:right w:w="0" w:type="dxa"/>
        </w:tblCellMar>
        <w:tblLook w:val="01E0"/>
      </w:tblPr>
      <w:tblGrid>
        <w:gridCol w:w="3463"/>
        <w:gridCol w:w="2057"/>
        <w:gridCol w:w="4177"/>
      </w:tblGrid>
      <w:tr>
        <w:trPr>
          <w:trHeight w:val="402" w:hRule="exact"/>
        </w:trPr>
        <w:tc>
          <w:tcPr>
            <w:tcW w:w="3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bl>
    <w:p>
      <w:pPr>
        <w:spacing w:after="0" w:line="240" w:lineRule="auto"/>
        <w:jc w:val="left"/>
        <w:rPr>
          <w:rFonts w:ascii="宋体" w:hAnsi="宋体" w:cs="宋体" w:eastAsia="宋体" w:hint="default"/>
          <w:sz w:val="18"/>
          <w:szCs w:val="18"/>
        </w:rPr>
        <w:sectPr>
          <w:pgSz w:w="11910" w:h="16840"/>
          <w:pgMar w:header="745" w:footer="1133" w:top="1060" w:bottom="1320" w:left="980" w:right="980"/>
        </w:sectPr>
      </w:pPr>
    </w:p>
    <w:p>
      <w:pPr>
        <w:spacing w:line="240" w:lineRule="auto" w:before="6"/>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3464"/>
        <w:gridCol w:w="2057"/>
        <w:gridCol w:w="4177"/>
      </w:tblGrid>
      <w:tr>
        <w:trPr>
          <w:trHeight w:val="401"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林皓</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公司董事长、总经理</w:t>
            </w:r>
          </w:p>
        </w:tc>
      </w:tr>
    </w:tbl>
    <w:p>
      <w:pPr>
        <w:pStyle w:val="BodyText"/>
        <w:spacing w:line="240" w:lineRule="auto" w:before="49"/>
        <w:ind w:right="0"/>
        <w:jc w:val="left"/>
      </w:pPr>
      <w:r>
        <w:rPr/>
        <w:t>控股股东报告期内变更</w:t>
      </w:r>
    </w:p>
    <w:p>
      <w:pPr>
        <w:pStyle w:val="BodyText"/>
        <w:spacing w:line="340" w:lineRule="auto" w:before="115"/>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7434"/>
        <w:jc w:val="left"/>
      </w:pPr>
      <w:r>
        <w:rPr/>
        <w:t>实际控制人性质：境内自然人 实际控制人类型：自然人</w:t>
      </w:r>
    </w:p>
    <w:tbl>
      <w:tblPr>
        <w:tblW w:w="0" w:type="auto"/>
        <w:jc w:val="left"/>
        <w:tblInd w:w="119" w:type="dxa"/>
        <w:tblLayout w:type="fixed"/>
        <w:tblCellMar>
          <w:top w:w="0" w:type="dxa"/>
          <w:left w:w="0" w:type="dxa"/>
          <w:bottom w:w="0" w:type="dxa"/>
          <w:right w:w="0" w:type="dxa"/>
        </w:tblCellMar>
        <w:tblLook w:val="01E0"/>
      </w:tblPr>
      <w:tblGrid>
        <w:gridCol w:w="3383"/>
        <w:gridCol w:w="2084"/>
        <w:gridCol w:w="4232"/>
      </w:tblGrid>
      <w:tr>
        <w:trPr>
          <w:trHeight w:val="403" w:hRule="exact"/>
        </w:trPr>
        <w:tc>
          <w:tcPr>
            <w:tcW w:w="3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6"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林皓</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公司董事长、总经理</w:t>
            </w:r>
          </w:p>
        </w:tc>
      </w:tr>
      <w:tr>
        <w:trPr>
          <w:trHeight w:val="401" w:hRule="exact"/>
        </w:trPr>
        <w:tc>
          <w:tcPr>
            <w:tcW w:w="3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70"/>
        <w:ind w:right="0"/>
        <w:jc w:val="left"/>
      </w:pPr>
      <w:r>
        <w:rPr/>
        <w:t>实际控制人报告期内变更</w:t>
      </w:r>
    </w:p>
    <w:p>
      <w:pPr>
        <w:pStyle w:val="BodyText"/>
        <w:spacing w:line="348" w:lineRule="auto" w:before="117"/>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12"/>
        <w:rPr>
          <w:rFonts w:ascii="宋体" w:hAnsi="宋体" w:cs="宋体" w:eastAsia="宋体" w:hint="default"/>
          <w:sz w:val="16"/>
          <w:szCs w:val="16"/>
        </w:rPr>
      </w:pPr>
    </w:p>
    <w:p>
      <w:pPr>
        <w:spacing w:line="3675" w:lineRule="exact"/>
        <w:ind w:left="1355" w:right="0" w:firstLine="0"/>
        <w:rPr>
          <w:rFonts w:ascii="宋体" w:hAnsi="宋体" w:cs="宋体" w:eastAsia="宋体" w:hint="default"/>
          <w:sz w:val="20"/>
          <w:szCs w:val="20"/>
        </w:rPr>
      </w:pPr>
      <w:r>
        <w:rPr>
          <w:rFonts w:ascii="宋体" w:hAnsi="宋体" w:cs="宋体" w:eastAsia="宋体" w:hint="default"/>
          <w:position w:val="-73"/>
          <w:sz w:val="20"/>
          <w:szCs w:val="20"/>
        </w:rPr>
        <w:drawing>
          <wp:inline distT="0" distB="0" distL="0" distR="0">
            <wp:extent cx="4591091" cy="2333625"/>
            <wp:effectExtent l="0" t="0" r="0" b="0"/>
            <wp:docPr id="25" name="image4.png" descr=""/>
            <wp:cNvGraphicFramePr>
              <a:graphicFrameLocks noChangeAspect="1"/>
            </wp:cNvGraphicFramePr>
            <a:graphic>
              <a:graphicData uri="http://schemas.openxmlformats.org/drawingml/2006/picture">
                <pic:pic>
                  <pic:nvPicPr>
                    <pic:cNvPr id="26" name="image4.png"/>
                    <pic:cNvPicPr/>
                  </pic:nvPicPr>
                  <pic:blipFill>
                    <a:blip r:embed="rId18" cstate="print"/>
                    <a:stretch>
                      <a:fillRect/>
                    </a:stretch>
                  </pic:blipFill>
                  <pic:spPr>
                    <a:xfrm>
                      <a:off x="0" y="0"/>
                      <a:ext cx="4591091" cy="2333625"/>
                    </a:xfrm>
                    <a:prstGeom prst="rect">
                      <a:avLst/>
                    </a:prstGeom>
                  </pic:spPr>
                </pic:pic>
              </a:graphicData>
            </a:graphic>
          </wp:inline>
        </w:drawing>
      </w:r>
      <w:r>
        <w:rPr>
          <w:rFonts w:ascii="宋体" w:hAnsi="宋体" w:cs="宋体" w:eastAsia="宋体" w:hint="default"/>
          <w:position w:val="-73"/>
          <w:sz w:val="20"/>
          <w:szCs w:val="20"/>
        </w:rPr>
      </w:r>
    </w:p>
    <w:p>
      <w:pPr>
        <w:spacing w:line="240" w:lineRule="auto" w:before="11"/>
        <w:rPr>
          <w:rFonts w:ascii="宋体" w:hAnsi="宋体" w:cs="宋体" w:eastAsia="宋体" w:hint="default"/>
          <w:sz w:val="18"/>
          <w:szCs w:val="18"/>
        </w:rPr>
      </w:pPr>
    </w:p>
    <w:p>
      <w:pPr>
        <w:pStyle w:val="BodyText"/>
        <w:spacing w:line="240" w:lineRule="auto"/>
        <w:ind w:right="0"/>
        <w:jc w:val="left"/>
      </w:pPr>
      <w:r>
        <w:rPr/>
        <w:t>实际控制人通过信托或其他资产管理方式控制公司</w:t>
      </w:r>
    </w:p>
    <w:p>
      <w:pPr>
        <w:spacing w:line="240" w:lineRule="auto" w:before="12"/>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12"/>
        </w:rPr>
        <w:t> </w:t>
      </w:r>
      <w:r>
        <w:rPr>
          <w:rFonts w:ascii="Times New Roman" w:hAnsi="Times New Roman" w:cs="Times New Roman" w:eastAsia="Times New Roman" w:hint="default"/>
        </w:rPr>
        <w:t>10%</w:t>
      </w:r>
      <w:r>
        <w:rPr/>
        <w:t>以上的法人股东</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1133" w:top="1060" w:bottom="13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285" w:right="0"/>
        <w:jc w:val="left"/>
        <w:rPr>
          <w:b w:val="0"/>
          <w:bCs w:val="0"/>
        </w:rPr>
      </w:pPr>
      <w:bookmarkStart w:name="_TOC_250005" w:id="7"/>
      <w:r>
        <w:rPr/>
        <w:t>第七节 </w:t>
      </w:r>
      <w:r>
        <w:rPr>
          <w:spacing w:val="8"/>
        </w:rPr>
        <w:t> </w:t>
      </w:r>
      <w:r>
        <w:rPr/>
        <w:t>优先股相关情况</w:t>
      </w:r>
      <w:bookmarkEnd w:id="7"/>
      <w:r>
        <w:rPr>
          <w:b w:val="0"/>
          <w:bCs w:val="0"/>
        </w:rPr>
      </w:r>
    </w:p>
    <w:p>
      <w:pPr>
        <w:spacing w:line="240" w:lineRule="auto" w:before="8"/>
        <w:rPr>
          <w:rFonts w:ascii="Microsoft JhengHei" w:hAnsi="Microsoft JhengHei" w:cs="Microsoft JhengHei" w:eastAsia="Microsoft JhengHei" w:hint="default"/>
          <w:b/>
          <w:bCs/>
          <w:sz w:val="27"/>
          <w:szCs w:val="27"/>
        </w:rPr>
      </w:pPr>
    </w:p>
    <w:p>
      <w:pPr>
        <w:pStyle w:val="BodyText"/>
        <w:spacing w:line="338" w:lineRule="auto" w:before="44"/>
        <w:ind w:right="7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1133" w:top="1060" w:bottom="13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1679" w:right="0"/>
        <w:jc w:val="left"/>
        <w:rPr>
          <w:b w:val="0"/>
          <w:bCs w:val="0"/>
        </w:rPr>
      </w:pPr>
      <w:bookmarkStart w:name="_TOC_250004" w:id="8"/>
      <w:r>
        <w:rPr/>
        <w:t>第八节 </w:t>
      </w:r>
      <w:r>
        <w:rPr>
          <w:spacing w:val="18"/>
        </w:rPr>
        <w:t> </w:t>
      </w:r>
      <w:r>
        <w:rPr/>
        <w:t>董事、监事、高级管理人员和员工情况</w:t>
      </w:r>
      <w:bookmarkEnd w:id="8"/>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19" w:type="dxa"/>
        <w:tblLayout w:type="fixed"/>
        <w:tblCellMar>
          <w:top w:w="0" w:type="dxa"/>
          <w:left w:w="0" w:type="dxa"/>
          <w:bottom w:w="0" w:type="dxa"/>
          <w:right w:w="0" w:type="dxa"/>
        </w:tblCellMar>
        <w:tblLook w:val="01E0"/>
      </w:tblPr>
      <w:tblGrid>
        <w:gridCol w:w="747"/>
        <w:gridCol w:w="744"/>
        <w:gridCol w:w="744"/>
        <w:gridCol w:w="745"/>
        <w:gridCol w:w="746"/>
        <w:gridCol w:w="744"/>
        <w:gridCol w:w="744"/>
        <w:gridCol w:w="958"/>
        <w:gridCol w:w="746"/>
        <w:gridCol w:w="867"/>
        <w:gridCol w:w="955"/>
        <w:gridCol w:w="958"/>
      </w:tblGrid>
      <w:tr>
        <w:trPr>
          <w:trHeight w:val="1339" w:hRule="exact"/>
        </w:trPr>
        <w:tc>
          <w:tcPr>
            <w:tcW w:w="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316" w:lineRule="auto"/>
              <w:ind w:left="278" w:right="95"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316" w:lineRule="auto"/>
              <w:ind w:left="98" w:right="95"/>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316" w:lineRule="auto"/>
              <w:ind w:left="98" w:right="94"/>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98" w:right="0"/>
              <w:jc w:val="both"/>
              <w:rPr>
                <w:rFonts w:ascii="宋体" w:hAnsi="宋体" w:cs="宋体" w:eastAsia="宋体" w:hint="default"/>
                <w:sz w:val="18"/>
                <w:szCs w:val="18"/>
              </w:rPr>
            </w:pPr>
            <w:r>
              <w:rPr>
                <w:rFonts w:ascii="宋体" w:hAnsi="宋体" w:cs="宋体" w:eastAsia="宋体" w:hint="default"/>
                <w:sz w:val="18"/>
                <w:szCs w:val="18"/>
              </w:rPr>
              <w:t>（股）</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69" w:right="65"/>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5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316" w:lineRule="auto"/>
              <w:ind w:left="112" w:right="19" w:hanging="89"/>
              <w:jc w:val="left"/>
              <w:rPr>
                <w:rFonts w:ascii="宋体" w:hAnsi="宋体" w:cs="宋体" w:eastAsia="宋体" w:hint="default"/>
                <w:sz w:val="18"/>
                <w:szCs w:val="18"/>
              </w:rPr>
            </w:pPr>
            <w:r>
              <w:rPr>
                <w:rFonts w:ascii="宋体" w:hAnsi="宋体" w:cs="宋体" w:eastAsia="宋体" w:hint="default"/>
                <w:sz w:val="18"/>
                <w:szCs w:val="18"/>
              </w:rPr>
              <w:t>其他增减变 动（股）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1025" w:hRule="exact"/>
        </w:trPr>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林皓</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8"/>
              <w:jc w:val="both"/>
              <w:rPr>
                <w:rFonts w:ascii="宋体" w:hAnsi="宋体" w:cs="宋体" w:eastAsia="宋体" w:hint="default"/>
                <w:sz w:val="18"/>
                <w:szCs w:val="18"/>
              </w:rPr>
            </w:pPr>
            <w:r>
              <w:rPr>
                <w:rFonts w:ascii="宋体" w:hAnsi="宋体" w:cs="宋体" w:eastAsia="宋体" w:hint="default"/>
                <w:sz w:val="18"/>
                <w:szCs w:val="18"/>
              </w:rPr>
              <w:t>董事长 兼总经 理</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197,950,000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43,494,599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296,924,999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451,380,400</w:t>
            </w:r>
          </w:p>
        </w:tc>
      </w:tr>
      <w:tr>
        <w:trPr>
          <w:trHeight w:val="1027" w:hRule="exact"/>
        </w:trPr>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杨杰</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8"/>
              <w:jc w:val="both"/>
              <w:rPr>
                <w:rFonts w:ascii="宋体" w:hAnsi="宋体" w:cs="宋体" w:eastAsia="宋体" w:hint="default"/>
                <w:sz w:val="18"/>
                <w:szCs w:val="18"/>
              </w:rPr>
            </w:pPr>
            <w:r>
              <w:rPr>
                <w:rFonts w:ascii="宋体" w:hAnsi="宋体" w:cs="宋体" w:eastAsia="宋体" w:hint="default"/>
                <w:sz w:val="18"/>
                <w:szCs w:val="18"/>
              </w:rPr>
              <w:t>董事兼 副总经 理</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1,140,000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2,850,000</w:t>
            </w:r>
          </w:p>
        </w:tc>
      </w:tr>
      <w:tr>
        <w:trPr>
          <w:trHeight w:val="1025" w:hRule="exact"/>
        </w:trPr>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高曦</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8"/>
              <w:jc w:val="both"/>
              <w:rPr>
                <w:rFonts w:ascii="宋体" w:hAnsi="宋体" w:cs="宋体" w:eastAsia="宋体" w:hint="default"/>
                <w:sz w:val="18"/>
                <w:szCs w:val="18"/>
              </w:rPr>
            </w:pPr>
            <w:r>
              <w:rPr>
                <w:rFonts w:ascii="宋体" w:hAnsi="宋体" w:cs="宋体" w:eastAsia="宋体" w:hint="default"/>
                <w:sz w:val="18"/>
                <w:szCs w:val="18"/>
              </w:rPr>
              <w:t>董事兼 副总经 理</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1,013,460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1,520,190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2,533,650</w:t>
            </w:r>
          </w:p>
        </w:tc>
      </w:tr>
      <w:tr>
        <w:trPr>
          <w:trHeight w:val="1028" w:hRule="exact"/>
        </w:trPr>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胡建斌</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950,051</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1,425,077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2,375,128</w:t>
            </w:r>
          </w:p>
        </w:tc>
      </w:tr>
      <w:tr>
        <w:trPr>
          <w:trHeight w:val="1025" w:hRule="exact"/>
        </w:trPr>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李涛</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4" w:lineRule="auto"/>
              <w:ind w:left="23" w:right="168"/>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齐越</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168"/>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杨逢柱</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4" w:lineRule="auto"/>
              <w:ind w:left="23" w:right="168"/>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钟力</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杨华</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徐扬</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33" w:top="1060" w:bottom="1320" w:left="980" w:right="98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19" w:type="dxa"/>
        <w:tblLayout w:type="fixed"/>
        <w:tblCellMar>
          <w:top w:w="0" w:type="dxa"/>
          <w:left w:w="0" w:type="dxa"/>
          <w:bottom w:w="0" w:type="dxa"/>
          <w:right w:w="0" w:type="dxa"/>
        </w:tblCellMar>
        <w:tblLook w:val="01E0"/>
      </w:tblPr>
      <w:tblGrid>
        <w:gridCol w:w="747"/>
        <w:gridCol w:w="744"/>
        <w:gridCol w:w="744"/>
        <w:gridCol w:w="745"/>
        <w:gridCol w:w="746"/>
        <w:gridCol w:w="744"/>
        <w:gridCol w:w="744"/>
        <w:gridCol w:w="958"/>
        <w:gridCol w:w="746"/>
        <w:gridCol w:w="867"/>
        <w:gridCol w:w="955"/>
        <w:gridCol w:w="958"/>
      </w:tblGrid>
      <w:tr>
        <w:trPr>
          <w:trHeight w:val="1025" w:hRule="exact"/>
        </w:trPr>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王晓娜</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168"/>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348"/>
              <w:jc w:val="right"/>
              <w:rPr>
                <w:rFonts w:ascii="宋体" w:hAnsi="宋体" w:cs="宋体" w:eastAsia="宋体" w:hint="default"/>
                <w:sz w:val="18"/>
                <w:szCs w:val="18"/>
              </w:rPr>
            </w:pPr>
            <w:r>
              <w:rPr>
                <w:rFonts w:ascii="宋体" w:hAnsi="宋体" w:cs="宋体" w:eastAsia="宋体" w:hint="default"/>
                <w:sz w:val="18"/>
                <w:szCs w:val="18"/>
              </w:rPr>
              <w:t>现任</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杨维</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4" w:lineRule="auto"/>
              <w:ind w:left="23" w:right="168"/>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right="348"/>
              <w:jc w:val="right"/>
              <w:rPr>
                <w:rFonts w:ascii="宋体" w:hAnsi="宋体" w:cs="宋体" w:eastAsia="宋体" w:hint="default"/>
                <w:sz w:val="18"/>
                <w:szCs w:val="18"/>
              </w:rPr>
            </w:pPr>
            <w:r>
              <w:rPr>
                <w:rFonts w:ascii="宋体" w:hAnsi="宋体" w:cs="宋体" w:eastAsia="宋体" w:hint="default"/>
                <w:sz w:val="18"/>
                <w:szCs w:val="18"/>
              </w:rPr>
              <w:t>现任</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1,836,540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2,754,810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4,591,350</w:t>
            </w:r>
          </w:p>
        </w:tc>
      </w:tr>
      <w:tr>
        <w:trPr>
          <w:trHeight w:val="1337" w:hRule="exact"/>
        </w:trPr>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李旭</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8"/>
              <w:jc w:val="both"/>
              <w:rPr>
                <w:rFonts w:ascii="宋体" w:hAnsi="宋体" w:cs="宋体" w:eastAsia="宋体" w:hint="default"/>
                <w:sz w:val="18"/>
                <w:szCs w:val="18"/>
              </w:rPr>
            </w:pPr>
            <w:r>
              <w:rPr>
                <w:rFonts w:ascii="宋体" w:hAnsi="宋体" w:cs="宋体" w:eastAsia="宋体" w:hint="default"/>
                <w:sz w:val="18"/>
                <w:szCs w:val="18"/>
              </w:rPr>
              <w:t>副总经 理兼董 事会秘 书</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348"/>
              <w:jc w:val="right"/>
              <w:rPr>
                <w:rFonts w:ascii="宋体" w:hAnsi="宋体" w:cs="宋体" w:eastAsia="宋体" w:hint="default"/>
                <w:sz w:val="18"/>
                <w:szCs w:val="18"/>
              </w:rPr>
            </w:pPr>
            <w:r>
              <w:rPr>
                <w:rFonts w:ascii="宋体" w:hAnsi="宋体" w:cs="宋体" w:eastAsia="宋体" w:hint="default"/>
                <w:sz w:val="18"/>
                <w:szCs w:val="18"/>
              </w:rPr>
              <w:t>现任</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邓华明</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4" w:lineRule="auto"/>
              <w:ind w:left="23" w:right="168"/>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right="348"/>
              <w:jc w:val="right"/>
              <w:rPr>
                <w:rFonts w:ascii="宋体" w:hAnsi="宋体" w:cs="宋体" w:eastAsia="宋体" w:hint="default"/>
                <w:sz w:val="18"/>
                <w:szCs w:val="18"/>
              </w:rPr>
            </w:pPr>
            <w:r>
              <w:rPr>
                <w:rFonts w:ascii="宋体" w:hAnsi="宋体" w:cs="宋体" w:eastAsia="宋体" w:hint="default"/>
                <w:sz w:val="18"/>
                <w:szCs w:val="18"/>
              </w:rPr>
              <w:t>现任</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05"/>
              <w:jc w:val="right"/>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202,890,051</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43,494,599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304,335,076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463,730,528</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二、公司董事、监事、高级管理人员变动情况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349"/>
        <w:gridCol w:w="1349"/>
        <w:gridCol w:w="1159"/>
        <w:gridCol w:w="1534"/>
        <w:gridCol w:w="4306"/>
      </w:tblGrid>
      <w:tr>
        <w:trPr>
          <w:trHeight w:val="401" w:hRule="exact"/>
        </w:trPr>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6"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邓华明</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84"/>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日，公司召开第三届董事会第六次临 时会议决议审议通过聘任邓华明女士为公司财务总监</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三、任职情况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公司现任董事、监事、高级管理人员专业背景、主要工作经历以及目前在公司的主要职责</w:t>
      </w:r>
    </w:p>
    <w:p>
      <w:pPr>
        <w:pStyle w:val="BodyText"/>
        <w:spacing w:line="540" w:lineRule="atLeast" w:before="32"/>
        <w:ind w:left="496" w:right="0" w:firstLine="14"/>
        <w:jc w:val="left"/>
      </w:pP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、现任董事情况 </w:t>
      </w:r>
      <w:r>
        <w:rPr>
          <w:spacing w:val="-2"/>
        </w:rPr>
        <w:t>林皓，中国国籍，无境外永久居留权，</w:t>
      </w:r>
      <w:r>
        <w:rPr>
          <w:rFonts w:ascii="Times New Roman" w:hAnsi="Times New Roman" w:cs="Times New Roman" w:eastAsia="Times New Roman" w:hint="default"/>
          <w:spacing w:val="-2"/>
        </w:rPr>
        <w:t>1966</w:t>
      </w:r>
      <w:r>
        <w:rPr>
          <w:spacing w:val="-2"/>
        </w:rPr>
        <w:t>年生，本科。</w:t>
      </w:r>
      <w:r>
        <w:rPr>
          <w:rFonts w:ascii="Times New Roman" w:hAnsi="Times New Roman" w:cs="Times New Roman" w:eastAsia="Times New Roman" w:hint="default"/>
          <w:spacing w:val="-2"/>
        </w:rPr>
        <w:t>1996</w:t>
      </w:r>
      <w:r>
        <w:rPr>
          <w:spacing w:val="-2"/>
        </w:rPr>
        <w:t>年创建北信源有限以来，历任董事长兼总经理。现任公司</w:t>
      </w:r>
    </w:p>
    <w:p>
      <w:pPr>
        <w:pStyle w:val="BodyText"/>
        <w:spacing w:line="319" w:lineRule="auto" w:before="63"/>
        <w:ind w:left="496" w:right="0" w:hanging="344"/>
        <w:jc w:val="left"/>
      </w:pPr>
      <w:r>
        <w:rPr/>
        <w:t>董事长兼总经理及神州信源、上海北信源执行董事，北信源（马来西亚）董事，北京辰信领创信息技术有限公司董事长。 </w:t>
      </w:r>
      <w:r>
        <w:rPr>
          <w:spacing w:val="-2"/>
        </w:rPr>
        <w:t>杨杰，中国国籍，无境外永久居留权，</w:t>
      </w:r>
      <w:r>
        <w:rPr>
          <w:rFonts w:ascii="Times New Roman" w:hAnsi="Times New Roman" w:cs="Times New Roman" w:eastAsia="Times New Roman" w:hint="default"/>
          <w:spacing w:val="-2"/>
        </w:rPr>
        <w:t>1964</w:t>
      </w:r>
      <w:r>
        <w:rPr>
          <w:spacing w:val="-2"/>
        </w:rPr>
        <w:t>年生，硕士。曾任南京中山工贸总公司驻俄罗斯莫斯科办事处负责人、恒生</w:t>
      </w:r>
    </w:p>
    <w:p>
      <w:pPr>
        <w:pStyle w:val="BodyText"/>
        <w:spacing w:line="300" w:lineRule="auto"/>
        <w:ind w:right="0"/>
        <w:jc w:val="left"/>
      </w:pPr>
      <w:r>
        <w:rPr/>
        <w:t>电子股份有限公司深圳分公司总经理，城商</w:t>
      </w:r>
      <w:r>
        <w:rPr>
          <w:rFonts w:ascii="Times New Roman" w:hAnsi="Times New Roman" w:cs="Times New Roman" w:eastAsia="Times New Roman" w:hint="default"/>
        </w:rPr>
        <w:t>/</w:t>
      </w:r>
      <w:r>
        <w:rPr/>
        <w:t>农信部总经理，深圳奥尊金融信息技术有限公司副总经理，北信源有限董事、</w:t>
      </w:r>
      <w:r>
        <w:rPr>
          <w:spacing w:val="-49"/>
        </w:rPr>
        <w:t> </w:t>
      </w:r>
      <w:r>
        <w:rPr>
          <w:spacing w:val="-49"/>
        </w:rPr>
      </w:r>
      <w:r>
        <w:rPr/>
        <w:t>副总经理；现任公司董事、副总经理，深圳金城保密技术有限公司董事，北京信源匡恩工控安全科技有限公司董事长。</w:t>
      </w:r>
    </w:p>
    <w:p>
      <w:pPr>
        <w:pStyle w:val="BodyText"/>
        <w:spacing w:line="300" w:lineRule="auto" w:before="31"/>
        <w:ind w:right="153" w:firstLine="372"/>
        <w:jc w:val="both"/>
      </w:pPr>
      <w:r>
        <w:rPr/>
        <w:t>高曦，中国国籍，无境外永久居留权，</w:t>
      </w:r>
      <w:r>
        <w:rPr>
          <w:rFonts w:ascii="Times New Roman" w:hAnsi="Times New Roman" w:cs="Times New Roman" w:eastAsia="Times New Roman" w:hint="default"/>
        </w:rPr>
        <w:t>1977</w:t>
      </w:r>
      <w:r>
        <w:rPr/>
        <w:t>年生，硕士。曾任唐山燕山电器有限公司软件开发员，北信源有限董事、 副总经理；现任公司董事、副总经理、研发总监，北信源（马来西亚）董事，北京信源匡恩工控安全科技有限公司董事。</w:t>
      </w:r>
    </w:p>
    <w:p>
      <w:pPr>
        <w:pStyle w:val="BodyText"/>
        <w:spacing w:line="300" w:lineRule="auto" w:before="31"/>
        <w:ind w:right="152" w:firstLine="360"/>
        <w:jc w:val="both"/>
      </w:pPr>
      <w:r>
        <w:rPr>
          <w:spacing w:val="-2"/>
        </w:rPr>
        <w:t>胡建斌，中国国籍，无境外永久居留权，</w:t>
      </w:r>
      <w:r>
        <w:rPr>
          <w:rFonts w:ascii="Times New Roman" w:hAnsi="Times New Roman" w:cs="Times New Roman" w:eastAsia="Times New Roman" w:hint="default"/>
          <w:spacing w:val="-2"/>
        </w:rPr>
        <w:t>1971</w:t>
      </w:r>
      <w:r>
        <w:rPr>
          <w:spacing w:val="-2"/>
        </w:rPr>
        <w:t>年生，计算机软件与理论博士。先后主持国家自然科学基金、科技部国际</w:t>
      </w:r>
      <w:r>
        <w:rPr/>
        <w:t> 合作重大专项、军口</w:t>
      </w:r>
      <w:r>
        <w:rPr>
          <w:rFonts w:ascii="Times New Roman" w:hAnsi="Times New Roman" w:cs="Times New Roman" w:eastAsia="Times New Roman" w:hint="default"/>
        </w:rPr>
        <w:t>863</w:t>
      </w:r>
      <w:r>
        <w:rPr/>
        <w:t>、总装预研等</w:t>
      </w:r>
      <w:r>
        <w:rPr>
          <w:rFonts w:ascii="Times New Roman" w:hAnsi="Times New Roman" w:cs="Times New Roman" w:eastAsia="Times New Roman" w:hint="default"/>
        </w:rPr>
        <w:t>20</w:t>
      </w:r>
      <w:r>
        <w:rPr/>
        <w:t>余项课题，获得国家科技进步二等奖</w:t>
      </w:r>
      <w:r>
        <w:rPr>
          <w:rFonts w:ascii="Times New Roman" w:hAnsi="Times New Roman" w:cs="Times New Roman" w:eastAsia="Times New Roman" w:hint="default"/>
        </w:rPr>
        <w:t>1</w:t>
      </w:r>
      <w:r>
        <w:rPr/>
        <w:t>项、军队科技进步奖</w:t>
      </w:r>
      <w:r>
        <w:rPr>
          <w:rFonts w:ascii="Times New Roman" w:hAnsi="Times New Roman" w:cs="Times New Roman" w:eastAsia="Times New Roman" w:hint="default"/>
        </w:rPr>
        <w:t>5</w:t>
      </w:r>
      <w:r>
        <w:rPr/>
        <w:t>项，发表</w:t>
      </w:r>
      <w:r>
        <w:rPr>
          <w:rFonts w:ascii="Times New Roman" w:hAnsi="Times New Roman" w:cs="Times New Roman" w:eastAsia="Times New Roman" w:hint="default"/>
        </w:rPr>
        <w:t>SCI/EI</w:t>
      </w:r>
      <w:r>
        <w:rPr/>
        <w:t>检索学</w:t>
      </w:r>
      <w:r>
        <w:rPr>
          <w:spacing w:val="-51"/>
        </w:rPr>
        <w:t> </w:t>
      </w:r>
      <w:r>
        <w:rPr/>
        <w:t>术论文</w:t>
      </w:r>
      <w:r>
        <w:rPr>
          <w:rFonts w:ascii="Times New Roman" w:hAnsi="Times New Roman" w:cs="Times New Roman" w:eastAsia="Times New Roman" w:hint="default"/>
        </w:rPr>
        <w:t>60</w:t>
      </w:r>
      <w:r>
        <w:rPr/>
        <w:t>余篇，拥有发明专利</w:t>
      </w:r>
      <w:r>
        <w:rPr>
          <w:rFonts w:ascii="Times New Roman" w:hAnsi="Times New Roman" w:cs="Times New Roman" w:eastAsia="Times New Roman" w:hint="default"/>
        </w:rPr>
        <w:t>2</w:t>
      </w:r>
      <w:r>
        <w:rPr/>
        <w:t>项。曾任北京大学网络和软件安全保障教育部重点实验室副主任。现任公司董事、首席战略</w:t>
      </w:r>
      <w:r>
        <w:rPr>
          <w:spacing w:val="-86"/>
        </w:rPr>
        <w:t> </w:t>
      </w:r>
      <w:r>
        <w:rPr>
          <w:spacing w:val="-86"/>
        </w:rPr>
      </w:r>
      <w:r>
        <w:rPr/>
        <w:t>官，北京辰信领创信息技术有限公司董事。</w:t>
      </w:r>
    </w:p>
    <w:p>
      <w:pPr>
        <w:pStyle w:val="BodyText"/>
        <w:spacing w:line="300" w:lineRule="auto" w:before="31"/>
        <w:ind w:right="151" w:firstLine="389"/>
        <w:jc w:val="both"/>
      </w:pPr>
      <w:r>
        <w:rPr/>
        <w:t>李涛，中国国籍，无境外永久居留权，</w:t>
      </w:r>
      <w:r>
        <w:rPr>
          <w:rFonts w:ascii="Times New Roman" w:hAnsi="Times New Roman" w:cs="Times New Roman" w:eastAsia="Times New Roman" w:hint="default"/>
        </w:rPr>
        <w:t>1961</w:t>
      </w:r>
      <w:r>
        <w:rPr/>
        <w:t>年生，博士。华北电力大学经济管理学院会计学教授、河南平高电气股份 有限公司独立董事，现任本公司独立董事。</w:t>
      </w:r>
    </w:p>
    <w:p>
      <w:pPr>
        <w:pStyle w:val="BodyText"/>
        <w:spacing w:line="300" w:lineRule="auto" w:before="31"/>
        <w:ind w:right="151" w:firstLine="360"/>
        <w:jc w:val="both"/>
      </w:pPr>
      <w:r>
        <w:rPr>
          <w:spacing w:val="-2"/>
        </w:rPr>
        <w:t>齐越，中国国籍，男，</w:t>
      </w:r>
      <w:r>
        <w:rPr>
          <w:rFonts w:ascii="Times New Roman" w:hAnsi="Times New Roman" w:cs="Times New Roman" w:eastAsia="Times New Roman" w:hint="default"/>
          <w:spacing w:val="-2"/>
        </w:rPr>
        <w:t>1969</w:t>
      </w:r>
      <w:r>
        <w:rPr>
          <w:spacing w:val="-2"/>
        </w:rPr>
        <w:t>年生，博士，教授，博士生导师。北京航空航天大学计算机学院工作。美国哈佛大学高级访</w:t>
      </w:r>
      <w:r>
        <w:rPr/>
        <w:t> 问学者。主要从事虚拟现实、增强现实等方面研究。主持了国家自然科学基金、国家重点研发计划、国家</w:t>
      </w:r>
      <w:r>
        <w:rPr>
          <w:rFonts w:ascii="Times New Roman" w:hAnsi="Times New Roman" w:cs="Times New Roman" w:eastAsia="Times New Roman" w:hint="default"/>
        </w:rPr>
        <w:t>863</w:t>
      </w:r>
      <w:r>
        <w:rPr/>
        <w:t>计划、国家科</w:t>
      </w:r>
    </w:p>
    <w:p>
      <w:pPr>
        <w:spacing w:after="0" w:line="300" w:lineRule="auto"/>
        <w:jc w:val="both"/>
        <w:sectPr>
          <w:pgSz w:w="11910" w:h="16840"/>
          <w:pgMar w:header="745" w:footer="1133" w:top="1060" w:bottom="1320" w:left="980" w:right="980"/>
        </w:sectPr>
      </w:pPr>
    </w:p>
    <w:p>
      <w:pPr>
        <w:spacing w:line="240" w:lineRule="auto" w:before="10"/>
        <w:rPr>
          <w:rFonts w:ascii="宋体" w:hAnsi="宋体" w:cs="宋体" w:eastAsia="宋体" w:hint="default"/>
          <w:sz w:val="25"/>
          <w:szCs w:val="25"/>
        </w:rPr>
      </w:pPr>
    </w:p>
    <w:p>
      <w:pPr>
        <w:pStyle w:val="BodyText"/>
        <w:spacing w:line="300" w:lineRule="auto" w:before="44"/>
        <w:ind w:right="184"/>
        <w:jc w:val="left"/>
      </w:pPr>
      <w:r>
        <w:rPr/>
        <w:t>技支撑计划等科研项目。在国内外重要学术期刊和会议发表论文</w:t>
      </w:r>
      <w:r>
        <w:rPr>
          <w:rFonts w:ascii="Times New Roman" w:hAnsi="Times New Roman" w:cs="Times New Roman" w:eastAsia="Times New Roman" w:hint="default"/>
        </w:rPr>
        <w:t>80</w:t>
      </w:r>
      <w:r>
        <w:rPr/>
        <w:t>余篇，出版学术著作</w:t>
      </w:r>
      <w:r>
        <w:rPr>
          <w:rFonts w:ascii="Times New Roman" w:hAnsi="Times New Roman" w:cs="Times New Roman" w:eastAsia="Times New Roman" w:hint="default"/>
        </w:rPr>
        <w:t>1</w:t>
      </w:r>
      <w:r>
        <w:rPr/>
        <w:t>部；获中国发明专利授权</w:t>
      </w:r>
      <w:r>
        <w:rPr>
          <w:rFonts w:ascii="Times New Roman" w:hAnsi="Times New Roman" w:cs="Times New Roman" w:eastAsia="Times New Roman" w:hint="default"/>
        </w:rPr>
        <w:t>20</w:t>
      </w:r>
      <w:r>
        <w:rPr/>
        <w:t>余项；</w:t>
      </w:r>
      <w:r>
        <w:rPr>
          <w:spacing w:val="-85"/>
        </w:rPr>
        <w:t> </w:t>
      </w:r>
      <w:r>
        <w:rPr/>
        <w:t>获国家科技进步一等奖</w:t>
      </w:r>
      <w:r>
        <w:rPr>
          <w:rFonts w:ascii="Times New Roman" w:hAnsi="Times New Roman" w:cs="Times New Roman" w:eastAsia="Times New Roman" w:hint="default"/>
        </w:rPr>
        <w:t>1</w:t>
      </w:r>
      <w:r>
        <w:rPr/>
        <w:t>项，教育部技术发明一等奖</w:t>
      </w:r>
      <w:r>
        <w:rPr>
          <w:rFonts w:ascii="Times New Roman" w:hAnsi="Times New Roman" w:cs="Times New Roman" w:eastAsia="Times New Roman" w:hint="default"/>
        </w:rPr>
        <w:t>1</w:t>
      </w:r>
      <w:r>
        <w:rPr/>
        <w:t>项。</w:t>
      </w:r>
    </w:p>
    <w:p>
      <w:pPr>
        <w:pStyle w:val="BodyText"/>
        <w:spacing w:line="300" w:lineRule="auto" w:before="13"/>
        <w:ind w:right="192" w:firstLine="360"/>
        <w:jc w:val="both"/>
      </w:pPr>
      <w:r>
        <w:rPr>
          <w:spacing w:val="-2"/>
        </w:rPr>
        <w:t>杨逢柱，中国国籍，无境外永久居留权，</w:t>
      </w:r>
      <w:r>
        <w:rPr>
          <w:rFonts w:ascii="Times New Roman" w:hAnsi="Times New Roman" w:cs="Times New Roman" w:eastAsia="Times New Roman" w:hint="default"/>
          <w:spacing w:val="-2"/>
        </w:rPr>
        <w:t>1978</w:t>
      </w:r>
      <w:r>
        <w:rPr>
          <w:spacing w:val="-2"/>
        </w:rPr>
        <w:t>年生，国际法博士。曾任江西省燕真了商标事务所专员，曾获得北京中医</w:t>
      </w:r>
      <w:r>
        <w:rPr/>
        <w:t> </w:t>
      </w:r>
      <w:r>
        <w:rPr>
          <w:spacing w:val="-2"/>
        </w:rPr>
        <w:t>药大学</w:t>
      </w:r>
      <w:r>
        <w:rPr>
          <w:rFonts w:ascii="Times New Roman" w:hAnsi="Times New Roman" w:cs="Times New Roman" w:eastAsia="Times New Roman" w:hint="default"/>
          <w:spacing w:val="-2"/>
        </w:rPr>
        <w:t>“</w:t>
      </w:r>
      <w:r>
        <w:rPr>
          <w:spacing w:val="-2"/>
        </w:rPr>
        <w:t>就业先进个人</w:t>
      </w:r>
      <w:r>
        <w:rPr>
          <w:rFonts w:ascii="Times New Roman" w:hAnsi="Times New Roman" w:cs="Times New Roman" w:eastAsia="Times New Roman" w:hint="default"/>
          <w:spacing w:val="-2"/>
        </w:rPr>
        <w:t>”</w:t>
      </w:r>
      <w:r>
        <w:rPr>
          <w:spacing w:val="-2"/>
        </w:rPr>
        <w:t>，北京中医药大学优秀教师。曾出版《法律基础》、《中医药法学》等文献。现任北京中医药大学法</w:t>
      </w:r>
      <w:r>
        <w:rPr>
          <w:spacing w:val="-49"/>
        </w:rPr>
        <w:t> </w:t>
      </w:r>
      <w:r>
        <w:rPr>
          <w:spacing w:val="-49"/>
        </w:rPr>
      </w:r>
      <w:r>
        <w:rPr/>
        <w:t>律系主任、副教授、北京北中医国医堂医疗健康管理有限公司董事、本公司独立董事。</w:t>
      </w:r>
    </w:p>
    <w:p>
      <w:pPr>
        <w:spacing w:line="240" w:lineRule="auto" w:before="11"/>
        <w:rPr>
          <w:rFonts w:ascii="宋体" w:hAnsi="宋体" w:cs="宋体" w:eastAsia="宋体" w:hint="default"/>
          <w:sz w:val="21"/>
          <w:szCs w:val="21"/>
        </w:rPr>
      </w:pPr>
    </w:p>
    <w:p>
      <w:pPr>
        <w:pStyle w:val="BodyText"/>
        <w:spacing w:line="283" w:lineRule="auto"/>
        <w:ind w:left="513" w:right="94"/>
        <w:jc w:val="left"/>
      </w:pPr>
      <w:r>
        <w:rPr>
          <w:rFonts w:ascii="Times New Roman" w:hAnsi="Times New Roman" w:cs="Times New Roman" w:eastAsia="Times New Roman" w:hint="default"/>
          <w:b/>
          <w:bCs/>
        </w:rPr>
        <w:t>2</w:t>
      </w:r>
      <w:r>
        <w:rPr>
          <w:rFonts w:ascii="Microsoft JhengHei" w:hAnsi="Microsoft JhengHei" w:cs="Microsoft JhengHei" w:eastAsia="Microsoft JhengHei" w:hint="default"/>
          <w:b/>
          <w:bCs/>
        </w:rPr>
        <w:t>、现任监事情况</w:t>
      </w:r>
      <w:r>
        <w:rPr>
          <w:rFonts w:ascii="Microsoft JhengHei" w:hAnsi="Microsoft JhengHei" w:cs="Microsoft JhengHei" w:eastAsia="Microsoft JhengHei" w:hint="default"/>
          <w:b/>
          <w:bCs/>
          <w:spacing w:val="-40"/>
        </w:rPr>
        <w:t> </w:t>
      </w:r>
      <w:r>
        <w:rPr>
          <w:rFonts w:ascii="Microsoft JhengHei" w:hAnsi="Microsoft JhengHei" w:cs="Microsoft JhengHei" w:eastAsia="Microsoft JhengHei" w:hint="default"/>
          <w:b/>
          <w:bCs/>
          <w:spacing w:val="-40"/>
        </w:rPr>
      </w:r>
      <w:r>
        <w:rPr>
          <w:spacing w:val="-2"/>
        </w:rPr>
        <w:t>钟力</w:t>
      </w:r>
      <w:r>
        <w:rPr>
          <w:rFonts w:ascii="Times New Roman" w:hAnsi="Times New Roman" w:cs="Times New Roman" w:eastAsia="Times New Roman" w:hint="default"/>
          <w:spacing w:val="-2"/>
        </w:rPr>
        <w:t>,</w:t>
      </w:r>
      <w:r>
        <w:rPr>
          <w:spacing w:val="-2"/>
        </w:rPr>
        <w:t>中国国籍，无境外永久居留权，</w:t>
      </w:r>
      <w:r>
        <w:rPr>
          <w:rFonts w:ascii="Times New Roman" w:hAnsi="Times New Roman" w:cs="Times New Roman" w:eastAsia="Times New Roman" w:hint="default"/>
          <w:spacing w:val="-2"/>
        </w:rPr>
        <w:t>1970</w:t>
      </w:r>
      <w:r>
        <w:rPr>
          <w:spacing w:val="-2"/>
        </w:rPr>
        <w:t>年</w:t>
      </w:r>
      <w:r>
        <w:rPr>
          <w:rFonts w:ascii="Times New Roman" w:hAnsi="Times New Roman" w:cs="Times New Roman" w:eastAsia="Times New Roman" w:hint="default"/>
          <w:spacing w:val="-2"/>
        </w:rPr>
        <w:t>4</w:t>
      </w:r>
      <w:r>
        <w:rPr>
          <w:spacing w:val="-2"/>
        </w:rPr>
        <w:t>月出生</w:t>
      </w:r>
      <w:r>
        <w:rPr>
          <w:rFonts w:ascii="Times New Roman" w:hAnsi="Times New Roman" w:cs="Times New Roman" w:eastAsia="Times New Roman" w:hint="default"/>
          <w:spacing w:val="-2"/>
        </w:rPr>
        <w:t>,</w:t>
      </w:r>
      <w:r>
        <w:rPr>
          <w:spacing w:val="-2"/>
        </w:rPr>
        <w:t>系统工程博士学位。曾任解放军信息安全测评认证中心工程师、高</w:t>
      </w:r>
    </w:p>
    <w:p>
      <w:pPr>
        <w:pStyle w:val="BodyText"/>
        <w:spacing w:line="316" w:lineRule="auto" w:before="27"/>
        <w:ind w:left="513" w:right="94" w:hanging="361"/>
        <w:jc w:val="left"/>
      </w:pPr>
      <w:r>
        <w:rPr/>
        <w:t>级工程师和网络安全实验室主任；现任公司监事会主席、核心技术发展中心总经理。 </w:t>
      </w:r>
      <w:r>
        <w:rPr>
          <w:spacing w:val="-2"/>
        </w:rPr>
        <w:t>徐扬，中国国籍，无境外永久居留权，</w:t>
      </w:r>
      <w:r>
        <w:rPr>
          <w:rFonts w:ascii="Times New Roman" w:hAnsi="Times New Roman" w:cs="Times New Roman" w:eastAsia="Times New Roman" w:hint="default"/>
          <w:spacing w:val="-2"/>
        </w:rPr>
        <w:t>1981</w:t>
      </w:r>
      <w:r>
        <w:rPr>
          <w:spacing w:val="-2"/>
        </w:rPr>
        <w:t>年生，硕士。曾任南京保旺达科技有限公司副总经理，现任公司监事，江苏</w:t>
      </w:r>
    </w:p>
    <w:p>
      <w:pPr>
        <w:pStyle w:val="BodyText"/>
        <w:spacing w:line="319" w:lineRule="auto"/>
        <w:ind w:left="441" w:right="94" w:hanging="289"/>
        <w:jc w:val="left"/>
      </w:pPr>
      <w:r>
        <w:rPr/>
        <w:t>神州信源系统工程有限公司总经理。 </w:t>
      </w:r>
      <w:r>
        <w:rPr>
          <w:spacing w:val="-1"/>
        </w:rPr>
        <w:t>杨华，中国国籍，无境外永久居留权，</w:t>
      </w:r>
      <w:r>
        <w:rPr>
          <w:rFonts w:ascii="Times New Roman" w:hAnsi="Times New Roman" w:cs="Times New Roman" w:eastAsia="Times New Roman" w:hint="default"/>
          <w:spacing w:val="-1"/>
        </w:rPr>
        <w:t>1977</w:t>
      </w:r>
      <w:r>
        <w:rPr>
          <w:spacing w:val="-1"/>
        </w:rPr>
        <w:t>年生，博士。现任公司监事、研发总经理。人工智能产业技术创新联盟（北</w:t>
      </w:r>
    </w:p>
    <w:p>
      <w:pPr>
        <w:pStyle w:val="BodyText"/>
        <w:spacing w:line="233" w:lineRule="exact"/>
        <w:ind w:right="94"/>
        <w:jc w:val="left"/>
      </w:pPr>
      <w:r>
        <w:rPr/>
        <w:t>京）科技有限公司总经理。</w:t>
      </w:r>
    </w:p>
    <w:p>
      <w:pPr>
        <w:spacing w:line="240" w:lineRule="auto" w:before="4"/>
        <w:rPr>
          <w:rFonts w:ascii="宋体" w:hAnsi="宋体" w:cs="宋体" w:eastAsia="宋体" w:hint="default"/>
          <w:sz w:val="26"/>
          <w:szCs w:val="26"/>
        </w:rPr>
      </w:pPr>
    </w:p>
    <w:p>
      <w:pPr>
        <w:pStyle w:val="BodyText"/>
        <w:spacing w:line="312" w:lineRule="exact" w:before="5"/>
        <w:ind w:left="525" w:right="4761" w:firstLine="60"/>
        <w:jc w:val="left"/>
      </w:pPr>
      <w:r>
        <w:rPr>
          <w:rFonts w:ascii="Times New Roman" w:hAnsi="Times New Roman" w:cs="Times New Roman" w:eastAsia="Times New Roman" w:hint="default"/>
          <w:b/>
          <w:bCs/>
        </w:rPr>
        <w:t>3</w:t>
      </w:r>
      <w:r>
        <w:rPr>
          <w:rFonts w:ascii="Microsoft JhengHei" w:hAnsi="Microsoft JhengHei" w:cs="Microsoft JhengHei" w:eastAsia="Microsoft JhengHei" w:hint="default"/>
          <w:b/>
          <w:bCs/>
        </w:rPr>
        <w:t>、现任</w:t>
      </w:r>
      <w:r>
        <w:rPr>
          <w:rFonts w:ascii="Times New Roman" w:hAnsi="Times New Roman" w:cs="Times New Roman" w:eastAsia="Times New Roman" w:hint="default"/>
          <w:b/>
          <w:bCs/>
        </w:rPr>
        <w:t>8</w:t>
      </w:r>
      <w:r>
        <w:rPr>
          <w:rFonts w:ascii="Microsoft JhengHei" w:hAnsi="Microsoft JhengHei" w:cs="Microsoft JhengHei" w:eastAsia="Microsoft JhengHei" w:hint="default"/>
          <w:b/>
          <w:bCs/>
        </w:rPr>
        <w:t>名高级管理人员 </w:t>
      </w:r>
      <w:r>
        <w:rPr/>
        <w:t>林皓先生，现任公司总经理，简历参见董事会成员介绍。 杨杰先生，现任公司副总经理，简历参见董事会成员介绍。 高曦先生，现任公司副总经理，简历参见董事会成员介绍。</w:t>
      </w:r>
    </w:p>
    <w:p>
      <w:pPr>
        <w:pStyle w:val="BodyText"/>
        <w:spacing w:line="240" w:lineRule="auto" w:before="39"/>
        <w:ind w:left="525" w:right="94"/>
        <w:jc w:val="left"/>
      </w:pPr>
      <w:r>
        <w:rPr/>
        <w:t>王晓娜女士，中国国籍，无境外永久居留权，</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2</w:t>
      </w:r>
      <w:r>
        <w:rPr/>
        <w:t>月出生，硕士，曾任北信源有限公司副总经理，现任公司副总经</w:t>
      </w:r>
    </w:p>
    <w:p>
      <w:pPr>
        <w:pStyle w:val="BodyText"/>
        <w:spacing w:line="240" w:lineRule="auto" w:before="63"/>
        <w:ind w:right="94"/>
        <w:jc w:val="left"/>
      </w:pPr>
      <w:r>
        <w:rPr/>
        <w:t>理。</w:t>
      </w:r>
    </w:p>
    <w:p>
      <w:pPr>
        <w:pStyle w:val="BodyText"/>
        <w:spacing w:line="240" w:lineRule="auto" w:before="76"/>
        <w:ind w:left="525" w:right="94"/>
        <w:jc w:val="left"/>
      </w:pPr>
      <w:r>
        <w:rPr/>
        <w:t>杨维先生，中国国籍，无境外永久居留权，</w:t>
      </w:r>
      <w:r>
        <w:rPr>
          <w:rFonts w:ascii="Times New Roman" w:hAnsi="Times New Roman" w:cs="Times New Roman" w:eastAsia="Times New Roman" w:hint="default"/>
        </w:rPr>
        <w:t>1974</w:t>
      </w:r>
      <w:r>
        <w:rPr/>
        <w:t>年</w:t>
      </w:r>
      <w:r>
        <w:rPr>
          <w:rFonts w:ascii="Times New Roman" w:hAnsi="Times New Roman" w:cs="Times New Roman" w:eastAsia="Times New Roman" w:hint="default"/>
        </w:rPr>
        <w:t>5</w:t>
      </w:r>
      <w:r>
        <w:rPr/>
        <w:t>月出生，硕士。历任北京市人民政府电子工业办公室人事教育处科</w:t>
      </w:r>
    </w:p>
    <w:p>
      <w:pPr>
        <w:pStyle w:val="BodyText"/>
        <w:spacing w:line="316" w:lineRule="auto" w:before="63"/>
        <w:ind w:right="94"/>
        <w:jc w:val="left"/>
      </w:pPr>
      <w:r>
        <w:rPr>
          <w:spacing w:val="-4"/>
        </w:rPr>
        <w:t>员，北京松下电子部品有限公司副课长，北信源有限副总经理；现任公司副总经理，深圳金城保密技术有限公司监事会主席，</w:t>
      </w:r>
      <w:r>
        <w:rPr>
          <w:spacing w:val="-46"/>
        </w:rPr>
        <w:t> </w:t>
      </w:r>
      <w:r>
        <w:rPr>
          <w:spacing w:val="-46"/>
        </w:rPr>
      </w:r>
      <w:r>
        <w:rPr/>
        <w:t>国保联盟信息安全技术有限公司董事长，北京北信源信息安全技术有限公司总经理。</w:t>
      </w:r>
    </w:p>
    <w:p>
      <w:pPr>
        <w:pStyle w:val="BodyText"/>
        <w:spacing w:line="307" w:lineRule="auto" w:before="19"/>
        <w:ind w:right="94" w:firstLine="360"/>
        <w:jc w:val="left"/>
      </w:pPr>
      <w:r>
        <w:rPr>
          <w:spacing w:val="-4"/>
        </w:rPr>
        <w:t>陈曦先生：中国国籍，无境外永久居留权，</w:t>
      </w:r>
      <w:r>
        <w:rPr>
          <w:rFonts w:ascii="Times New Roman" w:hAnsi="Times New Roman" w:cs="Times New Roman" w:eastAsia="Times New Roman" w:hint="default"/>
          <w:spacing w:val="-4"/>
        </w:rPr>
        <w:t>1976</w:t>
      </w:r>
      <w:r>
        <w:rPr>
          <w:spacing w:val="-4"/>
        </w:rPr>
        <w:t>年</w:t>
      </w:r>
      <w:r>
        <w:rPr>
          <w:rFonts w:ascii="Times New Roman" w:hAnsi="Times New Roman" w:cs="Times New Roman" w:eastAsia="Times New Roman" w:hint="default"/>
          <w:spacing w:val="-4"/>
        </w:rPr>
        <w:t>01</w:t>
      </w:r>
      <w:r>
        <w:rPr>
          <w:spacing w:val="-4"/>
        </w:rPr>
        <w:t>月出生，学士学位，曾先后任成都铁路局通信信号厂技术室技术员，</w:t>
      </w:r>
      <w:r>
        <w:rPr/>
        <w:t> </w:t>
      </w:r>
      <w:r>
        <w:rPr>
          <w:spacing w:val="-2"/>
        </w:rPr>
        <w:t>成都卫士通信息股份有限公司研发工程师、课题负责人、研发部门经理、行业营销事业部总经理、行业营销总监，总经理助</w:t>
      </w:r>
      <w:r>
        <w:rPr>
          <w:spacing w:val="-67"/>
        </w:rPr>
        <w:t> </w:t>
      </w:r>
      <w:r>
        <w:rPr>
          <w:spacing w:val="-67"/>
        </w:rPr>
      </w:r>
      <w:r>
        <w:rPr>
          <w:spacing w:val="-2"/>
        </w:rPr>
        <w:t>理及成都卫士通信息安全技术有限公司副总经理，中电科软件信息服务有限公司行业总监及中电科华云信息技术有限公司营</w:t>
      </w:r>
      <w:r>
        <w:rPr>
          <w:spacing w:val="-64"/>
        </w:rPr>
        <w:t> </w:t>
      </w:r>
      <w:r>
        <w:rPr>
          <w:spacing w:val="-64"/>
        </w:rPr>
      </w:r>
      <w:r>
        <w:rPr/>
        <w:t>销总监；</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月加入公司，任公司董事长助理、战略发展部总经理，现任公司副总经理</w:t>
      </w:r>
      <w:r>
        <w:rPr>
          <w:rFonts w:ascii="Times New Roman" w:hAnsi="Times New Roman" w:cs="Times New Roman" w:eastAsia="Times New Roman" w:hint="default"/>
        </w:rPr>
        <w:t>,</w:t>
      </w:r>
      <w:r>
        <w:rPr/>
        <w:t>嘉兴北源投资合伙企业（有限合 伙）投资决策委员会委员</w:t>
      </w:r>
      <w:r>
        <w:rPr>
          <w:rFonts w:ascii="Times New Roman" w:hAnsi="Times New Roman" w:cs="Times New Roman" w:eastAsia="Times New Roman" w:hint="default"/>
        </w:rPr>
        <w:t>, </w:t>
      </w:r>
      <w:r>
        <w:rPr/>
        <w:t>北京信源匡恩工控安全科技有限公司监事</w:t>
      </w:r>
      <w:r>
        <w:rPr>
          <w:rFonts w:ascii="Times New Roman" w:hAnsi="Times New Roman" w:cs="Times New Roman" w:eastAsia="Times New Roman" w:hint="default"/>
        </w:rPr>
        <w:t>,</w:t>
      </w:r>
      <w:r>
        <w:rPr/>
        <w:t>北京双洲科技有限公司董事</w:t>
      </w:r>
      <w:r>
        <w:rPr>
          <w:rFonts w:ascii="宋体" w:hAnsi="宋体" w:cs="宋体" w:eastAsia="宋体" w:hint="default"/>
        </w:rPr>
        <w:t>,</w:t>
      </w:r>
      <w:r>
        <w:rPr/>
        <w:t>杭州芸品绿信息科技有限</w:t>
      </w:r>
      <w:r>
        <w:rPr>
          <w:spacing w:val="-84"/>
        </w:rPr>
        <w:t> </w:t>
      </w:r>
      <w:r>
        <w:rPr/>
        <w:t>公司董事。</w:t>
      </w:r>
    </w:p>
    <w:p>
      <w:pPr>
        <w:pStyle w:val="BodyText"/>
        <w:spacing w:line="309" w:lineRule="auto" w:before="26"/>
        <w:ind w:right="94" w:firstLine="360"/>
        <w:jc w:val="left"/>
      </w:pPr>
      <w:r>
        <w:rPr>
          <w:spacing w:val="-2"/>
        </w:rPr>
        <w:t>李旭女士，中国国籍，无境外永久居留权，</w:t>
      </w:r>
      <w:r>
        <w:rPr>
          <w:rFonts w:ascii="Times New Roman" w:hAnsi="Times New Roman" w:cs="Times New Roman" w:eastAsia="Times New Roman" w:hint="default"/>
          <w:spacing w:val="-2"/>
        </w:rPr>
        <w:t>1984</w:t>
      </w:r>
      <w:r>
        <w:rPr>
          <w:spacing w:val="-2"/>
        </w:rPr>
        <w:t>年</w:t>
      </w:r>
      <w:r>
        <w:rPr>
          <w:rFonts w:ascii="Times New Roman" w:hAnsi="Times New Roman" w:cs="Times New Roman" w:eastAsia="Times New Roman" w:hint="default"/>
          <w:spacing w:val="-2"/>
        </w:rPr>
        <w:t>12</w:t>
      </w:r>
      <w:r>
        <w:rPr>
          <w:spacing w:val="-2"/>
        </w:rPr>
        <w:t>月出生，法学本科。曾任公司副总裁助理、董事长助理、证券事务</w:t>
      </w:r>
      <w:r>
        <w:rPr/>
        <w:t> </w:t>
      </w:r>
      <w:r>
        <w:rPr>
          <w:spacing w:val="-4"/>
        </w:rPr>
        <w:t>代表；现任公司党支部书记、副总经理兼董事会秘书及北信源（马来西亚）董事、北京信源匡恩工控安全科技有限公司董事、</w:t>
      </w:r>
      <w:r>
        <w:rPr>
          <w:spacing w:val="-46"/>
        </w:rPr>
        <w:t> </w:t>
      </w:r>
      <w:r>
        <w:rPr>
          <w:spacing w:val="-46"/>
        </w:rPr>
      </w:r>
      <w:r>
        <w:rPr/>
        <w:t>浙江华睿北信源数据信息产业投资合伙企业（有限合伙）投资委员会委员。</w:t>
      </w:r>
    </w:p>
    <w:p>
      <w:pPr>
        <w:pStyle w:val="BodyText"/>
        <w:spacing w:line="309" w:lineRule="auto" w:before="25"/>
        <w:ind w:right="94" w:firstLine="372"/>
        <w:jc w:val="left"/>
      </w:pPr>
      <w:r>
        <w:rPr/>
        <w:t>邓华明女士，中国国籍，无境外永久居留权，</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11</w:t>
      </w:r>
      <w:r>
        <w:rPr/>
        <w:t>月出生，硕士，注册会计师（非执业会员），曾先后任深圳航 </w:t>
      </w:r>
      <w:r>
        <w:rPr>
          <w:spacing w:val="-4"/>
        </w:rPr>
        <w:t>空有限责任公司会计，中关村发展集团股份有限公司财务管理专业经理，北京知识产权运营管理有限公司资金财务部负责人，</w:t>
      </w:r>
      <w:r>
        <w:rPr>
          <w:spacing w:val="-43"/>
        </w:rPr>
        <w:t> </w:t>
      </w:r>
      <w:r>
        <w:rPr>
          <w:spacing w:val="-43"/>
        </w:rPr>
      </w:r>
      <w:r>
        <w:rPr/>
        <w:t>现任公司财务总监。</w:t>
      </w:r>
    </w:p>
    <w:p>
      <w:pPr>
        <w:pStyle w:val="BodyText"/>
        <w:spacing w:line="240" w:lineRule="auto" w:before="65"/>
        <w:ind w:right="94"/>
        <w:jc w:val="left"/>
      </w:pPr>
      <w:r>
        <w:rPr/>
        <w:t>在股东单位任职情况</w:t>
      </w:r>
    </w:p>
    <w:p>
      <w:pPr>
        <w:pStyle w:val="BodyText"/>
        <w:spacing w:line="340" w:lineRule="auto" w:before="115"/>
        <w:ind w:right="81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41"/>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220"/>
        <w:gridCol w:w="2638"/>
        <w:gridCol w:w="1671"/>
        <w:gridCol w:w="1589"/>
        <w:gridCol w:w="1136"/>
        <w:gridCol w:w="1445"/>
      </w:tblGrid>
      <w:tr>
        <w:trPr>
          <w:trHeight w:val="71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52" w:right="106" w:hanging="540"/>
              <w:jc w:val="left"/>
              <w:rPr>
                <w:rFonts w:ascii="宋体" w:hAnsi="宋体" w:cs="宋体" w:eastAsia="宋体" w:hint="default"/>
                <w:sz w:val="18"/>
                <w:szCs w:val="18"/>
              </w:rPr>
            </w:pPr>
            <w:r>
              <w:rPr>
                <w:rFonts w:ascii="宋体" w:hAnsi="宋体" w:cs="宋体" w:eastAsia="宋体" w:hint="default"/>
                <w:sz w:val="18"/>
                <w:szCs w:val="18"/>
              </w:rPr>
              <w:t>在其他单位担任的 职务</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2" w:right="111"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7" w:right="86"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1"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林皓</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北京辰信领创信息技术有限公司</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李涛</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hAnsi="宋体" w:cs="宋体" w:eastAsia="宋体" w:hint="default"/>
                <w:sz w:val="18"/>
                <w:szCs w:val="18"/>
              </w:rPr>
              <w:t>华北电力大学经济管理学院会计</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教授</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1999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745" w:footer="1133" w:top="1060" w:bottom="1320" w:left="980" w:right="940"/>
        </w:sectPr>
      </w:pPr>
    </w:p>
    <w:p>
      <w:pPr>
        <w:spacing w:line="240" w:lineRule="auto" w:before="6"/>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1220"/>
        <w:gridCol w:w="2638"/>
        <w:gridCol w:w="1671"/>
        <w:gridCol w:w="1589"/>
        <w:gridCol w:w="1136"/>
        <w:gridCol w:w="1445"/>
      </w:tblGrid>
      <w:tr>
        <w:trPr>
          <w:trHeight w:val="363" w:hRule="exact"/>
        </w:trPr>
        <w:tc>
          <w:tcPr>
            <w:tcW w:w="1220" w:type="dxa"/>
            <w:tcBorders>
              <w:top w:val="single" w:sz="4" w:space="0" w:color="000000"/>
              <w:left w:val="single" w:sz="4" w:space="0" w:color="000000"/>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学</w:t>
            </w:r>
          </w:p>
        </w:tc>
        <w:tc>
          <w:tcPr>
            <w:tcW w:w="1671"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李涛</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河南平高电气股份有限公司</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杨逢柱</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北京中医药大学</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法律系主任</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杨逢柱</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955" w:right="51" w:hanging="900"/>
              <w:jc w:val="left"/>
              <w:rPr>
                <w:rFonts w:ascii="宋体" w:hAnsi="宋体" w:cs="宋体" w:eastAsia="宋体" w:hint="default"/>
                <w:sz w:val="18"/>
                <w:szCs w:val="18"/>
              </w:rPr>
            </w:pPr>
            <w:r>
              <w:rPr>
                <w:rFonts w:ascii="宋体" w:hAnsi="宋体" w:cs="宋体" w:eastAsia="宋体" w:hint="default"/>
                <w:sz w:val="18"/>
                <w:szCs w:val="18"/>
              </w:rPr>
              <w:t>北京北中医国医堂医疗健康管理 有限公司</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齐越</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北京航空航天大学</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教授</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2003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杨维</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深圳金城保密技术有限公司</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杨维</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国保联盟信息安全技术有限公司</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杨杰</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深圳金城保密技术有限公司</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胡建斌</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北京辰信领创信息技术有限公司</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陈曦</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北京双洲科技有限公司</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陈曦</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杭州芸品绿信息科技有限公司</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李旭</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23" w:right="51" w:hanging="269"/>
              <w:jc w:val="left"/>
              <w:rPr>
                <w:rFonts w:ascii="宋体" w:hAnsi="宋体" w:cs="宋体" w:eastAsia="宋体" w:hint="default"/>
                <w:sz w:val="18"/>
                <w:szCs w:val="18"/>
              </w:rPr>
            </w:pPr>
            <w:r>
              <w:rPr>
                <w:rFonts w:ascii="宋体" w:hAnsi="宋体" w:cs="宋体" w:eastAsia="宋体" w:hint="default"/>
                <w:sz w:val="18"/>
                <w:szCs w:val="18"/>
              </w:rPr>
              <w:t>浙江华睿北信源数据信息产业投 资合伙企业（有限合伙）</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投委会委员</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94"/>
        <w:jc w:val="left"/>
      </w:pPr>
      <w:r>
        <w:rPr/>
        <w:t>公司现任及报告期内离任董事、监事和高级管理人员近三年证券监管机构处罚的情况</w:t>
      </w:r>
    </w:p>
    <w:p>
      <w:pPr>
        <w:pStyle w:val="BodyText"/>
        <w:spacing w:line="240" w:lineRule="auto" w:before="117"/>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18"/>
          <w:szCs w:val="18"/>
        </w:rPr>
      </w:pPr>
    </w:p>
    <w:p>
      <w:pPr>
        <w:pStyle w:val="Heading2"/>
        <w:spacing w:line="240" w:lineRule="auto"/>
        <w:ind w:right="94"/>
        <w:jc w:val="left"/>
        <w:rPr>
          <w:b w:val="0"/>
          <w:bCs w:val="0"/>
        </w:rPr>
      </w:pPr>
      <w:r>
        <w:rPr/>
        <w:t>四、董事、监事、高级管理人员报酬情况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4"/>
        <w:jc w:val="left"/>
      </w:pPr>
      <w:r>
        <w:rPr/>
        <w:t>董事、监事、高级管理人员报酬的决策程序、确定依据、实际支付情况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0" w:right="103"/>
        <w:jc w:val="right"/>
      </w:pPr>
      <w:r>
        <w:rPr/>
        <w:pict>
          <v:shape style="position:absolute;margin-left:55.799999pt;margin-top:-56.208294pt;width:484.1pt;height:129.3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19"/>
                    <w:gridCol w:w="6440"/>
                  </w:tblGrid>
                  <w:tr>
                    <w:trPr>
                      <w:trHeight w:val="1051"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316" w:lineRule="auto"/>
                          <w:ind w:left="2" w:right="1"/>
                          <w:jc w:val="left"/>
                          <w:rPr>
                            <w:rFonts w:ascii="宋体" w:hAnsi="宋体" w:cs="宋体" w:eastAsia="宋体" w:hint="default"/>
                            <w:sz w:val="18"/>
                            <w:szCs w:val="18"/>
                          </w:rPr>
                        </w:pPr>
                        <w:r>
                          <w:rPr>
                            <w:rFonts w:ascii="宋体" w:hAnsi="宋体" w:cs="宋体" w:eastAsia="宋体" w:hint="default"/>
                            <w:spacing w:val="-3"/>
                            <w:sz w:val="18"/>
                            <w:szCs w:val="18"/>
                          </w:rPr>
                          <w:t>董事、监事、高级管理人员报酬的决策程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序</w:t>
                        </w:r>
                      </w:p>
                    </w:tc>
                    <w:tc>
                      <w:tcPr>
                        <w:tcW w:w="64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0"/>
                          <w:jc w:val="both"/>
                          <w:rPr>
                            <w:rFonts w:ascii="宋体" w:hAnsi="宋体" w:cs="宋体" w:eastAsia="宋体" w:hint="default"/>
                            <w:sz w:val="18"/>
                            <w:szCs w:val="18"/>
                          </w:rPr>
                        </w:pPr>
                        <w:r>
                          <w:rPr>
                            <w:rFonts w:ascii="宋体" w:hAnsi="宋体" w:cs="宋体" w:eastAsia="宋体" w:hint="default"/>
                            <w:spacing w:val="-2"/>
                            <w:sz w:val="18"/>
                            <w:szCs w:val="18"/>
                          </w:rPr>
                          <w:t>公司董事、监事报酬由股东大会决定，高级管理人员报酬由董事会决定；在公司担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任职务的董事、监事、高级管理人员报酬由公司根据担任的职务支付，董事、监事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不另外支付津贴。独立董事津贴根据股东大会所通过的决议来进行支付。</w:t>
                        </w:r>
                      </w:p>
                    </w:tc>
                  </w:tr>
                  <w:tr>
                    <w:trPr>
                      <w:trHeight w:val="739"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pacing w:val="-3"/>
                            <w:sz w:val="18"/>
                            <w:szCs w:val="18"/>
                          </w:rPr>
                          <w:t>董事、监事、高级管理人员报酬确定依据</w:t>
                        </w:r>
                      </w:p>
                    </w:tc>
                    <w:tc>
                      <w:tcPr>
                        <w:tcW w:w="64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92"/>
                          <w:jc w:val="left"/>
                          <w:rPr>
                            <w:rFonts w:ascii="宋体" w:hAnsi="宋体" w:cs="宋体" w:eastAsia="宋体" w:hint="default"/>
                            <w:sz w:val="18"/>
                            <w:szCs w:val="18"/>
                          </w:rPr>
                        </w:pPr>
                        <w:r>
                          <w:rPr>
                            <w:rFonts w:ascii="宋体" w:hAnsi="宋体" w:cs="宋体" w:eastAsia="宋体" w:hint="default"/>
                            <w:spacing w:val="-5"/>
                            <w:sz w:val="18"/>
                            <w:szCs w:val="18"/>
                          </w:rPr>
                          <w:t>董事、监事、高级管理人员的报酬按照公司《薪酬与考核委员会工作细则》等规定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结合其经营绩效、岗位分工及履行情况等考核确定并发放。</w:t>
                        </w:r>
                      </w:p>
                    </w:tc>
                  </w:tr>
                  <w:tr>
                    <w:trPr>
                      <w:trHeight w:val="781"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80"/>
                          <w:ind w:left="2" w:right="1"/>
                          <w:jc w:val="left"/>
                          <w:rPr>
                            <w:rFonts w:ascii="宋体" w:hAnsi="宋体" w:cs="宋体" w:eastAsia="宋体" w:hint="default"/>
                            <w:sz w:val="18"/>
                            <w:szCs w:val="18"/>
                          </w:rPr>
                        </w:pPr>
                        <w:r>
                          <w:rPr>
                            <w:rFonts w:ascii="宋体" w:hAnsi="宋体" w:cs="宋体" w:eastAsia="宋体" w:hint="default"/>
                            <w:spacing w:val="-3"/>
                            <w:sz w:val="18"/>
                            <w:szCs w:val="18"/>
                          </w:rPr>
                          <w:t>董事、监事和高级管理人员报酬的实际支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付情况</w:t>
                        </w:r>
                      </w:p>
                    </w:tc>
                    <w:tc>
                      <w:tcPr>
                        <w:tcW w:w="6440"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58"/>
                          <w:ind w:left="2" w:right="121"/>
                          <w:jc w:val="left"/>
                          <w:rPr>
                            <w:rFonts w:ascii="宋体" w:hAnsi="宋体" w:cs="宋体" w:eastAsia="宋体" w:hint="default"/>
                            <w:sz w:val="18"/>
                            <w:szCs w:val="18"/>
                          </w:rPr>
                        </w:pPr>
                        <w:r>
                          <w:rPr>
                            <w:rFonts w:ascii="宋体" w:hAnsi="宋体" w:cs="宋体" w:eastAsia="宋体" w:hint="default"/>
                            <w:sz w:val="18"/>
                            <w:szCs w:val="18"/>
                          </w:rPr>
                          <w:t>报告期内，董事、监事及公司高级管理人员的薪酬均已按照确定的薪酬标准全额 支付。</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before="44"/>
        <w:ind w:right="94"/>
        <w:jc w:val="left"/>
      </w:pPr>
      <w:r>
        <w:rPr/>
        <w:t>公司报告期内董事、监事和高级管理人员报酬情况</w:t>
      </w:r>
    </w:p>
    <w:p>
      <w:pPr>
        <w:pStyle w:val="BodyText"/>
        <w:spacing w:line="240" w:lineRule="auto" w:before="115"/>
        <w:ind w:left="0" w:right="191"/>
        <w:jc w:val="right"/>
      </w:pPr>
      <w:r>
        <w:rPr/>
        <w:t>单位：万元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388"/>
        <w:gridCol w:w="1385"/>
        <w:gridCol w:w="1385"/>
        <w:gridCol w:w="1388"/>
        <w:gridCol w:w="1382"/>
        <w:gridCol w:w="1385"/>
        <w:gridCol w:w="1385"/>
      </w:tblGrid>
      <w:tr>
        <w:trPr>
          <w:trHeight w:val="713"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7" w:right="5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林皓</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杨杰</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41.17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高曦</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胡建斌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45.35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李涛</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1133" w:top="1060" w:bottom="1320" w:left="980" w:right="940"/>
        </w:sectPr>
      </w:pPr>
    </w:p>
    <w:p>
      <w:pPr>
        <w:spacing w:line="240" w:lineRule="auto" w:before="6"/>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1388"/>
        <w:gridCol w:w="1385"/>
        <w:gridCol w:w="1385"/>
        <w:gridCol w:w="1388"/>
        <w:gridCol w:w="1382"/>
        <w:gridCol w:w="1385"/>
        <w:gridCol w:w="1385"/>
      </w:tblGrid>
      <w:tr>
        <w:trPr>
          <w:trHeight w:val="401"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齐越</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杨逢柱</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钟力</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杨华</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30.79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徐扬</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杨维</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14.16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王晓娜</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李旭</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9"/>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邓华明</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288.18</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公司董事、高级管理人员报告期内被授予的股权激励情况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五、公司员工情况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19" w:type="dxa"/>
        <w:tblLayout w:type="fixed"/>
        <w:tblCellMar>
          <w:top w:w="0" w:type="dxa"/>
          <w:left w:w="0" w:type="dxa"/>
          <w:bottom w:w="0" w:type="dxa"/>
          <w:right w:w="0" w:type="dxa"/>
        </w:tblCellMar>
        <w:tblLook w:val="01E0"/>
      </w:tblPr>
      <w:tblGrid>
        <w:gridCol w:w="4849"/>
        <w:gridCol w:w="4849"/>
      </w:tblGrid>
      <w:tr>
        <w:trPr>
          <w:trHeight w:val="401" w:hRule="exact"/>
        </w:trPr>
        <w:tc>
          <w:tcPr>
            <w:tcW w:w="4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956</w:t>
            </w:r>
          </w:p>
        </w:tc>
      </w:tr>
      <w:tr>
        <w:trPr>
          <w:trHeight w:val="403" w:hRule="exact"/>
        </w:trPr>
        <w:tc>
          <w:tcPr>
            <w:tcW w:w="4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w:t>
            </w:r>
          </w:p>
        </w:tc>
      </w:tr>
      <w:tr>
        <w:trPr>
          <w:trHeight w:val="401" w:hRule="exact"/>
        </w:trPr>
        <w:tc>
          <w:tcPr>
            <w:tcW w:w="4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1,288</w:t>
            </w:r>
          </w:p>
        </w:tc>
      </w:tr>
      <w:tr>
        <w:trPr>
          <w:trHeight w:val="403" w:hRule="exact"/>
        </w:trPr>
        <w:tc>
          <w:tcPr>
            <w:tcW w:w="4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1,288</w:t>
            </w:r>
          </w:p>
        </w:tc>
      </w:tr>
      <w:tr>
        <w:trPr>
          <w:trHeight w:val="406" w:hRule="exact"/>
        </w:trPr>
        <w:tc>
          <w:tcPr>
            <w:tcW w:w="4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8" w:hRule="exact"/>
        </w:trPr>
        <w:tc>
          <w:tcPr>
            <w:tcW w:w="96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6" w:hRule="exact"/>
        </w:trPr>
        <w:tc>
          <w:tcPr>
            <w:tcW w:w="4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8"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8" w:hRule="exact"/>
        </w:trPr>
        <w:tc>
          <w:tcPr>
            <w:tcW w:w="4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8</w:t>
            </w:r>
          </w:p>
        </w:tc>
      </w:tr>
      <w:tr>
        <w:trPr>
          <w:trHeight w:val="401" w:hRule="exact"/>
        </w:trPr>
        <w:tc>
          <w:tcPr>
            <w:tcW w:w="4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w:t>
            </w:r>
          </w:p>
        </w:tc>
      </w:tr>
      <w:tr>
        <w:trPr>
          <w:trHeight w:val="403" w:hRule="exact"/>
        </w:trPr>
        <w:tc>
          <w:tcPr>
            <w:tcW w:w="4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w:t>
            </w:r>
          </w:p>
        </w:tc>
      </w:tr>
      <w:tr>
        <w:trPr>
          <w:trHeight w:val="401" w:hRule="exact"/>
        </w:trPr>
        <w:tc>
          <w:tcPr>
            <w:tcW w:w="4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w:t>
            </w:r>
          </w:p>
        </w:tc>
      </w:tr>
      <w:tr>
        <w:trPr>
          <w:trHeight w:val="401"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564</w:t>
            </w:r>
          </w:p>
        </w:tc>
      </w:tr>
      <w:tr>
        <w:trPr>
          <w:trHeight w:val="408" w:hRule="exact"/>
        </w:trPr>
        <w:tc>
          <w:tcPr>
            <w:tcW w:w="4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1,288</w:t>
            </w:r>
          </w:p>
        </w:tc>
      </w:tr>
      <w:tr>
        <w:trPr>
          <w:trHeight w:val="396" w:hRule="exact"/>
        </w:trPr>
        <w:tc>
          <w:tcPr>
            <w:tcW w:w="96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3" w:hRule="exact"/>
        </w:trPr>
        <w:tc>
          <w:tcPr>
            <w:tcW w:w="4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r>
      <w:tr>
        <w:trPr>
          <w:trHeight w:val="403"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33" w:top="1060" w:bottom="1320" w:left="980" w:right="98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19" w:type="dxa"/>
        <w:tblLayout w:type="fixed"/>
        <w:tblCellMar>
          <w:top w:w="0" w:type="dxa"/>
          <w:left w:w="0" w:type="dxa"/>
          <w:bottom w:w="0" w:type="dxa"/>
          <w:right w:w="0" w:type="dxa"/>
        </w:tblCellMar>
        <w:tblLook w:val="01E0"/>
      </w:tblPr>
      <w:tblGrid>
        <w:gridCol w:w="4849"/>
        <w:gridCol w:w="4849"/>
      </w:tblGrid>
      <w:tr>
        <w:trPr>
          <w:trHeight w:val="401"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819</w:t>
            </w:r>
          </w:p>
        </w:tc>
      </w:tr>
      <w:tr>
        <w:trPr>
          <w:trHeight w:val="403"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361</w:t>
            </w:r>
          </w:p>
        </w:tc>
      </w:tr>
      <w:tr>
        <w:trPr>
          <w:trHeight w:val="401"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w:t>
            </w:r>
          </w:p>
        </w:tc>
      </w:tr>
      <w:tr>
        <w:trPr>
          <w:trHeight w:val="403" w:hRule="exact"/>
        </w:trPr>
        <w:tc>
          <w:tcPr>
            <w:tcW w:w="4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1,288</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9" w:lineRule="auto"/>
        <w:ind w:right="150" w:firstLine="358"/>
        <w:jc w:val="both"/>
      </w:pPr>
      <w:r>
        <w:rPr>
          <w:spacing w:val="-2"/>
        </w:rPr>
        <w:t>公司根据国家有关劳动法规和政策，结合公司实际情况，采取</w:t>
      </w:r>
      <w:r>
        <w:rPr>
          <w:rFonts w:ascii="Times New Roman" w:hAnsi="Times New Roman" w:cs="Times New Roman" w:eastAsia="Times New Roman" w:hint="default"/>
          <w:spacing w:val="-2"/>
        </w:rPr>
        <w:t>“</w:t>
      </w:r>
      <w:r>
        <w:rPr>
          <w:spacing w:val="-2"/>
        </w:rPr>
        <w:t>竞争性、公平性、业绩导向</w:t>
      </w:r>
      <w:r>
        <w:rPr>
          <w:rFonts w:ascii="Times New Roman" w:hAnsi="Times New Roman" w:cs="Times New Roman" w:eastAsia="Times New Roman" w:hint="default"/>
          <w:spacing w:val="-2"/>
        </w:rPr>
        <w:t>”</w:t>
      </w:r>
      <w:r>
        <w:rPr>
          <w:spacing w:val="-2"/>
        </w:rPr>
        <w:t>的薪酬原则，使公司薪酬政</w:t>
      </w:r>
      <w:r>
        <w:rPr/>
        <w:t> </w:t>
      </w:r>
      <w:r>
        <w:rPr>
          <w:spacing w:val="-2"/>
        </w:rPr>
        <w:t>策服务于公司发展战略。公司整体薪酬水平以市场为导向，以公司经营效益和财务支付能力为前提，员工个人薪酬以员工个</w:t>
      </w:r>
      <w:r>
        <w:rPr>
          <w:spacing w:val="-63"/>
        </w:rPr>
        <w:t> </w:t>
      </w:r>
      <w:r>
        <w:rPr>
          <w:spacing w:val="-63"/>
        </w:rPr>
      </w:r>
      <w:r>
        <w:rPr/>
        <w:t>人的工作能力、工作业绩为依据，把提高工作效率作为目标等。</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55" w:firstLine="360"/>
        <w:jc w:val="both"/>
      </w:pPr>
      <w:r>
        <w:rPr>
          <w:spacing w:val="-2"/>
        </w:rPr>
        <w:t>为增强公司核心竞争力，打造优秀的企业人才队伍，公司注重员工素质技能培养，构建了完善的培训体系，制定了有针</w:t>
      </w:r>
      <w:r>
        <w:rPr/>
        <w:t> </w:t>
      </w:r>
      <w:r>
        <w:rPr>
          <w:spacing w:val="-2"/>
        </w:rPr>
        <w:t>对性的培训计划，定期组织各项专业培训，通过多种方式开展互动、探讨、传递公司人才理念，进一步提升员工的专业技术</w:t>
      </w:r>
      <w:r>
        <w:rPr>
          <w:spacing w:val="-67"/>
        </w:rPr>
        <w:t> </w:t>
      </w:r>
      <w:r>
        <w:rPr>
          <w:spacing w:val="-67"/>
        </w:rPr>
      </w:r>
      <w:r>
        <w:rPr/>
        <w:t>和整体素质，培养德才兼备的复合型人才，促进员工和企业共同发展。</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1133" w:top="1060" w:bottom="13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589" w:right="3625"/>
        <w:jc w:val="center"/>
        <w:rPr>
          <w:b w:val="0"/>
          <w:bCs w:val="0"/>
        </w:rPr>
      </w:pPr>
      <w:bookmarkStart w:name="_TOC_250003" w:id="9"/>
      <w:r>
        <w:rPr/>
        <w:t>第九节 </w:t>
      </w:r>
      <w:r>
        <w:rPr>
          <w:spacing w:val="9"/>
        </w:rPr>
        <w:t> </w:t>
      </w:r>
      <w:r>
        <w:rPr/>
        <w:t>公司治理</w:t>
      </w:r>
      <w:bookmarkEnd w:id="9"/>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both"/>
        <w:rPr>
          <w:b w:val="0"/>
          <w:bCs w:val="0"/>
        </w:rPr>
      </w:pPr>
      <w:r>
        <w:rPr/>
        <w:t>一、公司治理的基本状况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16" w:lineRule="auto"/>
        <w:ind w:right="190" w:firstLine="360"/>
        <w:jc w:val="both"/>
      </w:pPr>
      <w:r>
        <w:rPr>
          <w:spacing w:val="-2"/>
        </w:rPr>
        <w:t>报告期内，公司严格按照《公司法》、《证券法》、《上市公司治理准则》、《深圳证券交易所股票上市规则》、《深</w:t>
      </w:r>
      <w:r>
        <w:rPr/>
        <w:t> </w:t>
      </w:r>
      <w:r>
        <w:rPr>
          <w:spacing w:val="-2"/>
        </w:rPr>
        <w:t>圳证券交易所创业板上市公司规范运作指引》及中国证监会有关法律法规的要求，不断完善公司法人治理结构、建立健全公</w:t>
      </w:r>
      <w:r>
        <w:rPr>
          <w:spacing w:val="-63"/>
        </w:rPr>
        <w:t> </w:t>
      </w:r>
      <w:r>
        <w:rPr>
          <w:spacing w:val="-63"/>
        </w:rPr>
      </w:r>
      <w:r>
        <w:rPr>
          <w:spacing w:val="-2"/>
        </w:rPr>
        <w:t>司内部控制体系，加强信息披露，积极开展投资者关系管理工作，持续深入开展公司治理活动，以进一步规范公司运作，提</w:t>
      </w:r>
      <w:r>
        <w:rPr>
          <w:spacing w:val="-67"/>
        </w:rPr>
        <w:t> </w:t>
      </w:r>
      <w:r>
        <w:rPr>
          <w:spacing w:val="-67"/>
        </w:rPr>
      </w:r>
      <w:r>
        <w:rPr/>
        <w:t>高公司治理水平。</w:t>
      </w:r>
    </w:p>
    <w:p>
      <w:pPr>
        <w:pStyle w:val="BodyText"/>
        <w:spacing w:line="300" w:lineRule="auto" w:before="19"/>
        <w:ind w:left="513" w:right="94"/>
        <w:jc w:val="left"/>
      </w:pPr>
      <w:r>
        <w:rPr>
          <w:rFonts w:ascii="Times New Roman" w:hAnsi="Times New Roman" w:cs="Times New Roman" w:eastAsia="Times New Roman" w:hint="default"/>
        </w:rPr>
        <w:t>1</w:t>
      </w:r>
      <w:r>
        <w:rPr/>
        <w:t>、关于股东与股东大会 </w:t>
      </w:r>
      <w:r>
        <w:rPr>
          <w:spacing w:val="-2"/>
        </w:rPr>
        <w:t>公司严格按照《公司法》、《上市公司股东大会规则》、《公司章程》和《股东大会议事规则》等规定和要求召集和召</w:t>
      </w:r>
    </w:p>
    <w:p>
      <w:pPr>
        <w:pStyle w:val="BodyText"/>
        <w:spacing w:line="316" w:lineRule="auto" w:before="31"/>
        <w:ind w:right="104"/>
        <w:jc w:val="both"/>
      </w:pPr>
      <w:r>
        <w:rPr>
          <w:spacing w:val="-2"/>
        </w:rPr>
        <w:t>开股东大会，并聘请见证律师对股东大会的合法性出具法律意见书，能够确保全体股东特别是中小股东享有平等地位，充分</w:t>
      </w:r>
      <w:r>
        <w:rPr>
          <w:spacing w:val="-63"/>
        </w:rPr>
        <w:t> </w:t>
      </w:r>
      <w:r>
        <w:rPr>
          <w:spacing w:val="-63"/>
        </w:rPr>
      </w:r>
      <w:r>
        <w:rPr>
          <w:spacing w:val="-4"/>
        </w:rPr>
        <w:t>行使股东权利。报告期内，公司股东大会均由董事会召集召开，出席股东大会的人员资格及股东大会的召开和表决程序合法。</w:t>
      </w:r>
    </w:p>
    <w:p>
      <w:pPr>
        <w:pStyle w:val="BodyText"/>
        <w:spacing w:line="300" w:lineRule="auto" w:before="19"/>
        <w:ind w:left="453" w:right="94" w:hanging="12"/>
        <w:jc w:val="left"/>
      </w:pPr>
      <w:r>
        <w:rPr>
          <w:rFonts w:ascii="Times New Roman" w:hAnsi="Times New Roman" w:cs="Times New Roman" w:eastAsia="Times New Roman" w:hint="default"/>
        </w:rPr>
        <w:t>2</w:t>
      </w:r>
      <w:r>
        <w:rPr/>
        <w:t>、关于董事与董事会 </w:t>
      </w:r>
      <w:r>
        <w:rPr>
          <w:spacing w:val="-3"/>
        </w:rPr>
        <w:t>公司依法规范董事会运作，确保公司董事会的人数及人员构成符合法律法规和《公司章程》的要求，保证董事会的召集、</w:t>
      </w:r>
    </w:p>
    <w:p>
      <w:pPr>
        <w:pStyle w:val="BodyText"/>
        <w:spacing w:line="316" w:lineRule="auto" w:before="31"/>
        <w:ind w:right="192"/>
        <w:jc w:val="both"/>
      </w:pPr>
      <w:r>
        <w:rPr>
          <w:spacing w:val="-2"/>
        </w:rPr>
        <w:t>召开和表决程序合法有效，保障全体董事特别是独立董事发挥专业作用。报告期内公司董事能严格按照《公司法》和《公司</w:t>
      </w:r>
      <w:r>
        <w:rPr>
          <w:spacing w:val="-65"/>
        </w:rPr>
        <w:t> </w:t>
      </w:r>
      <w:r>
        <w:rPr>
          <w:spacing w:val="-65"/>
        </w:rPr>
      </w:r>
      <w:r>
        <w:rPr/>
        <w:t>章程》的规定，积极参与公司经营决策活动，履行其职责和义务，并参加证券监管机构组织的相关培训。</w:t>
      </w:r>
    </w:p>
    <w:p>
      <w:pPr>
        <w:pStyle w:val="BodyText"/>
        <w:spacing w:line="300" w:lineRule="auto" w:before="19"/>
        <w:ind w:left="496" w:right="94"/>
        <w:jc w:val="left"/>
      </w:pPr>
      <w:r>
        <w:rPr>
          <w:rFonts w:ascii="Times New Roman" w:hAnsi="Times New Roman" w:cs="Times New Roman" w:eastAsia="Times New Roman" w:hint="default"/>
        </w:rPr>
        <w:t>3</w:t>
      </w:r>
      <w:r>
        <w:rPr/>
        <w:t>、关于监事和监事会 </w:t>
      </w:r>
      <w:r>
        <w:rPr>
          <w:spacing w:val="-2"/>
        </w:rPr>
        <w:t>公司依法规范监事会的运作，确保公司监事会的人数及人员构成符合法律法规和《公司章程》的要求，保证监事会的召</w:t>
      </w:r>
    </w:p>
    <w:p>
      <w:pPr>
        <w:pStyle w:val="BodyText"/>
        <w:spacing w:line="319" w:lineRule="auto" w:before="31"/>
        <w:ind w:right="190"/>
        <w:jc w:val="both"/>
      </w:pPr>
      <w:r>
        <w:rPr>
          <w:spacing w:val="-2"/>
        </w:rPr>
        <w:t>集、召开和表决程序合法有效。报告期内公司监事严格按照《公司法》和《公司章程》、《监事会议事规则》的规定，认真</w:t>
      </w:r>
      <w:r>
        <w:rPr>
          <w:spacing w:val="-68"/>
        </w:rPr>
        <w:t> </w:t>
      </w:r>
      <w:r>
        <w:rPr>
          <w:spacing w:val="-68"/>
        </w:rPr>
      </w:r>
      <w:r>
        <w:rPr>
          <w:spacing w:val="-2"/>
        </w:rPr>
        <w:t>履行职责，诚信、勤勉、尽责地对公司重大事项、财务状况、生产经营等各个方面进行监督，以及对公司董事、高级管理人</w:t>
      </w:r>
      <w:r>
        <w:rPr>
          <w:spacing w:val="-73"/>
        </w:rPr>
        <w:t> </w:t>
      </w:r>
      <w:r>
        <w:rPr>
          <w:spacing w:val="-73"/>
        </w:rPr>
      </w:r>
      <w:r>
        <w:rPr/>
        <w:t>员履行职责的合法、合规性进行有效监督，维护公司及股东的合法权益。</w:t>
      </w:r>
    </w:p>
    <w:p>
      <w:pPr>
        <w:pStyle w:val="BodyText"/>
        <w:spacing w:line="300" w:lineRule="auto" w:before="17"/>
        <w:ind w:left="513" w:right="94" w:hanging="17"/>
        <w:jc w:val="left"/>
      </w:pPr>
      <w:r>
        <w:rPr>
          <w:rFonts w:ascii="Times New Roman" w:hAnsi="Times New Roman" w:cs="Times New Roman" w:eastAsia="Times New Roman" w:hint="default"/>
        </w:rPr>
        <w:t>4</w:t>
      </w:r>
      <w:r>
        <w:rPr/>
        <w:t>、关于绩效评价与激励约束机制 </w:t>
      </w:r>
      <w:r>
        <w:rPr>
          <w:spacing w:val="-2"/>
        </w:rPr>
        <w:t>公司建立了公正透明的董事、监事和经理人员的绩效评价标准和程序，强化公司高管勤勉尽责意识，充分进行约束与激</w:t>
      </w:r>
    </w:p>
    <w:p>
      <w:pPr>
        <w:pStyle w:val="BodyText"/>
        <w:spacing w:line="309" w:lineRule="auto" w:before="31"/>
        <w:ind w:left="453" w:right="94" w:hanging="301"/>
        <w:jc w:val="left"/>
      </w:pPr>
      <w:r>
        <w:rPr/>
        <w:t>励，提升公司工作效率及经营效益；公司董事、监事及高级管理人员的聘任及薪酬情况公开、透明，符合法律法规的规定。 </w:t>
      </w:r>
      <w:r>
        <w:rPr>
          <w:rFonts w:ascii="Times New Roman" w:hAnsi="Times New Roman" w:cs="Times New Roman" w:eastAsia="Times New Roman" w:hint="default"/>
        </w:rPr>
        <w:t>5</w:t>
      </w:r>
      <w:r>
        <w:rPr/>
        <w:t>、关于信息披露与透明度 公司根据《深圳证券交易所股票上市规则》、《公司章程》、《公司信息披露管理办法》等规定，认真履行信息披露义</w:t>
      </w:r>
    </w:p>
    <w:p>
      <w:pPr>
        <w:pStyle w:val="BodyText"/>
        <w:spacing w:line="307" w:lineRule="auto" w:before="24"/>
        <w:ind w:right="191"/>
        <w:jc w:val="both"/>
      </w:pPr>
      <w:r>
        <w:rPr>
          <w:spacing w:val="-5"/>
        </w:rPr>
        <w:t>务，真实、准确、及时、完整地披露信息，确保公司所有股东公平的获得公司相关信息。</w:t>
      </w:r>
      <w:r>
        <w:rPr>
          <w:rFonts w:ascii="Times New Roman" w:hAnsi="Times New Roman" w:cs="Times New Roman" w:eastAsia="Times New Roman" w:hint="default"/>
          <w:spacing w:val="-5"/>
        </w:rPr>
        <w:t>2017</w:t>
      </w:r>
      <w:r>
        <w:rPr>
          <w:spacing w:val="-5"/>
        </w:rPr>
        <w:t>年公司指定《证券日报》、《证</w:t>
      </w:r>
      <w:r>
        <w:rPr>
          <w:spacing w:val="-71"/>
        </w:rPr>
        <w:t> </w:t>
      </w:r>
      <w:r>
        <w:rPr>
          <w:spacing w:val="-71"/>
        </w:rPr>
      </w:r>
      <w:r>
        <w:rPr/>
        <w:t>券时报》、《中国证券报》和巨潮资讯网</w:t>
      </w:r>
      <w:hyperlink r:id="rId19">
        <w:r>
          <w:rPr>
            <w:rFonts w:ascii="Times New Roman" w:hAnsi="Times New Roman" w:cs="Times New Roman" w:eastAsia="Times New Roman" w:hint="default"/>
          </w:rPr>
          <w:t>http://www.cninfo.com.cn</w:t>
        </w:r>
        <w:r>
          <w:rPr/>
          <w:t>为公司信息披露的报纸和网站，同时还努力通过不同的方</w:t>
        </w:r>
      </w:hyperlink>
      <w:r>
        <w:rPr/>
        <w:t> </w:t>
      </w:r>
      <w:r>
        <w:rPr>
          <w:spacing w:val="-2"/>
        </w:rPr>
        <w:t>式加强投资者的沟通与互动，具体方式有：投资者来访接待、参观、网站的建设，对外的电话专线以保持与投资者的良好沟</w:t>
      </w:r>
      <w:r>
        <w:rPr>
          <w:spacing w:val="-65"/>
        </w:rPr>
        <w:t> </w:t>
      </w:r>
      <w:r>
        <w:rPr>
          <w:spacing w:val="-65"/>
        </w:rPr>
      </w:r>
      <w:r>
        <w:rPr/>
        <w:t>通和透明度。</w:t>
      </w:r>
    </w:p>
    <w:p>
      <w:pPr>
        <w:pStyle w:val="BodyText"/>
        <w:spacing w:line="240" w:lineRule="auto" w:before="67"/>
        <w:ind w:right="0"/>
        <w:jc w:val="both"/>
      </w:pPr>
      <w:r>
        <w:rPr/>
        <w:t>公司治理的实际状况与中国证监会发布的有关上市公司治理的规范性文件是否存在重大差异</w:t>
      </w:r>
    </w:p>
    <w:p>
      <w:pPr>
        <w:pStyle w:val="BodyText"/>
        <w:spacing w:line="340" w:lineRule="auto" w:before="115"/>
        <w:ind w:right="26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8"/>
        <w:rPr>
          <w:rFonts w:ascii="宋体" w:hAnsi="宋体" w:cs="宋体" w:eastAsia="宋体" w:hint="default"/>
          <w:sz w:val="13"/>
          <w:szCs w:val="13"/>
        </w:rPr>
      </w:pPr>
    </w:p>
    <w:p>
      <w:pPr>
        <w:pStyle w:val="Heading2"/>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19" w:lineRule="auto"/>
        <w:ind w:right="190" w:firstLine="360"/>
        <w:jc w:val="both"/>
      </w:pPr>
      <w:r>
        <w:rPr>
          <w:spacing w:val="-2"/>
        </w:rPr>
        <w:t>公司严格按照《公司法》、《证券法》、《深圳证券交易所创业板股票上市规则》、《深圳证券交易所创业板上市公司</w:t>
      </w:r>
      <w:r>
        <w:rPr/>
        <w:t> </w:t>
      </w:r>
      <w:r>
        <w:rPr>
          <w:spacing w:val="-2"/>
        </w:rPr>
        <w:t>规范运作指引》等有关法律法规和《公司章程》的要求规范运作，建立并不断完善了法人治理结构，业务、资产、人员、财</w:t>
      </w:r>
      <w:r>
        <w:rPr>
          <w:spacing w:val="-65"/>
        </w:rPr>
        <w:t> </w:t>
      </w:r>
      <w:r>
        <w:rPr>
          <w:spacing w:val="-65"/>
        </w:rPr>
      </w:r>
      <w:r>
        <w:rPr>
          <w:spacing w:val="-2"/>
        </w:rPr>
        <w:t>务、机构等方面与控股股东及实际控制人完全独立，具有完整的业务体系及面向市场独立经营的能力，不存在被控股股东及</w:t>
      </w:r>
      <w:r>
        <w:rPr>
          <w:spacing w:val="-63"/>
        </w:rPr>
        <w:t> </w:t>
      </w:r>
      <w:r>
        <w:rPr>
          <w:spacing w:val="-63"/>
        </w:rPr>
      </w:r>
      <w:r>
        <w:rPr/>
        <w:t>实际控制人及其关联方控制和占用资金、资产及其他资源的情况。</w:t>
      </w:r>
    </w:p>
    <w:p>
      <w:pPr>
        <w:pStyle w:val="BodyText"/>
        <w:spacing w:line="300" w:lineRule="auto" w:before="17"/>
        <w:ind w:left="513" w:right="94" w:firstLine="55"/>
        <w:jc w:val="left"/>
      </w:pPr>
      <w:r>
        <w:rPr>
          <w:rFonts w:ascii="Times New Roman" w:hAnsi="Times New Roman" w:cs="Times New Roman" w:eastAsia="Times New Roman" w:hint="default"/>
        </w:rPr>
        <w:t>1</w:t>
      </w:r>
      <w:r>
        <w:rPr/>
        <w:t>、业务独立 </w:t>
      </w:r>
      <w:r>
        <w:rPr>
          <w:spacing w:val="-2"/>
        </w:rPr>
        <w:t>公司业务独立，具备与业务经营相关的独立完整的采购系统、研发系统、销售系统、售后服务及运维系统，完全独立于</w:t>
      </w:r>
    </w:p>
    <w:p>
      <w:pPr>
        <w:spacing w:after="0" w:line="300" w:lineRule="auto"/>
        <w:jc w:val="left"/>
        <w:sectPr>
          <w:pgSz w:w="11910" w:h="16840"/>
          <w:pgMar w:header="745" w:footer="1133" w:top="1060" w:bottom="1320" w:left="980" w:right="940"/>
        </w:sectPr>
      </w:pPr>
    </w:p>
    <w:p>
      <w:pPr>
        <w:spacing w:line="240" w:lineRule="auto" w:before="10"/>
        <w:rPr>
          <w:rFonts w:ascii="宋体" w:hAnsi="宋体" w:cs="宋体" w:eastAsia="宋体" w:hint="default"/>
          <w:sz w:val="25"/>
          <w:szCs w:val="25"/>
        </w:rPr>
      </w:pPr>
    </w:p>
    <w:p>
      <w:pPr>
        <w:pStyle w:val="BodyText"/>
        <w:spacing w:line="309" w:lineRule="auto" w:before="44"/>
        <w:ind w:left="496" w:right="0" w:hanging="344"/>
        <w:jc w:val="left"/>
      </w:pPr>
      <w:r>
        <w:rPr/>
        <w:t>控股股东、实际控制人，不存在与控股股东、实际控制人及其控制的其他企业间的同业竞争和显失公平的关联交易。 </w:t>
      </w:r>
      <w:r>
        <w:rPr>
          <w:rFonts w:ascii="Times New Roman" w:hAnsi="Times New Roman" w:cs="Times New Roman" w:eastAsia="Times New Roman" w:hint="default"/>
        </w:rPr>
        <w:t>2</w:t>
      </w:r>
      <w:r>
        <w:rPr/>
        <w:t>、资产独立 </w:t>
      </w:r>
      <w:r>
        <w:rPr>
          <w:spacing w:val="-2"/>
        </w:rPr>
        <w:t>公司拥有独立的生产经营场所、生产经营资产、采购销售系统及配套设施，不存在被控股股东或其他关联方违规占用资</w:t>
      </w:r>
    </w:p>
    <w:p>
      <w:pPr>
        <w:pStyle w:val="BodyText"/>
        <w:spacing w:line="240" w:lineRule="auto" w:before="24"/>
        <w:ind w:right="0"/>
        <w:jc w:val="left"/>
      </w:pPr>
      <w:r>
        <w:rPr/>
        <w:t>金、资产及其他资源的情形。</w:t>
      </w:r>
    </w:p>
    <w:p>
      <w:pPr>
        <w:pStyle w:val="BodyText"/>
        <w:spacing w:line="300" w:lineRule="auto" w:before="76"/>
        <w:ind w:left="513" w:right="0" w:firstLine="2"/>
        <w:jc w:val="left"/>
      </w:pPr>
      <w:r>
        <w:rPr>
          <w:rFonts w:ascii="Times New Roman" w:hAnsi="Times New Roman" w:cs="Times New Roman" w:eastAsia="Times New Roman" w:hint="default"/>
        </w:rPr>
        <w:t>3</w:t>
      </w:r>
      <w:r>
        <w:rPr/>
        <w:t>、人员独立 </w:t>
      </w:r>
      <w:r>
        <w:rPr>
          <w:spacing w:val="-2"/>
        </w:rPr>
        <w:t>公司董事、监事及高级管理人员均严格按照《公司法》、《公司章程》的有关规定产生，控股股东没有干预公司董事和</w:t>
      </w:r>
    </w:p>
    <w:p>
      <w:pPr>
        <w:pStyle w:val="BodyText"/>
        <w:spacing w:line="240" w:lineRule="auto" w:before="31"/>
        <w:ind w:right="0"/>
        <w:jc w:val="left"/>
      </w:pPr>
      <w:r>
        <w:rPr/>
        <w:t>股东大会已经作出的人事任免决定。公司在劳动、人事、工资管理等方面均完全独立。</w:t>
      </w:r>
    </w:p>
    <w:p>
      <w:pPr>
        <w:pStyle w:val="BodyText"/>
        <w:spacing w:line="300" w:lineRule="auto" w:before="76"/>
        <w:ind w:left="513" w:right="0"/>
        <w:jc w:val="left"/>
      </w:pPr>
      <w:r>
        <w:rPr>
          <w:rFonts w:ascii="Times New Roman" w:hAnsi="Times New Roman" w:cs="Times New Roman" w:eastAsia="Times New Roman" w:hint="default"/>
        </w:rPr>
        <w:t>4</w:t>
      </w:r>
      <w:r>
        <w:rPr/>
        <w:t>、财务独立 </w:t>
      </w:r>
      <w:r>
        <w:rPr>
          <w:spacing w:val="-2"/>
        </w:rPr>
        <w:t>公司设立了独立的财务部门，配备了专职财务人员，建立了独立的财务核算体系，具有规范的财务会计制度和对子公司</w:t>
      </w:r>
    </w:p>
    <w:p>
      <w:pPr>
        <w:pStyle w:val="BodyText"/>
        <w:spacing w:line="316" w:lineRule="auto" w:before="31"/>
        <w:ind w:right="0"/>
        <w:jc w:val="left"/>
      </w:pPr>
      <w:r>
        <w:rPr>
          <w:spacing w:val="-2"/>
        </w:rPr>
        <w:t>的财务管理制度，独立进行财务决策，不存在公司股东干预公司投资和资金使用安排的情况。公司开立独立的银行账户，未</w:t>
      </w:r>
      <w:r>
        <w:rPr>
          <w:spacing w:val="-64"/>
        </w:rPr>
        <w:t> </w:t>
      </w:r>
      <w:r>
        <w:rPr>
          <w:spacing w:val="-64"/>
        </w:rPr>
      </w:r>
      <w:r>
        <w:rPr/>
        <w:t>与其他任何单位共用银行账户。公司依法独立进行纳税申报和履行纳税义务，不存在与控股股东混合纳税的情况。</w:t>
      </w:r>
    </w:p>
    <w:p>
      <w:pPr>
        <w:pStyle w:val="BodyText"/>
        <w:spacing w:line="300" w:lineRule="auto" w:before="19"/>
        <w:ind w:left="513" w:right="0"/>
        <w:jc w:val="left"/>
      </w:pPr>
      <w:r>
        <w:rPr>
          <w:rFonts w:ascii="Times New Roman" w:hAnsi="Times New Roman" w:cs="Times New Roman" w:eastAsia="Times New Roman" w:hint="default"/>
        </w:rPr>
        <w:t>5</w:t>
      </w:r>
      <w:r>
        <w:rPr/>
        <w:t>、机构独立 </w:t>
      </w:r>
      <w:r>
        <w:rPr>
          <w:spacing w:val="-2"/>
        </w:rPr>
        <w:t>公司已建立股东大会、董事会、监事会、经营管理层等公司治理机构，独立行使经营管理职权，与控股股东、实际控制</w:t>
      </w:r>
    </w:p>
    <w:p>
      <w:pPr>
        <w:pStyle w:val="BodyText"/>
        <w:spacing w:line="316" w:lineRule="auto" w:before="31"/>
        <w:ind w:right="162"/>
        <w:jc w:val="left"/>
      </w:pPr>
      <w:r>
        <w:rPr/>
        <w:t>人及其控制的其他企业间不存在机构混同的情形。</w:t>
      </w:r>
      <w:r>
        <w:rPr>
          <w:spacing w:val="-18"/>
        </w:rPr>
        <w:t> </w:t>
      </w:r>
      <w:r>
        <w:rPr/>
        <w:t>公司设立了独立的财务部门，建立了独立的会计核算体系，能够独立作</w:t>
      </w:r>
      <w:r>
        <w:rPr/>
        <w:t> 出财务决策，具有规范的财务会计制度，财务完全独立。</w:t>
      </w:r>
    </w:p>
    <w:p>
      <w:pPr>
        <w:spacing w:line="240" w:lineRule="auto" w:before="0"/>
        <w:rPr>
          <w:rFonts w:ascii="宋体" w:hAnsi="宋体" w:cs="宋体" w:eastAsia="宋体" w:hint="default"/>
          <w:sz w:val="15"/>
          <w:szCs w:val="15"/>
        </w:rPr>
      </w:pPr>
    </w:p>
    <w:p>
      <w:pPr>
        <w:pStyle w:val="Heading2"/>
        <w:spacing w:line="240" w:lineRule="auto"/>
        <w:ind w:right="0"/>
        <w:jc w:val="left"/>
        <w:rPr>
          <w:b w:val="0"/>
          <w:bCs w:val="0"/>
        </w:rPr>
      </w:pPr>
      <w:r>
        <w:rPr/>
        <w:t>三、同业竞争情况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四、报告期内召开的年度股东大会和临时股东大会的有关情况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19" w:type="dxa"/>
        <w:tblLayout w:type="fixed"/>
        <w:tblCellMar>
          <w:top w:w="0" w:type="dxa"/>
          <w:left w:w="0" w:type="dxa"/>
          <w:bottom w:w="0" w:type="dxa"/>
          <w:right w:w="0" w:type="dxa"/>
        </w:tblCellMar>
        <w:tblLook w:val="01E0"/>
      </w:tblPr>
      <w:tblGrid>
        <w:gridCol w:w="1620"/>
        <w:gridCol w:w="1618"/>
        <w:gridCol w:w="1615"/>
        <w:gridCol w:w="1616"/>
        <w:gridCol w:w="1613"/>
        <w:gridCol w:w="1615"/>
      </w:tblGrid>
      <w:tr>
        <w:trPr>
          <w:trHeight w:val="401" w:hRule="exact"/>
        </w:trPr>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4"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4"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9"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34.97%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6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6" w:right="89"/>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公司刊登于巨潮资 讯网的《</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股东大会决议的公 告》编号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2017-030</w:t>
            </w:r>
          </w:p>
        </w:tc>
      </w:tr>
      <w:tr>
        <w:trPr>
          <w:trHeight w:val="1649"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97" w:lineRule="auto"/>
              <w:ind w:left="24"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34.75%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240" w:lineRule="auto"/>
              <w:ind w:right="6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240" w:lineRule="auto"/>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6" w:right="89"/>
              <w:jc w:val="both"/>
              <w:rPr>
                <w:rFonts w:ascii="宋体" w:hAnsi="宋体" w:cs="宋体" w:eastAsia="宋体" w:hint="default"/>
                <w:sz w:val="18"/>
                <w:szCs w:val="18"/>
              </w:rPr>
            </w:pPr>
            <w:r>
              <w:rPr>
                <w:rFonts w:ascii="宋体" w:hAnsi="宋体" w:cs="宋体" w:eastAsia="宋体" w:hint="default"/>
                <w:sz w:val="18"/>
                <w:szCs w:val="18"/>
              </w:rPr>
              <w:t>公司刊登于巨潮资 讯网的《</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一次临时股东大会 决议的公告》编号</w:t>
            </w:r>
          </w:p>
          <w:p>
            <w:pPr>
              <w:pStyle w:val="TableParagraph"/>
              <w:spacing w:line="240" w:lineRule="auto" w:before="64"/>
              <w:ind w:left="26" w:right="0"/>
              <w:jc w:val="both"/>
              <w:rPr>
                <w:rFonts w:ascii="Times New Roman" w:hAnsi="Times New Roman" w:cs="Times New Roman" w:eastAsia="Times New Roman" w:hint="default"/>
                <w:sz w:val="18"/>
                <w:szCs w:val="18"/>
              </w:rPr>
            </w:pPr>
            <w:r>
              <w:rPr>
                <w:rFonts w:ascii="Times New Roman"/>
                <w:sz w:val="18"/>
              </w:rPr>
              <w:t>2017-060</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1133" w:top="1060" w:bottom="1320" w:left="980" w:right="980"/>
        </w:sectPr>
      </w:pPr>
    </w:p>
    <w:p>
      <w:pPr>
        <w:spacing w:line="240" w:lineRule="auto" w:before="8"/>
        <w:rPr>
          <w:rFonts w:ascii="宋体" w:hAnsi="宋体" w:cs="宋体" w:eastAsia="宋体" w:hint="default"/>
          <w:sz w:val="23"/>
          <w:szCs w:val="23"/>
        </w:rPr>
      </w:pPr>
    </w:p>
    <w:p>
      <w:pPr>
        <w:pStyle w:val="Heading2"/>
        <w:spacing w:line="367" w:lineRule="exact"/>
        <w:ind w:right="94"/>
        <w:jc w:val="left"/>
        <w:rPr>
          <w:b w:val="0"/>
          <w:bCs w:val="0"/>
        </w:rPr>
      </w:pPr>
      <w:r>
        <w:rPr/>
        <w:t>五、报告期内独立董事履行职责的情况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94"/>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19" w:type="dxa"/>
        <w:tblLayout w:type="fixed"/>
        <w:tblCellMar>
          <w:top w:w="0" w:type="dxa"/>
          <w:left w:w="0" w:type="dxa"/>
          <w:bottom w:w="0" w:type="dxa"/>
          <w:right w:w="0" w:type="dxa"/>
        </w:tblCellMar>
        <w:tblLook w:val="01E0"/>
      </w:tblPr>
      <w:tblGrid>
        <w:gridCol w:w="1445"/>
        <w:gridCol w:w="1181"/>
        <w:gridCol w:w="1178"/>
        <w:gridCol w:w="1178"/>
        <w:gridCol w:w="1179"/>
        <w:gridCol w:w="1181"/>
        <w:gridCol w:w="1179"/>
        <w:gridCol w:w="1176"/>
      </w:tblGrid>
      <w:tr>
        <w:trPr>
          <w:trHeight w:val="403" w:hRule="exact"/>
        </w:trPr>
        <w:tc>
          <w:tcPr>
            <w:tcW w:w="969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4" w:lineRule="auto"/>
              <w:ind w:left="47" w:right="41"/>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4" w:lineRule="auto"/>
              <w:ind w:left="314" w:right="41"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4" w:lineRule="auto"/>
              <w:ind w:left="45" w:right="41"/>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4" w:lineRule="auto"/>
              <w:ind w:left="314" w:right="41"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4" w:lineRule="auto"/>
              <w:ind w:left="496" w:right="41" w:hanging="449"/>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1" w:hanging="1"/>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4" w:lineRule="auto"/>
              <w:ind w:left="403" w:right="41"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李涛</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齐越</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杨逢柱</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94"/>
        <w:jc w:val="left"/>
      </w:pPr>
      <w:r>
        <w:rPr/>
        <w:t>连续两次未亲自出席董事会的说明</w:t>
      </w:r>
    </w:p>
    <w:p>
      <w:pPr>
        <w:spacing w:line="240" w:lineRule="auto" w:before="12"/>
        <w:rPr>
          <w:rFonts w:ascii="宋体" w:hAnsi="宋体" w:cs="宋体" w:eastAsia="宋体" w:hint="default"/>
          <w:sz w:val="21"/>
          <w:szCs w:val="21"/>
        </w:rPr>
      </w:pPr>
    </w:p>
    <w:p>
      <w:pPr>
        <w:pStyle w:val="Heading3"/>
        <w:spacing w:line="240" w:lineRule="auto"/>
        <w:ind w:right="94"/>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4"/>
        <w:jc w:val="left"/>
      </w:pPr>
      <w:r>
        <w:rPr/>
        <w:t>独立董事对公司有关事项是否提出异议</w:t>
      </w:r>
    </w:p>
    <w:p>
      <w:pPr>
        <w:pStyle w:val="BodyText"/>
        <w:spacing w:line="338" w:lineRule="auto" w:before="117"/>
        <w:ind w:right="60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6"/>
        <w:rPr>
          <w:rFonts w:ascii="宋体" w:hAnsi="宋体" w:cs="宋体" w:eastAsia="宋体" w:hint="default"/>
          <w:sz w:val="16"/>
          <w:szCs w:val="16"/>
        </w:rPr>
      </w:pPr>
    </w:p>
    <w:p>
      <w:pPr>
        <w:pStyle w:val="Heading3"/>
        <w:spacing w:line="240" w:lineRule="auto"/>
        <w:ind w:right="94"/>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4"/>
        <w:jc w:val="left"/>
      </w:pPr>
      <w:r>
        <w:rPr/>
        <w:t>独立董事对公司有关建议是否被采纳</w:t>
      </w:r>
    </w:p>
    <w:p>
      <w:pPr>
        <w:pStyle w:val="BodyText"/>
        <w:spacing w:line="340" w:lineRule="auto" w:before="115"/>
        <w:ind w:right="58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9" w:lineRule="auto" w:before="41"/>
        <w:ind w:right="94" w:firstLine="360"/>
        <w:jc w:val="left"/>
      </w:pPr>
      <w:r>
        <w:rPr>
          <w:spacing w:val="-2"/>
        </w:rPr>
        <w:t>报告期内，独立董事严格按照有关法律、法规、《公司章程》、《独立董事工作制度》的规定勤勉履行职责，忠实履行</w:t>
      </w:r>
      <w:r>
        <w:rPr/>
        <w:t> </w:t>
      </w:r>
      <w:r>
        <w:rPr>
          <w:spacing w:val="-2"/>
        </w:rPr>
        <w:t>职务，积极参加董事会，审议各项议案。通过出席董事会、股东大会、与公司董事、董事会秘书、财务总监及其他相关人员</w:t>
      </w:r>
      <w:r>
        <w:rPr>
          <w:spacing w:val="-73"/>
        </w:rPr>
        <w:t> </w:t>
      </w:r>
      <w:r>
        <w:rPr>
          <w:spacing w:val="-73"/>
        </w:rPr>
      </w:r>
      <w:r>
        <w:rPr>
          <w:spacing w:val="-2"/>
        </w:rPr>
        <w:t>进行交流等方式，深入了解公司生产经营状况和内部控制的建设及董事会各项决议执行情况，并利用自已的专业优势为公司</w:t>
      </w:r>
      <w:r>
        <w:rPr>
          <w:spacing w:val="-64"/>
        </w:rPr>
        <w:t> </w:t>
      </w:r>
      <w:r>
        <w:rPr>
          <w:spacing w:val="-64"/>
        </w:rPr>
      </w:r>
      <w:r>
        <w:rPr/>
        <w:t>经营和发展提出了合理化的意见和建议，对公司利润分配、关联交易、对外投资等相关事项发表了客观、公正的独立意见， </w:t>
      </w:r>
      <w:r>
        <w:rPr>
          <w:spacing w:val="-2"/>
        </w:rPr>
        <w:t>对董事会决策的公正、公平及保护中小投资者利益起到了积极作用。公司董事会、高管团队认真听取了独立董事的意见，不</w:t>
      </w:r>
      <w:r>
        <w:rPr>
          <w:spacing w:val="-66"/>
        </w:rPr>
        <w:t> </w:t>
      </w:r>
      <w:r>
        <w:rPr>
          <w:spacing w:val="-66"/>
        </w:rPr>
      </w:r>
      <w:r>
        <w:rPr>
          <w:spacing w:val="-2"/>
        </w:rPr>
        <w:t>断优化公司管理结构、明确部门职能、优化业务流程，深入开展公司治理、加大公司内部审核力度和内控建设，加强对公司</w:t>
      </w:r>
      <w:r>
        <w:rPr>
          <w:spacing w:val="-67"/>
        </w:rPr>
        <w:t> </w:t>
      </w:r>
      <w:r>
        <w:rPr>
          <w:spacing w:val="-67"/>
        </w:rPr>
      </w:r>
      <w:r>
        <w:rPr/>
        <w:t>产业链的研究和布局，构建合理的产业拓展布局，不断提高公司的管理水平。</w:t>
      </w:r>
    </w:p>
    <w:p>
      <w:pPr>
        <w:pStyle w:val="BodyText"/>
        <w:spacing w:line="240" w:lineRule="auto" w:before="17"/>
        <w:ind w:left="513" w:right="94"/>
        <w:jc w:val="left"/>
      </w:pPr>
      <w:r>
        <w:rPr/>
        <w:t>报告期内，公司独立董事对董事会各项议案及公司其他事项没有提出异议。</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5"/>
          <w:szCs w:val="25"/>
        </w:rPr>
      </w:pPr>
    </w:p>
    <w:p>
      <w:pPr>
        <w:pStyle w:val="Heading2"/>
        <w:spacing w:line="240" w:lineRule="auto"/>
        <w:ind w:right="94"/>
        <w:jc w:val="left"/>
        <w:rPr>
          <w:b w:val="0"/>
          <w:bCs w:val="0"/>
        </w:rPr>
      </w:pPr>
      <w:r>
        <w:rPr/>
        <w:t>六、董事会下设专门委员会在报告期内履行职责情况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09" w:lineRule="auto"/>
        <w:ind w:left="513" w:right="94"/>
        <w:jc w:val="left"/>
      </w:pPr>
      <w:r>
        <w:rPr/>
        <w:t>公司董事会下设审计委员会、战略与发展委员会、提名委员会及薪酬与考核委员会四个专门委员会。 </w:t>
      </w:r>
      <w:r>
        <w:rPr>
          <w:rFonts w:ascii="Times New Roman" w:hAnsi="Times New Roman" w:cs="Times New Roman" w:eastAsia="Times New Roman" w:hint="default"/>
        </w:rPr>
        <w:t>1</w:t>
      </w:r>
      <w:r>
        <w:rPr/>
        <w:t>、董事会审计委员会 </w:t>
      </w:r>
      <w:r>
        <w:rPr>
          <w:spacing w:val="-2"/>
        </w:rPr>
        <w:t>报告期内，公司审计委员会严格按照《审计委员会工作细则》的相关要求，对公司全年生产经营情况和重大事项进展情</w:t>
      </w:r>
    </w:p>
    <w:p>
      <w:pPr>
        <w:pStyle w:val="BodyText"/>
        <w:spacing w:line="319" w:lineRule="auto" w:before="24"/>
        <w:ind w:right="94"/>
        <w:jc w:val="left"/>
      </w:pPr>
      <w:r>
        <w:rPr>
          <w:spacing w:val="-2"/>
        </w:rPr>
        <w:t>况的进行了监控，对年度审计工作进行安排，并就审计过程中发现的问题与相关人员进行有效沟通切实履行了审计委员会工</w:t>
      </w:r>
      <w:r>
        <w:rPr>
          <w:spacing w:val="-64"/>
        </w:rPr>
        <w:t> </w:t>
      </w:r>
      <w:r>
        <w:rPr>
          <w:spacing w:val="-64"/>
        </w:rPr>
      </w:r>
      <w:r>
        <w:rPr/>
        <w:t>作职责。</w:t>
      </w:r>
    </w:p>
    <w:p>
      <w:pPr>
        <w:pStyle w:val="BodyText"/>
        <w:spacing w:line="240" w:lineRule="auto" w:before="17"/>
        <w:ind w:left="513" w:right="94"/>
        <w:jc w:val="left"/>
      </w:pPr>
      <w:r>
        <w:rPr>
          <w:rFonts w:ascii="Times New Roman" w:hAnsi="Times New Roman" w:cs="Times New Roman" w:eastAsia="Times New Roman" w:hint="default"/>
        </w:rPr>
        <w:t>2</w:t>
      </w:r>
      <w:r>
        <w:rPr/>
        <w:t>、董事会战略与发展委员会</w:t>
      </w:r>
    </w:p>
    <w:p>
      <w:pPr>
        <w:spacing w:after="0" w:line="240" w:lineRule="auto"/>
        <w:jc w:val="left"/>
        <w:sectPr>
          <w:pgSz w:w="11910" w:h="16840"/>
          <w:pgMar w:header="745" w:footer="1133" w:top="1060" w:bottom="132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94" w:firstLine="360"/>
        <w:jc w:val="left"/>
      </w:pPr>
      <w:r>
        <w:rPr/>
        <w:t>报告期内，董事会战略委员会严格按照《战略发展委员会工作细则》的相关要求，积极开展相关工作，认真履行职责。 </w:t>
      </w:r>
      <w:r>
        <w:rPr>
          <w:spacing w:val="-2"/>
        </w:rPr>
        <w:t>董事会战略委员会委员对公司中长期发展战略和重大投资决策与公司管理层保持日常沟通，了解公司运营情况，实地考察公</w:t>
      </w:r>
      <w:r>
        <w:rPr>
          <w:spacing w:val="-64"/>
        </w:rPr>
        <w:t> </w:t>
      </w:r>
      <w:r>
        <w:rPr>
          <w:spacing w:val="-64"/>
        </w:rPr>
      </w:r>
      <w:r>
        <w:rPr>
          <w:spacing w:val="-2"/>
        </w:rPr>
        <w:t>司基本面。报告期内公司战略发展委员会严格按照就公司中长期战略规划及对外投资，对其他影响公司发展的重大事项进行</w:t>
      </w:r>
      <w:r>
        <w:rPr>
          <w:spacing w:val="-64"/>
        </w:rPr>
        <w:t> </w:t>
      </w:r>
      <w:r>
        <w:rPr>
          <w:spacing w:val="-64"/>
        </w:rPr>
      </w:r>
      <w:r>
        <w:rPr/>
        <w:t>研究并提出建议，进一步提高公司战略决策的合理性和科学性。</w:t>
      </w:r>
    </w:p>
    <w:p>
      <w:pPr>
        <w:pStyle w:val="BodyText"/>
        <w:spacing w:line="300" w:lineRule="auto" w:before="59"/>
        <w:ind w:left="441" w:right="94" w:firstLine="72"/>
        <w:jc w:val="left"/>
      </w:pPr>
      <w:r>
        <w:rPr>
          <w:rFonts w:ascii="Times New Roman" w:hAnsi="Times New Roman" w:cs="Times New Roman" w:eastAsia="Times New Roman" w:hint="default"/>
        </w:rPr>
        <w:t>3</w:t>
      </w:r>
      <w:r>
        <w:rPr/>
        <w:t>、董事会提名委员会 </w:t>
      </w:r>
      <w:r>
        <w:rPr>
          <w:spacing w:val="-1"/>
        </w:rPr>
        <w:t>报告期内，董事会提名委员会依照相关法规及《公司章程》及《董事会提名委员会议事规则》的规定，积极履行了职责</w:t>
      </w:r>
    </w:p>
    <w:p>
      <w:pPr>
        <w:pStyle w:val="BodyText"/>
        <w:spacing w:line="240" w:lineRule="auto" w:before="31"/>
        <w:ind w:right="94"/>
        <w:jc w:val="left"/>
      </w:pPr>
      <w:r>
        <w:rPr/>
        <w:t>对公司董事、高级管理人员的选聘上发挥积极的作用。</w:t>
      </w:r>
    </w:p>
    <w:p>
      <w:pPr>
        <w:pStyle w:val="BodyText"/>
        <w:spacing w:line="300" w:lineRule="auto" w:before="76"/>
        <w:ind w:left="513" w:right="94"/>
        <w:jc w:val="left"/>
      </w:pPr>
      <w:r>
        <w:rPr>
          <w:rFonts w:ascii="Times New Roman" w:hAnsi="Times New Roman" w:cs="Times New Roman" w:eastAsia="Times New Roman" w:hint="default"/>
        </w:rPr>
        <w:t>4</w:t>
      </w:r>
      <w:r>
        <w:rPr/>
        <w:t>、董事会薪酬与考核委员会 </w:t>
      </w:r>
      <w:r>
        <w:rPr>
          <w:spacing w:val="-2"/>
        </w:rPr>
        <w:t>报告期内，公司薪酬与考核委员会按照其工作细则的相关要求，对公司董事和高级管理人员进行考核，根据公司各个董</w:t>
      </w:r>
    </w:p>
    <w:p>
      <w:pPr>
        <w:pStyle w:val="BodyText"/>
        <w:spacing w:line="319" w:lineRule="auto" w:before="31"/>
        <w:ind w:right="94"/>
        <w:jc w:val="left"/>
      </w:pPr>
      <w:r>
        <w:rPr>
          <w:spacing w:val="-2"/>
        </w:rPr>
        <w:t>事和高级管理人员所负责的工作范围、重要程度等因素，对考核和评价标准提出建议，促进公司在规范运作的基础上，进一</w:t>
      </w:r>
      <w:r>
        <w:rPr>
          <w:spacing w:val="-64"/>
        </w:rPr>
        <w:t> </w:t>
      </w:r>
      <w:r>
        <w:rPr>
          <w:spacing w:val="-64"/>
        </w:rPr>
      </w:r>
      <w:r>
        <w:rPr/>
        <w:t>步提高在薪酬考核方面的科学性。</w:t>
      </w:r>
    </w:p>
    <w:p>
      <w:pPr>
        <w:spacing w:line="240" w:lineRule="auto" w:before="11"/>
        <w:rPr>
          <w:rFonts w:ascii="宋体" w:hAnsi="宋体" w:cs="宋体" w:eastAsia="宋体" w:hint="default"/>
          <w:sz w:val="14"/>
          <w:szCs w:val="14"/>
        </w:rPr>
      </w:pPr>
    </w:p>
    <w:p>
      <w:pPr>
        <w:pStyle w:val="Heading2"/>
        <w:spacing w:line="240" w:lineRule="auto"/>
        <w:ind w:right="94"/>
        <w:jc w:val="left"/>
        <w:rPr>
          <w:b w:val="0"/>
          <w:bCs w:val="0"/>
        </w:rPr>
      </w:pPr>
      <w:r>
        <w:rPr/>
        <w:t>七、监事会工作情况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94"/>
        <w:jc w:val="left"/>
      </w:pPr>
      <w:r>
        <w:rPr/>
        <w:t>监事会在报告期内的监督活动中发现公司是否存在风险</w:t>
      </w:r>
    </w:p>
    <w:p>
      <w:pPr>
        <w:pStyle w:val="BodyText"/>
        <w:spacing w:line="340" w:lineRule="auto" w:before="117"/>
        <w:ind w:right="63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6"/>
        <w:rPr>
          <w:rFonts w:ascii="宋体" w:hAnsi="宋体" w:cs="宋体" w:eastAsia="宋体" w:hint="default"/>
          <w:sz w:val="13"/>
          <w:szCs w:val="13"/>
        </w:rPr>
      </w:pPr>
    </w:p>
    <w:p>
      <w:pPr>
        <w:pStyle w:val="Heading2"/>
        <w:spacing w:line="240" w:lineRule="auto"/>
        <w:ind w:right="94"/>
        <w:jc w:val="left"/>
        <w:rPr>
          <w:b w:val="0"/>
          <w:bCs w:val="0"/>
        </w:rPr>
      </w:pPr>
      <w:r>
        <w:rPr/>
        <w:t>八、高级管理人员的考评及激励情况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19" w:lineRule="auto"/>
        <w:ind w:right="194" w:firstLine="314"/>
        <w:jc w:val="both"/>
      </w:pPr>
      <w:r>
        <w:rPr>
          <w:spacing w:val="-1"/>
        </w:rPr>
        <w:t>公司高级管理人员均由公司董事会聘任，执行岗位工资与绩效工资相结合的薪酬制度，年初根据总体发展战略和经营目</w:t>
      </w:r>
      <w:r>
        <w:rPr/>
        <w:t> 标确定具体的考核、奖惩办法。报告期内，公司不断优化激励约束机制</w:t>
      </w:r>
      <w:r>
        <w:rPr>
          <w:rFonts w:ascii="宋体" w:hAnsi="宋体" w:cs="宋体" w:eastAsia="宋体" w:hint="default"/>
        </w:rPr>
        <w:t>,</w:t>
      </w:r>
      <w:r>
        <w:rPr/>
        <w:t>完善高级箮理人员的绩效考评办法，有效增强了高 级管理人员的履职意识，促进了经营业绩的稳步提升。</w:t>
      </w:r>
    </w:p>
    <w:p>
      <w:pPr>
        <w:spacing w:line="240" w:lineRule="auto" w:before="8"/>
        <w:rPr>
          <w:rFonts w:ascii="宋体" w:hAnsi="宋体" w:cs="宋体" w:eastAsia="宋体" w:hint="default"/>
          <w:sz w:val="15"/>
          <w:szCs w:val="15"/>
        </w:rPr>
      </w:pPr>
    </w:p>
    <w:p>
      <w:pPr>
        <w:pStyle w:val="Heading2"/>
        <w:spacing w:line="240" w:lineRule="auto"/>
        <w:ind w:right="94"/>
        <w:jc w:val="left"/>
        <w:rPr>
          <w:b w:val="0"/>
          <w:bCs w:val="0"/>
        </w:rPr>
      </w:pPr>
      <w:r>
        <w:rPr/>
        <w:t>九、内部控制评价报告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94"/>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1"/>
        <w:rPr>
          <w:rFonts w:ascii="宋体" w:hAnsi="宋体" w:cs="宋体" w:eastAsia="宋体" w:hint="default"/>
          <w:sz w:val="20"/>
          <w:szCs w:val="20"/>
        </w:rPr>
      </w:pPr>
    </w:p>
    <w:p>
      <w:pPr>
        <w:pStyle w:val="Heading3"/>
        <w:spacing w:line="240" w:lineRule="auto"/>
        <w:ind w:right="94"/>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90"/>
        <w:gridCol w:w="3327"/>
        <w:gridCol w:w="3053"/>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42"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4" w:space="0" w:color="000000"/>
              <w:right w:val="single" w:sz="4" w:space="0" w:color="000000"/>
            </w:tcBorders>
          </w:tcPr>
          <w:p>
            <w:pPr>
              <w:pStyle w:val="TableParagraph"/>
              <w:spacing w:line="316" w:lineRule="auto" w:before="49"/>
              <w:ind w:left="29" w:right="17"/>
              <w:jc w:val="left"/>
              <w:rPr>
                <w:rFonts w:ascii="宋体" w:hAnsi="宋体" w:cs="宋体" w:eastAsia="宋体" w:hint="default"/>
                <w:sz w:val="18"/>
                <w:szCs w:val="18"/>
              </w:rPr>
            </w:pPr>
            <w:r>
              <w:rPr>
                <w:rFonts w:ascii="宋体" w:hAnsi="宋体" w:cs="宋体" w:eastAsia="宋体" w:hint="default"/>
                <w:sz w:val="18"/>
                <w:szCs w:val="18"/>
              </w:rPr>
              <w:t>重大缺陷：控制环境失效；董事、监事和 高级管理人员滥用职权及舞弊；</w:t>
            </w:r>
            <w:r>
              <w:rPr>
                <w:rFonts w:ascii="宋体" w:hAnsi="宋体" w:cs="宋体" w:eastAsia="宋体" w:hint="default"/>
                <w:spacing w:val="-61"/>
                <w:sz w:val="18"/>
                <w:szCs w:val="18"/>
              </w:rPr>
              <w:t> </w:t>
            </w:r>
            <w:r>
              <w:rPr>
                <w:rFonts w:ascii="宋体" w:hAnsi="宋体" w:cs="宋体" w:eastAsia="宋体" w:hint="default"/>
                <w:sz w:val="18"/>
                <w:szCs w:val="18"/>
              </w:rPr>
              <w:t>内部控制</w:t>
            </w:r>
          </w:p>
        </w:tc>
        <w:tc>
          <w:tcPr>
            <w:tcW w:w="3053" w:type="dxa"/>
            <w:vMerge w:val="restart"/>
            <w:tcBorders>
              <w:top w:val="single" w:sz="4" w:space="0" w:color="000000"/>
              <w:left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重大缺陷的认定标准</w:t>
            </w:r>
            <w:r>
              <w:rPr>
                <w:rFonts w:ascii="宋体" w:hAnsi="宋体" w:cs="宋体" w:eastAsia="宋体" w:hint="default"/>
                <w:spacing w:val="1"/>
                <w:sz w:val="18"/>
                <w:szCs w:val="18"/>
              </w:rPr>
              <w:t> </w:t>
            </w:r>
            <w:r>
              <w:rPr>
                <w:rFonts w:ascii="宋体" w:hAnsi="宋体" w:cs="宋体" w:eastAsia="宋体" w:hint="default"/>
                <w:sz w:val="18"/>
                <w:szCs w:val="18"/>
              </w:rPr>
              <w:t>：严重违反法律</w:t>
            </w:r>
            <w:r>
              <w:rPr>
                <w:rFonts w:ascii="宋体" w:hAnsi="宋体" w:cs="宋体" w:eastAsia="宋体" w:hint="default"/>
                <w:sz w:val="18"/>
                <w:szCs w:val="18"/>
              </w:rPr>
              <w:t> 法规；决策程序导致重大失误</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持续经</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142"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1133" w:top="1060" w:bottom="1320" w:left="980" w:right="94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9" w:type="dxa"/>
        <w:tblLayout w:type="fixed"/>
        <w:tblCellMar>
          <w:top w:w="0" w:type="dxa"/>
          <w:left w:w="0" w:type="dxa"/>
          <w:bottom w:w="0" w:type="dxa"/>
          <w:right w:w="0" w:type="dxa"/>
        </w:tblCellMar>
        <w:tblLook w:val="01E0"/>
      </w:tblPr>
      <w:tblGrid>
        <w:gridCol w:w="3194"/>
        <w:gridCol w:w="3322"/>
        <w:gridCol w:w="3053"/>
      </w:tblGrid>
      <w:tr>
        <w:trPr>
          <w:trHeight w:val="473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7"/>
              <w:jc w:val="both"/>
              <w:rPr>
                <w:rFonts w:ascii="宋体" w:hAnsi="宋体" w:cs="宋体" w:eastAsia="宋体" w:hint="default"/>
                <w:sz w:val="18"/>
                <w:szCs w:val="18"/>
              </w:rPr>
            </w:pPr>
            <w:r>
              <w:rPr>
                <w:rFonts w:ascii="宋体" w:hAnsi="宋体" w:cs="宋体" w:eastAsia="宋体" w:hint="default"/>
                <w:sz w:val="18"/>
                <w:szCs w:val="18"/>
              </w:rPr>
              <w:t>在运行过程中未能发现当期财务报告存在 重大错报；企业审计委员会和内部审计机 构对内部控制的监督无效。重要缺陷：未 依照公认会计准则选择和应用会计政策； 未建立反舞弊程序和控制措施；对于非常 规或特殊交易的账务处理没有建立相应的 控制机制或没有实施且没有相应的补偿性 控制；对于期末财务报告过程的控制存在 一项或多项缺陷且不能合理保证编制的财 </w:t>
            </w:r>
            <w:r>
              <w:rPr>
                <w:rFonts w:ascii="宋体" w:hAnsi="宋体" w:cs="宋体" w:eastAsia="宋体" w:hint="default"/>
                <w:spacing w:val="-3"/>
                <w:sz w:val="18"/>
                <w:szCs w:val="18"/>
              </w:rPr>
              <w:t>务报表达到真实、完整、准确的目标。</w:t>
            </w:r>
            <w:r>
              <w:rPr>
                <w:rFonts w:ascii="宋体" w:hAnsi="宋体" w:cs="宋体" w:eastAsia="宋体" w:hint="default"/>
                <w:spacing w:val="-13"/>
                <w:sz w:val="18"/>
                <w:szCs w:val="18"/>
              </w:rPr>
              <w:t> </w:t>
            </w:r>
            <w:r>
              <w:rPr>
                <w:rFonts w:ascii="宋体" w:hAnsi="宋体" w:cs="宋体" w:eastAsia="宋体" w:hint="default"/>
                <w:sz w:val="18"/>
                <w:szCs w:val="18"/>
              </w:rPr>
              <w:t>一</w:t>
            </w:r>
            <w:r>
              <w:rPr>
                <w:rFonts w:ascii="宋体" w:hAnsi="宋体" w:cs="宋体" w:eastAsia="宋体" w:hint="default"/>
                <w:sz w:val="18"/>
                <w:szCs w:val="18"/>
              </w:rPr>
              <w:t> 般缺陷：不构成重大缺陷或重要缺陷的其 他内部控制缺陷。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43"/>
              <w:jc w:val="left"/>
              <w:rPr>
                <w:rFonts w:ascii="宋体" w:hAnsi="宋体" w:cs="宋体" w:eastAsia="宋体" w:hint="default"/>
                <w:sz w:val="18"/>
                <w:szCs w:val="18"/>
              </w:rPr>
            </w:pPr>
            <w:r>
              <w:rPr>
                <w:rFonts w:ascii="宋体" w:hAnsi="宋体" w:cs="宋体" w:eastAsia="宋体" w:hint="default"/>
                <w:spacing w:val="-4"/>
                <w:sz w:val="18"/>
                <w:szCs w:val="18"/>
              </w:rPr>
              <w:t>营受到挑战；重要业务缺乏制度控制或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系统性失效</w:t>
            </w:r>
            <w:r>
              <w:rPr>
                <w:rFonts w:ascii="Times New Roman" w:hAnsi="Times New Roman" w:cs="Times New Roman" w:eastAsia="Times New Roman" w:hint="default"/>
                <w:sz w:val="18"/>
                <w:szCs w:val="18"/>
              </w:rPr>
              <w:t>,</w:t>
            </w:r>
            <w:r>
              <w:rPr>
                <w:rFonts w:ascii="宋体" w:hAnsi="宋体" w:cs="宋体" w:eastAsia="宋体" w:hint="default"/>
                <w:sz w:val="18"/>
                <w:szCs w:val="18"/>
              </w:rPr>
              <w:t>且缺乏有效的补偿性控 </w:t>
            </w:r>
            <w:r>
              <w:rPr>
                <w:rFonts w:ascii="宋体" w:hAnsi="宋体" w:cs="宋体" w:eastAsia="宋体" w:hint="default"/>
                <w:spacing w:val="-4"/>
                <w:sz w:val="18"/>
                <w:szCs w:val="18"/>
              </w:rPr>
              <w:t>制；中高级管理人员和关键岗位研发人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员流失严重；内部控制评价的结果特别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是重大缺陷未得到整改；其他对公司产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生重大负面影响的情形。重要缺陷的认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定标准：决策程序导致出现一般性失 </w:t>
            </w:r>
            <w:r>
              <w:rPr>
                <w:rFonts w:ascii="宋体" w:hAnsi="宋体" w:cs="宋体" w:eastAsia="宋体" w:hint="default"/>
                <w:spacing w:val="-4"/>
                <w:sz w:val="18"/>
                <w:szCs w:val="18"/>
              </w:rPr>
              <w:t>误；重要业务制度或系统存在缺陷；关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键岗位业务人员流失严重；内部控制评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价的结果特别是重要缺陷未得到整改； 其他对公司产生较大负面影响的情形。 </w:t>
            </w:r>
            <w:r>
              <w:rPr>
                <w:rFonts w:ascii="宋体" w:hAnsi="宋体" w:cs="宋体" w:eastAsia="宋体" w:hint="default"/>
                <w:spacing w:val="-4"/>
                <w:sz w:val="18"/>
                <w:szCs w:val="18"/>
              </w:rPr>
              <w:t>一般缺陷的认定标准：决策程序效率不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高；一般业务制度或系统存在缺陷；一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般岗位业务人员流失严重；一般缺陷未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得到整改。</w:t>
            </w:r>
          </w:p>
        </w:tc>
      </w:tr>
      <w:tr>
        <w:trPr>
          <w:trHeight w:val="476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本公司以利润总额的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作为利润表整体 重要性水平的衡量指标，以净资产的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作为资产负债表整体重要性水平的衡量指 标：</w:t>
            </w:r>
            <w:r>
              <w:rPr>
                <w:rFonts w:ascii="宋体" w:hAnsi="宋体" w:cs="宋体" w:eastAsia="宋体" w:hint="default"/>
                <w:spacing w:val="-64"/>
                <w:sz w:val="18"/>
                <w:szCs w:val="18"/>
              </w:rPr>
              <w:t> </w:t>
            </w:r>
            <w:r>
              <w:rPr>
                <w:rFonts w:ascii="宋体" w:hAnsi="宋体" w:cs="宋体" w:eastAsia="宋体" w:hint="default"/>
                <w:sz w:val="18"/>
                <w:szCs w:val="18"/>
              </w:rPr>
              <w:t>当利润表项目潜在错报金额大于或等</w:t>
            </w:r>
            <w:r>
              <w:rPr>
                <w:rFonts w:ascii="宋体" w:hAnsi="宋体" w:cs="宋体" w:eastAsia="宋体" w:hint="default"/>
                <w:sz w:val="18"/>
                <w:szCs w:val="18"/>
              </w:rPr>
              <w:t> 于利润总额的</w:t>
            </w:r>
            <w:r>
              <w:rPr>
                <w:rFonts w:ascii="宋体" w:hAnsi="宋体" w:cs="宋体" w:eastAsia="宋体" w:hint="default"/>
                <w:spacing w:val="-38"/>
                <w:sz w:val="18"/>
                <w:szCs w:val="18"/>
              </w:rPr>
              <w:t> </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，或资产负债表项目潜在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错报金额大于或等于净资产的</w:t>
            </w:r>
            <w:r>
              <w:rPr>
                <w:rFonts w:ascii="宋体" w:hAnsi="宋体" w:cs="宋体" w:eastAsia="宋体" w:hint="default"/>
                <w:spacing w:val="-44"/>
                <w:sz w:val="18"/>
                <w:szCs w:val="18"/>
              </w:rPr>
              <w:t> </w:t>
            </w:r>
            <w:r>
              <w:rPr>
                <w:rFonts w:ascii="Times New Roman" w:hAnsi="Times New Roman" w:cs="Times New Roman" w:eastAsia="Times New Roman" w:hint="default"/>
                <w:spacing w:val="-13"/>
                <w:sz w:val="18"/>
                <w:szCs w:val="18"/>
              </w:rPr>
              <w:t>5%</w:t>
            </w:r>
            <w:r>
              <w:rPr>
                <w:rFonts w:ascii="宋体" w:hAnsi="宋体" w:cs="宋体" w:eastAsia="宋体" w:hint="default"/>
                <w:spacing w:val="-13"/>
                <w:sz w:val="18"/>
                <w:szCs w:val="18"/>
              </w:rPr>
              <w:t>时，则认</w:t>
            </w:r>
            <w:r>
              <w:rPr>
                <w:rFonts w:ascii="宋体" w:hAnsi="宋体" w:cs="宋体" w:eastAsia="宋体" w:hint="default"/>
                <w:sz w:val="18"/>
                <w:szCs w:val="18"/>
              </w:rPr>
              <w:t> 定为重大缺陷； 当利润表项目潜在错报金额小于利润总额 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，但大于或等于利润总额的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，或</w:t>
            </w:r>
            <w:r>
              <w:rPr>
                <w:rFonts w:ascii="宋体" w:hAnsi="宋体" w:cs="宋体" w:eastAsia="宋体" w:hint="default"/>
                <w:spacing w:val="-3"/>
                <w:sz w:val="18"/>
                <w:szCs w:val="18"/>
              </w:rPr>
              <w:t> </w:t>
            </w:r>
            <w:r>
              <w:rPr>
                <w:rFonts w:ascii="宋体" w:hAnsi="宋体" w:cs="宋体" w:eastAsia="宋体" w:hint="default"/>
                <w:sz w:val="18"/>
                <w:szCs w:val="18"/>
              </w:rPr>
              <w:t>资产负债表项目潜在错报金额小于净资产</w:t>
            </w:r>
            <w:r>
              <w:rPr>
                <w:rFonts w:ascii="宋体" w:hAnsi="宋体" w:cs="宋体" w:eastAsia="宋体" w:hint="default"/>
                <w:sz w:val="18"/>
                <w:szCs w:val="18"/>
              </w:rPr>
              <w:t>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，但大于或等于净资产的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 则 认定为重要缺陷； 当利润表项目潜在错报金额小于利润总额 的</w:t>
            </w:r>
            <w:r>
              <w:rPr>
                <w:rFonts w:ascii="宋体" w:hAnsi="宋体" w:cs="宋体" w:eastAsia="宋体" w:hint="default"/>
                <w:spacing w:val="-39"/>
                <w:sz w:val="18"/>
                <w:szCs w:val="18"/>
              </w:rPr>
              <w:t> </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，资产负债表项目潜在错报金额小于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净资产的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时，则认定为一般缺陷。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20"/>
                <w:szCs w:val="20"/>
              </w:rPr>
            </w:pPr>
          </w:p>
          <w:p>
            <w:pPr>
              <w:pStyle w:val="TableParagraph"/>
              <w:spacing w:line="319" w:lineRule="auto"/>
              <w:ind w:left="26" w:right="-43"/>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评价的定量标准与公司确定的财务报 告内部控制缺陷评价的定量标准一致， 参见上文所述财务报告内部控制缺陷 评价的定量标准。</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十、内部控制审计报告或鉴证报告</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不适用</w:t>
      </w:r>
    </w:p>
    <w:p>
      <w:pPr>
        <w:spacing w:after="0" w:line="240" w:lineRule="auto"/>
        <w:jc w:val="left"/>
        <w:sectPr>
          <w:pgSz w:w="11910" w:h="16840"/>
          <w:pgMar w:header="745" w:footer="1133" w:top="1060" w:bottom="132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456" w:lineRule="exact"/>
        <w:ind w:left="3125" w:right="0"/>
        <w:jc w:val="left"/>
        <w:rPr>
          <w:b w:val="0"/>
          <w:bCs w:val="0"/>
        </w:rPr>
      </w:pPr>
      <w:bookmarkStart w:name="_TOC_250002" w:id="10"/>
      <w:r>
        <w:rPr/>
        <w:t>第十节 </w:t>
      </w:r>
      <w:r>
        <w:rPr>
          <w:spacing w:val="10"/>
        </w:rPr>
        <w:t> </w:t>
      </w:r>
      <w:r>
        <w:rPr/>
        <w:t>公司债券相关情况</w:t>
      </w:r>
      <w:bookmarkEnd w:id="10"/>
      <w:r>
        <w:rPr>
          <w:b w:val="0"/>
          <w:bCs w:val="0"/>
        </w:rPr>
      </w:r>
    </w:p>
    <w:p>
      <w:pPr>
        <w:spacing w:line="240" w:lineRule="auto" w:before="17"/>
        <w:rPr>
          <w:rFonts w:ascii="Microsoft JhengHei" w:hAnsi="Microsoft JhengHei" w:cs="Microsoft JhengHei" w:eastAsia="Microsoft JhengHei" w:hint="default"/>
          <w:b/>
          <w:bCs/>
          <w:sz w:val="29"/>
          <w:szCs w:val="29"/>
        </w:rPr>
      </w:pPr>
    </w:p>
    <w:p>
      <w:pPr>
        <w:pStyle w:val="BodyText"/>
        <w:spacing w:line="357" w:lineRule="auto"/>
        <w:ind w:right="113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1133" w:top="1060" w:bottom="13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589" w:right="3630"/>
        <w:jc w:val="center"/>
        <w:rPr>
          <w:b w:val="0"/>
          <w:bCs w:val="0"/>
        </w:rPr>
      </w:pPr>
      <w:bookmarkStart w:name="_TOC_250001" w:id="11"/>
      <w:r>
        <w:rPr/>
        <w:t>第十一节 </w:t>
      </w:r>
      <w:r>
        <w:rPr>
          <w:spacing w:val="6"/>
        </w:rPr>
        <w:t> </w:t>
      </w:r>
      <w:r>
        <w:rPr/>
        <w:t>财务报告</w:t>
      </w:r>
      <w:bookmarkEnd w:id="11"/>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94"/>
        <w:jc w:val="left"/>
        <w:rPr>
          <w:b w:val="0"/>
          <w:bCs w:val="0"/>
        </w:rPr>
      </w:pPr>
      <w:r>
        <w:rPr/>
        <w:t>一、审计报告</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01660124</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荣健</w:t>
            </w:r>
            <w:r>
              <w:rPr>
                <w:rFonts w:ascii="宋体" w:hAnsi="宋体" w:cs="宋体" w:eastAsia="宋体" w:hint="default"/>
                <w:spacing w:val="1"/>
                <w:sz w:val="18"/>
                <w:szCs w:val="18"/>
              </w:rPr>
              <w:t> </w:t>
            </w:r>
            <w:r>
              <w:rPr>
                <w:rFonts w:ascii="宋体" w:hAnsi="宋体" w:cs="宋体" w:eastAsia="宋体" w:hint="default"/>
                <w:sz w:val="18"/>
                <w:szCs w:val="18"/>
              </w:rPr>
              <w:t>单大信</w:t>
            </w:r>
          </w:p>
        </w:tc>
      </w:tr>
    </w:tbl>
    <w:p>
      <w:pPr>
        <w:spacing w:after="0" w:line="240" w:lineRule="auto"/>
        <w:jc w:val="left"/>
        <w:rPr>
          <w:rFonts w:ascii="宋体" w:hAnsi="宋体" w:cs="宋体" w:eastAsia="宋体" w:hint="default"/>
          <w:sz w:val="18"/>
          <w:szCs w:val="18"/>
        </w:rPr>
        <w:sectPr>
          <w:pgSz w:w="11910" w:h="16840"/>
          <w:pgMar w:header="745" w:footer="1133" w:top="1060" w:bottom="1320" w:left="980" w:right="94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1"/>
          <w:szCs w:val="21"/>
        </w:rPr>
      </w:pPr>
    </w:p>
    <w:p>
      <w:pPr>
        <w:pStyle w:val="Heading3"/>
        <w:spacing w:line="240" w:lineRule="auto"/>
        <w:ind w:right="0"/>
        <w:jc w:val="left"/>
        <w:rPr>
          <w:b w:val="0"/>
          <w:bCs w:val="0"/>
        </w:rPr>
      </w:pPr>
      <w:r>
        <w:rPr>
          <w:spacing w:val="-1"/>
        </w:rPr>
        <w:t>北京北信源软件股份有限公司全体股东：</w:t>
      </w:r>
      <w:r>
        <w:rPr>
          <w:b w:val="0"/>
          <w:bCs w:val="0"/>
          <w:spacing w:val="-1"/>
        </w:rPr>
      </w:r>
    </w:p>
    <w:p>
      <w:pPr>
        <w:pStyle w:val="BodyText"/>
        <w:spacing w:line="240" w:lineRule="auto" w:before="49"/>
        <w:ind w:right="-20"/>
        <w:jc w:val="left"/>
      </w:pPr>
      <w:r>
        <w:rPr/>
        <w:br w:type="column"/>
      </w:r>
      <w:r>
        <w:rPr/>
        <w:t>审计报告正文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2"/>
          <w:szCs w:val="12"/>
        </w:rPr>
      </w:pPr>
    </w:p>
    <w:p>
      <w:pPr>
        <w:pStyle w:val="BodyText"/>
        <w:spacing w:line="240" w:lineRule="auto"/>
        <w:ind w:right="0"/>
        <w:jc w:val="left"/>
        <w:rPr>
          <w:rFonts w:ascii="Times New Roman" w:hAnsi="Times New Roman" w:cs="Times New Roman" w:eastAsia="Times New Roman" w:hint="default"/>
        </w:rPr>
      </w:pPr>
      <w:r>
        <w:rPr/>
        <w:t>瑞华审字【</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01660124</w:t>
      </w:r>
    </w:p>
    <w:p>
      <w:pPr>
        <w:spacing w:after="0" w:line="240" w:lineRule="auto"/>
        <w:jc w:val="left"/>
        <w:rPr>
          <w:rFonts w:ascii="Times New Roman" w:hAnsi="Times New Roman" w:cs="Times New Roman" w:eastAsia="Times New Roman" w:hint="default"/>
        </w:rPr>
        <w:sectPr>
          <w:type w:val="continuous"/>
          <w:pgSz w:w="11910" w:h="16840"/>
          <w:pgMar w:top="1060" w:bottom="1320" w:left="980" w:right="940"/>
          <w:cols w:num="3" w:equalWidth="0">
            <w:col w:w="3951" w:space="330"/>
            <w:col w:w="1233" w:space="389"/>
            <w:col w:w="4087"/>
          </w:cols>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6"/>
          <w:szCs w:val="16"/>
        </w:rPr>
      </w:pPr>
    </w:p>
    <w:p>
      <w:pPr>
        <w:pStyle w:val="BodyText"/>
        <w:spacing w:line="312" w:lineRule="exact" w:before="5"/>
        <w:ind w:left="513" w:right="94"/>
        <w:jc w:val="left"/>
      </w:pPr>
      <w:r>
        <w:rPr>
          <w:rFonts w:ascii="Microsoft JhengHei" w:hAnsi="Microsoft JhengHei" w:cs="Microsoft JhengHei" w:eastAsia="Microsoft JhengHei" w:hint="default"/>
          <w:b/>
          <w:bCs/>
        </w:rPr>
        <w:t>一、审计意见</w:t>
      </w:r>
      <w:r>
        <w:rPr>
          <w:rFonts w:ascii="Microsoft JhengHei" w:hAnsi="Microsoft JhengHei" w:cs="Microsoft JhengHei" w:eastAsia="Microsoft JhengHei" w:hint="default"/>
          <w:b/>
          <w:bCs/>
          <w:spacing w:val="-41"/>
        </w:rPr>
        <w:t> </w:t>
      </w:r>
      <w:r>
        <w:rPr>
          <w:rFonts w:ascii="Microsoft JhengHei" w:hAnsi="Microsoft JhengHei" w:cs="Microsoft JhengHei" w:eastAsia="Microsoft JhengHei" w:hint="default"/>
          <w:b/>
          <w:bCs/>
          <w:spacing w:val="-41"/>
        </w:rPr>
      </w:r>
      <w:r>
        <w:rPr>
          <w:spacing w:val="-2"/>
        </w:rPr>
        <w:t>我们审计了北京北信源软件股份有限公司（以下简称</w:t>
      </w:r>
      <w:r>
        <w:rPr>
          <w:rFonts w:ascii="Times New Roman" w:hAnsi="Times New Roman" w:cs="Times New Roman" w:eastAsia="Times New Roman" w:hint="default"/>
          <w:spacing w:val="-2"/>
        </w:rPr>
        <w:t>“</w:t>
      </w:r>
      <w:r>
        <w:rPr>
          <w:spacing w:val="-2"/>
        </w:rPr>
        <w:t>北信源公司</w:t>
      </w:r>
      <w:r>
        <w:rPr>
          <w:rFonts w:ascii="Times New Roman" w:hAnsi="Times New Roman" w:cs="Times New Roman" w:eastAsia="Times New Roman" w:hint="default"/>
          <w:spacing w:val="-2"/>
        </w:rPr>
        <w:t>”</w:t>
      </w:r>
      <w:r>
        <w:rPr>
          <w:spacing w:val="-2"/>
        </w:rPr>
        <w:t>）财务报表，包括</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日的合并及公司资产</w:t>
      </w:r>
    </w:p>
    <w:p>
      <w:pPr>
        <w:pStyle w:val="BodyText"/>
        <w:spacing w:line="300" w:lineRule="auto" w:before="39"/>
        <w:ind w:left="513" w:right="94" w:hanging="361"/>
        <w:jc w:val="left"/>
      </w:pPr>
      <w:r>
        <w:rPr/>
        <w:t>负债表，</w:t>
      </w:r>
      <w:r>
        <w:rPr>
          <w:rFonts w:ascii="Times New Roman" w:hAnsi="Times New Roman" w:cs="Times New Roman" w:eastAsia="Times New Roman" w:hint="default"/>
        </w:rPr>
        <w:t>2017</w:t>
      </w:r>
      <w:r>
        <w:rPr/>
        <w:t>年度的合并及公司利润表、合并及公司现金流量表、合并及公司股东权益变动表以及相关财务报表附注。 </w:t>
      </w:r>
      <w:r>
        <w:rPr>
          <w:spacing w:val="-2"/>
        </w:rPr>
        <w:t>我们认为，后附的财务报表在所有重大方面按照企业会计准则的规定编制，公允反映了北信源公司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日合并</w:t>
      </w:r>
    </w:p>
    <w:p>
      <w:pPr>
        <w:pStyle w:val="BodyText"/>
        <w:spacing w:line="240" w:lineRule="auto" w:before="13"/>
        <w:ind w:right="94"/>
        <w:jc w:val="left"/>
      </w:pPr>
      <w:r>
        <w:rPr/>
        <w:t>及公司的财务状况以及</w:t>
      </w:r>
      <w:r>
        <w:rPr>
          <w:rFonts w:ascii="Times New Roman" w:hAnsi="Times New Roman" w:cs="Times New Roman" w:eastAsia="Times New Roman" w:hint="default"/>
        </w:rPr>
        <w:t>2017</w:t>
      </w:r>
      <w:r>
        <w:rPr/>
        <w:t>年度合并及公司的经营成果和现金流量。</w:t>
      </w:r>
    </w:p>
    <w:p>
      <w:pPr>
        <w:spacing w:line="240" w:lineRule="auto" w:before="3"/>
        <w:rPr>
          <w:rFonts w:ascii="宋体" w:hAnsi="宋体" w:cs="宋体" w:eastAsia="宋体" w:hint="default"/>
          <w:sz w:val="24"/>
          <w:szCs w:val="24"/>
        </w:rPr>
      </w:pPr>
    </w:p>
    <w:p>
      <w:pPr>
        <w:pStyle w:val="BodyText"/>
        <w:spacing w:line="283" w:lineRule="auto"/>
        <w:ind w:left="513" w:right="94"/>
        <w:jc w:val="left"/>
      </w:pPr>
      <w:r>
        <w:rPr>
          <w:rFonts w:ascii="Microsoft JhengHei" w:hAnsi="Microsoft JhengHei" w:cs="Microsoft JhengHei" w:eastAsia="Microsoft JhengHei" w:hint="default"/>
          <w:b/>
          <w:bCs/>
        </w:rPr>
        <w:t>二、形成审计意见的基础</w:t>
      </w:r>
      <w:r>
        <w:rPr>
          <w:rFonts w:ascii="Microsoft JhengHei" w:hAnsi="Microsoft JhengHei" w:cs="Microsoft JhengHei" w:eastAsia="Microsoft JhengHei" w:hint="default"/>
          <w:b/>
          <w:bCs/>
          <w:spacing w:val="-40"/>
        </w:rPr>
        <w:t> </w:t>
      </w:r>
      <w:r>
        <w:rPr>
          <w:rFonts w:ascii="Microsoft JhengHei" w:hAnsi="Microsoft JhengHei" w:cs="Microsoft JhengHei" w:eastAsia="Microsoft JhengHei" w:hint="default"/>
          <w:b/>
          <w:bCs/>
          <w:spacing w:val="-40"/>
        </w:rPr>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316" w:lineRule="auto" w:before="27"/>
        <w:ind w:right="94"/>
        <w:jc w:val="left"/>
      </w:pPr>
      <w:r>
        <w:rPr>
          <w:spacing w:val="-2"/>
        </w:rPr>
        <w:t>阐述了我们在这些准则下的责任。按照中国注册会计师职业道德守则，我们独立于北信源公司，并履行了职业道德方面的其</w:t>
      </w:r>
      <w:r>
        <w:rPr>
          <w:spacing w:val="-63"/>
        </w:rPr>
        <w:t> </w:t>
      </w:r>
      <w:r>
        <w:rPr>
          <w:spacing w:val="-63"/>
        </w:rPr>
      </w:r>
      <w:r>
        <w:rPr/>
        <w:t>他责任。我们相信，我们获取的审计证据是充分、适当的，为发表审计意见提供了基础。</w:t>
      </w:r>
    </w:p>
    <w:p>
      <w:pPr>
        <w:spacing w:line="240" w:lineRule="auto" w:before="12"/>
        <w:rPr>
          <w:rFonts w:ascii="宋体" w:hAnsi="宋体" w:cs="宋体" w:eastAsia="宋体" w:hint="default"/>
          <w:sz w:val="20"/>
          <w:szCs w:val="20"/>
        </w:rPr>
      </w:pPr>
    </w:p>
    <w:p>
      <w:pPr>
        <w:pStyle w:val="BodyText"/>
        <w:spacing w:line="283" w:lineRule="auto"/>
        <w:ind w:left="513" w:right="94"/>
        <w:jc w:val="left"/>
      </w:pPr>
      <w:r>
        <w:rPr>
          <w:rFonts w:ascii="Microsoft JhengHei" w:hAnsi="Microsoft JhengHei" w:cs="Microsoft JhengHei" w:eastAsia="Microsoft JhengHei" w:hint="default"/>
          <w:b/>
          <w:bCs/>
        </w:rPr>
        <w:t>三、关键审计事项</w:t>
      </w:r>
      <w:r>
        <w:rPr>
          <w:rFonts w:ascii="Microsoft JhengHei" w:hAnsi="Microsoft JhengHei" w:cs="Microsoft JhengHei" w:eastAsia="Microsoft JhengHei" w:hint="default"/>
          <w:b/>
          <w:bCs/>
          <w:spacing w:val="-41"/>
        </w:rPr>
        <w:t> </w:t>
      </w:r>
      <w:r>
        <w:rPr>
          <w:rFonts w:ascii="Microsoft JhengHei" w:hAnsi="Microsoft JhengHei" w:cs="Microsoft JhengHei" w:eastAsia="Microsoft JhengHei" w:hint="default"/>
          <w:b/>
          <w:bCs/>
          <w:spacing w:val="-41"/>
        </w:rPr>
      </w:r>
      <w:r>
        <w:rPr>
          <w:spacing w:val="-2"/>
        </w:rPr>
        <w:t>关键审计事项是我们根据职业判断，认为对本期财务报表审计最为重要的事项。这些事项的应对以对财务报表整体进行</w:t>
      </w:r>
    </w:p>
    <w:p>
      <w:pPr>
        <w:pStyle w:val="BodyText"/>
        <w:spacing w:line="240" w:lineRule="auto" w:before="44"/>
        <w:ind w:right="0"/>
        <w:jc w:val="left"/>
      </w:pPr>
      <w:r>
        <w:rPr/>
        <w:t>审计并形成审计意见为背景</w:t>
      </w:r>
      <w:r>
        <w:rPr>
          <w:spacing w:val="-87"/>
        </w:rPr>
        <w:t>，</w:t>
      </w:r>
      <w:r>
        <w:rPr/>
        <w:t>我们不对这些事项单独发表意见</w:t>
      </w:r>
      <w:r>
        <w:rPr>
          <w:spacing w:val="-87"/>
        </w:rPr>
        <w:t>。</w:t>
      </w:r>
      <w:r>
        <w:rPr/>
        <w:t>我们确定下列事项是需要在审计报告中沟通的关键审计事项。</w:t>
      </w:r>
    </w:p>
    <w:p>
      <w:pPr>
        <w:pStyle w:val="BodyText"/>
        <w:spacing w:line="240" w:lineRule="auto" w:before="77"/>
        <w:ind w:left="604" w:right="94"/>
        <w:jc w:val="left"/>
      </w:pPr>
      <w:r>
        <w:rPr/>
        <w:t>（一）收入的确认</w:t>
      </w:r>
    </w:p>
    <w:p>
      <w:pPr>
        <w:pStyle w:val="BodyText"/>
        <w:spacing w:line="300" w:lineRule="auto" w:before="76"/>
        <w:ind w:left="604" w:right="94"/>
        <w:jc w:val="left"/>
      </w:pPr>
      <w:r>
        <w:rPr>
          <w:rFonts w:ascii="Times New Roman" w:hAnsi="Times New Roman" w:cs="Times New Roman" w:eastAsia="Times New Roman" w:hint="default"/>
        </w:rPr>
        <w:t>1</w:t>
      </w:r>
      <w:r>
        <w:rPr/>
        <w:t>、事项描述 </w:t>
      </w:r>
      <w:r>
        <w:rPr>
          <w:spacing w:val="-1"/>
        </w:rPr>
        <w:t>如财务报表附注四、</w:t>
      </w:r>
      <w:r>
        <w:rPr>
          <w:rFonts w:ascii="Times New Roman" w:hAnsi="Times New Roman" w:cs="Times New Roman" w:eastAsia="Times New Roman" w:hint="default"/>
          <w:spacing w:val="-1"/>
        </w:rPr>
        <w:t>24</w:t>
      </w:r>
      <w:r>
        <w:rPr>
          <w:spacing w:val="-1"/>
        </w:rPr>
        <w:t>及附注六、</w:t>
      </w:r>
      <w:r>
        <w:rPr>
          <w:rFonts w:ascii="Times New Roman" w:hAnsi="Times New Roman" w:cs="Times New Roman" w:eastAsia="Times New Roman" w:hint="default"/>
          <w:spacing w:val="-1"/>
        </w:rPr>
        <w:t>33</w:t>
      </w:r>
      <w:r>
        <w:rPr>
          <w:spacing w:val="-1"/>
        </w:rPr>
        <w:t>所述，</w:t>
      </w:r>
      <w:r>
        <w:rPr>
          <w:rFonts w:ascii="Times New Roman" w:hAnsi="Times New Roman" w:cs="Times New Roman" w:eastAsia="Times New Roman" w:hint="default"/>
          <w:spacing w:val="-1"/>
        </w:rPr>
        <w:t>2017</w:t>
      </w:r>
      <w:r>
        <w:rPr>
          <w:spacing w:val="-1"/>
        </w:rPr>
        <w:t>年度北信源营业收入</w:t>
      </w:r>
      <w:r>
        <w:rPr>
          <w:rFonts w:ascii="Times New Roman" w:hAnsi="Times New Roman" w:cs="Times New Roman" w:eastAsia="Times New Roman" w:hint="default"/>
          <w:spacing w:val="-1"/>
        </w:rPr>
        <w:t>514,852,610.92</w:t>
      </w:r>
      <w:r>
        <w:rPr>
          <w:spacing w:val="-1"/>
        </w:rPr>
        <w:t>元。由于收入是公司的关键业绩指</w:t>
      </w:r>
    </w:p>
    <w:p>
      <w:pPr>
        <w:pStyle w:val="BodyText"/>
        <w:spacing w:line="240" w:lineRule="auto" w:before="13"/>
        <w:ind w:right="94"/>
        <w:jc w:val="left"/>
      </w:pPr>
      <w:r>
        <w:rPr/>
        <w:t>标之一，且业务发生频率较高，固有风险较大，因此我们将北信源的收入确认识别为关键审计事项。</w:t>
      </w:r>
    </w:p>
    <w:p>
      <w:pPr>
        <w:pStyle w:val="BodyText"/>
        <w:spacing w:line="300" w:lineRule="auto" w:before="76"/>
        <w:ind w:left="513" w:right="6933" w:firstLine="91"/>
        <w:jc w:val="left"/>
      </w:pPr>
      <w:r>
        <w:rPr>
          <w:rFonts w:ascii="Times New Roman" w:hAnsi="Times New Roman" w:cs="Times New Roman" w:eastAsia="Times New Roman" w:hint="default"/>
        </w:rPr>
        <w:t>2</w:t>
      </w:r>
      <w:r>
        <w:rPr/>
        <w:t>、审计应对 我们的审计程序包括但不限于：</w:t>
      </w:r>
    </w:p>
    <w:p>
      <w:pPr>
        <w:pStyle w:val="BodyText"/>
        <w:spacing w:line="300" w:lineRule="auto" w:before="31"/>
        <w:ind w:right="184" w:firstLine="360"/>
        <w:jc w:val="left"/>
      </w:pPr>
      <w:r>
        <w:rPr/>
        <w:t>（</w:t>
      </w:r>
      <w:r>
        <w:rPr>
          <w:rFonts w:ascii="Times New Roman" w:hAnsi="Times New Roman" w:cs="Times New Roman" w:eastAsia="Times New Roman" w:hint="default"/>
        </w:rPr>
        <w:t>1</w:t>
      </w:r>
      <w:r>
        <w:rPr/>
        <w:t>）了解和评价与收入确认相关内部控制制度的设计、执行情况，测试评价相关内部控制制度设计的合理性及执行的 有效性；</w:t>
      </w:r>
    </w:p>
    <w:p>
      <w:pPr>
        <w:pStyle w:val="BodyText"/>
        <w:spacing w:line="300" w:lineRule="auto" w:before="31"/>
        <w:ind w:right="184" w:firstLine="360"/>
        <w:jc w:val="left"/>
      </w:pPr>
      <w:r>
        <w:rPr/>
        <w:t>（</w:t>
      </w:r>
      <w:r>
        <w:rPr>
          <w:rFonts w:ascii="Times New Roman" w:hAnsi="Times New Roman" w:cs="Times New Roman" w:eastAsia="Times New Roman" w:hint="default"/>
        </w:rPr>
        <w:t>2</w:t>
      </w:r>
      <w:r>
        <w:rPr/>
        <w:t>）执行分析性程序，分析营业收入及成本的变动是否合理，计算本期主要产品的毛利率，与上期比较是否存在重大 波动，毛利率变动是否符合行业趋势；</w:t>
      </w:r>
    </w:p>
    <w:p>
      <w:pPr>
        <w:pStyle w:val="BodyText"/>
        <w:spacing w:line="300" w:lineRule="auto" w:before="32"/>
        <w:ind w:right="94" w:firstLine="360"/>
        <w:jc w:val="left"/>
      </w:pPr>
      <w:r>
        <w:rPr>
          <w:spacing w:val="-2"/>
        </w:rPr>
        <w:t>（</w:t>
      </w:r>
      <w:r>
        <w:rPr>
          <w:rFonts w:ascii="Times New Roman" w:hAnsi="Times New Roman" w:cs="Times New Roman" w:eastAsia="Times New Roman" w:hint="default"/>
          <w:spacing w:val="-2"/>
        </w:rPr>
        <w:t>3</w:t>
      </w:r>
      <w:r>
        <w:rPr>
          <w:spacing w:val="-2"/>
        </w:rPr>
        <w:t>）选取样本抽查主营业务的合同，结合合同约定的主要条款（合同金额、验收条款、付款条件等）检查项目验收单、</w:t>
      </w:r>
      <w:r>
        <w:rPr/>
        <w:t> 账面记录、银行回款等，以检查收入确认是否符合企业会计准则及企业会计政策的规定；</w:t>
      </w:r>
    </w:p>
    <w:p>
      <w:pPr>
        <w:pStyle w:val="BodyText"/>
        <w:spacing w:line="240" w:lineRule="auto" w:before="31"/>
        <w:ind w:left="513" w:right="94"/>
        <w:jc w:val="left"/>
      </w:pPr>
      <w:r>
        <w:rPr/>
        <w:t>（</w:t>
      </w:r>
      <w:r>
        <w:rPr>
          <w:rFonts w:ascii="Times New Roman" w:hAnsi="Times New Roman" w:cs="Times New Roman" w:eastAsia="Times New Roman" w:hint="default"/>
        </w:rPr>
        <w:t>4</w:t>
      </w:r>
      <w:r>
        <w:rPr/>
        <w:t>）选取样本实施函证程序，包括询证项目的合同金额、回款金额以及项目验收金额等信息，以判断收入确认的真实</w:t>
      </w:r>
    </w:p>
    <w:p>
      <w:pPr>
        <w:spacing w:after="0" w:line="240" w:lineRule="auto"/>
        <w:jc w:val="left"/>
        <w:sectPr>
          <w:type w:val="continuous"/>
          <w:pgSz w:w="11910" w:h="16840"/>
          <w:pgMar w:top="1060" w:bottom="132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94"/>
        <w:jc w:val="left"/>
      </w:pPr>
      <w:r>
        <w:rPr/>
        <w:t>性及准确性；</w:t>
      </w:r>
    </w:p>
    <w:p>
      <w:pPr>
        <w:pStyle w:val="BodyText"/>
        <w:spacing w:line="240" w:lineRule="auto" w:before="76"/>
        <w:ind w:left="513" w:right="94"/>
        <w:jc w:val="left"/>
      </w:pPr>
      <w:r>
        <w:rPr/>
        <w:t>（</w:t>
      </w:r>
      <w:r>
        <w:rPr>
          <w:rFonts w:ascii="Times New Roman" w:hAnsi="Times New Roman" w:cs="Times New Roman" w:eastAsia="Times New Roman" w:hint="default"/>
        </w:rPr>
        <w:t>5</w:t>
      </w:r>
      <w:r>
        <w:rPr/>
        <w:t>）对营业收入执行截止性测试，抽取资产负债表日前后记录的交易，检查收入的确认是否归属于正确的会计期间。</w:t>
      </w:r>
    </w:p>
    <w:p>
      <w:pPr>
        <w:pStyle w:val="BodyText"/>
        <w:spacing w:line="240" w:lineRule="auto" w:before="63"/>
        <w:ind w:left="513" w:right="94"/>
        <w:jc w:val="left"/>
      </w:pPr>
      <w:r>
        <w:rPr/>
        <w:t>（</w:t>
      </w:r>
      <w:r>
        <w:rPr>
          <w:rFonts w:ascii="Times New Roman" w:hAnsi="Times New Roman" w:cs="Times New Roman" w:eastAsia="Times New Roman" w:hint="default"/>
        </w:rPr>
        <w:t>6</w:t>
      </w:r>
      <w:r>
        <w:rPr/>
        <w:t>）选取重要项目实施实地走访程序，验证项目的完工状态，以确认收入确认的真实性及记录期间的适当性。</w:t>
      </w:r>
    </w:p>
    <w:p>
      <w:pPr>
        <w:spacing w:line="240" w:lineRule="auto" w:before="0"/>
        <w:rPr>
          <w:rFonts w:ascii="宋体" w:hAnsi="宋体" w:cs="宋体" w:eastAsia="宋体" w:hint="default"/>
          <w:sz w:val="18"/>
          <w:szCs w:val="18"/>
        </w:rPr>
      </w:pPr>
    </w:p>
    <w:p>
      <w:pPr>
        <w:pStyle w:val="BodyText"/>
        <w:spacing w:line="240" w:lineRule="auto" w:before="139"/>
        <w:ind w:left="513" w:right="94"/>
        <w:jc w:val="left"/>
      </w:pPr>
      <w:r>
        <w:rPr/>
        <w:t>（二）应收账款的坏账准备</w:t>
      </w:r>
    </w:p>
    <w:p>
      <w:pPr>
        <w:pStyle w:val="BodyText"/>
        <w:spacing w:line="240" w:lineRule="auto" w:before="76"/>
        <w:ind w:left="513" w:right="94"/>
        <w:jc w:val="left"/>
      </w:pPr>
      <w:r>
        <w:rPr>
          <w:rFonts w:ascii="Times New Roman" w:hAnsi="Times New Roman" w:cs="Times New Roman" w:eastAsia="Times New Roman" w:hint="default"/>
        </w:rPr>
        <w:t>1</w:t>
      </w:r>
      <w:r>
        <w:rPr/>
        <w:t>、事项描述</w:t>
      </w:r>
    </w:p>
    <w:p>
      <w:pPr>
        <w:pStyle w:val="BodyText"/>
        <w:spacing w:line="240" w:lineRule="auto" w:before="63"/>
        <w:ind w:left="513" w:right="94"/>
        <w:jc w:val="left"/>
      </w:pPr>
      <w:r>
        <w:rPr>
          <w:spacing w:val="8"/>
        </w:rPr>
        <w:t>截至</w:t>
      </w:r>
      <w:r>
        <w:rPr>
          <w:rFonts w:ascii="Times New Roman" w:hAnsi="Times New Roman" w:cs="Times New Roman" w:eastAsia="Times New Roman" w:hint="default"/>
          <w:spacing w:val="8"/>
        </w:rPr>
        <w:t>2017</w:t>
      </w:r>
      <w:r>
        <w:rPr>
          <w:spacing w:val="8"/>
        </w:rPr>
        <w:t>年</w:t>
      </w:r>
      <w:r>
        <w:rPr>
          <w:rFonts w:ascii="Times New Roman" w:hAnsi="Times New Roman" w:cs="Times New Roman" w:eastAsia="Times New Roman" w:hint="default"/>
          <w:spacing w:val="8"/>
        </w:rPr>
        <w:t>12</w:t>
      </w:r>
      <w:r>
        <w:rPr>
          <w:spacing w:val="8"/>
        </w:rPr>
        <w:t>月</w:t>
      </w:r>
      <w:r>
        <w:rPr>
          <w:rFonts w:ascii="Times New Roman" w:hAnsi="Times New Roman" w:cs="Times New Roman" w:eastAsia="Times New Roman" w:hint="default"/>
          <w:spacing w:val="8"/>
        </w:rPr>
        <w:t>31</w:t>
      </w:r>
      <w:r>
        <w:rPr>
          <w:spacing w:val="8"/>
        </w:rPr>
        <w:t>日，如财务报表附注四、</w:t>
      </w:r>
      <w:r>
        <w:rPr>
          <w:rFonts w:ascii="Times New Roman" w:hAnsi="Times New Roman" w:cs="Times New Roman" w:eastAsia="Times New Roman" w:hint="default"/>
          <w:spacing w:val="8"/>
        </w:rPr>
        <w:t>10</w:t>
      </w:r>
      <w:r>
        <w:rPr>
          <w:spacing w:val="8"/>
        </w:rPr>
        <w:t>及附注六、</w:t>
      </w:r>
      <w:r>
        <w:rPr>
          <w:rFonts w:ascii="Times New Roman" w:hAnsi="Times New Roman" w:cs="Times New Roman" w:eastAsia="Times New Roman" w:hint="default"/>
          <w:spacing w:val="8"/>
        </w:rPr>
        <w:t>3</w:t>
      </w:r>
      <w:r>
        <w:rPr>
          <w:spacing w:val="8"/>
        </w:rPr>
        <w:t>所述，应收账款账面余额</w:t>
      </w:r>
      <w:r>
        <w:rPr>
          <w:rFonts w:ascii="Times New Roman" w:hAnsi="Times New Roman" w:cs="Times New Roman" w:eastAsia="Times New Roman" w:hint="default"/>
          <w:spacing w:val="8"/>
        </w:rPr>
        <w:t>892,584,826.24</w:t>
      </w:r>
      <w:r>
        <w:rPr>
          <w:spacing w:val="8"/>
        </w:rPr>
        <w:t>元，坏账准备</w:t>
      </w:r>
      <w:r>
        <w:rPr/>
      </w:r>
    </w:p>
    <w:p>
      <w:pPr>
        <w:pStyle w:val="BodyText"/>
        <w:spacing w:line="240" w:lineRule="auto" w:before="63"/>
        <w:ind w:right="94"/>
        <w:jc w:val="left"/>
      </w:pPr>
      <w:r>
        <w:rPr>
          <w:rFonts w:ascii="Times New Roman" w:hAnsi="Times New Roman" w:cs="Times New Roman" w:eastAsia="Times New Roman" w:hint="default"/>
          <w:spacing w:val="3"/>
        </w:rPr>
        <w:t>159,718,257.80</w:t>
      </w:r>
      <w:r>
        <w:rPr>
          <w:spacing w:val="3"/>
        </w:rPr>
        <w:t>元，账面价值</w:t>
      </w:r>
      <w:r>
        <w:rPr>
          <w:rFonts w:ascii="Times New Roman" w:hAnsi="Times New Roman" w:cs="Times New Roman" w:eastAsia="Times New Roman" w:hint="default"/>
          <w:spacing w:val="3"/>
        </w:rPr>
        <w:t>732,866,568.44</w:t>
      </w:r>
      <w:r>
        <w:rPr>
          <w:spacing w:val="3"/>
        </w:rPr>
        <w:t>元，占资产总额的比例为</w:t>
      </w:r>
      <w:r>
        <w:rPr>
          <w:rFonts w:ascii="Times New Roman" w:hAnsi="Times New Roman" w:cs="Times New Roman" w:eastAsia="Times New Roman" w:hint="default"/>
          <w:spacing w:val="3"/>
        </w:rPr>
        <w:t>29.38%</w:t>
      </w:r>
      <w:r>
        <w:rPr>
          <w:spacing w:val="3"/>
        </w:rPr>
        <w:t>，应收账款余额较上期</w:t>
      </w:r>
      <w:r>
        <w:rPr>
          <w:rFonts w:ascii="Times New Roman" w:hAnsi="Times New Roman" w:cs="Times New Roman" w:eastAsia="Times New Roman" w:hint="default"/>
          <w:spacing w:val="3"/>
        </w:rPr>
        <w:t>677,837,100.39</w:t>
      </w:r>
      <w:r>
        <w:rPr>
          <w:spacing w:val="3"/>
        </w:rPr>
        <w:t>元增长</w:t>
      </w:r>
    </w:p>
    <w:p>
      <w:pPr>
        <w:pStyle w:val="BodyText"/>
        <w:spacing w:line="300" w:lineRule="auto" w:before="63"/>
        <w:ind w:right="200"/>
        <w:jc w:val="both"/>
      </w:pPr>
      <w:r>
        <w:rPr>
          <w:rFonts w:ascii="Times New Roman" w:hAnsi="Times New Roman" w:cs="Times New Roman" w:eastAsia="Times New Roman" w:hint="default"/>
        </w:rPr>
        <w:t>31.68%</w:t>
      </w:r>
      <w:r>
        <w:rPr/>
        <w:t>。应收账款金额较大，增长较快，若不能按期收回或无法收回而发生坏账对财务报表影响较为重大，该事项对于我</w:t>
      </w:r>
      <w:r>
        <w:rPr>
          <w:spacing w:val="-21"/>
        </w:rPr>
        <w:t> </w:t>
      </w:r>
      <w:r>
        <w:rPr>
          <w:spacing w:val="-21"/>
        </w:rPr>
      </w:r>
      <w:r>
        <w:rPr/>
        <w:t>们的审计而言是重要的。</w:t>
      </w:r>
    </w:p>
    <w:p>
      <w:pPr>
        <w:pStyle w:val="BodyText"/>
        <w:spacing w:line="300" w:lineRule="auto" w:before="31"/>
        <w:ind w:left="513" w:right="6933"/>
        <w:jc w:val="left"/>
      </w:pPr>
      <w:r>
        <w:rPr>
          <w:rFonts w:ascii="Times New Roman" w:hAnsi="Times New Roman" w:cs="Times New Roman" w:eastAsia="Times New Roman" w:hint="default"/>
        </w:rPr>
        <w:t>2</w:t>
      </w:r>
      <w:r>
        <w:rPr/>
        <w:t>、审计应对 我们的审计程序包括但不限于：</w:t>
      </w:r>
    </w:p>
    <w:p>
      <w:pPr>
        <w:pStyle w:val="BodyText"/>
        <w:spacing w:line="240" w:lineRule="auto" w:before="31"/>
        <w:ind w:left="513" w:right="94"/>
        <w:jc w:val="left"/>
      </w:pPr>
      <w:r>
        <w:rPr/>
        <w:t>（</w:t>
      </w:r>
      <w:r>
        <w:rPr>
          <w:rFonts w:ascii="Times New Roman" w:hAnsi="Times New Roman" w:cs="Times New Roman" w:eastAsia="Times New Roman" w:hint="default"/>
        </w:rPr>
        <w:t>1</w:t>
      </w:r>
      <w:r>
        <w:rPr/>
        <w:t>）了解评价相关内部控制制度的设计、执行，并测试评价相关内部控制制度的执行及有效性；</w:t>
      </w:r>
    </w:p>
    <w:p>
      <w:pPr>
        <w:pStyle w:val="BodyText"/>
        <w:spacing w:line="240" w:lineRule="auto" w:before="63"/>
        <w:ind w:left="513" w:right="94"/>
        <w:jc w:val="left"/>
      </w:pPr>
      <w:r>
        <w:rPr/>
        <w:t>（</w:t>
      </w:r>
      <w:r>
        <w:rPr>
          <w:rFonts w:ascii="Times New Roman" w:hAnsi="Times New Roman" w:cs="Times New Roman" w:eastAsia="Times New Roman" w:hint="default"/>
        </w:rPr>
        <w:t>2</w:t>
      </w:r>
      <w:r>
        <w:rPr/>
        <w:t>）执行分析性程序，计算应收账款周转率、周转天数等指标，并与以前年度指标比较，检查是否存在重大异常；</w:t>
      </w:r>
    </w:p>
    <w:p>
      <w:pPr>
        <w:pStyle w:val="BodyText"/>
        <w:spacing w:line="240" w:lineRule="auto" w:before="63"/>
        <w:ind w:left="513" w:right="0"/>
        <w:jc w:val="left"/>
      </w:pPr>
      <w:r>
        <w:rPr>
          <w:spacing w:val="-2"/>
        </w:rPr>
        <w:t>（</w:t>
      </w:r>
      <w:r>
        <w:rPr>
          <w:rFonts w:ascii="Times New Roman" w:hAnsi="Times New Roman" w:cs="Times New Roman" w:eastAsia="Times New Roman" w:hint="default"/>
          <w:spacing w:val="-2"/>
        </w:rPr>
        <w:t>3</w:t>
      </w:r>
      <w:r>
        <w:rPr>
          <w:spacing w:val="-2"/>
        </w:rPr>
        <w:t>）执行函证程序，根据公司业务特点，结合收入的审计，对项目的合同金额、回款金额、验收金额等信息进行函证；</w:t>
      </w:r>
    </w:p>
    <w:p>
      <w:pPr>
        <w:pStyle w:val="BodyText"/>
        <w:spacing w:line="300" w:lineRule="auto" w:before="63"/>
        <w:ind w:right="184" w:firstLine="360"/>
        <w:jc w:val="left"/>
      </w:pPr>
      <w:r>
        <w:rPr/>
        <w:t>（</w:t>
      </w:r>
      <w:r>
        <w:rPr>
          <w:rFonts w:ascii="Times New Roman" w:hAnsi="Times New Roman" w:cs="Times New Roman" w:eastAsia="Times New Roman" w:hint="default"/>
        </w:rPr>
        <w:t>4</w:t>
      </w:r>
      <w:r>
        <w:rPr/>
        <w:t>）复核应收账款账龄划分及坏账准备计提是否正确，检查坏账准备计提和核销的批准程序，重新计算坏账计提金额 是否准确。</w:t>
      </w:r>
    </w:p>
    <w:p>
      <w:pPr>
        <w:spacing w:line="240" w:lineRule="auto" w:before="11"/>
        <w:rPr>
          <w:rFonts w:ascii="宋体" w:hAnsi="宋体" w:cs="宋体" w:eastAsia="宋体" w:hint="default"/>
          <w:sz w:val="21"/>
          <w:szCs w:val="21"/>
        </w:rPr>
      </w:pPr>
    </w:p>
    <w:p>
      <w:pPr>
        <w:pStyle w:val="BodyText"/>
        <w:spacing w:line="283" w:lineRule="auto"/>
        <w:ind w:left="513" w:right="94"/>
        <w:jc w:val="left"/>
      </w:pPr>
      <w:r>
        <w:rPr>
          <w:rFonts w:ascii="Microsoft JhengHei" w:hAnsi="Microsoft JhengHei" w:cs="Microsoft JhengHei" w:eastAsia="Microsoft JhengHei" w:hint="default"/>
          <w:b/>
          <w:bCs/>
        </w:rPr>
        <w:t>四、其他信息</w:t>
      </w:r>
      <w:r>
        <w:rPr>
          <w:rFonts w:ascii="Microsoft JhengHei" w:hAnsi="Microsoft JhengHei" w:cs="Microsoft JhengHei" w:eastAsia="Microsoft JhengHei" w:hint="default"/>
          <w:b/>
          <w:bCs/>
          <w:spacing w:val="-41"/>
        </w:rPr>
        <w:t> </w:t>
      </w:r>
      <w:r>
        <w:rPr>
          <w:rFonts w:ascii="Microsoft JhengHei" w:hAnsi="Microsoft JhengHei" w:cs="Microsoft JhengHei" w:eastAsia="Microsoft JhengHei" w:hint="default"/>
          <w:b/>
          <w:bCs/>
          <w:spacing w:val="-41"/>
        </w:rPr>
      </w:r>
      <w:r>
        <w:rPr>
          <w:spacing w:val="-2"/>
        </w:rPr>
        <w:t>北信源公司管理层对其他信息负责。其他信息包括北信源</w:t>
      </w:r>
      <w:r>
        <w:rPr>
          <w:rFonts w:ascii="Times New Roman" w:hAnsi="Times New Roman" w:cs="Times New Roman" w:eastAsia="Times New Roman" w:hint="default"/>
          <w:spacing w:val="-2"/>
        </w:rPr>
        <w:t>2017</w:t>
      </w:r>
      <w:r>
        <w:rPr>
          <w:spacing w:val="-2"/>
        </w:rPr>
        <w:t>年年度报告中涵盖的信息，但不包括财务报表和我们的审</w:t>
      </w:r>
    </w:p>
    <w:p>
      <w:pPr>
        <w:pStyle w:val="BodyText"/>
        <w:spacing w:line="240" w:lineRule="auto" w:before="27"/>
        <w:ind w:right="94"/>
        <w:jc w:val="left"/>
      </w:pPr>
      <w:r>
        <w:rPr/>
        <w:t>计报告。</w:t>
      </w:r>
    </w:p>
    <w:p>
      <w:pPr>
        <w:pStyle w:val="BodyText"/>
        <w:spacing w:line="316" w:lineRule="auto" w:before="77"/>
        <w:ind w:left="513" w:right="94"/>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19"/>
        <w:ind w:left="513" w:right="94" w:hanging="361"/>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9"/>
        <w:ind w:right="94"/>
        <w:jc w:val="left"/>
      </w:pPr>
      <w:r>
        <w:rPr/>
        <w:t>报告。</w:t>
      </w:r>
    </w:p>
    <w:p>
      <w:pPr>
        <w:spacing w:line="240" w:lineRule="auto" w:before="4"/>
        <w:rPr>
          <w:rFonts w:ascii="宋体" w:hAnsi="宋体" w:cs="宋体" w:eastAsia="宋体" w:hint="default"/>
          <w:sz w:val="25"/>
          <w:szCs w:val="25"/>
        </w:rPr>
      </w:pPr>
    </w:p>
    <w:p>
      <w:pPr>
        <w:spacing w:line="283" w:lineRule="auto" w:before="0"/>
        <w:ind w:left="513" w:right="94" w:firstLine="0"/>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五、管理层和治理层对财务报表的责任</w:t>
      </w:r>
      <w:r>
        <w:rPr>
          <w:rFonts w:ascii="Microsoft JhengHei" w:hAnsi="Microsoft JhengHei" w:cs="Microsoft JhengHei" w:eastAsia="Microsoft JhengHei" w:hint="default"/>
          <w:b/>
          <w:bCs/>
          <w:spacing w:val="-36"/>
          <w:sz w:val="18"/>
          <w:szCs w:val="18"/>
        </w:rPr>
        <w:t> </w:t>
      </w:r>
      <w:r>
        <w:rPr>
          <w:rFonts w:ascii="Microsoft JhengHei" w:hAnsi="Microsoft JhengHei" w:cs="Microsoft JhengHei" w:eastAsia="Microsoft JhengHei" w:hint="default"/>
          <w:b/>
          <w:bCs/>
          <w:spacing w:val="-36"/>
          <w:sz w:val="18"/>
          <w:szCs w:val="18"/>
        </w:rPr>
      </w:r>
      <w:r>
        <w:rPr>
          <w:rFonts w:ascii="宋体" w:hAnsi="宋体" w:cs="宋体" w:eastAsia="宋体" w:hint="default"/>
          <w:spacing w:val="-2"/>
          <w:sz w:val="18"/>
          <w:szCs w:val="18"/>
        </w:rPr>
        <w:t>北信源公司管理层（以下简称管理层）负责按照企业会计准则的规定编制财务报表，使其实现公允反映，并设计、执行</w:t>
      </w:r>
    </w:p>
    <w:p>
      <w:pPr>
        <w:pStyle w:val="BodyText"/>
        <w:spacing w:line="316" w:lineRule="auto" w:before="44"/>
        <w:ind w:left="513" w:right="94" w:hanging="361"/>
        <w:jc w:val="left"/>
      </w:pPr>
      <w:r>
        <w:rPr/>
        <w:t>和维护必要的内部控制，以使财务报表不存在由于舞弊或错误导致的重大错报。 </w:t>
      </w:r>
      <w:r>
        <w:rPr>
          <w:spacing w:val="-2"/>
        </w:rPr>
        <w:t>在编制财务报表时，管理层负责评估北信源公司的持续经营能力，披露与持续经营相关的事项（如适用），并运用持续</w:t>
      </w:r>
    </w:p>
    <w:p>
      <w:pPr>
        <w:pStyle w:val="BodyText"/>
        <w:spacing w:line="319" w:lineRule="auto" w:before="19"/>
        <w:ind w:left="513" w:right="3514" w:hanging="361"/>
        <w:jc w:val="left"/>
      </w:pPr>
      <w:r>
        <w:rPr/>
        <w:t>经营假设，除非管理层计划清算北信源公司、终止运营或别无其他现实的选择。 治理层负责监督北信源公司的财务报告过程。</w:t>
      </w:r>
    </w:p>
    <w:p>
      <w:pPr>
        <w:spacing w:line="240" w:lineRule="auto" w:before="10"/>
        <w:rPr>
          <w:rFonts w:ascii="宋体" w:hAnsi="宋体" w:cs="宋体" w:eastAsia="宋体" w:hint="default"/>
          <w:sz w:val="20"/>
          <w:szCs w:val="20"/>
        </w:rPr>
      </w:pPr>
    </w:p>
    <w:p>
      <w:pPr>
        <w:spacing w:line="283" w:lineRule="auto" w:before="0"/>
        <w:ind w:left="496" w:right="94" w:firstLine="16"/>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六、注册会计师对财务报表审计的责任 </w:t>
      </w:r>
      <w:r>
        <w:rPr>
          <w:rFonts w:ascii="宋体" w:hAnsi="宋体" w:cs="宋体" w:eastAsia="宋体" w:hint="default"/>
          <w:spacing w:val="-2"/>
          <w:sz w:val="18"/>
          <w:szCs w:val="18"/>
        </w:rPr>
        <w:t>我们的目标是对财务报表整体是否不存在由于舞弊或错误导致的重大错报获取合理保证，并出具包含审计意见的审计报</w:t>
      </w:r>
    </w:p>
    <w:p>
      <w:pPr>
        <w:pStyle w:val="BodyText"/>
        <w:spacing w:line="316" w:lineRule="auto" w:before="44"/>
        <w:ind w:right="189"/>
        <w:jc w:val="both"/>
      </w:pPr>
      <w:r>
        <w:rPr>
          <w:spacing w:val="-2"/>
        </w:rPr>
        <w:t>告。合理保证是高水平的保证，但并不能保证按照审计准则执行的审计在某一重大错报存在时总能发现。错报可能由于舞弊</w:t>
      </w:r>
      <w:r>
        <w:rPr>
          <w:spacing w:val="-62"/>
        </w:rPr>
        <w:t> </w:t>
      </w:r>
      <w:r>
        <w:rPr>
          <w:spacing w:val="-62"/>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9"/>
        <w:ind w:left="513" w:right="94"/>
        <w:jc w:val="left"/>
      </w:pPr>
      <w:r>
        <w:rPr/>
        <w:t>在按照审计准则执行审计工作的过程中，我们运用职业判断，并保持职业怀疑。同时，我们也执行以下工作：</w:t>
      </w:r>
    </w:p>
    <w:p>
      <w:pPr>
        <w:pStyle w:val="BodyText"/>
        <w:spacing w:line="319" w:lineRule="auto" w:before="76"/>
        <w:ind w:right="111" w:firstLine="360"/>
        <w:jc w:val="both"/>
      </w:pPr>
      <w:r>
        <w:rPr/>
        <w:t>（一）识别和评估由于舞弊或错误导致的财务报表重大错报风险，设计和实施审计程序以应对这些风险，并获取充分、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7"/>
        <w:ind w:left="513" w:right="94"/>
        <w:jc w:val="left"/>
      </w:pPr>
      <w:r>
        <w:rPr/>
        <w:t>（二）了解与审计相关的内部控制，以设计恰当的审计程序，但目的并非对内部控制的有效性发表意见。</w:t>
      </w:r>
    </w:p>
    <w:p>
      <w:pPr>
        <w:spacing w:after="0" w:line="240" w:lineRule="auto"/>
        <w:jc w:val="left"/>
        <w:sectPr>
          <w:pgSz w:w="11910" w:h="16840"/>
          <w:pgMar w:header="745" w:footer="1133" w:top="1060" w:bottom="1320" w:left="980" w:right="940"/>
        </w:sectPr>
      </w:pPr>
    </w:p>
    <w:p>
      <w:pPr>
        <w:spacing w:line="240" w:lineRule="auto" w:before="10"/>
        <w:rPr>
          <w:rFonts w:ascii="宋体" w:hAnsi="宋体" w:cs="宋体" w:eastAsia="宋体" w:hint="default"/>
          <w:sz w:val="25"/>
          <w:szCs w:val="25"/>
        </w:rPr>
      </w:pPr>
    </w:p>
    <w:p>
      <w:pPr>
        <w:pStyle w:val="BodyText"/>
        <w:spacing w:line="240" w:lineRule="auto" w:before="44"/>
        <w:ind w:left="513" w:right="94"/>
        <w:jc w:val="left"/>
      </w:pPr>
      <w:r>
        <w:rPr/>
        <w:t>（三）评价管理层选用会计政策的恰当性和作出会计估计及相关披露的合理性。</w:t>
      </w:r>
    </w:p>
    <w:p>
      <w:pPr>
        <w:pStyle w:val="BodyText"/>
        <w:spacing w:line="316" w:lineRule="auto" w:before="76"/>
        <w:ind w:right="94" w:firstLine="360"/>
        <w:jc w:val="left"/>
      </w:pPr>
      <w:r>
        <w:rPr>
          <w:spacing w:val="-2"/>
        </w:rPr>
        <w:t>（四）对管理层使用持续经营假设的恰当性得出结论。同时，根据获取的审计证据，就可能导致对北信源公司持续经营</w:t>
      </w:r>
      <w:r>
        <w:rPr/>
        <w:t> 能力产生重大疑虑的事项或情况是否存在重大不确定性得出结论。如果我们得出结论认为存在重大不确定性，审计准 </w:t>
      </w:r>
      <w:r>
        <w:rPr>
          <w:spacing w:val="-2"/>
        </w:rPr>
        <w:t>则要求我们在审计报告中提请报表使用者注意财务报表中的相关披露；如果披露不充分，我们应当发表非无保留意见。我们</w:t>
      </w:r>
      <w:r>
        <w:rPr>
          <w:spacing w:val="-65"/>
        </w:rPr>
        <w:t> </w:t>
      </w:r>
      <w:r>
        <w:rPr>
          <w:spacing w:val="-65"/>
        </w:rPr>
      </w:r>
      <w:r>
        <w:rPr/>
        <w:t>的结论基于截至审计报告日可获得的</w:t>
      </w:r>
    </w:p>
    <w:p>
      <w:pPr>
        <w:pStyle w:val="BodyText"/>
        <w:spacing w:line="240" w:lineRule="auto" w:before="19"/>
        <w:ind w:right="94"/>
        <w:jc w:val="left"/>
      </w:pPr>
      <w:r>
        <w:rPr/>
        <w:t>信息。然而，未来的事项或情况可能导致北信源公司不能持续经营。</w:t>
      </w:r>
    </w:p>
    <w:p>
      <w:pPr>
        <w:pStyle w:val="BodyText"/>
        <w:spacing w:line="316" w:lineRule="auto" w:before="76"/>
        <w:ind w:right="3514" w:firstLine="360"/>
        <w:jc w:val="left"/>
      </w:pPr>
      <w:r>
        <w:rPr/>
        <w:t>（五）评价财务报表的总体列报、结构和内容（包括披露），并评价财务报 表是否公允反映相关交易和事项。</w:t>
      </w:r>
    </w:p>
    <w:p>
      <w:pPr>
        <w:pStyle w:val="BodyText"/>
        <w:spacing w:line="316" w:lineRule="auto" w:before="19"/>
        <w:ind w:right="94" w:firstLine="360"/>
        <w:jc w:val="left"/>
      </w:pPr>
      <w:r>
        <w:rPr>
          <w:spacing w:val="-4"/>
        </w:rPr>
        <w:t>（六）就北信源公司中实体或业务活动的财务信息获取充分、适当的审计证据，以对财务报表发表意见。我们负责指导、</w:t>
      </w:r>
      <w:r>
        <w:rPr/>
        <w:t> 监督和执行集团审计。我们对审计意见承担全部责任。</w:t>
      </w:r>
    </w:p>
    <w:p>
      <w:pPr>
        <w:pStyle w:val="BodyText"/>
        <w:spacing w:line="319" w:lineRule="auto" w:before="19"/>
        <w:ind w:right="94" w:firstLine="353"/>
        <w:jc w:val="left"/>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17"/>
        <w:ind w:right="94" w:firstLine="360"/>
        <w:jc w:val="left"/>
      </w:pPr>
      <w:r>
        <w:rPr>
          <w:spacing w:val="-2"/>
        </w:rPr>
        <w:t>我们还就已遵守与独立性相关的职业道德要求向治理层提供声明，并与治理层沟通可能被合理认为影响我们独立性的所</w:t>
      </w:r>
      <w:r>
        <w:rPr/>
        <w:t> 有关系和其他事项，以及相关的防范措施（如适用）。</w:t>
      </w:r>
    </w:p>
    <w:p>
      <w:pPr>
        <w:pStyle w:val="BodyText"/>
        <w:spacing w:line="316" w:lineRule="auto" w:before="19"/>
        <w:ind w:right="190"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781" w:type="dxa"/>
        <w:tblLayout w:type="fixed"/>
        <w:tblCellMar>
          <w:top w:w="0" w:type="dxa"/>
          <w:left w:w="0" w:type="dxa"/>
          <w:bottom w:w="0" w:type="dxa"/>
          <w:right w:w="0" w:type="dxa"/>
        </w:tblCellMar>
        <w:tblLook w:val="01E0"/>
      </w:tblPr>
      <w:tblGrid>
        <w:gridCol w:w="3499"/>
        <w:gridCol w:w="3341"/>
      </w:tblGrid>
      <w:tr>
        <w:trPr>
          <w:trHeight w:val="412" w:hRule="exact"/>
        </w:trPr>
        <w:tc>
          <w:tcPr>
            <w:tcW w:w="3499" w:type="dxa"/>
            <w:tcBorders>
              <w:top w:val="nil" w:sz="6" w:space="0" w:color="auto"/>
              <w:left w:val="nil" w:sz="6" w:space="0" w:color="auto"/>
              <w:bottom w:val="nil" w:sz="6" w:space="0" w:color="auto"/>
              <w:right w:val="nil" w:sz="6" w:space="0" w:color="auto"/>
            </w:tcBorders>
          </w:tcPr>
          <w:p>
            <w:pPr>
              <w:pStyle w:val="TableParagraph"/>
              <w:spacing w:line="180" w:lineRule="exact"/>
              <w:ind w:right="217"/>
              <w:jc w:val="center"/>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c>
          <w:tcPr>
            <w:tcW w:w="3341" w:type="dxa"/>
            <w:tcBorders>
              <w:top w:val="nil" w:sz="6" w:space="0" w:color="auto"/>
              <w:left w:val="nil" w:sz="6" w:space="0" w:color="auto"/>
              <w:bottom w:val="nil" w:sz="6" w:space="0" w:color="auto"/>
              <w:right w:val="nil" w:sz="6" w:space="0" w:color="auto"/>
            </w:tcBorders>
          </w:tcPr>
          <w:p>
            <w:pPr>
              <w:pStyle w:val="TableParagraph"/>
              <w:spacing w:line="180" w:lineRule="exact"/>
              <w:ind w:right="221"/>
              <w:jc w:val="right"/>
              <w:rPr>
                <w:rFonts w:ascii="宋体" w:hAnsi="宋体" w:cs="宋体" w:eastAsia="宋体" w:hint="default"/>
                <w:sz w:val="18"/>
                <w:szCs w:val="18"/>
              </w:rPr>
            </w:pPr>
            <w:r>
              <w:rPr>
                <w:rFonts w:ascii="宋体" w:hAnsi="宋体" w:cs="宋体" w:eastAsia="宋体" w:hint="default"/>
                <w:sz w:val="18"/>
                <w:szCs w:val="18"/>
              </w:rPr>
              <w:t>中国注册会计师（项目合伙人）：</w:t>
            </w:r>
          </w:p>
        </w:tc>
      </w:tr>
      <w:tr>
        <w:trPr>
          <w:trHeight w:val="806" w:hRule="exact"/>
        </w:trPr>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14"/>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p>
        </w:tc>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19" w:right="0"/>
              <w:jc w:val="left"/>
              <w:rPr>
                <w:rFonts w:ascii="宋体" w:hAnsi="宋体" w:cs="宋体" w:eastAsia="宋体" w:hint="default"/>
                <w:sz w:val="18"/>
                <w:szCs w:val="18"/>
              </w:rPr>
            </w:pPr>
            <w:r>
              <w:rPr>
                <w:rFonts w:ascii="宋体" w:hAnsi="宋体" w:cs="宋体" w:eastAsia="宋体" w:hint="default"/>
                <w:sz w:val="18"/>
                <w:szCs w:val="18"/>
              </w:rPr>
              <w:t>中国注册会计师：</w:t>
            </w:r>
          </w:p>
        </w:tc>
      </w:tr>
      <w:tr>
        <w:trPr>
          <w:trHeight w:val="574" w:hRule="exact"/>
        </w:trPr>
        <w:tc>
          <w:tcPr>
            <w:tcW w:w="3499" w:type="dxa"/>
            <w:tcBorders>
              <w:top w:val="nil" w:sz="6" w:space="0" w:color="auto"/>
              <w:left w:val="nil" w:sz="6" w:space="0" w:color="auto"/>
              <w:bottom w:val="nil" w:sz="6" w:space="0" w:color="auto"/>
              <w:right w:val="nil" w:sz="6" w:space="0" w:color="auto"/>
            </w:tcBorders>
          </w:tcPr>
          <w:p>
            <w:pPr/>
          </w:p>
        </w:tc>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98"/>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2"/>
        <w:spacing w:line="367" w:lineRule="exact"/>
        <w:ind w:right="94"/>
        <w:jc w:val="left"/>
        <w:rPr>
          <w:b w:val="0"/>
          <w:bCs w:val="0"/>
        </w:rPr>
      </w:pPr>
      <w:r>
        <w:rPr/>
        <w:t>二、财务报表</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4"/>
        <w:jc w:val="left"/>
      </w:pPr>
      <w:r>
        <w:rPr/>
        <w:t>财务附注中报表的单位为：人民币元</w:t>
      </w:r>
    </w:p>
    <w:p>
      <w:pPr>
        <w:spacing w:after="0" w:line="240" w:lineRule="auto"/>
        <w:jc w:val="left"/>
        <w:sectPr>
          <w:pgSz w:w="11910" w:h="16840"/>
          <w:pgMar w:header="745" w:footer="1133" w:top="1060" w:bottom="1320" w:left="980" w:right="94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1133" w:top="1060" w:bottom="1320" w:left="980" w:right="980"/>
        </w:sectPr>
      </w:pPr>
    </w:p>
    <w:p>
      <w:pPr>
        <w:pStyle w:val="BodyText"/>
        <w:spacing w:line="240" w:lineRule="auto" w:before="44"/>
        <w:ind w:right="-20"/>
        <w:jc w:val="left"/>
      </w:pPr>
      <w:r>
        <w:rPr/>
        <w:t>编制单位：北京北信源软件股份有限公司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59"/>
        <w:ind w:right="-14"/>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320" w:left="980" w:right="980"/>
          <w:cols w:num="3" w:equalWidth="0">
            <w:col w:w="3393" w:space="683"/>
            <w:col w:w="1642" w:space="3202"/>
            <w:col w:w="103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1,048,197,943.20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1,357,659,948.14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3,113,240.00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3,320,180.00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732,866,568.44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569,496,821.69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36,163,137.26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12,289,304.90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16,889,511.24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11,308,094.94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69,623,995.52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34,126,796.05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565,711.53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167,576,382.80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9,910,850.61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2,074,430,778.46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1,998,677,707.86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38,179,117.76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28,179,117.76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11,223,788.00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17,393,060.61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79,554,945.35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74,754,936.50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26,979,737.02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2,270,147.11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75,512,175.68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61,415,214.50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49,717,973.92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28,217,066.75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82,754,563.28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82,754,563.28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6,571,063.25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1,332,835.54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30,327,525.53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19,323,009.96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19,101,841.22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419,922,731.01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315,639,952.01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2,494,353,509.47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2,314,317,659.87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5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17,523,000.00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35,012,254.29</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25,412,427.04</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31,612,571.80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9,152,783.32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5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518,037.78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437,967.39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136,283,250.14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110,689,841.79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6,741,582.70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11,119,547.83</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33" w:top="1060" w:bottom="13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267,690,696.71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156,812,567.37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8,952,407.17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7,497,275.00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1,209,000.00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1,365,000.00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10,161,407.17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8,862,275.00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277,852,103.88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165,674,842.37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1,449,824,087.00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579,929,635.00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315,877,885.28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1,185,772,337.28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-1,702,194.07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-1,913,861.77</w:t>
            </w:r>
            <w:r>
              <w:rPr>
                <w:rFonts w:ascii="Times New Roman"/>
                <w:sz w:val="18"/>
              </w:rPr>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52,287,909.42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43,307,028.21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396,432,966.42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337,159,052.64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2,212,720,654.05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2,144,254,191.36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3,780,751.54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4,388,626.14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33" w:top="1060" w:bottom="13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2,216,501,405.59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2,148,642,817.50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2,494,353,509.47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2,314,317,659.87</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901" w:val="left" w:leader="none"/>
        </w:tabs>
        <w:spacing w:line="240" w:lineRule="auto" w:before="44"/>
        <w:ind w:right="0"/>
        <w:jc w:val="left"/>
      </w:pPr>
      <w:r>
        <w:rPr/>
        <w:t>法定代表人：林皓</w:t>
        <w:tab/>
      </w:r>
      <w:r>
        <w:rPr>
          <w:spacing w:val="-1"/>
        </w:rPr>
        <w:t>主管会计工作负责人：邓华明</w:t>
        <w:tab/>
      </w:r>
      <w:r>
        <w:rPr/>
        <w:t>会计机构负责人：李丹</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385,032,622.58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684,639,425.03</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1,951,396.00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3,250,180.00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722,579,648.88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550,754,875.13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1,559,075.12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3,281,109.19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528,750,341.54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506,870,880.08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21,008,082.86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12,786,790.51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565,711.53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165,414,158.97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4,457,415.14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1,826,295,325.95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1,766,606,386.61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37,383,735.00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27,383,735.00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348,701,454.90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332,870,727.51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63,398,909.90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62,096,232.49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33" w:top="1060" w:bottom="13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44,018,766.21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28,400,029.48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27,196,711.46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18,350,035.31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6,015,561.94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388,305.52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22,475,036.23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15,876,672.22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19,101,841.22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568,292,016.86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485,365,737.53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2,394,587,342.81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2,251,972,124.14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8,565,171.95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1,408,089.05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6,922,514.33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3,859,784.88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121,519,383.67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94,273,554.31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10,424,160.39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13,341,342.25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187,431,230.34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112,882,770.49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33" w:top="1060" w:bottom="13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8,952,407.17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7,497,275.00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8,952,407.17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7,497,275.00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196,383,637.51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120,380,045.49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1,449,824,087.00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579,929,635.00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315,877,885.28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1,185,772,337.28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52,287,909.42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43,307,028.21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380,213,823.60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322,583,078.16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2,198,203,705.30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2,131,592,078.65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2,394,587,342.81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2,251,972,124.14</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514,852,610.92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492,299,777.56</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514,852,610.92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492,299,777.56</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04"/>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461,541,965.84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421,779,914.61</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162,855,651.86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182,589,531.60</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04"/>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33" w:top="1060" w:bottom="132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77.860001pt;margin-top:476.709991pt;width:193.15pt;height:19.6pt;mso-position-horizontal-relative:page;mso-position-vertical-relative:page;z-index:-795424"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211.009995pt;margin-top:340.48999pt;width:160pt;height:19.6pt;mso-position-horizontal-relative:page;mso-position-vertical-relative:page;z-index:-795400" coordorigin="4220,6810" coordsize="3200,392">
            <v:group style="position:absolute;left:7398;top:6810;width:22;height:392" coordorigin="7398,6810" coordsize="22,392">
              <v:shape style="position:absolute;left:7398;top:6810;width:22;height:392" coordorigin="7398,6810" coordsize="22,392" path="m7398,7201l7420,7201,7420,6810,7398,6810,7398,7201xe" filled="true" fillcolor="#ffffff" stroked="false">
                <v:path arrowok="t"/>
                <v:fill type="solid"/>
              </v:shape>
            </v:group>
            <v:group style="position:absolute;left:4220;top:6810;width:22;height:392" coordorigin="4220,6810" coordsize="22,392">
              <v:shape style="position:absolute;left:4220;top:6810;width:22;height:392" coordorigin="4220,6810" coordsize="22,392" path="m4220,7201l4242,7201,4242,6810,4220,6810,4220,7201xe" filled="true" fillcolor="#ffffff" stroked="false">
                <v:path arrowok="t"/>
                <v:fill type="solid"/>
              </v:shape>
            </v:group>
            <v:group style="position:absolute;left:4242;top:6810;width:3157;height:392" coordorigin="4242,6810" coordsize="3157,392">
              <v:shape style="position:absolute;left:4242;top:6810;width:3157;height:392" coordorigin="4242,6810" coordsize="3157,392" path="m4242,7201l7398,7201,7398,6810,4242,6810,4242,720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79"/>
        <w:gridCol w:w="1106"/>
        <w:gridCol w:w="2105"/>
        <w:gridCol w:w="3277"/>
      </w:tblGrid>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8,266,192.93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5,361,450.61</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101,298,707.36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89,353,087.21</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52" w:right="0"/>
              <w:jc w:val="left"/>
              <w:rPr>
                <w:rFonts w:ascii="Times New Roman" w:hAnsi="Times New Roman" w:cs="Times New Roman" w:eastAsia="Times New Roman" w:hint="default"/>
                <w:sz w:val="18"/>
                <w:szCs w:val="18"/>
              </w:rPr>
            </w:pPr>
            <w:r>
              <w:rPr>
                <w:rFonts w:ascii="Times New Roman"/>
                <w:sz w:val="18"/>
              </w:rPr>
              <w:t>135,514,771.79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118,020,530.22</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-1,361,205.34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-5,982,238.65</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54,967,847.24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32,437,553.62</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22,873,350.49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-2,084,487.06</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-7,867,431.39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-2,229,267.89</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3"/>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138,058.94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17,277.35</w:t>
            </w:r>
          </w:p>
        </w:tc>
      </w:tr>
      <w:tr>
        <w:trPr>
          <w:trHeight w:val="404"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22,156,939.48</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98,478,993.99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68,452,653.24</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106,195.00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17,807,187.42</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786,772.42</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1106" w:type="dxa"/>
            <w:tcBorders>
              <w:top w:val="single" w:sz="4" w:space="0" w:color="000000"/>
              <w:left w:val="single" w:sz="13" w:space="0" w:color="FFFFFF"/>
              <w:bottom w:val="single" w:sz="4" w:space="0" w:color="000000"/>
              <w:right w:val="nil" w:sz="6" w:space="0" w:color="auto"/>
            </w:tcBorders>
          </w:tcPr>
          <w:p>
            <w:pPr/>
          </w:p>
        </w:tc>
        <w:tc>
          <w:tcPr>
            <w:tcW w:w="2105"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3"/>
              <w:ind w:left="1042" w:right="0"/>
              <w:jc w:val="left"/>
              <w:rPr>
                <w:rFonts w:ascii="Times New Roman" w:hAnsi="Times New Roman" w:cs="Times New Roman" w:eastAsia="Times New Roman" w:hint="default"/>
                <w:sz w:val="18"/>
                <w:szCs w:val="18"/>
              </w:rPr>
            </w:pPr>
            <w:r>
              <w:rPr>
                <w:rFonts w:ascii="Times New Roman"/>
                <w:sz w:val="18"/>
              </w:rPr>
              <w:t>97,798,416.57</w:t>
            </w:r>
          </w:p>
        </w:tc>
        <w:tc>
          <w:tcPr>
            <w:tcW w:w="3277"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86,259,840.66</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7,454,310.78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6,023,986.38</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90,344,105.79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80,235,854.28</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90,344,105.79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80,235,854.28</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91,451,980.39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80,347,228.14</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-1,107,874.60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-111,373.86</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211,667.70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121,293.41</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6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211,667.70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121,293.41</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firstLine="341"/>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2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重新计量设定受益计划净</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33" w:top="1060" w:bottom="13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36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负债或净资产的变动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firstLine="341"/>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211,667.70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121,293.41</w:t>
            </w:r>
          </w:p>
        </w:tc>
      </w:tr>
      <w:tr>
        <w:trPr>
          <w:trHeight w:val="102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211,667.70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121,293.41</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6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90,555,773.49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80,357,147.69</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91,663,648.09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80,468,521.55</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4"/>
              <w:jc w:val="right"/>
              <w:rPr>
                <w:rFonts w:ascii="宋体" w:hAnsi="宋体" w:cs="宋体" w:eastAsia="宋体" w:hint="default"/>
                <w:sz w:val="18"/>
                <w:szCs w:val="18"/>
              </w:rPr>
            </w:pPr>
            <w:r>
              <w:rPr>
                <w:rFonts w:ascii="宋体" w:hAnsi="宋体" w:cs="宋体" w:eastAsia="宋体" w:hint="default"/>
                <w:spacing w:val="-1"/>
                <w:sz w:val="18"/>
                <w:szCs w:val="18"/>
              </w:rPr>
              <w:t>归属于少数股东的综合收益总额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-1,107,874.60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-111,373.86</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0.0631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0.0619</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0.0631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0.0619</w:t>
            </w:r>
          </w:p>
        </w:tc>
      </w:tr>
    </w:tbl>
    <w:p>
      <w:pPr>
        <w:pStyle w:val="BodyText"/>
        <w:tabs>
          <w:tab w:pos="3578" w:val="left" w:leader="none"/>
          <w:tab w:pos="7901" w:val="left" w:leader="none"/>
        </w:tabs>
        <w:spacing w:line="590" w:lineRule="auto" w:before="49"/>
        <w:ind w:right="242"/>
        <w:jc w:val="left"/>
      </w:pPr>
      <w:r>
        <w:rPr/>
        <w:t>本期发生同一控制下企业合并的，被合并方在合并前实现的净利润为：</w:t>
      </w:r>
      <w:r>
        <w:rPr>
          <w:rFonts w:ascii="Times New Roman" w:hAnsi="Times New Roman" w:cs="Times New Roman" w:eastAsia="Times New Roman" w:hint="default"/>
        </w:rPr>
        <w:t>0 </w:t>
      </w:r>
      <w:r>
        <w:rPr/>
        <w:t>元，上期被合并方实现的净利润为：</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 法定代表人：林皓</w:t>
        <w:tab/>
      </w:r>
      <w:r>
        <w:rPr>
          <w:spacing w:val="-1"/>
        </w:rPr>
        <w:t>主管会计工作负责人：邓华明</w:t>
        <w:tab/>
      </w:r>
      <w:r>
        <w:rPr/>
        <w:t>会计机构负责人：李丹</w:t>
      </w:r>
    </w:p>
    <w:p>
      <w:pPr>
        <w:pStyle w:val="Heading3"/>
        <w:spacing w:line="240" w:lineRule="auto" w:before="26"/>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298"/>
              <w:jc w:val="right"/>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332,514,986.49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277,346,032.39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28,887,938.47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20,148,117.83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11"/>
              <w:jc w:val="righ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6,228,361.84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4,286,041.40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82,951,808.24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74,529,002.32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33" w:top="1060" w:bottom="13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99,196,798.58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94,370,325.26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-816,262.92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-5,432,344.89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44,333,757.22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27,137,422.86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6,936,938.49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-2,229,267.89</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-7,867,431.39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-2,229,267.89</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45,980.79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19,120,542.27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97,836,046.61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60,078,199.72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4,987.90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13,840,029.43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766,703.74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97,074,330.77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73,918,229.15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7,265,518.72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5,031,639.29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89,808,812.05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68,886,589.86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33" w:top="1060" w:bottom="13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89,808,812.05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68,886,589.86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372,651,779.65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424,964,154.40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19,660,442.81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15,467,828.31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11,670,536.01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13,814,705.63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403,982,758.47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454,246,688.34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186,876,440.19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230,999,615.63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51"/>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33" w:top="1060" w:bottom="13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36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136,587,607.36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119,232,864.10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44,185,486.49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35,563,564.02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124,548,550.63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88,771,599.89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492,198,084.67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474,567,643.64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-88,215,326.20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-20,320,955.30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5,872,600,000.00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30,740,781.88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144,780.83</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260,160.23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99,840.28</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5,903,600,942.11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4,744,621.11</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91,976,995.42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53,180,009.79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6,060,900,000.00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6,152,876,995.42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83,780,009.79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-249,276,053.31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-79,035,388.68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1,243,950,940.00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1,251,460,940.00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33" w:top="1060" w:bottom="13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24,215,765.73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12,160,175.59</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2,580,000.00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24,215,765.73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14,740,175.59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18,784,234.27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1,236,720,764.41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113,742.30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121,293.42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-318,593,402.94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1,137,485,713.85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1,356,015,028.14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218,529,314.29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1,037,421,625.20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1,356,015,028.14</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170,318,441.69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183,648,638.16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17,306,512.52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13,037,344.73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7,190,219.39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10,892,161.28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194,815,173.60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207,578,144.17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28,004,199.75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31,454,251.66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100,267,819.52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91,640,084.22</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34,516,125.29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26,902,636.71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89,414,572.23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76,341,456.23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252,202,716.79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226,338,428.82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-57,387,543.19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-18,760,284.65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14,804,369.88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164,737.87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1,781.78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51"/>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33" w:top="1060" w:bottom="132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36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2,454,969,107.75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1,781.78</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47,768,331.37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35,595,991.95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2,652,800,000.00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149,100,000.00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15,562,592.91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502,059,298.75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2,716,130,924.28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686,755,290.70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-261,161,816.53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-686,753,508.92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1,239,450,940.00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1,246,960,940.00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24,077,340.73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12,160,175.59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24,077,340.73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14,740,175.59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18,422,659.27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1,232,220,764.41</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-300,126,700.45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526,706,970.84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683,144,505.03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156,437,534.19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383,017,804.58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683,144,505.03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本期金额</w:t>
      </w:r>
    </w:p>
    <w:p>
      <w:pPr>
        <w:pStyle w:val="BodyText"/>
        <w:spacing w:line="240" w:lineRule="auto" w:before="117"/>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1594"/>
        <w:gridCol w:w="665"/>
        <w:gridCol w:w="665"/>
        <w:gridCol w:w="665"/>
        <w:gridCol w:w="665"/>
        <w:gridCol w:w="665"/>
        <w:gridCol w:w="665"/>
        <w:gridCol w:w="665"/>
        <w:gridCol w:w="665"/>
        <w:gridCol w:w="660"/>
      </w:tblGrid>
      <w:tr>
        <w:trPr>
          <w:trHeight w:val="402"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681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5"/>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4"/>
              <w:ind w:left="55" w:right="53"/>
              <w:jc w:val="left"/>
              <w:rPr>
                <w:rFonts w:ascii="宋体" w:hAnsi="宋体" w:cs="宋体" w:eastAsia="宋体" w:hint="default"/>
                <w:sz w:val="18"/>
                <w:szCs w:val="18"/>
              </w:rPr>
            </w:pPr>
            <w:r>
              <w:rPr>
                <w:rFonts w:ascii="宋体" w:hAnsi="宋体" w:cs="宋体" w:eastAsia="宋体" w:hint="default"/>
                <w:sz w:val="18"/>
                <w:szCs w:val="18"/>
              </w:rPr>
              <w:t>所有者 权益合</w:t>
            </w:r>
          </w:p>
        </w:tc>
      </w:tr>
      <w:tr>
        <w:trPr>
          <w:trHeight w:val="402"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57" w:right="0"/>
              <w:jc w:val="left"/>
              <w:rPr>
                <w:rFonts w:ascii="宋体" w:hAnsi="宋体" w:cs="宋体" w:eastAsia="宋体" w:hint="default"/>
                <w:sz w:val="18"/>
                <w:szCs w:val="18"/>
              </w:rPr>
            </w:pPr>
            <w:r>
              <w:rPr>
                <w:rFonts w:ascii="宋体" w:hAnsi="宋体" w:cs="宋体" w:eastAsia="宋体" w:hint="default"/>
                <w:sz w:val="18"/>
                <w:szCs w:val="18"/>
              </w:rPr>
              <w:t>资本公</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57" w:right="0"/>
              <w:jc w:val="left"/>
              <w:rPr>
                <w:rFonts w:ascii="宋体" w:hAnsi="宋体" w:cs="宋体" w:eastAsia="宋体" w:hint="default"/>
                <w:sz w:val="18"/>
                <w:szCs w:val="18"/>
              </w:rPr>
            </w:pPr>
            <w:r>
              <w:rPr>
                <w:rFonts w:ascii="宋体" w:hAnsi="宋体" w:cs="宋体" w:eastAsia="宋体" w:hint="default"/>
                <w:sz w:val="18"/>
                <w:szCs w:val="18"/>
              </w:rPr>
              <w:t>减：库</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57" w:right="0"/>
              <w:jc w:val="left"/>
              <w:rPr>
                <w:rFonts w:ascii="宋体" w:hAnsi="宋体" w:cs="宋体" w:eastAsia="宋体" w:hint="default"/>
                <w:sz w:val="18"/>
                <w:szCs w:val="18"/>
              </w:rPr>
            </w:pPr>
            <w:r>
              <w:rPr>
                <w:rFonts w:ascii="宋体" w:hAnsi="宋体" w:cs="宋体" w:eastAsia="宋体" w:hint="default"/>
                <w:sz w:val="18"/>
                <w:szCs w:val="18"/>
              </w:rPr>
              <w:t>其他综</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57" w:right="0"/>
              <w:jc w:val="left"/>
              <w:rPr>
                <w:rFonts w:ascii="宋体" w:hAnsi="宋体" w:cs="宋体" w:eastAsia="宋体" w:hint="default"/>
                <w:sz w:val="18"/>
                <w:szCs w:val="18"/>
              </w:rPr>
            </w:pPr>
            <w:r>
              <w:rPr>
                <w:rFonts w:ascii="宋体" w:hAnsi="宋体" w:cs="宋体" w:eastAsia="宋体" w:hint="default"/>
                <w:sz w:val="18"/>
                <w:szCs w:val="18"/>
              </w:rPr>
              <w:t>专项储</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57" w:right="0"/>
              <w:jc w:val="left"/>
              <w:rPr>
                <w:rFonts w:ascii="宋体" w:hAnsi="宋体" w:cs="宋体" w:eastAsia="宋体" w:hint="default"/>
                <w:sz w:val="18"/>
                <w:szCs w:val="18"/>
              </w:rPr>
            </w:pPr>
            <w:r>
              <w:rPr>
                <w:rFonts w:ascii="宋体" w:hAnsi="宋体" w:cs="宋体" w:eastAsia="宋体" w:hint="default"/>
                <w:sz w:val="18"/>
                <w:szCs w:val="18"/>
              </w:rPr>
              <w:t>盈余公</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57" w:right="0"/>
              <w:jc w:val="left"/>
              <w:rPr>
                <w:rFonts w:ascii="宋体" w:hAnsi="宋体" w:cs="宋体" w:eastAsia="宋体" w:hint="default"/>
                <w:sz w:val="18"/>
                <w:szCs w:val="18"/>
              </w:rPr>
            </w:pPr>
            <w:r>
              <w:rPr>
                <w:rFonts w:ascii="宋体" w:hAnsi="宋体" w:cs="宋体" w:eastAsia="宋体" w:hint="default"/>
                <w:sz w:val="18"/>
                <w:szCs w:val="18"/>
              </w:rPr>
              <w:t>一般风</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57" w:right="0"/>
              <w:jc w:val="left"/>
              <w:rPr>
                <w:rFonts w:ascii="宋体" w:hAnsi="宋体" w:cs="宋体" w:eastAsia="宋体" w:hint="default"/>
                <w:sz w:val="18"/>
                <w:szCs w:val="18"/>
              </w:rPr>
            </w:pPr>
            <w:r>
              <w:rPr>
                <w:rFonts w:ascii="宋体" w:hAnsi="宋体" w:cs="宋体" w:eastAsia="宋体" w:hint="default"/>
                <w:sz w:val="18"/>
                <w:szCs w:val="18"/>
              </w:rPr>
              <w:t>未分配</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1133" w:top="1060" w:bottom="13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3"/>
        <w:gridCol w:w="531"/>
        <w:gridCol w:w="530"/>
        <w:gridCol w:w="665"/>
        <w:gridCol w:w="665"/>
        <w:gridCol w:w="665"/>
        <w:gridCol w:w="665"/>
        <w:gridCol w:w="665"/>
        <w:gridCol w:w="665"/>
        <w:gridCol w:w="665"/>
        <w:gridCol w:w="665"/>
        <w:gridCol w:w="660"/>
      </w:tblGrid>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1"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48"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7"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7"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9"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579,92</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9,635.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1,185,7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72,337.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-1,913,8</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61.77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43,307,</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028.21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337,159</w:t>
            </w:r>
          </w:p>
          <w:p>
            <w:pPr>
              <w:pStyle w:val="TableParagraph"/>
              <w:spacing w:line="240" w:lineRule="auto" w:before="102"/>
              <w:ind w:left="94" w:right="0"/>
              <w:jc w:val="left"/>
              <w:rPr>
                <w:rFonts w:ascii="Times New Roman" w:hAnsi="Times New Roman" w:cs="Times New Roman" w:eastAsia="Times New Roman" w:hint="default"/>
                <w:sz w:val="18"/>
                <w:szCs w:val="18"/>
              </w:rPr>
            </w:pPr>
            <w:r>
              <w:rPr>
                <w:rFonts w:ascii="Times New Roman"/>
                <w:sz w:val="18"/>
              </w:rPr>
              <w:t>,052.64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4,388,6</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26.14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2,148,6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42,817.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579,92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9,635.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72,337.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-1,913,8</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61.77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43,307,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028.21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337,159</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,052.64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4,388,6</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26.14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42,817.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869,89</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4,452.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-869,89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4,452.0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211,667</w:t>
            </w:r>
          </w:p>
          <w:p>
            <w:pPr>
              <w:pStyle w:val="TableParagraph"/>
              <w:spacing w:line="240" w:lineRule="auto" w:before="102"/>
              <w:ind w:left="408" w:right="0"/>
              <w:jc w:val="left"/>
              <w:rPr>
                <w:rFonts w:ascii="Times New Roman" w:hAnsi="Times New Roman" w:cs="Times New Roman" w:eastAsia="Times New Roman" w:hint="default"/>
                <w:sz w:val="18"/>
                <w:szCs w:val="18"/>
              </w:rPr>
            </w:pPr>
            <w:r>
              <w:rPr>
                <w:rFonts w:ascii="Times New Roman"/>
                <w:sz w:val="18"/>
              </w:rPr>
              <w:t>.70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8,980,8</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81.21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59,273,</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913.78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-607,87</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4.60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67,858,</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588.09</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211,667</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91,451,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980.39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-1,107,8</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74.60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90,555,</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773.49</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2"/>
              <w:ind w:left="408" w:right="0"/>
              <w:jc w:val="left"/>
              <w:rPr>
                <w:rFonts w:ascii="Times New Roman" w:hAnsi="Times New Roman" w:cs="Times New Roman" w:eastAsia="Times New Roman" w:hint="default"/>
                <w:sz w:val="18"/>
                <w:szCs w:val="18"/>
              </w:rPr>
            </w:pPr>
            <w:r>
              <w:rPr>
                <w:rFonts w:ascii="Times New Roman"/>
                <w:sz w:val="18"/>
              </w:rPr>
              <w:t>.00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2"/>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8,980,8</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81.21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-32,178,</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066.61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-23,197,</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185.40</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8,980,8</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81.21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-8,980,8</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81.21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-23,197,</w:t>
            </w:r>
          </w:p>
          <w:p>
            <w:pPr>
              <w:pStyle w:val="TableParagraph"/>
              <w:spacing w:line="240" w:lineRule="auto" w:before="103"/>
              <w:ind w:left="118" w:right="0"/>
              <w:jc w:val="center"/>
              <w:rPr>
                <w:rFonts w:ascii="Times New Roman" w:hAnsi="Times New Roman" w:cs="Times New Roman" w:eastAsia="Times New Roman" w:hint="default"/>
                <w:sz w:val="18"/>
                <w:szCs w:val="18"/>
              </w:rPr>
            </w:pPr>
            <w:r>
              <w:rPr>
                <w:rFonts w:ascii="Times New Roman"/>
                <w:sz w:val="18"/>
              </w:rPr>
              <w:t>185.40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-23,197,</w:t>
            </w:r>
          </w:p>
          <w:p>
            <w:pPr>
              <w:pStyle w:val="TableParagraph"/>
              <w:spacing w:line="240" w:lineRule="auto" w:before="103"/>
              <w:ind w:left="108" w:right="0"/>
              <w:jc w:val="center"/>
              <w:rPr>
                <w:rFonts w:ascii="Times New Roman" w:hAnsi="Times New Roman" w:cs="Times New Roman" w:eastAsia="Times New Roman" w:hint="default"/>
                <w:sz w:val="18"/>
                <w:szCs w:val="18"/>
              </w:rPr>
            </w:pPr>
            <w:r>
              <w:rPr>
                <w:rFonts w:ascii="Times New Roman"/>
                <w:sz w:val="18"/>
              </w:rPr>
              <w:t>185.40</w:t>
            </w: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33" w:top="1060" w:bottom="13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869,89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4,452.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-869,89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4,452.0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869,89</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4,452.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-869,89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4,452.0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 w:right="0"/>
              <w:jc w:val="center"/>
              <w:rPr>
                <w:rFonts w:ascii="Times New Roman" w:hAnsi="Times New Roman" w:cs="Times New Roman" w:eastAsia="Times New Roman" w:hint="default"/>
                <w:sz w:val="18"/>
                <w:szCs w:val="18"/>
              </w:rPr>
            </w:pPr>
            <w:r>
              <w:rPr>
                <w:rFonts w:ascii="Times New Roman"/>
                <w:sz w:val="18"/>
              </w:rPr>
              <w:t>1,449,</w:t>
            </w:r>
          </w:p>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824,08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7.00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315,877</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,885.28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-1,702,1</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94.07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52,287,</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909.42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396,432</w:t>
            </w:r>
          </w:p>
          <w:p>
            <w:pPr>
              <w:pStyle w:val="TableParagraph"/>
              <w:spacing w:line="240" w:lineRule="auto" w:before="102"/>
              <w:ind w:left="94" w:right="0"/>
              <w:jc w:val="left"/>
              <w:rPr>
                <w:rFonts w:ascii="Times New Roman" w:hAnsi="Times New Roman" w:cs="Times New Roman" w:eastAsia="Times New Roman" w:hint="default"/>
                <w:sz w:val="18"/>
                <w:szCs w:val="18"/>
              </w:rPr>
            </w:pPr>
            <w:r>
              <w:rPr>
                <w:rFonts w:ascii="Times New Roman"/>
                <w:sz w:val="18"/>
              </w:rPr>
              <w:t>,966.42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3,780,7</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51.54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2,216,5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01,405.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59</w:t>
            </w:r>
          </w:p>
        </w:tc>
      </w:tr>
    </w:tbl>
    <w:p>
      <w:pPr>
        <w:pStyle w:val="BodyText"/>
        <w:spacing w:line="240" w:lineRule="auto" w:before="49"/>
        <w:ind w:right="0"/>
        <w:jc w:val="left"/>
      </w:pPr>
      <w:r>
        <w:rPr/>
        <w:t>上期金额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0"/>
        <w:gridCol w:w="531"/>
        <w:gridCol w:w="533"/>
        <w:gridCol w:w="662"/>
        <w:gridCol w:w="665"/>
        <w:gridCol w:w="668"/>
        <w:gridCol w:w="665"/>
        <w:gridCol w:w="662"/>
        <w:gridCol w:w="665"/>
        <w:gridCol w:w="680"/>
        <w:gridCol w:w="653"/>
        <w:gridCol w:w="658"/>
      </w:tblGrid>
      <w:tr>
        <w:trPr>
          <w:trHeight w:val="403"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316" w:lineRule="auto"/>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3"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54" w:right="63"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713"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71"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80"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270,22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6,124.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257,175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,084.21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-2,035,1</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55.18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36,418,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369.22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275,860</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,659.08</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837,645</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,081.33</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270,22</w:t>
            </w:r>
          </w:p>
          <w:p>
            <w:pPr>
              <w:pStyle w:val="TableParagraph"/>
              <w:spacing w:line="240" w:lineRule="auto" w:before="103"/>
              <w:ind w:left="79" w:right="0"/>
              <w:jc w:val="left"/>
              <w:rPr>
                <w:rFonts w:ascii="Times New Roman" w:hAnsi="Times New Roman" w:cs="Times New Roman" w:eastAsia="Times New Roman" w:hint="default"/>
                <w:sz w:val="18"/>
                <w:szCs w:val="18"/>
              </w:rPr>
            </w:pPr>
            <w:r>
              <w:rPr>
                <w:rFonts w:ascii="Times New Roman"/>
                <w:sz w:val="18"/>
              </w:rPr>
              <w:t>6,124.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257,175</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,084.21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-2,035,1</w:t>
            </w:r>
          </w:p>
          <w:p>
            <w:pPr>
              <w:pStyle w:val="TableParagraph"/>
              <w:spacing w:line="240" w:lineRule="auto" w:before="102"/>
              <w:ind w:left="210" w:right="0"/>
              <w:jc w:val="center"/>
              <w:rPr>
                <w:rFonts w:ascii="Times New Roman" w:hAnsi="Times New Roman" w:cs="Times New Roman" w:eastAsia="Times New Roman" w:hint="default"/>
                <w:sz w:val="18"/>
                <w:szCs w:val="18"/>
              </w:rPr>
            </w:pPr>
            <w:r>
              <w:rPr>
                <w:rFonts w:ascii="Times New Roman"/>
                <w:sz w:val="18"/>
              </w:rPr>
              <w:t>55.18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36,418,</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369.22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275,860</w:t>
            </w:r>
          </w:p>
          <w:p>
            <w:pPr>
              <w:pStyle w:val="TableParagraph"/>
              <w:spacing w:line="240" w:lineRule="auto" w:before="102"/>
              <w:ind w:left="106" w:right="0"/>
              <w:jc w:val="left"/>
              <w:rPr>
                <w:rFonts w:ascii="Times New Roman" w:hAnsi="Times New Roman" w:cs="Times New Roman" w:eastAsia="Times New Roman" w:hint="default"/>
                <w:sz w:val="18"/>
                <w:szCs w:val="18"/>
              </w:rPr>
            </w:pPr>
            <w:r>
              <w:rPr>
                <w:rFonts w:ascii="Times New Roman"/>
                <w:sz w:val="18"/>
              </w:rPr>
              <w:t>,659.08</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837,645</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,081.33</w:t>
            </w:r>
          </w:p>
        </w:tc>
      </w:tr>
    </w:tbl>
    <w:p>
      <w:pPr>
        <w:spacing w:after="0" w:line="240" w:lineRule="auto"/>
        <w:jc w:val="left"/>
        <w:rPr>
          <w:rFonts w:ascii="Times New Roman" w:hAnsi="Times New Roman" w:cs="Times New Roman" w:eastAsia="Times New Roman" w:hint="default"/>
          <w:sz w:val="18"/>
          <w:szCs w:val="18"/>
        </w:rPr>
        <w:sectPr>
          <w:footerReference w:type="default" r:id="rId20"/>
          <w:pgSz w:w="11910" w:h="16840"/>
          <w:pgMar w:footer="1133" w:header="745" w:top="1060" w:bottom="13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309,70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3,511.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928,597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,253.07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121,293</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6,888,6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58.99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61,298,</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393.56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4,388,6</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26.14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1,310,9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97,736.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17</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121,293</w:t>
            </w:r>
          </w:p>
          <w:p>
            <w:pPr>
              <w:pStyle w:val="TableParagraph"/>
              <w:spacing w:line="240" w:lineRule="auto" w:before="102"/>
              <w:ind w:left="410" w:right="0"/>
              <w:jc w:val="left"/>
              <w:rPr>
                <w:rFonts w:ascii="Times New Roman" w:hAnsi="Times New Roman" w:cs="Times New Roman" w:eastAsia="Times New Roman" w:hint="default"/>
                <w:sz w:val="18"/>
                <w:szCs w:val="18"/>
              </w:rPr>
            </w:pPr>
            <w:r>
              <w:rPr>
                <w:rFonts w:ascii="Times New Roman"/>
                <w:sz w:val="18"/>
              </w:rPr>
              <w:t>.41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6" w:right="0"/>
              <w:jc w:val="left"/>
              <w:rPr>
                <w:rFonts w:ascii="Times New Roman" w:hAnsi="Times New Roman" w:cs="Times New Roman" w:eastAsia="Times New Roman" w:hint="default"/>
                <w:sz w:val="18"/>
                <w:szCs w:val="18"/>
              </w:rPr>
            </w:pPr>
            <w:r>
              <w:rPr>
                <w:rFonts w:ascii="Times New Roman"/>
                <w:sz w:val="18"/>
              </w:rPr>
              <w:t>80,347,</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228.14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-111,37</w:t>
            </w:r>
          </w:p>
          <w:p>
            <w:pPr>
              <w:pStyle w:val="TableParagraph"/>
              <w:spacing w:line="240" w:lineRule="auto" w:before="102"/>
              <w:ind w:left="304" w:right="0"/>
              <w:jc w:val="left"/>
              <w:rPr>
                <w:rFonts w:ascii="Times New Roman" w:hAnsi="Times New Roman" w:cs="Times New Roman" w:eastAsia="Times New Roman" w:hint="default"/>
                <w:sz w:val="18"/>
                <w:szCs w:val="18"/>
              </w:rPr>
            </w:pPr>
            <w:r>
              <w:rPr>
                <w:rFonts w:ascii="Times New Roman"/>
                <w:sz w:val="18"/>
              </w:rPr>
              <w:t>3.86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80,357,</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147.69</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66,500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1,171,8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00,764.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4,500,0</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1,242,8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00,764.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66,500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1,171,8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00,764.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4,500,0</w:t>
            </w:r>
          </w:p>
          <w:p>
            <w:pPr>
              <w:pStyle w:val="TableParagraph"/>
              <w:spacing w:line="240" w:lineRule="auto" w:before="103"/>
              <w:ind w:left="190" w:right="0"/>
              <w:jc w:val="center"/>
              <w:rPr>
                <w:rFonts w:ascii="Times New Roman" w:hAnsi="Times New Roman" w:cs="Times New Roman" w:eastAsia="Times New Roman" w:hint="default"/>
                <w:sz w:val="18"/>
                <w:szCs w:val="18"/>
              </w:rPr>
            </w:pPr>
            <w:r>
              <w:rPr>
                <w:rFonts w:ascii="Times New Roman"/>
                <w:sz w:val="18"/>
              </w:rPr>
              <w:t>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1,242,8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00,764.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6,888,6</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58.99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-19,048,</w:t>
            </w:r>
          </w:p>
          <w:p>
            <w:pPr>
              <w:pStyle w:val="TableParagraph"/>
              <w:spacing w:line="240" w:lineRule="auto" w:before="102"/>
              <w:ind w:left="128" w:right="0"/>
              <w:jc w:val="center"/>
              <w:rPr>
                <w:rFonts w:ascii="Times New Roman" w:hAnsi="Times New Roman" w:cs="Times New Roman" w:eastAsia="Times New Roman" w:hint="default"/>
                <w:sz w:val="18"/>
                <w:szCs w:val="18"/>
              </w:rPr>
            </w:pPr>
            <w:r>
              <w:rPr>
                <w:rFonts w:ascii="Times New Roman"/>
                <w:sz w:val="18"/>
              </w:rPr>
              <w:t>834.58</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-12,160,</w:t>
            </w:r>
          </w:p>
          <w:p>
            <w:pPr>
              <w:pStyle w:val="TableParagraph"/>
              <w:spacing w:line="240" w:lineRule="auto" w:before="102"/>
              <w:ind w:left="110" w:right="0"/>
              <w:jc w:val="center"/>
              <w:rPr>
                <w:rFonts w:ascii="Times New Roman" w:hAnsi="Times New Roman" w:cs="Times New Roman" w:eastAsia="Times New Roman" w:hint="default"/>
                <w:sz w:val="18"/>
                <w:szCs w:val="18"/>
              </w:rPr>
            </w:pPr>
            <w:r>
              <w:rPr>
                <w:rFonts w:ascii="Times New Roman"/>
                <w:sz w:val="18"/>
              </w:rPr>
              <w:t>175.59</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6,888,6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58.99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-6,888,6</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58.99</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-12,160,</w:t>
            </w:r>
          </w:p>
          <w:p>
            <w:pPr>
              <w:pStyle w:val="TableParagraph"/>
              <w:spacing w:line="240" w:lineRule="auto" w:before="105"/>
              <w:ind w:left="128" w:right="0"/>
              <w:jc w:val="center"/>
              <w:rPr>
                <w:rFonts w:ascii="Times New Roman" w:hAnsi="Times New Roman" w:cs="Times New Roman" w:eastAsia="Times New Roman" w:hint="default"/>
                <w:sz w:val="18"/>
                <w:szCs w:val="18"/>
              </w:rPr>
            </w:pPr>
            <w:r>
              <w:rPr>
                <w:rFonts w:ascii="Times New Roman"/>
                <w:sz w:val="18"/>
              </w:rPr>
              <w:t>175.59</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-12,160,</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175.59</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243,20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3,511.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-243,20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2"/>
                <w:sz w:val="18"/>
              </w:rPr>
              <w:t>3,511.0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243,20</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3,511.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-243,20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2"/>
                <w:sz w:val="18"/>
              </w:rPr>
              <w:t>3,511.0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1"/>
          <w:pgSz w:w="11910" w:h="16840"/>
          <w:pgMar w:footer="1133" w:header="745" w:top="1060" w:bottom="1320" w:left="980" w:right="98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579,92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9,635.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72,337.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-1,913,8</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61.77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43,307,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028.21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337,159</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,052.64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4,388,6</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26.14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2,148,6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42,817.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本期金额</w:t>
      </w:r>
    </w:p>
    <w:p>
      <w:pPr>
        <w:pStyle w:val="BodyText"/>
        <w:spacing w:line="240" w:lineRule="auto" w:before="117"/>
        <w:ind w:left="0" w:right="151"/>
        <w:jc w:val="right"/>
      </w:pPr>
      <w:r>
        <w:rPr/>
        <w:t>单位：元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1"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579,929,</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635.00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1,185,772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,337.28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43,307,02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8.21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322,583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,078.16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2,131,592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,078.65</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579,929,</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635.00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1,185,772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,337.28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43,307,02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8.21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322,583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,078.16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2,131,592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,078.65</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24"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869,894,</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452.00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-869,894,</w:t>
            </w:r>
          </w:p>
          <w:p>
            <w:pPr>
              <w:pStyle w:val="TableParagraph"/>
              <w:spacing w:line="240" w:lineRule="auto" w:before="102"/>
              <w:ind w:left="250" w:right="0"/>
              <w:jc w:val="center"/>
              <w:rPr>
                <w:rFonts w:ascii="Times New Roman" w:hAnsi="Times New Roman" w:cs="Times New Roman" w:eastAsia="Times New Roman" w:hint="default"/>
                <w:sz w:val="18"/>
                <w:szCs w:val="18"/>
              </w:rPr>
            </w:pPr>
            <w:r>
              <w:rPr>
                <w:rFonts w:ascii="Times New Roman"/>
                <w:sz w:val="18"/>
              </w:rPr>
              <w:t>452.00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8,980,881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57,630,</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745.44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66,611,62</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6.65</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89,808,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812.05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89,808,81</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2.05</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8,980,881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-32,178,</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066.61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-23,197,1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85.40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133" w:top="1060" w:bottom="132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8,980,881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-8,980,8</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81.21</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-23,197,</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185.40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-23,197,1</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85.40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869,894,</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452.00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center"/>
              <w:rPr>
                <w:rFonts w:ascii="Times New Roman" w:hAnsi="Times New Roman" w:cs="Times New Roman" w:eastAsia="Times New Roman" w:hint="default"/>
                <w:sz w:val="18"/>
                <w:szCs w:val="18"/>
              </w:rPr>
            </w:pPr>
            <w:r>
              <w:rPr>
                <w:rFonts w:ascii="Times New Roman"/>
                <w:sz w:val="18"/>
              </w:rPr>
              <w:t>-869,894,</w:t>
            </w:r>
          </w:p>
          <w:p>
            <w:pPr>
              <w:pStyle w:val="TableParagraph"/>
              <w:spacing w:line="240" w:lineRule="auto" w:before="102"/>
              <w:ind w:left="250" w:right="0"/>
              <w:jc w:val="center"/>
              <w:rPr>
                <w:rFonts w:ascii="Times New Roman" w:hAnsi="Times New Roman" w:cs="Times New Roman" w:eastAsia="Times New Roman" w:hint="default"/>
                <w:sz w:val="18"/>
                <w:szCs w:val="18"/>
              </w:rPr>
            </w:pPr>
            <w:r>
              <w:rPr>
                <w:rFonts w:ascii="Times New Roman"/>
                <w:sz w:val="18"/>
              </w:rPr>
              <w:t>452.00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869,894,</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452.00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-869,894,</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452.00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1,449,82</w:t>
            </w:r>
          </w:p>
          <w:p>
            <w:pPr>
              <w:pStyle w:val="TableParagraph"/>
              <w:spacing w:line="240" w:lineRule="auto" w:before="105"/>
              <w:ind w:left="31" w:right="0"/>
              <w:jc w:val="left"/>
              <w:rPr>
                <w:rFonts w:ascii="Times New Roman" w:hAnsi="Times New Roman" w:cs="Times New Roman" w:eastAsia="Times New Roman" w:hint="default"/>
                <w:sz w:val="18"/>
                <w:szCs w:val="18"/>
              </w:rPr>
            </w:pPr>
            <w:r>
              <w:rPr>
                <w:rFonts w:ascii="Times New Roman"/>
                <w:sz w:val="18"/>
              </w:rPr>
              <w:t>4,087.00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315,877,8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85.28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52,287,90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9.42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380,213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,823.60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2,198,203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,705.30</w:t>
            </w:r>
          </w:p>
        </w:tc>
      </w:tr>
    </w:tbl>
    <w:p>
      <w:pPr>
        <w:pStyle w:val="BodyText"/>
        <w:spacing w:line="240" w:lineRule="auto" w:before="49"/>
        <w:ind w:right="0"/>
        <w:jc w:val="left"/>
      </w:pPr>
      <w:r>
        <w:rPr/>
        <w:t>上期金额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1"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270,226,</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124.00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257,175,0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84.21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36,418,36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9.22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272,745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,322.88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836,564,9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00.31</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270,226,</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124.00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257,175,0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84.21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36,418,36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9.22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272,745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,322.88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836,564,9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00.31</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24"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309,703,</w:t>
            </w:r>
          </w:p>
          <w:p>
            <w:pPr>
              <w:pStyle w:val="TableParagraph"/>
              <w:spacing w:line="240" w:lineRule="auto" w:before="103"/>
              <w:ind w:left="156" w:right="0"/>
              <w:jc w:val="center"/>
              <w:rPr>
                <w:rFonts w:ascii="Times New Roman" w:hAnsi="Times New Roman" w:cs="Times New Roman" w:eastAsia="Times New Roman" w:hint="default"/>
                <w:sz w:val="18"/>
                <w:szCs w:val="18"/>
              </w:rPr>
            </w:pPr>
            <w:r>
              <w:rPr>
                <w:rFonts w:ascii="Times New Roman"/>
                <w:sz w:val="18"/>
              </w:rPr>
              <w:t>511.00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928,597,2</w:t>
            </w:r>
          </w:p>
          <w:p>
            <w:pPr>
              <w:pStyle w:val="TableParagraph"/>
              <w:spacing w:line="240" w:lineRule="auto" w:before="103"/>
              <w:ind w:left="359" w:right="0"/>
              <w:jc w:val="left"/>
              <w:rPr>
                <w:rFonts w:ascii="Times New Roman" w:hAnsi="Times New Roman" w:cs="Times New Roman" w:eastAsia="Times New Roman" w:hint="default"/>
                <w:sz w:val="18"/>
                <w:szCs w:val="18"/>
              </w:rPr>
            </w:pPr>
            <w:r>
              <w:rPr>
                <w:rFonts w:ascii="Times New Roman"/>
                <w:sz w:val="18"/>
              </w:rPr>
              <w:t>53.07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6,888,658</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.99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49,837,</w:t>
            </w:r>
          </w:p>
          <w:p>
            <w:pPr>
              <w:pStyle w:val="TableParagraph"/>
              <w:spacing w:line="240" w:lineRule="auto" w:before="103"/>
              <w:ind w:left="148" w:right="0"/>
              <w:jc w:val="left"/>
              <w:rPr>
                <w:rFonts w:ascii="Times New Roman" w:hAnsi="Times New Roman" w:cs="Times New Roman" w:eastAsia="Times New Roman" w:hint="default"/>
                <w:sz w:val="18"/>
                <w:szCs w:val="18"/>
              </w:rPr>
            </w:pPr>
            <w:r>
              <w:rPr>
                <w:rFonts w:ascii="Times New Roman"/>
                <w:sz w:val="18"/>
              </w:rPr>
              <w:t>755.28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1,295,027</w:t>
            </w:r>
          </w:p>
          <w:p>
            <w:pPr>
              <w:pStyle w:val="TableParagraph"/>
              <w:spacing w:line="240" w:lineRule="auto" w:before="103"/>
              <w:ind w:left="187" w:right="0"/>
              <w:jc w:val="center"/>
              <w:rPr>
                <w:rFonts w:ascii="Times New Roman" w:hAnsi="Times New Roman" w:cs="Times New Roman" w:eastAsia="Times New Roman" w:hint="default"/>
                <w:sz w:val="18"/>
                <w:szCs w:val="18"/>
              </w:rPr>
            </w:pPr>
            <w:r>
              <w:rPr>
                <w:rFonts w:ascii="Times New Roman"/>
                <w:sz w:val="18"/>
              </w:rPr>
              <w:t>,178.34</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1133" w:top="1060" w:bottom="132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68,886,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589.86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68,886,58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9.86</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66,500,0</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1,171,800</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,764.07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1,238,300</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,764.07</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66,500,0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1,171,800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,764.07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1,238,300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,764.07</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6,888,658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-19,048,</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834.58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-12,160,1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75.59</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6,888,658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-6,888,6</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58.99</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-12,160,</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175.59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-12,160,1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75.59</w:t>
            </w: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243,203,</w:t>
            </w:r>
          </w:p>
          <w:p>
            <w:pPr>
              <w:pStyle w:val="TableParagraph"/>
              <w:spacing w:line="240" w:lineRule="auto" w:before="105"/>
              <w:ind w:left="156" w:right="0"/>
              <w:jc w:val="center"/>
              <w:rPr>
                <w:rFonts w:ascii="Times New Roman" w:hAnsi="Times New Roman" w:cs="Times New Roman" w:eastAsia="Times New Roman" w:hint="default"/>
                <w:sz w:val="18"/>
                <w:szCs w:val="18"/>
              </w:rPr>
            </w:pPr>
            <w:r>
              <w:rPr>
                <w:rFonts w:ascii="Times New Roman"/>
                <w:sz w:val="18"/>
              </w:rPr>
              <w:t>511.00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-243,203,</w:t>
            </w:r>
          </w:p>
          <w:p>
            <w:pPr>
              <w:pStyle w:val="TableParagraph"/>
              <w:spacing w:line="240" w:lineRule="auto" w:before="105"/>
              <w:ind w:left="278" w:right="0"/>
              <w:jc w:val="left"/>
              <w:rPr>
                <w:rFonts w:ascii="Times New Roman" w:hAnsi="Times New Roman" w:cs="Times New Roman" w:eastAsia="Times New Roman" w:hint="default"/>
                <w:sz w:val="18"/>
                <w:szCs w:val="18"/>
              </w:rPr>
            </w:pPr>
            <w:r>
              <w:rPr>
                <w:rFonts w:ascii="Times New Roman"/>
                <w:sz w:val="18"/>
              </w:rPr>
              <w:t>511.00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243,203,</w:t>
            </w:r>
          </w:p>
          <w:p>
            <w:pPr>
              <w:pStyle w:val="TableParagraph"/>
              <w:spacing w:line="240" w:lineRule="auto" w:before="102"/>
              <w:ind w:left="156" w:right="0"/>
              <w:jc w:val="center"/>
              <w:rPr>
                <w:rFonts w:ascii="Times New Roman" w:hAnsi="Times New Roman" w:cs="Times New Roman" w:eastAsia="Times New Roman" w:hint="default"/>
                <w:sz w:val="18"/>
                <w:szCs w:val="18"/>
              </w:rPr>
            </w:pPr>
            <w:r>
              <w:rPr>
                <w:rFonts w:ascii="Times New Roman"/>
                <w:sz w:val="18"/>
              </w:rPr>
              <w:t>511.00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-243,203,</w:t>
            </w:r>
          </w:p>
          <w:p>
            <w:pPr>
              <w:pStyle w:val="TableParagraph"/>
              <w:spacing w:line="240" w:lineRule="auto" w:before="102"/>
              <w:ind w:left="278" w:right="0"/>
              <w:jc w:val="left"/>
              <w:rPr>
                <w:rFonts w:ascii="Times New Roman" w:hAnsi="Times New Roman" w:cs="Times New Roman" w:eastAsia="Times New Roman" w:hint="default"/>
                <w:sz w:val="18"/>
                <w:szCs w:val="18"/>
              </w:rPr>
            </w:pPr>
            <w:r>
              <w:rPr>
                <w:rFonts w:ascii="Times New Roman"/>
                <w:sz w:val="18"/>
              </w:rPr>
              <w:t>511.00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579,929,</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635.00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1,185,772</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,337.28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43,307,02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8.21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322,583</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,078.16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2,131,592</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,078.65</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三、公司基本情况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left="441" w:right="0"/>
        <w:jc w:val="left"/>
      </w:pPr>
      <w:r>
        <w:rPr>
          <w:spacing w:val="3"/>
        </w:rPr>
        <w:t>北京北信源软件股份有限公司前身为北京北信源自动化技术有限公司成立于</w:t>
      </w:r>
      <w:r>
        <w:rPr>
          <w:rFonts w:ascii="Times New Roman" w:hAnsi="Times New Roman" w:cs="Times New Roman" w:eastAsia="Times New Roman" w:hint="default"/>
          <w:spacing w:val="3"/>
        </w:rPr>
        <w:t>1996</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28</w:t>
      </w:r>
      <w:r>
        <w:rPr>
          <w:spacing w:val="3"/>
        </w:rPr>
        <w:t>日</w:t>
      </w:r>
      <w:r>
        <w:rPr>
          <w:rFonts w:ascii="Times New Roman" w:hAnsi="Times New Roman" w:cs="Times New Roman" w:eastAsia="Times New Roman" w:hint="default"/>
          <w:spacing w:val="3"/>
        </w:rPr>
        <w:t>,</w:t>
      </w:r>
      <w:r>
        <w:rPr>
          <w:spacing w:val="3"/>
        </w:rPr>
        <w:t>经</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18</w:t>
      </w:r>
      <w:r>
        <w:rPr>
          <w:spacing w:val="3"/>
        </w:rPr>
        <w:t>日召开的</w:t>
      </w:r>
    </w:p>
    <w:p>
      <w:pPr>
        <w:pStyle w:val="BodyText"/>
        <w:spacing w:line="240" w:lineRule="auto" w:before="63"/>
        <w:ind w:right="0"/>
        <w:jc w:val="left"/>
        <w:rPr>
          <w:rFonts w:ascii="Times New Roman" w:hAnsi="Times New Roman" w:cs="Times New Roman" w:eastAsia="Times New Roman" w:hint="default"/>
        </w:rPr>
      </w:pPr>
      <w:r>
        <w:rPr>
          <w:rFonts w:ascii="Times New Roman" w:hAnsi="Times New Roman" w:cs="Times New Roman" w:eastAsia="Times New Roman" w:hint="default"/>
        </w:rPr>
        <w:t>2009</w:t>
      </w:r>
      <w:r>
        <w:rPr/>
        <w:t>年第七次股东会审议通过，公司以北信源有限截至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日经审计的净资产</w:t>
      </w:r>
      <w:r>
        <w:rPr>
          <w:rFonts w:ascii="Times New Roman" w:hAnsi="Times New Roman" w:cs="Times New Roman" w:eastAsia="Times New Roman" w:hint="default"/>
        </w:rPr>
        <w:t>6,453.88</w:t>
      </w:r>
      <w:r>
        <w:rPr/>
        <w:t>万元为折股基数</w:t>
      </w:r>
      <w:r>
        <w:rPr>
          <w:rFonts w:ascii="Times New Roman" w:hAnsi="Times New Roman" w:cs="Times New Roman" w:eastAsia="Times New Roman" w:hint="default"/>
        </w:rPr>
        <w:t>,</w:t>
      </w:r>
      <w:r>
        <w:rPr/>
        <w:t>按</w:t>
      </w:r>
      <w:r>
        <w:rPr>
          <w:rFonts w:ascii="Times New Roman" w:hAnsi="Times New Roman" w:cs="Times New Roman" w:eastAsia="Times New Roman" w:hint="default"/>
        </w:rPr>
        <w:t>1:0.7747</w:t>
      </w:r>
    </w:p>
    <w:p>
      <w:pPr>
        <w:spacing w:after="0" w:line="240" w:lineRule="auto"/>
        <w:jc w:val="left"/>
        <w:rPr>
          <w:rFonts w:ascii="Times New Roman" w:hAnsi="Times New Roman" w:cs="Times New Roman" w:eastAsia="Times New Roman" w:hint="default"/>
        </w:rPr>
        <w:sectPr>
          <w:pgSz w:w="11910" w:h="16840"/>
          <w:pgMar w:header="745" w:footer="1133" w:top="1060" w:bottom="1320" w:left="980" w:right="980"/>
        </w:sectPr>
      </w:pPr>
    </w:p>
    <w:p>
      <w:pPr>
        <w:spacing w:line="240" w:lineRule="auto" w:before="3"/>
        <w:rPr>
          <w:rFonts w:ascii="Times New Roman" w:hAnsi="Times New Roman" w:cs="Times New Roman" w:eastAsia="Times New Roman" w:hint="default"/>
          <w:sz w:val="29"/>
          <w:szCs w:val="29"/>
        </w:rPr>
      </w:pPr>
    </w:p>
    <w:p>
      <w:pPr>
        <w:pStyle w:val="BodyText"/>
        <w:spacing w:line="300" w:lineRule="auto" w:before="44"/>
        <w:ind w:right="94"/>
        <w:jc w:val="left"/>
      </w:pPr>
      <w:r>
        <w:rPr>
          <w:spacing w:val="-1"/>
        </w:rPr>
        <w:t>的折股比例折成股本</w:t>
      </w:r>
      <w:r>
        <w:rPr>
          <w:rFonts w:ascii="Times New Roman" w:hAnsi="Times New Roman" w:cs="Times New Roman" w:eastAsia="Times New Roman" w:hint="default"/>
          <w:spacing w:val="-1"/>
        </w:rPr>
        <w:t>5,000</w:t>
      </w:r>
      <w:r>
        <w:rPr>
          <w:spacing w:val="-1"/>
        </w:rPr>
        <w:t>万股，整体变更为股份有限公司，公司于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12</w:t>
      </w:r>
      <w:r>
        <w:rPr>
          <w:spacing w:val="-1"/>
        </w:rPr>
        <w:t>日在深圳证券交易所上市，截至目前公司注</w:t>
      </w:r>
      <w:r>
        <w:rPr>
          <w:spacing w:val="-72"/>
        </w:rPr>
        <w:t> </w:t>
      </w:r>
      <w:r>
        <w:rPr>
          <w:spacing w:val="-72"/>
        </w:rPr>
      </w:r>
      <w:r>
        <w:rPr/>
        <w:t>册资本</w:t>
      </w:r>
      <w:r>
        <w:rPr>
          <w:rFonts w:ascii="Times New Roman" w:hAnsi="Times New Roman" w:cs="Times New Roman" w:eastAsia="Times New Roman" w:hint="default"/>
        </w:rPr>
        <w:t>144982.4087</w:t>
      </w:r>
      <w:r>
        <w:rPr/>
        <w:t>万元，统一社会信用代码：</w:t>
      </w:r>
      <w:r>
        <w:rPr>
          <w:rFonts w:ascii="Times New Roman" w:hAnsi="Times New Roman" w:cs="Times New Roman" w:eastAsia="Times New Roman" w:hint="default"/>
        </w:rPr>
        <w:t>91110000101967333M</w:t>
      </w:r>
      <w:r>
        <w:rPr/>
        <w:t>。</w:t>
      </w:r>
    </w:p>
    <w:p>
      <w:pPr>
        <w:pStyle w:val="BodyText"/>
        <w:spacing w:line="316" w:lineRule="auto" w:before="13"/>
        <w:ind w:left="513" w:right="6143"/>
        <w:jc w:val="left"/>
        <w:rPr>
          <w:rFonts w:ascii="Times New Roman" w:hAnsi="Times New Roman" w:cs="Times New Roman" w:eastAsia="Times New Roman" w:hint="default"/>
        </w:rPr>
      </w:pPr>
      <w:r>
        <w:rPr/>
        <w:t>公司法定代表人：林皓。 统一社会信用代码：</w:t>
      </w:r>
      <w:r>
        <w:rPr>
          <w:rFonts w:ascii="Times New Roman" w:hAnsi="Times New Roman" w:cs="Times New Roman" w:eastAsia="Times New Roman" w:hint="default"/>
        </w:rPr>
        <w:t>91110000101967333M</w:t>
      </w:r>
    </w:p>
    <w:p>
      <w:pPr>
        <w:pStyle w:val="BodyText"/>
        <w:spacing w:line="300" w:lineRule="auto"/>
        <w:ind w:left="513" w:right="93"/>
        <w:jc w:val="left"/>
      </w:pPr>
      <w:r>
        <w:rPr/>
        <w:t>注册地址：北京市海淀区中关村南大街</w:t>
      </w:r>
      <w:r>
        <w:rPr>
          <w:rFonts w:ascii="Times New Roman" w:hAnsi="Times New Roman" w:cs="Times New Roman" w:eastAsia="Times New Roman" w:hint="default"/>
        </w:rPr>
        <w:t>34</w:t>
      </w:r>
      <w:r>
        <w:rPr/>
        <w:t>号中关村科技发展大厦</w:t>
      </w:r>
      <w:r>
        <w:rPr>
          <w:rFonts w:ascii="Times New Roman" w:hAnsi="Times New Roman" w:cs="Times New Roman" w:eastAsia="Times New Roman" w:hint="default"/>
        </w:rPr>
        <w:t>C</w:t>
      </w:r>
      <w:r>
        <w:rPr/>
        <w:t>座</w:t>
      </w:r>
      <w:r>
        <w:rPr>
          <w:rFonts w:ascii="Times New Roman" w:hAnsi="Times New Roman" w:cs="Times New Roman" w:eastAsia="Times New Roman" w:hint="default"/>
        </w:rPr>
        <w:t>1602</w:t>
      </w:r>
      <w:r>
        <w:rPr/>
        <w:t>室。 本公司主要经营范围：计算机系统服务；数据处理；基础软件服务；应用软件服务；计算机软硬件及通信设备的研发、</w:t>
      </w:r>
    </w:p>
    <w:p>
      <w:pPr>
        <w:pStyle w:val="BodyText"/>
        <w:spacing w:line="314" w:lineRule="auto" w:before="31"/>
        <w:ind w:right="94"/>
        <w:jc w:val="left"/>
      </w:pPr>
      <w:r>
        <w:rPr/>
        <w:t>技术推广、技术转让、技术培训、维修、咨询、服务、销售；计算机软硬件的生产、组装；复制记录媒介（不含出版物）； </w:t>
      </w:r>
      <w:r>
        <w:rPr>
          <w:spacing w:val="-2"/>
        </w:rPr>
        <w:t>技术进出口、货物进出口、代理进出口；销售计算机信息系统安全专用产品、经国家密码管理局审批并通过指定检测机构产</w:t>
      </w:r>
      <w:r>
        <w:rPr>
          <w:spacing w:val="-64"/>
        </w:rPr>
        <w:t> </w:t>
      </w:r>
      <w:r>
        <w:rPr>
          <w:spacing w:val="-64"/>
        </w:rPr>
      </w:r>
      <w:r>
        <w:rPr>
          <w:spacing w:val="-2"/>
        </w:rPr>
        <w:t>品质量检测的商用密码产品；经国家密码管理机构批准的商用密码产品的开发；第二类增值电信业务中的信息服务业务（不</w:t>
      </w:r>
      <w:r>
        <w:rPr>
          <w:spacing w:val="-63"/>
        </w:rPr>
        <w:t> </w:t>
      </w:r>
      <w:r>
        <w:rPr>
          <w:spacing w:val="-63"/>
        </w:rPr>
      </w:r>
      <w:r>
        <w:rPr/>
        <w:t>含固定网电话信息服务）。（企业依法自主选择经营项目，开展经营活动</w:t>
      </w:r>
      <w:r>
        <w:rPr>
          <w:rFonts w:ascii="Times New Roman" w:hAnsi="Times New Roman" w:cs="Times New Roman" w:eastAsia="Times New Roman" w:hint="default"/>
        </w:rPr>
        <w:t>;</w:t>
      </w:r>
      <w:r>
        <w:rPr/>
        <w:t>第二类增值电信业务中的信息服务业务以及依法</w:t>
      </w:r>
      <w:r>
        <w:rPr>
          <w:spacing w:val="-47"/>
        </w:rPr>
        <w:t> </w:t>
      </w:r>
      <w:r>
        <w:rPr>
          <w:spacing w:val="-47"/>
        </w:rPr>
      </w:r>
      <w:r>
        <w:rPr/>
        <w:t>须经批准的项目，经相关部门批准后依批准的内容开展经营活动；不得从事本市产业政策禁止和限制类项目的经营活动。）</w:t>
      </w:r>
    </w:p>
    <w:p>
      <w:pPr>
        <w:pStyle w:val="BodyText"/>
        <w:spacing w:line="300" w:lineRule="auto" w:before="21"/>
        <w:ind w:left="513" w:right="94"/>
        <w:jc w:val="left"/>
      </w:pPr>
      <w:r>
        <w:rPr/>
        <w:t>本财务报表业经公司董事会于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日决议批准报出。 本公司</w:t>
      </w:r>
      <w:r>
        <w:rPr>
          <w:rFonts w:ascii="Times New Roman" w:hAnsi="Times New Roman" w:cs="Times New Roman" w:eastAsia="Times New Roman" w:hint="default"/>
        </w:rPr>
        <w:t>2017</w:t>
      </w:r>
      <w:r>
        <w:rPr/>
        <w:t>年度纳入合并范围的子公司共</w:t>
      </w:r>
      <w:r>
        <w:rPr>
          <w:rFonts w:ascii="Times New Roman" w:hAnsi="Times New Roman" w:cs="Times New Roman" w:eastAsia="Times New Roman" w:hint="default"/>
        </w:rPr>
        <w:t>8</w:t>
      </w:r>
      <w:r>
        <w:rPr/>
        <w:t>户，详见本附注九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。本公司本年度合并范围比上年度</w:t>
      </w:r>
    </w:p>
    <w:p>
      <w:pPr>
        <w:pStyle w:val="BodyText"/>
        <w:spacing w:line="240" w:lineRule="auto" w:before="13"/>
        <w:ind w:right="94"/>
        <w:jc w:val="left"/>
      </w:pPr>
      <w:r>
        <w:rPr/>
        <w:t>增加</w:t>
      </w:r>
      <w:r>
        <w:rPr>
          <w:rFonts w:ascii="Times New Roman" w:hAnsi="Times New Roman" w:cs="Times New Roman" w:eastAsia="Times New Roman" w:hint="default"/>
        </w:rPr>
        <w:t>3</w:t>
      </w:r>
      <w:r>
        <w:rPr/>
        <w:t>户，详见本附注八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18"/>
          <w:szCs w:val="18"/>
        </w:rPr>
      </w:pPr>
    </w:p>
    <w:p>
      <w:pPr>
        <w:pStyle w:val="Heading2"/>
        <w:spacing w:line="240" w:lineRule="auto"/>
        <w:ind w:right="94"/>
        <w:jc w:val="left"/>
        <w:rPr>
          <w:b w:val="0"/>
          <w:bCs w:val="0"/>
        </w:rPr>
      </w:pPr>
      <w:r>
        <w:rPr/>
        <w:t>四、财务报表的编制基础</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94"/>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513" w:right="94"/>
        <w:jc w:val="left"/>
      </w:pPr>
      <w:r>
        <w:rPr>
          <w:spacing w:val="-4"/>
        </w:rPr>
        <w:t>本公司财务报表以持续经营假设为基础，根据实际发生的交易和事项，按照财政部发布的《企业会计准则</w:t>
      </w:r>
      <w:r>
        <w:rPr>
          <w:rFonts w:ascii="Times New Roman" w:hAnsi="Times New Roman" w:cs="Times New Roman" w:eastAsia="Times New Roman" w:hint="default"/>
          <w:spacing w:val="-4"/>
        </w:rPr>
        <w:t>——</w:t>
      </w:r>
      <w:r>
        <w:rPr>
          <w:spacing w:val="-4"/>
        </w:rPr>
        <w:t>基本准则》</w:t>
      </w:r>
    </w:p>
    <w:p>
      <w:pPr>
        <w:pStyle w:val="BodyText"/>
        <w:spacing w:line="300" w:lineRule="auto" w:before="63"/>
        <w:ind w:right="191"/>
        <w:jc w:val="both"/>
      </w:pPr>
      <w:r>
        <w:rPr/>
        <w:t>（财政部令第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w:t>
      </w:r>
      <w:r>
        <w:rPr>
          <w:rFonts w:ascii="Times New Roman" w:hAnsi="Times New Roman" w:cs="Times New Roman" w:eastAsia="Times New Roman" w:hint="default"/>
        </w:rPr>
        <w:t>42</w:t>
      </w:r>
      <w:r>
        <w:rPr/>
        <w:t>项具体会计准则、企业会计准则</w:t>
      </w:r>
      <w:r>
        <w:rPr>
          <w:spacing w:val="-87"/>
        </w:rPr>
        <w:t> </w:t>
      </w:r>
      <w:r>
        <w:rPr>
          <w:spacing w:val="-87"/>
        </w:rPr>
      </w:r>
      <w:r>
        <w:rPr>
          <w:spacing w:val="-2"/>
        </w:rPr>
        <w:t>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），以及中国证券监督管理委员会《公开发行证券</w:t>
      </w:r>
      <w:r>
        <w:rPr>
          <w:spacing w:val="-46"/>
        </w:rPr>
        <w:t> </w:t>
      </w:r>
      <w:r>
        <w:rPr>
          <w:spacing w:val="-46"/>
        </w:rPr>
      </w:r>
      <w:r>
        <w:rPr/>
        <w:t>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w:t>
      </w:r>
    </w:p>
    <w:p>
      <w:pPr>
        <w:pStyle w:val="BodyText"/>
        <w:spacing w:line="316" w:lineRule="auto" w:before="13"/>
        <w:ind w:right="190" w:firstLine="360"/>
        <w:jc w:val="both"/>
      </w:pPr>
      <w:r>
        <w:rPr>
          <w:spacing w:val="-2"/>
        </w:rPr>
        <w:t>根据企业会计准则的相关规定，本公司会计核算以权责发生制为基础。除某些金融工具和投资性房地产外，本财务报表</w:t>
      </w:r>
      <w:r>
        <w:rPr/>
        <w:t> 均以历史成本为计量基础。资产如果发生减值，则按照相关规定计提相应的减值准备。</w:t>
      </w:r>
    </w:p>
    <w:p>
      <w:pPr>
        <w:spacing w:line="240" w:lineRule="auto" w:before="9"/>
        <w:rPr>
          <w:rFonts w:ascii="宋体" w:hAnsi="宋体" w:cs="宋体" w:eastAsia="宋体" w:hint="default"/>
          <w:sz w:val="17"/>
          <w:szCs w:val="17"/>
        </w:rPr>
      </w:pPr>
    </w:p>
    <w:p>
      <w:pPr>
        <w:pStyle w:val="Heading3"/>
        <w:spacing w:line="240" w:lineRule="auto"/>
        <w:ind w:right="94"/>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4"/>
        <w:jc w:val="left"/>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5"/>
        <w:rPr>
          <w:rFonts w:ascii="宋体" w:hAnsi="宋体" w:cs="宋体" w:eastAsia="宋体" w:hint="default"/>
          <w:sz w:val="18"/>
          <w:szCs w:val="18"/>
        </w:rPr>
      </w:pPr>
    </w:p>
    <w:p>
      <w:pPr>
        <w:pStyle w:val="Heading2"/>
        <w:spacing w:line="240" w:lineRule="auto"/>
        <w:ind w:right="94"/>
        <w:jc w:val="left"/>
        <w:rPr>
          <w:b w:val="0"/>
          <w:bCs w:val="0"/>
        </w:rPr>
      </w:pPr>
      <w:r>
        <w:rPr/>
        <w:t>五、重要会计政策及会计估计</w:t>
      </w:r>
      <w:r>
        <w:rPr>
          <w:b w:val="0"/>
          <w:bCs w:val="0"/>
        </w:rPr>
      </w:r>
    </w:p>
    <w:p>
      <w:pPr>
        <w:spacing w:line="240" w:lineRule="auto" w:before="4"/>
        <w:rPr>
          <w:rFonts w:ascii="Microsoft JhengHei" w:hAnsi="Microsoft JhengHei" w:cs="Microsoft JhengHei" w:eastAsia="Microsoft JhengHei" w:hint="default"/>
          <w:b/>
          <w:bCs/>
          <w:sz w:val="18"/>
          <w:szCs w:val="18"/>
        </w:rPr>
      </w:pPr>
    </w:p>
    <w:p>
      <w:pPr>
        <w:pStyle w:val="BodyText"/>
        <w:spacing w:line="360" w:lineRule="auto"/>
        <w:ind w:right="6754"/>
        <w:jc w:val="left"/>
      </w:pPr>
      <w:r>
        <w:rPr/>
        <w:t>公司是否需要遵守特殊行业的披露要求 否</w:t>
      </w:r>
    </w:p>
    <w:p>
      <w:pPr>
        <w:pStyle w:val="BodyText"/>
        <w:spacing w:line="360" w:lineRule="auto" w:before="25"/>
        <w:ind w:left="513" w:right="94" w:hanging="361"/>
        <w:jc w:val="left"/>
      </w:pPr>
      <w:r>
        <w:rPr/>
        <w:t>具体会计政策和会计估计提示： </w:t>
      </w:r>
      <w:r>
        <w:rPr>
          <w:spacing w:val="-2"/>
        </w:rPr>
        <w:t>本公司及各子公司从事软件行业研发、生产和销售。本公司及各子公司根据实际生产经营特点，依据相关企业会计准则</w:t>
      </w:r>
    </w:p>
    <w:p>
      <w:pPr>
        <w:pStyle w:val="BodyText"/>
        <w:spacing w:line="236" w:lineRule="exact"/>
        <w:ind w:right="94"/>
        <w:jc w:val="left"/>
      </w:pPr>
      <w:r>
        <w:rPr/>
        <w:t>的规定，对收入确认等交易和事项制定了若干项具体会计政策和会计估计，详见本附注五、</w:t>
      </w:r>
      <w:r>
        <w:rPr>
          <w:rFonts w:ascii="Times New Roman" w:hAnsi="Times New Roman" w:cs="Times New Roman" w:eastAsia="Times New Roman" w:hint="default"/>
        </w:rPr>
        <w:t>26“</w:t>
      </w:r>
      <w:r>
        <w:rPr/>
        <w:t>收入</w:t>
      </w:r>
      <w:r>
        <w:rPr>
          <w:rFonts w:ascii="Times New Roman" w:hAnsi="Times New Roman" w:cs="Times New Roman" w:eastAsia="Times New Roman" w:hint="default"/>
        </w:rPr>
        <w:t>”</w:t>
      </w:r>
      <w:r>
        <w:rPr/>
        <w:t>等各项描述。关于管理</w:t>
      </w:r>
    </w:p>
    <w:p>
      <w:pPr>
        <w:pStyle w:val="BodyText"/>
        <w:spacing w:line="240" w:lineRule="auto" w:before="63"/>
        <w:ind w:right="94"/>
        <w:jc w:val="left"/>
      </w:pPr>
      <w:r>
        <w:rPr/>
        <w:t>层所作出的重大会计判断和估计的说明，请参阅附注五、</w:t>
      </w:r>
      <w:r>
        <w:rPr>
          <w:rFonts w:ascii="Times New Roman" w:hAnsi="Times New Roman" w:cs="Times New Roman" w:eastAsia="Times New Roman" w:hint="default"/>
        </w:rPr>
        <w:t>30“</w:t>
      </w:r>
      <w:r>
        <w:rPr/>
        <w:t>重大会计判断和估计</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1"/>
          <w:szCs w:val="21"/>
        </w:rPr>
      </w:pPr>
    </w:p>
    <w:p>
      <w:pPr>
        <w:pStyle w:val="Heading3"/>
        <w:spacing w:line="240" w:lineRule="auto"/>
        <w:ind w:right="94"/>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191" w:firstLine="288"/>
        <w:jc w:val="both"/>
      </w:pPr>
      <w:r>
        <w:rPr>
          <w:spacing w:val="-1"/>
        </w:rPr>
        <w:t>本公司编制的财务报表符合企业会计准则的要求，真实、完整地反映了本公司</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日的财务状况及</w:t>
      </w:r>
      <w:r>
        <w:rPr>
          <w:rFonts w:ascii="Times New Roman" w:hAnsi="Times New Roman" w:cs="Times New Roman" w:eastAsia="Times New Roman" w:hint="default"/>
          <w:spacing w:val="-1"/>
        </w:rPr>
        <w:t>2017</w:t>
      </w:r>
      <w:r>
        <w:rPr>
          <w:spacing w:val="-1"/>
        </w:rPr>
        <w:t>年度的</w:t>
      </w:r>
      <w:r>
        <w:rPr/>
        <w:t> </w:t>
      </w:r>
      <w:r>
        <w:rPr>
          <w:spacing w:val="-2"/>
        </w:rPr>
        <w:t>经营成果和现金流量等有关信息。此外，本公司的财务报表在所有重大方面符合中国证券监督管理委员会</w:t>
      </w:r>
      <w:r>
        <w:rPr>
          <w:rFonts w:ascii="Times New Roman" w:hAnsi="Times New Roman" w:cs="Times New Roman" w:eastAsia="Times New Roman" w:hint="default"/>
          <w:spacing w:val="-2"/>
        </w:rPr>
        <w:t>2014</w:t>
      </w:r>
      <w:r>
        <w:rPr>
          <w:spacing w:val="-2"/>
        </w:rPr>
        <w:t>年修订的《公</w:t>
      </w:r>
      <w:r>
        <w:rPr>
          <w:spacing w:val="-62"/>
        </w:rPr>
        <w:t> </w:t>
      </w:r>
      <w:r>
        <w:rPr>
          <w:spacing w:val="-62"/>
        </w:rPr>
      </w:r>
      <w:r>
        <w:rPr/>
        <w:t>开发行证券的公司信息披露编报规则第</w:t>
      </w:r>
      <w:r>
        <w:rPr>
          <w:rFonts w:ascii="Times New Roman" w:hAnsi="Times New Roman" w:cs="Times New Roman" w:eastAsia="Times New Roman" w:hint="default"/>
        </w:rPr>
        <w:t>15</w:t>
      </w:r>
      <w:r>
        <w:rPr/>
        <w:t>号－财务报告的一般规定》有关财务报表及其附注的披露要求。</w:t>
      </w:r>
    </w:p>
    <w:p>
      <w:pPr>
        <w:spacing w:after="0" w:line="300" w:lineRule="auto"/>
        <w:jc w:val="both"/>
        <w:sectPr>
          <w:pgSz w:w="11910" w:h="16840"/>
          <w:pgMar w:header="745" w:footer="1133" w:top="1060" w:bottom="1320" w:left="980" w:right="940"/>
        </w:sectPr>
      </w:pPr>
    </w:p>
    <w:p>
      <w:pPr>
        <w:spacing w:line="240" w:lineRule="auto" w:before="10"/>
        <w:rPr>
          <w:rFonts w:ascii="宋体" w:hAnsi="宋体" w:cs="宋体" w:eastAsia="宋体" w:hint="default"/>
          <w:sz w:val="24"/>
          <w:szCs w:val="24"/>
        </w:rPr>
      </w:pPr>
    </w:p>
    <w:p>
      <w:pPr>
        <w:pStyle w:val="Heading3"/>
        <w:spacing w:line="335" w:lineRule="exact"/>
        <w:ind w:right="94"/>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47" w:firstLine="307"/>
        <w:jc w:val="left"/>
      </w:pPr>
      <w:r>
        <w:rPr/>
        <w:t>本公司的会计期间分为年度和中期，会计中期指短于一个完整的会计年度的报告期间。本公司会计年度采用公历年度， 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right="94"/>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00" w:lineRule="auto"/>
        <w:ind w:right="308" w:firstLine="326"/>
        <w:jc w:val="left"/>
      </w:pPr>
      <w:r>
        <w:rPr/>
        <w:t>正常营业周期是指本公司从购买用于加工的资产起至实现现金或现金等价物的期间。本公司以</w:t>
      </w:r>
      <w:r>
        <w:rPr>
          <w:rFonts w:ascii="Times New Roman" w:hAnsi="Times New Roman" w:cs="Times New Roman" w:eastAsia="Times New Roman" w:hint="default"/>
        </w:rPr>
        <w:t>12</w:t>
      </w:r>
      <w:r>
        <w:rPr/>
        <w:t>个月作为一个营业周 期，并以其作为资产和负债的流动性划分标准。</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94" w:firstLine="379"/>
        <w:jc w:val="left"/>
      </w:pPr>
      <w:r>
        <w:rPr/>
        <w:t>人民币为本公司及境内子公司经营所处的主要经济环境中的货币，本公司及境内子公司以人民币为记账本位币。本公 </w:t>
      </w:r>
      <w:r>
        <w:rPr>
          <w:spacing w:val="-2"/>
        </w:rPr>
        <w:t>司之境外子公司根据其经营所处的主要经济环境中的货币确定马来币为其记账本位币。本公司编制本财务报表时所采用的货</w:t>
      </w:r>
      <w:r>
        <w:rPr>
          <w:spacing w:val="-64"/>
        </w:rPr>
        <w:t> </w:t>
      </w:r>
      <w:r>
        <w:rPr>
          <w:spacing w:val="-64"/>
        </w:rPr>
      </w:r>
      <w:r>
        <w:rPr/>
        <w:t>币为人民币。</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94"/>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16" w:lineRule="auto"/>
        <w:ind w:left="155" w:right="94" w:firstLine="360"/>
        <w:jc w:val="left"/>
      </w:pPr>
      <w:r>
        <w:rPr>
          <w:spacing w:val="-2"/>
        </w:rPr>
        <w:t>企业合并，是指将两个或两个以上单独的企业合并形成一个报告主体的交易或事项。企业合并分为同一控制下企业合并</w:t>
      </w:r>
      <w:r>
        <w:rPr/>
        <w:t> 和非同一控制下企业合并。</w:t>
      </w:r>
    </w:p>
    <w:p>
      <w:pPr>
        <w:pStyle w:val="BodyText"/>
        <w:spacing w:line="300" w:lineRule="auto" w:before="19"/>
        <w:ind w:left="525" w:right="94" w:hanging="65"/>
        <w:jc w:val="left"/>
      </w:pPr>
      <w:r>
        <w:rPr/>
        <w:t>（</w:t>
      </w:r>
      <w:r>
        <w:rPr>
          <w:rFonts w:ascii="Times New Roman" w:hAnsi="Times New Roman" w:cs="Times New Roman" w:eastAsia="Times New Roman" w:hint="default"/>
        </w:rPr>
        <w:t>1</w:t>
      </w:r>
      <w:r>
        <w:rPr/>
        <w:t>）同一控制下企业合并 参与合并的企业在合并前后均受同一方或相同的多方最终控制，且该控制并非暂时性的，为同一控制下的企业合并。</w:t>
      </w:r>
    </w:p>
    <w:p>
      <w:pPr>
        <w:pStyle w:val="BodyText"/>
        <w:spacing w:line="316" w:lineRule="auto" w:before="31"/>
        <w:ind w:right="94"/>
        <w:jc w:val="left"/>
      </w:pPr>
      <w:r>
        <w:rPr>
          <w:spacing w:val="-2"/>
        </w:rPr>
        <w:t>同一控制下的企业合并，在合并日取得对其他参与合并企业控制权的一方为合并方，参与合并的其他企业为被合并方。合并</w:t>
      </w:r>
      <w:r>
        <w:rPr>
          <w:spacing w:val="-63"/>
        </w:rPr>
        <w:t> </w:t>
      </w:r>
      <w:r>
        <w:rPr>
          <w:spacing w:val="-63"/>
        </w:rPr>
      </w:r>
      <w:r>
        <w:rPr/>
        <w:t>日，是指合并方实际取得对被合并方控制权的日期。</w:t>
      </w:r>
    </w:p>
    <w:p>
      <w:pPr>
        <w:pStyle w:val="BodyText"/>
        <w:spacing w:line="316" w:lineRule="auto" w:before="19"/>
        <w:ind w:right="94" w:firstLine="372"/>
        <w:jc w:val="left"/>
      </w:pPr>
      <w:r>
        <w:rPr/>
        <w:t>合并方取得的资产和负债均按合并日在被合并方的账面价值计量。合并方取得的净资产账面价值与支付的合并对价账 </w:t>
      </w:r>
      <w:r>
        <w:rPr>
          <w:spacing w:val="-4"/>
        </w:rPr>
        <w:t>面价值（或发行股份面值总额）的差额，调整资本公积（股本溢价）；资本公积（股本溢价）不足以冲减的，调整留存收益。</w:t>
      </w:r>
    </w:p>
    <w:p>
      <w:pPr>
        <w:pStyle w:val="BodyText"/>
        <w:spacing w:line="240" w:lineRule="auto" w:before="19"/>
        <w:ind w:left="525" w:right="94"/>
        <w:jc w:val="left"/>
      </w:pPr>
      <w:r>
        <w:rPr/>
        <w:t>合并方为进行企业合并发生的各项直接费用，于发生时计入当期损益。</w:t>
      </w:r>
    </w:p>
    <w:p>
      <w:pPr>
        <w:pStyle w:val="BodyText"/>
        <w:spacing w:line="300" w:lineRule="auto" w:before="76"/>
        <w:ind w:left="525" w:right="94" w:hanging="72"/>
        <w:jc w:val="left"/>
      </w:pPr>
      <w:r>
        <w:rPr/>
        <w:t>（</w:t>
      </w:r>
      <w:r>
        <w:rPr>
          <w:rFonts w:ascii="Times New Roman" w:hAnsi="Times New Roman" w:cs="Times New Roman" w:eastAsia="Times New Roman" w:hint="default"/>
        </w:rPr>
        <w:t>2</w:t>
      </w:r>
      <w:r>
        <w:rPr/>
        <w:t>）非同一控制下企业合并 参与合并的企业在合并前后不受同一方或相同的多方最终控制的，为非同一控制下的企业合并。非同一控制下的企业</w:t>
      </w:r>
    </w:p>
    <w:p>
      <w:pPr>
        <w:pStyle w:val="BodyText"/>
        <w:spacing w:line="316" w:lineRule="auto" w:before="31"/>
        <w:ind w:right="94"/>
        <w:jc w:val="left"/>
      </w:pPr>
      <w:r>
        <w:rPr>
          <w:spacing w:val="-2"/>
        </w:rPr>
        <w:t>合并，在购买日取得对其他参与合并企业控制权的一方为购买方，参与合并的其他企业为被购买方。购买日，是指为购买方</w:t>
      </w:r>
      <w:r>
        <w:rPr>
          <w:spacing w:val="-64"/>
        </w:rPr>
        <w:t> </w:t>
      </w:r>
      <w:r>
        <w:rPr>
          <w:spacing w:val="-64"/>
        </w:rPr>
      </w:r>
      <w:r>
        <w:rPr/>
        <w:t>实际取得对被购买方控制权的日期。</w:t>
      </w:r>
    </w:p>
    <w:p>
      <w:pPr>
        <w:pStyle w:val="BodyText"/>
        <w:spacing w:line="316" w:lineRule="auto" w:before="19"/>
        <w:ind w:right="191" w:firstLine="372"/>
        <w:jc w:val="both"/>
      </w:pPr>
      <w:r>
        <w:rPr/>
        <w:t>对于非同一控制下的企业合并，合并成本包含购买日购买方为取得对被购买方的控制权而付出的资产、发生或承担的 </w:t>
      </w:r>
      <w:r>
        <w:rPr>
          <w:spacing w:val="-2"/>
        </w:rPr>
        <w:t>负债以及发行的权益性证券的公允价值，为企业合并发生的审计、法律服务、评估咨询等中介费用以及其他管理费用于发生</w:t>
      </w:r>
      <w:r>
        <w:rPr>
          <w:spacing w:val="-66"/>
        </w:rPr>
        <w:t> </w:t>
      </w:r>
      <w:r>
        <w:rPr>
          <w:spacing w:val="-66"/>
        </w:rPr>
      </w:r>
      <w:r>
        <w:rPr>
          <w:spacing w:val="-2"/>
        </w:rPr>
        <w:t>时计入当期损益。购买方作为合并对价发行的权益性证券或债务性证券的交易费用，计入权益性证券或债务性证券的初始确</w:t>
      </w:r>
      <w:r>
        <w:rPr>
          <w:spacing w:val="-63"/>
        </w:rPr>
        <w:t> </w:t>
      </w:r>
      <w:r>
        <w:rPr>
          <w:spacing w:val="-63"/>
        </w:rPr>
      </w:r>
      <w:r>
        <w:rPr>
          <w:spacing w:val="-2"/>
        </w:rPr>
        <w:t>认金额。所涉及的或有对价按其在购买日的公允价值计入合并成本，购买日后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w:t>
      </w:r>
      <w:r>
        <w:rPr>
          <w:spacing w:val="-62"/>
        </w:rPr>
        <w:t> </w:t>
      </w:r>
      <w:r>
        <w:rPr>
          <w:spacing w:val="-62"/>
        </w:rPr>
      </w:r>
      <w:r>
        <w:rPr>
          <w:spacing w:val="-2"/>
        </w:rPr>
        <w:t>一步证据而需要调整或有对价的，相应调整合并商誉。购买方发生的合并成本及在合并中取得的可辨认净资产按购买日的公</w:t>
      </w:r>
      <w:r>
        <w:rPr>
          <w:spacing w:val="-64"/>
        </w:rPr>
        <w:t> </w:t>
      </w:r>
      <w:r>
        <w:rPr>
          <w:spacing w:val="-64"/>
        </w:rPr>
      </w:r>
      <w:r>
        <w:rPr>
          <w:spacing w:val="-2"/>
        </w:rPr>
        <w:t>允价值计量。合并成本大于合并中取得的被购买方于购买日可辨认净资产公允价值份额的差额，确认为商誉。合并成本小于</w:t>
      </w:r>
      <w:r>
        <w:rPr>
          <w:spacing w:val="-66"/>
        </w:rPr>
        <w:t> </w:t>
      </w:r>
      <w:r>
        <w:rPr>
          <w:spacing w:val="-66"/>
        </w:rPr>
      </w:r>
      <w:r>
        <w:rPr>
          <w:spacing w:val="-2"/>
        </w:rPr>
        <w:t>合并中取得的被购买方可辨认净资产公允价值份额的，首先对取得的被购买方各项可辨认资产、负债及或有负债的公允价值</w:t>
      </w:r>
      <w:r>
        <w:rPr>
          <w:spacing w:val="-64"/>
        </w:rPr>
        <w:t> </w:t>
      </w:r>
      <w:r>
        <w:rPr>
          <w:spacing w:val="-64"/>
        </w:rPr>
      </w:r>
      <w:r>
        <w:rPr>
          <w:spacing w:val="-2"/>
        </w:rPr>
        <w:t>以及合并成本的计量进行复核，复核后合并成本仍小于合并中取得的被购买方可辨认净资产公允价值份额的，其差额计入当</w:t>
      </w:r>
      <w:r>
        <w:rPr>
          <w:spacing w:val="-63"/>
        </w:rPr>
        <w:t> </w:t>
      </w:r>
      <w:r>
        <w:rPr>
          <w:spacing w:val="-63"/>
        </w:rPr>
      </w:r>
      <w:r>
        <w:rPr/>
        <w:t>期损益。</w:t>
      </w:r>
    </w:p>
    <w:p>
      <w:pPr>
        <w:pStyle w:val="BodyText"/>
        <w:spacing w:line="240" w:lineRule="auto" w:before="19"/>
        <w:ind w:left="525" w:right="94"/>
        <w:jc w:val="left"/>
        <w:rPr>
          <w:rFonts w:ascii="Times New Roman" w:hAnsi="Times New Roman" w:cs="Times New Roman" w:eastAsia="Times New Roman" w:hint="default"/>
        </w:rPr>
      </w:pPr>
      <w:r>
        <w:rPr/>
        <w:t>购买方取得被购买方的可抵扣暂时性差异，在购买日因不符合递延所得税资产确认条件而未予确认的，在购买日后</w:t>
      </w:r>
      <w:r>
        <w:rPr>
          <w:rFonts w:ascii="Times New Roman" w:hAnsi="Times New Roman" w:cs="Times New Roman" w:eastAsia="Times New Roman" w:hint="default"/>
        </w:rPr>
        <w:t>12</w:t>
      </w:r>
    </w:p>
    <w:p>
      <w:pPr>
        <w:spacing w:after="0" w:line="240" w:lineRule="auto"/>
        <w:jc w:val="left"/>
        <w:rPr>
          <w:rFonts w:ascii="Times New Roman" w:hAnsi="Times New Roman" w:cs="Times New Roman" w:eastAsia="Times New Roman" w:hint="default"/>
        </w:rPr>
        <w:sectPr>
          <w:pgSz w:w="11910" w:h="16840"/>
          <w:pgMar w:header="745" w:footer="1133" w:top="1060" w:bottom="1320" w:left="980" w:right="940"/>
        </w:sectPr>
      </w:pPr>
    </w:p>
    <w:p>
      <w:pPr>
        <w:spacing w:line="240" w:lineRule="auto" w:before="3"/>
        <w:rPr>
          <w:rFonts w:ascii="Times New Roman" w:hAnsi="Times New Roman" w:cs="Times New Roman" w:eastAsia="Times New Roman" w:hint="default"/>
          <w:sz w:val="29"/>
          <w:szCs w:val="29"/>
        </w:rPr>
      </w:pPr>
    </w:p>
    <w:p>
      <w:pPr>
        <w:pStyle w:val="BodyText"/>
        <w:spacing w:line="316" w:lineRule="auto" w:before="44"/>
        <w:ind w:right="193"/>
        <w:jc w:val="both"/>
      </w:pP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7"/>
        </w:rPr>
        <w:t> </w:t>
      </w:r>
      <w:r>
        <w:rPr>
          <w:spacing w:val="-67"/>
        </w:rPr>
      </w:r>
      <w:r>
        <w:rPr/>
        <w:t>以外，确认与企业合并相关的递延所得税资产的，计入当期损益。</w:t>
      </w:r>
    </w:p>
    <w:p>
      <w:pPr>
        <w:pStyle w:val="BodyText"/>
        <w:spacing w:line="300" w:lineRule="auto" w:before="19"/>
        <w:ind w:right="92" w:firstLine="372"/>
        <w:jc w:val="left"/>
      </w:pPr>
      <w:r>
        <w:rPr>
          <w:spacing w:val="-5"/>
        </w:rPr>
        <w:t>通过多次交易分步实现的非同一控制下企业合并，根据《财政部关于印发企业会计准则解释第</w:t>
      </w:r>
      <w:r>
        <w:rPr>
          <w:rFonts w:ascii="Times New Roman" w:hAnsi="Times New Roman" w:cs="Times New Roman" w:eastAsia="Times New Roman" w:hint="default"/>
          <w:spacing w:val="-5"/>
        </w:rPr>
        <w:t>5</w:t>
      </w:r>
      <w:r>
        <w:rPr>
          <w:spacing w:val="-5"/>
        </w:rPr>
        <w:t>号的通知》（财会〔</w:t>
      </w:r>
      <w:r>
        <w:rPr>
          <w:rFonts w:ascii="Times New Roman" w:hAnsi="Times New Roman" w:cs="Times New Roman" w:eastAsia="Times New Roman" w:hint="default"/>
          <w:spacing w:val="-5"/>
        </w:rPr>
        <w:t>2012</w:t>
      </w:r>
      <w:r>
        <w:rPr>
          <w:spacing w:val="-5"/>
        </w:rPr>
        <w:t>〕</w:t>
      </w:r>
      <w:r>
        <w:rPr/>
        <w:t> </w:t>
      </w: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的判断标准（参见本附注五、</w:t>
      </w:r>
      <w:r>
        <w:rPr>
          <w:rFonts w:ascii="Times New Roman" w:hAnsi="Times New Roman" w:cs="Times New Roman" w:eastAsia="Times New Roman" w:hint="default"/>
        </w:rPr>
        <w:t>6</w:t>
      </w:r>
      <w:r>
        <w:rPr/>
        <w:t>（</w:t>
      </w:r>
      <w:r>
        <w:rPr>
          <w:rFonts w:ascii="Times New Roman" w:hAnsi="Times New Roman" w:cs="Times New Roman" w:eastAsia="Times New Roman" w:hint="default"/>
        </w:rPr>
        <w:t>2</w:t>
      </w:r>
      <w:r>
        <w:rPr/>
        <w:t>））， 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的，参考本部分前面各段描述及本附注四、</w:t>
      </w:r>
      <w:r>
        <w:rPr>
          <w:rFonts w:ascii="Times New Roman" w:hAnsi="Times New Roman" w:cs="Times New Roman" w:eastAsia="Times New Roman" w:hint="default"/>
        </w:rPr>
        <w:t>13“</w:t>
      </w:r>
      <w:r>
        <w:rPr/>
        <w:t>长期股权投资</w:t>
      </w:r>
      <w:r>
        <w:rPr>
          <w:rFonts w:ascii="Times New Roman" w:hAnsi="Times New Roman" w:cs="Times New Roman" w:eastAsia="Times New Roman" w:hint="default"/>
        </w:rPr>
        <w:t>”</w:t>
      </w:r>
      <w:r>
        <w:rPr/>
        <w:t>进 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的，区分个别财务报表和合并财务报表进行相关会计处理：</w:t>
      </w:r>
    </w:p>
    <w:p>
      <w:pPr>
        <w:pStyle w:val="BodyText"/>
        <w:spacing w:line="316" w:lineRule="auto" w:before="13"/>
        <w:ind w:right="192" w:firstLine="372"/>
        <w:jc w:val="both"/>
      </w:pPr>
      <w:r>
        <w:rPr/>
        <w:t>在个别财务报表中，以购买日之前所持被购买方的股权投资的账面价值与购买日新增投资成本之和，作为该项投资的 </w:t>
      </w:r>
      <w:r>
        <w:rPr>
          <w:spacing w:val="-2"/>
        </w:rPr>
        <w:t>初始投资成本；购买日之前持有的被购买方的股权涉及其他综合收益的，在处置该项投资时将与其相关的其他综合收益采用</w:t>
      </w:r>
      <w:r>
        <w:rPr>
          <w:spacing w:val="-64"/>
        </w:rPr>
        <w:t> </w:t>
      </w:r>
      <w:r>
        <w:rPr>
          <w:spacing w:val="-64"/>
        </w:rPr>
      </w:r>
      <w:r>
        <w:rPr>
          <w:spacing w:val="-2"/>
        </w:rPr>
        <w:t>与被购买方直接处置相关资产或负债相同的基础进行会计处理（即，除了按照权益法核算的在被购买方重新计量设定受益计</w:t>
      </w:r>
      <w:r>
        <w:rPr>
          <w:spacing w:val="-64"/>
        </w:rPr>
        <w:t> </w:t>
      </w:r>
      <w:r>
        <w:rPr>
          <w:spacing w:val="-64"/>
        </w:rPr>
      </w:r>
      <w:r>
        <w:rPr/>
        <w:t>划净负债或净资产导致的变动中的相应份额以外，其余转入当期投资收益）。</w:t>
      </w:r>
    </w:p>
    <w:p>
      <w:pPr>
        <w:pStyle w:val="BodyText"/>
        <w:spacing w:line="316" w:lineRule="auto" w:before="19"/>
        <w:ind w:right="192" w:firstLine="372"/>
        <w:jc w:val="both"/>
      </w:pPr>
      <w:r>
        <w:rPr/>
        <w:t>在合并财务报表中，对于购买日之前持有的被购买方的股权，按照该股权在购买日的公允价值进行重新计量，公允价 </w:t>
      </w:r>
      <w:r>
        <w:rPr>
          <w:spacing w:val="-2"/>
        </w:rPr>
        <w:t>值与其账面价值的差额计入当期投资收益；购买日之前持有的被购买方的股权涉及其他综合收益的，与其相关的其他综合收</w:t>
      </w:r>
      <w:r>
        <w:rPr>
          <w:spacing w:val="-64"/>
        </w:rPr>
        <w:t> </w:t>
      </w:r>
      <w:r>
        <w:rPr>
          <w:spacing w:val="-64"/>
        </w:rPr>
      </w:r>
      <w:r>
        <w:rPr>
          <w:spacing w:val="-2"/>
        </w:rPr>
        <w:t>益应当采用与被购买方直接处置相关资产或负债相同的基础进行会计处理（即，除了按照权益法核算的在被购买方重新计量</w:t>
      </w:r>
      <w:r>
        <w:rPr>
          <w:spacing w:val="-63"/>
        </w:rPr>
        <w:t> </w:t>
      </w:r>
      <w:r>
        <w:rPr>
          <w:spacing w:val="-63"/>
        </w:rPr>
      </w:r>
      <w:r>
        <w:rPr/>
        <w:t>设定受益计划净负债或净资产导致的变动中的相应份额以外，其余转为购买日所属当期投资收益）。</w:t>
      </w:r>
    </w:p>
    <w:p>
      <w:pPr>
        <w:spacing w:line="240" w:lineRule="auto" w:before="9"/>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left="525" w:right="94" w:hanging="156"/>
        <w:jc w:val="left"/>
      </w:pPr>
      <w:r>
        <w:rPr/>
        <w:t>（</w:t>
      </w:r>
      <w:r>
        <w:rPr>
          <w:rFonts w:ascii="Times New Roman" w:hAnsi="Times New Roman" w:cs="Times New Roman" w:eastAsia="Times New Roman" w:hint="default"/>
        </w:rPr>
        <w:t>1</w:t>
      </w:r>
      <w:r>
        <w:rPr/>
        <w:t>）合并财务报表范围的确定原则 合并财务报表的合并范围以控制为基础予以确定。控制是指本公司拥有对被投资方的权力，通过参与被投资方的相关</w:t>
      </w:r>
    </w:p>
    <w:p>
      <w:pPr>
        <w:pStyle w:val="BodyText"/>
        <w:spacing w:line="319" w:lineRule="auto" w:before="31"/>
        <w:ind w:right="191"/>
        <w:jc w:val="both"/>
      </w:pPr>
      <w:r>
        <w:rPr>
          <w:spacing w:val="-2"/>
        </w:rPr>
        <w:t>活动而享有可变回报，并且有能力运用对被投资方的权力影响该回报金额。合并范围包括本公司及全部子公司。子公司，是</w:t>
      </w:r>
      <w:r>
        <w:rPr>
          <w:spacing w:val="-64"/>
        </w:rPr>
        <w:t> </w:t>
      </w:r>
      <w:r>
        <w:rPr>
          <w:spacing w:val="-64"/>
        </w:rPr>
      </w:r>
      <w:r>
        <w:rPr/>
        <w:t>指被本公司控制的主体。</w:t>
      </w:r>
    </w:p>
    <w:p>
      <w:pPr>
        <w:pStyle w:val="BodyText"/>
        <w:spacing w:line="240" w:lineRule="auto" w:before="17"/>
        <w:ind w:left="525" w:right="94"/>
        <w:jc w:val="left"/>
      </w:pPr>
      <w:r>
        <w:rPr/>
        <w:t>一旦相关事实和情况的变化导致上述控制定义涉及的相关要素发生了变化，本公司将进行重新评估。</w:t>
      </w:r>
    </w:p>
    <w:p>
      <w:pPr>
        <w:pStyle w:val="BodyText"/>
        <w:spacing w:line="300" w:lineRule="auto" w:before="76"/>
        <w:ind w:left="525" w:right="94" w:hanging="72"/>
        <w:jc w:val="left"/>
      </w:pPr>
      <w:r>
        <w:rPr/>
        <w:t>（</w:t>
      </w:r>
      <w:r>
        <w:rPr>
          <w:rFonts w:ascii="Times New Roman" w:hAnsi="Times New Roman" w:cs="Times New Roman" w:eastAsia="Times New Roman" w:hint="default"/>
        </w:rPr>
        <w:t>2</w:t>
      </w:r>
      <w:r>
        <w:rPr/>
        <w:t>）合并财务报表编制的方法 从取得子公司的净资产和生产经营决策的实际控制权之日起，本公司开始将其纳入合并范围；从丧失实际控制权之日</w:t>
      </w:r>
    </w:p>
    <w:p>
      <w:pPr>
        <w:pStyle w:val="BodyText"/>
        <w:spacing w:line="316" w:lineRule="auto" w:before="31"/>
        <w:ind w:right="191"/>
        <w:jc w:val="both"/>
      </w:pPr>
      <w:r>
        <w:rPr>
          <w:spacing w:val="-2"/>
        </w:rPr>
        <w:t>起停止纳入合并范围。对于处置的子公司，处置日前的经营成果和现金流量已经适当地包括在合并利润表和合并现金流量表</w:t>
      </w:r>
      <w:r>
        <w:rPr>
          <w:spacing w:val="-64"/>
        </w:rPr>
        <w:t> </w:t>
      </w:r>
      <w:r>
        <w:rPr>
          <w:spacing w:val="-64"/>
        </w:rPr>
      </w:r>
      <w:r>
        <w:rPr>
          <w:spacing w:val="-2"/>
        </w:rPr>
        <w:t>中；当期处置的子公司，不调整合并资产负债表的期初数。非同一控制下企业合并增加的子公司，其购买日后的经营成果及</w:t>
      </w:r>
      <w:r>
        <w:rPr>
          <w:spacing w:val="-64"/>
        </w:rPr>
        <w:t> </w:t>
      </w:r>
      <w:r>
        <w:rPr>
          <w:spacing w:val="-64"/>
        </w:rPr>
      </w:r>
      <w:r>
        <w:rPr>
          <w:spacing w:val="-2"/>
        </w:rPr>
        <w:t>现金流量已经适当地包括在合并利润表和合并现金流量表中，且不调整合并财务报表的期初数和对比数。同一控制下企业合</w:t>
      </w:r>
      <w:r>
        <w:rPr>
          <w:spacing w:val="-64"/>
        </w:rPr>
        <w:t> </w:t>
      </w:r>
      <w:r>
        <w:rPr>
          <w:spacing w:val="-64"/>
        </w:rPr>
      </w:r>
      <w:r>
        <w:rPr>
          <w:spacing w:val="-2"/>
        </w:rPr>
        <w:t>并增加的子公司其自合并当期期初至合并日的经营成果和现金流量已经适当地包括在合并利润表和合并现金流量表中，并且</w:t>
      </w:r>
      <w:r>
        <w:rPr>
          <w:spacing w:val="-64"/>
        </w:rPr>
        <w:t> </w:t>
      </w:r>
      <w:r>
        <w:rPr>
          <w:spacing w:val="-64"/>
        </w:rPr>
      </w:r>
      <w:r>
        <w:rPr/>
        <w:t>同时调整合并财务报表的对比数。</w:t>
      </w:r>
    </w:p>
    <w:p>
      <w:pPr>
        <w:pStyle w:val="BodyText"/>
        <w:spacing w:line="319" w:lineRule="auto" w:before="19"/>
        <w:ind w:right="193" w:firstLine="372"/>
        <w:jc w:val="both"/>
      </w:pPr>
      <w:r>
        <w:rPr/>
        <w:t>在编制合并财务报表时，子公司与本公司采用的会计政策或会计期间不一致的，按照本公司的会计政策和会计期间对 </w:t>
      </w:r>
      <w:r>
        <w:rPr>
          <w:spacing w:val="-2"/>
        </w:rPr>
        <w:t>子公司财务报表进行必要的调整。对于非同一控制下企业合并取得的子公司，以购买日可辨认净资产公允价值为基础对其财</w:t>
      </w:r>
      <w:r>
        <w:rPr>
          <w:spacing w:val="-64"/>
        </w:rPr>
        <w:t> </w:t>
      </w:r>
      <w:r>
        <w:rPr>
          <w:spacing w:val="-64"/>
        </w:rPr>
      </w:r>
      <w:r>
        <w:rPr/>
        <w:t>务报表进行调整。</w:t>
      </w:r>
    </w:p>
    <w:p>
      <w:pPr>
        <w:pStyle w:val="BodyText"/>
        <w:spacing w:line="316" w:lineRule="auto" w:before="17"/>
        <w:ind w:left="525" w:right="94"/>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300" w:lineRule="auto" w:before="19"/>
        <w:ind w:right="188"/>
        <w:jc w:val="both"/>
      </w:pPr>
      <w:r>
        <w:rPr/>
        <w:t>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w:t>
      </w:r>
      <w:r>
        <w:rPr>
          <w:spacing w:val="-71"/>
        </w:rPr>
        <w:t> </w:t>
      </w:r>
      <w:r>
        <w:rPr/>
        <w:t>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项目列示。少数股东分担的子公司的亏损超过了少数股东在该子公司期初股东权益中所享有的份额，仍冲减少数</w:t>
      </w:r>
      <w:r>
        <w:rPr>
          <w:spacing w:val="-76"/>
        </w:rPr>
        <w:t> </w:t>
      </w:r>
      <w:r>
        <w:rPr>
          <w:spacing w:val="-76"/>
        </w:rPr>
      </w:r>
      <w:r>
        <w:rPr/>
        <w:t>股东权益。</w:t>
      </w:r>
    </w:p>
    <w:p>
      <w:pPr>
        <w:pStyle w:val="BodyText"/>
        <w:spacing w:line="314" w:lineRule="auto" w:before="31"/>
        <w:ind w:right="94" w:firstLine="372"/>
        <w:jc w:val="left"/>
      </w:pPr>
      <w:r>
        <w:rPr/>
        <w:t>当因处置部分股权投资或其他原因丧失了对原有子公司的控制权时，对于剩余股权，按照其在丧失控制权日的公允价 </w:t>
      </w:r>
      <w:r>
        <w:rPr>
          <w:spacing w:val="-2"/>
        </w:rPr>
        <w:t>值进行重新计量。处置股权取得的对价与剩余股权公允价值之和，减去按原持股比例计算应享有原有子公司自购买日开始持</w:t>
      </w:r>
      <w:r>
        <w:rPr>
          <w:spacing w:val="-64"/>
        </w:rPr>
        <w:t> </w:t>
      </w:r>
      <w:r>
        <w:rPr>
          <w:spacing w:val="-64"/>
        </w:rPr>
      </w:r>
      <w:r>
        <w:rPr>
          <w:spacing w:val="-2"/>
        </w:rPr>
        <w:t>续计算的净资产的份额之间的差额，计入丧失控制权当期的投资收益。与原有子公司股权投资相关的其他综合收益，在丧失</w:t>
      </w:r>
      <w:r>
        <w:rPr>
          <w:spacing w:val="-62"/>
        </w:rPr>
        <w:t> </w:t>
      </w:r>
      <w:r>
        <w:rPr>
          <w:spacing w:val="-62"/>
        </w:rPr>
      </w:r>
      <w:r>
        <w:rPr>
          <w:spacing w:val="-2"/>
        </w:rPr>
        <w:t>控制权时采用与被购买方直接处置相关资产或负债相同的基础进行会计处理（即，除了在该原有子公司重新计量设定受益计</w:t>
      </w:r>
      <w:r>
        <w:rPr>
          <w:spacing w:val="-64"/>
        </w:rPr>
        <w:t> </w:t>
      </w:r>
      <w:r>
        <w:rPr>
          <w:spacing w:val="-64"/>
        </w:rPr>
      </w:r>
      <w:r>
        <w:rPr>
          <w:spacing w:val="-4"/>
        </w:rPr>
        <w:t>划净负债或净资产导致的变动以外，其余一并转为当期投资收益）。其后，对该部分剩余股权按照《企业会计准则第</w:t>
      </w:r>
      <w:r>
        <w:rPr>
          <w:rFonts w:ascii="Times New Roman" w:hAnsi="Times New Roman" w:cs="Times New Roman" w:eastAsia="Times New Roman" w:hint="default"/>
          <w:spacing w:val="-4"/>
        </w:rPr>
        <w:t>2</w:t>
      </w:r>
      <w:r>
        <w:rPr>
          <w:spacing w:val="-4"/>
        </w:rPr>
        <w:t>号</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1"/>
        </w:rPr>
        <w:t> </w:t>
      </w:r>
      <w:r>
        <w:rPr/>
        <w:t>长期股权投资》或《企业会计准则第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金融工具确认和计量》等相关规定进行后续计量，详见本附注五、</w:t>
      </w:r>
      <w:r>
        <w:rPr>
          <w:rFonts w:ascii="Times New Roman" w:hAnsi="Times New Roman" w:cs="Times New Roman" w:eastAsia="Times New Roman" w:hint="default"/>
        </w:rPr>
        <w:t>14“</w:t>
      </w:r>
      <w:r>
        <w:rPr/>
        <w:t>长期股</w:t>
      </w:r>
    </w:p>
    <w:p>
      <w:pPr>
        <w:spacing w:after="0" w:line="314" w:lineRule="auto"/>
        <w:jc w:val="left"/>
        <w:sectPr>
          <w:pgSz w:w="11910" w:h="16840"/>
          <w:pgMar w:header="745" w:footer="1133" w:top="1060" w:bottom="1320" w:left="980" w:right="940"/>
        </w:sectPr>
      </w:pPr>
    </w:p>
    <w:p>
      <w:pPr>
        <w:spacing w:line="240" w:lineRule="auto" w:before="10"/>
        <w:rPr>
          <w:rFonts w:ascii="宋体" w:hAnsi="宋体" w:cs="宋体" w:eastAsia="宋体" w:hint="default"/>
          <w:sz w:val="25"/>
          <w:szCs w:val="25"/>
        </w:rPr>
      </w:pPr>
    </w:p>
    <w:p>
      <w:pPr>
        <w:pStyle w:val="BodyText"/>
        <w:spacing w:line="300" w:lineRule="auto" w:before="44"/>
        <w:ind w:left="525" w:right="261" w:hanging="373"/>
        <w:jc w:val="left"/>
      </w:pPr>
      <w:r>
        <w:rPr/>
        <w:t>权投资</w:t>
      </w:r>
      <w:r>
        <w:rPr>
          <w:rFonts w:ascii="Times New Roman" w:hAnsi="Times New Roman" w:cs="Times New Roman" w:eastAsia="Times New Roman" w:hint="default"/>
        </w:rPr>
        <w:t>”</w:t>
      </w:r>
      <w:r>
        <w:rPr/>
        <w:t>或本附注五、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 本公司通过多次交易分步处置对子公司股权投资直至丧失控制权的，需区分处置对子公司股权投资直至丧失控制权的</w:t>
      </w:r>
    </w:p>
    <w:p>
      <w:pPr>
        <w:pStyle w:val="BodyText"/>
        <w:spacing w:line="312" w:lineRule="auto" w:before="31"/>
        <w:ind w:right="94"/>
        <w:jc w:val="left"/>
      </w:pPr>
      <w:r>
        <w:rPr>
          <w:spacing w:val="-2"/>
        </w:rPr>
        <w:t>各项交易是否属于一揽子交易。处置对子公司股权投资的各项交易的条款、条件以及经济影响符合以下一种或多种情况，通</w:t>
      </w:r>
      <w:r>
        <w:rPr>
          <w:spacing w:val="-63"/>
        </w:rPr>
        <w:t> </w:t>
      </w:r>
      <w:r>
        <w:rPr>
          <w:spacing w:val="-63"/>
        </w:rPr>
      </w:r>
      <w:r>
        <w:rPr>
          <w:spacing w:val="-2"/>
        </w:rPr>
        <w:t>常表明应将多次交易事项作为一揽子交易进行会计处理：①这些交易是同时或者在考虑了彼此影响的情况下订立的；②这些</w:t>
      </w:r>
      <w:r>
        <w:rPr>
          <w:spacing w:val="-64"/>
        </w:rPr>
        <w:t> </w:t>
      </w:r>
      <w:r>
        <w:rPr>
          <w:spacing w:val="-64"/>
        </w:rPr>
      </w:r>
      <w:r>
        <w:rPr>
          <w:spacing w:val="-4"/>
        </w:rPr>
        <w:t>交易整体才能达成一项完整的商业结果；③一项交易的发生取决于其他至少一项交易的发生；④一项交易单独看是不经济的，</w:t>
      </w:r>
      <w:r>
        <w:rPr>
          <w:spacing w:val="-44"/>
        </w:rPr>
        <w:t> </w:t>
      </w:r>
      <w:r>
        <w:rPr>
          <w:spacing w:val="-44"/>
        </w:rPr>
      </w:r>
      <w:r>
        <w:rPr/>
        <w:t>但是和其他交易一并考虑时是经济的。不属于一揽子交易的，对其中的每一项交易视情况分别按照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 部分处置对子公司的长期股权投资</w:t>
      </w:r>
      <w:r>
        <w:rPr>
          <w:rFonts w:ascii="Times New Roman" w:hAnsi="Times New Roman" w:cs="Times New Roman" w:eastAsia="Times New Roman" w:hint="default"/>
        </w:rPr>
        <w:t>”</w:t>
      </w:r>
      <w:r>
        <w:rPr/>
        <w:t>（详见本附注五、</w:t>
      </w:r>
      <w:r>
        <w:rPr>
          <w:rFonts w:ascii="Times New Roman" w:hAnsi="Times New Roman" w:cs="Times New Roman" w:eastAsia="Times New Roman" w:hint="default"/>
        </w:rPr>
        <w:t>14</w:t>
      </w:r>
      <w:r>
        <w:rPr/>
        <w:t>、（</w:t>
      </w:r>
      <w:r>
        <w:rPr>
          <w:rFonts w:ascii="Times New Roman" w:hAnsi="Times New Roman" w:cs="Times New Roman" w:eastAsia="Times New Roman" w:hint="default"/>
        </w:rPr>
        <w:t>2</w:t>
      </w:r>
      <w:r>
        <w:rPr/>
        <w:t>）④）和</w:t>
      </w:r>
      <w:r>
        <w:rPr>
          <w:rFonts w:ascii="Times New Roman" w:hAnsi="Times New Roman" w:cs="Times New Roman" w:eastAsia="Times New Roman" w:hint="default"/>
        </w:rPr>
        <w:t>“</w:t>
      </w:r>
      <w:r>
        <w:rPr/>
        <w:t>因处置部分股权投资或其他原因丧失了对原有子公 </w:t>
      </w:r>
      <w:r>
        <w:rPr>
          <w:spacing w:val="-2"/>
        </w:rPr>
        <w:t>司的控制权</w:t>
      </w:r>
      <w:r>
        <w:rPr>
          <w:rFonts w:ascii="Times New Roman" w:hAnsi="Times New Roman" w:cs="Times New Roman" w:eastAsia="Times New Roman" w:hint="default"/>
          <w:spacing w:val="-2"/>
        </w:rPr>
        <w:t>”</w:t>
      </w:r>
      <w:r>
        <w:rPr>
          <w:spacing w:val="-2"/>
        </w:rPr>
        <w:t>（详见前段）适用的原则进行会计处理。处置对子公司股权投资直至丧失控制权的各项交易属于一揽子交易的，</w:t>
      </w:r>
      <w:r>
        <w:rPr>
          <w:spacing w:val="-53"/>
        </w:rPr>
        <w:t> </w:t>
      </w:r>
      <w:r>
        <w:rPr>
          <w:spacing w:val="-53"/>
        </w:rPr>
      </w:r>
      <w:r>
        <w:rPr>
          <w:spacing w:val="-2"/>
        </w:rPr>
        <w:t>将各项交易作为一项处置子公司并丧失控制权的交易进行会计处理；但是，在丧失控制权之前每一次处置价款与处置投资对</w:t>
      </w:r>
      <w:r>
        <w:rPr>
          <w:spacing w:val="-64"/>
        </w:rPr>
        <w:t> </w:t>
      </w:r>
      <w:r>
        <w:rPr>
          <w:spacing w:val="-64"/>
        </w:rPr>
      </w:r>
      <w:r>
        <w:rPr>
          <w:spacing w:val="-2"/>
        </w:rPr>
        <w:t>应的享有该子公司净资产份额的差额，在合并财务报表中确认为其他综合收益，在丧失控制权时一并转入丧失控制权当期的</w:t>
      </w:r>
      <w:r>
        <w:rPr>
          <w:spacing w:val="-64"/>
        </w:rPr>
        <w:t> </w:t>
      </w:r>
      <w:r>
        <w:rPr>
          <w:spacing w:val="-64"/>
        </w:rPr>
      </w:r>
      <w:r>
        <w:rPr/>
        <w:t>损益。</w:t>
      </w:r>
    </w:p>
    <w:p>
      <w:pPr>
        <w:spacing w:line="240" w:lineRule="auto" w:before="0"/>
        <w:rPr>
          <w:rFonts w:ascii="宋体" w:hAnsi="宋体" w:cs="宋体" w:eastAsia="宋体" w:hint="default"/>
          <w:sz w:val="18"/>
          <w:szCs w:val="18"/>
        </w:rPr>
      </w:pPr>
    </w:p>
    <w:p>
      <w:pPr>
        <w:pStyle w:val="Heading3"/>
        <w:spacing w:line="240" w:lineRule="auto"/>
        <w:ind w:right="94"/>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94" w:firstLine="372"/>
        <w:jc w:val="left"/>
      </w:pPr>
      <w:r>
        <w:rPr/>
        <w:t>合营安排，是指一项由两个或两个以上的参与方共同控制的安排。本公司根据在合营安排中享有的权利和承担的义务， </w:t>
      </w:r>
      <w:r>
        <w:rPr>
          <w:spacing w:val="-2"/>
        </w:rPr>
        <w:t>将合营安排分为共同经营和合营企业。共同经营，是指本公司享有该安排相关资产且承担该安排相关负债的合营安排。合营</w:t>
      </w:r>
      <w:r>
        <w:rPr>
          <w:spacing w:val="-66"/>
        </w:rPr>
        <w:t> </w:t>
      </w:r>
      <w:r>
        <w:rPr>
          <w:spacing w:val="-66"/>
        </w:rPr>
      </w:r>
      <w:r>
        <w:rPr/>
        <w:t>企业，是指本公司仅对该安排的净资产享有权利的合营安排。</w:t>
      </w:r>
    </w:p>
    <w:p>
      <w:pPr>
        <w:pStyle w:val="BodyText"/>
        <w:spacing w:line="300" w:lineRule="auto" w:before="19"/>
        <w:ind w:right="181" w:firstLine="372"/>
        <w:jc w:val="left"/>
      </w:pPr>
      <w:r>
        <w:rPr>
          <w:spacing w:val="-2"/>
        </w:rPr>
        <w:t>本公司对合营企业的投资采用权益法核算，按照本附注五、</w:t>
      </w:r>
      <w:r>
        <w:rPr>
          <w:rFonts w:ascii="Times New Roman" w:hAnsi="Times New Roman" w:cs="Times New Roman" w:eastAsia="Times New Roman" w:hint="default"/>
          <w:spacing w:val="-2"/>
        </w:rPr>
        <w:t>14</w:t>
      </w:r>
      <w:r>
        <w:rPr>
          <w:spacing w:val="-2"/>
        </w:rPr>
        <w:t>（</w:t>
      </w:r>
      <w:r>
        <w:rPr>
          <w:rFonts w:ascii="Times New Roman" w:hAnsi="Times New Roman" w:cs="Times New Roman" w:eastAsia="Times New Roman" w:hint="default"/>
          <w:spacing w:val="-2"/>
        </w:rPr>
        <w:t>2</w:t>
      </w:r>
      <w:r>
        <w:rPr>
          <w:spacing w:val="-2"/>
        </w:rPr>
        <w:t>）②</w:t>
      </w:r>
      <w:r>
        <w:rPr>
          <w:spacing w:val="7"/>
        </w:rPr>
        <w:t> </w:t>
      </w:r>
      <w:r>
        <w:rPr>
          <w:rFonts w:ascii="Times New Roman" w:hAnsi="Times New Roman" w:cs="Times New Roman" w:eastAsia="Times New Roman" w:hint="default"/>
          <w:spacing w:val="-1"/>
        </w:rPr>
        <w:t>“</w:t>
      </w:r>
      <w:r>
        <w:rPr>
          <w:spacing w:val="-1"/>
        </w:rPr>
        <w:t>权益法核算的长期股权投资</w:t>
      </w:r>
      <w:r>
        <w:rPr>
          <w:rFonts w:ascii="Times New Roman" w:hAnsi="Times New Roman" w:cs="Times New Roman" w:eastAsia="Times New Roman" w:hint="default"/>
          <w:spacing w:val="-1"/>
        </w:rPr>
        <w:t>”</w:t>
      </w:r>
      <w:r>
        <w:rPr>
          <w:spacing w:val="-1"/>
        </w:rPr>
        <w:t>中所述的会计政策</w:t>
      </w:r>
      <w:r>
        <w:rPr/>
        <w:t> 处理。</w:t>
      </w:r>
    </w:p>
    <w:p>
      <w:pPr>
        <w:pStyle w:val="BodyText"/>
        <w:spacing w:line="319" w:lineRule="auto" w:before="31"/>
        <w:ind w:right="94" w:firstLine="372"/>
        <w:jc w:val="left"/>
      </w:pPr>
      <w:r>
        <w:rPr/>
        <w:t>本公司作为合营方对共同经营，确认本公司单独持有的资产、单独所承担的负债，以及按本公司份额确认共同持有的 </w:t>
      </w:r>
      <w:r>
        <w:rPr>
          <w:spacing w:val="-2"/>
        </w:rPr>
        <w:t>资产和共同承担的负债；确认出售本公司享有的共同经营产出份额所产生的收入；按本公司份额确认共同经营因出售产出所</w:t>
      </w:r>
      <w:r>
        <w:rPr>
          <w:spacing w:val="-62"/>
        </w:rPr>
        <w:t> </w:t>
      </w:r>
      <w:r>
        <w:rPr>
          <w:spacing w:val="-62"/>
        </w:rPr>
      </w:r>
      <w:r>
        <w:rPr/>
        <w:t>产生的收入；确认本公司单独所发生的费用，以及按本公司份额确认共同经营发生的费用。</w:t>
      </w:r>
    </w:p>
    <w:p>
      <w:pPr>
        <w:pStyle w:val="BodyText"/>
        <w:spacing w:line="312" w:lineRule="auto" w:before="17"/>
        <w:ind w:right="184" w:firstLine="372"/>
        <w:jc w:val="left"/>
      </w:pPr>
      <w:r>
        <w:rPr/>
        <w:t>当本公司作为合营方向共同经营投出或出售资产（该资产不构成业务，下同）、或者自共同经营购买资产时，在该等 </w:t>
      </w:r>
      <w:r>
        <w:rPr>
          <w:spacing w:val="-2"/>
        </w:rPr>
        <w:t>资产出售给第三方之前，本公司仅确认因该交易产生的损益中归属于共同经营其他参与方的部分。该等资产发生符合《企业</w:t>
      </w:r>
      <w:r>
        <w:rPr>
          <w:spacing w:val="-66"/>
        </w:rPr>
        <w:t> </w:t>
      </w:r>
      <w:r>
        <w:rPr>
          <w:spacing w:val="-66"/>
        </w:rPr>
      </w:r>
      <w:r>
        <w:rPr/>
        <w:t>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资产减值》等规定的资产减值损失的，对于由本公司向共同经营投出或出售资产的情况，本公司全额确 认该损失；对于本公司自共同经营购买资产的情况，本公司按承担的份额确认该损失。</w:t>
      </w:r>
    </w:p>
    <w:p>
      <w:pPr>
        <w:spacing w:line="240" w:lineRule="auto" w:before="13"/>
        <w:rPr>
          <w:rFonts w:ascii="宋体" w:hAnsi="宋体" w:cs="宋体" w:eastAsia="宋体" w:hint="default"/>
          <w:sz w:val="17"/>
          <w:szCs w:val="17"/>
        </w:rPr>
      </w:pPr>
    </w:p>
    <w:p>
      <w:pPr>
        <w:pStyle w:val="Heading3"/>
        <w:spacing w:line="240" w:lineRule="auto"/>
        <w:ind w:right="94"/>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94" w:firstLine="300"/>
        <w:jc w:val="left"/>
      </w:pPr>
      <w:r>
        <w:rPr>
          <w:spacing w:val="-1"/>
        </w:rPr>
        <w:t>本公司现金及现金等价物包括库存现金、可以随时用于支付的存款以及本公司持有的期限短（一般为从购买日起三个月</w:t>
      </w:r>
      <w:r>
        <w:rPr/>
        <w:t> 内到期）、流动性强、易于转换为已知金额现金、价值变动风险很小的投资。</w:t>
      </w:r>
    </w:p>
    <w:p>
      <w:pPr>
        <w:spacing w:line="240" w:lineRule="auto" w:before="10"/>
        <w:rPr>
          <w:rFonts w:ascii="宋体" w:hAnsi="宋体" w:cs="宋体" w:eastAsia="宋体" w:hint="default"/>
          <w:sz w:val="17"/>
          <w:szCs w:val="17"/>
        </w:rPr>
      </w:pPr>
    </w:p>
    <w:p>
      <w:pPr>
        <w:pStyle w:val="Heading3"/>
        <w:spacing w:line="240" w:lineRule="auto"/>
        <w:ind w:right="94"/>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left="513" w:right="94" w:hanging="89"/>
        <w:jc w:val="left"/>
      </w:pPr>
      <w:r>
        <w:rPr/>
        <w:t>（</w:t>
      </w:r>
      <w:r>
        <w:rPr>
          <w:rFonts w:ascii="Times New Roman" w:hAnsi="Times New Roman" w:cs="Times New Roman" w:eastAsia="Times New Roman" w:hint="default"/>
        </w:rPr>
        <w:t>1</w:t>
      </w:r>
      <w:r>
        <w:rPr/>
        <w:t>）外币交易的折算方法 </w:t>
      </w:r>
      <w:r>
        <w:rPr>
          <w:spacing w:val="-4"/>
        </w:rPr>
        <w:t>本公司发生的外币交易在初始确认时，按交易日的即期汇率（通常指中国人民银行公布的当日外汇牌价的中间价，下同）</w:t>
      </w:r>
    </w:p>
    <w:p>
      <w:pPr>
        <w:pStyle w:val="BodyText"/>
        <w:spacing w:line="316" w:lineRule="auto" w:before="31"/>
        <w:ind w:right="94"/>
        <w:jc w:val="left"/>
      </w:pPr>
      <w:r>
        <w:rPr>
          <w:spacing w:val="-2"/>
        </w:rPr>
        <w:t>折算为记账本位币金额，但公司发生的外币兑换业务或涉及外币兑换的交易事项，按照实际采用的汇率折算为记账本位币金</w:t>
      </w:r>
      <w:r>
        <w:rPr>
          <w:spacing w:val="-64"/>
        </w:rPr>
        <w:t> </w:t>
      </w:r>
      <w:r>
        <w:rPr>
          <w:spacing w:val="-64"/>
        </w:rPr>
      </w:r>
      <w:r>
        <w:rPr/>
        <w:t>额。</w:t>
      </w:r>
    </w:p>
    <w:p>
      <w:pPr>
        <w:pStyle w:val="BodyText"/>
        <w:spacing w:line="300" w:lineRule="auto" w:before="19"/>
        <w:ind w:left="513" w:right="94" w:hanging="89"/>
        <w:jc w:val="left"/>
      </w:pPr>
      <w:r>
        <w:rPr/>
        <w:t>（</w:t>
      </w:r>
      <w:r>
        <w:rPr>
          <w:rFonts w:ascii="Times New Roman" w:hAnsi="Times New Roman" w:cs="Times New Roman" w:eastAsia="Times New Roman" w:hint="default"/>
        </w:rPr>
        <w:t>2</w:t>
      </w:r>
      <w:r>
        <w:rPr/>
        <w:t>）对于外币货币性项目和外币非货币性项目的折算方法 </w:t>
      </w:r>
      <w:r>
        <w:rPr>
          <w:spacing w:val="-2"/>
        </w:rPr>
        <w:t>资产负债表日，对于外币货币性项目采用资产负债表日即期汇率折算，由此产生的汇兑差额，除：①属于与购建符合资</w:t>
      </w:r>
    </w:p>
    <w:p>
      <w:pPr>
        <w:pStyle w:val="BodyText"/>
        <w:spacing w:line="319" w:lineRule="auto" w:before="31"/>
        <w:ind w:right="191"/>
        <w:jc w:val="both"/>
      </w:pPr>
      <w:r>
        <w:rPr>
          <w:spacing w:val="-2"/>
        </w:rPr>
        <w:t>本化条件的资产相关的外币专门借款产生的汇兑差额按照借款费用资本化的原则处理；②用于境外经营净投资有效套期的套</w:t>
      </w:r>
      <w:r>
        <w:rPr>
          <w:spacing w:val="-64"/>
        </w:rPr>
        <w:t> </w:t>
      </w:r>
      <w:r>
        <w:rPr>
          <w:spacing w:val="-64"/>
        </w:rPr>
      </w:r>
      <w:r>
        <w:rPr>
          <w:spacing w:val="-2"/>
        </w:rPr>
        <w:t>期工具的汇兑差额（该差额计入其他综合收益，直至净投资被处置才被确认为当期损益）；以及③可供出售的外币货币性项</w:t>
      </w:r>
      <w:r>
        <w:rPr>
          <w:spacing w:val="-65"/>
        </w:rPr>
        <w:t> </w:t>
      </w:r>
      <w:r>
        <w:rPr>
          <w:spacing w:val="-65"/>
        </w:rPr>
      </w:r>
      <w:r>
        <w:rPr/>
        <w:t>目除摊余成本之外的其他账面余额变动产生的汇兑差额计入其他综合收益之外，均计入当期损益。</w:t>
      </w:r>
    </w:p>
    <w:p>
      <w:pPr>
        <w:pStyle w:val="BodyText"/>
        <w:spacing w:line="316" w:lineRule="auto" w:before="17"/>
        <w:ind w:right="94" w:firstLine="360"/>
        <w:jc w:val="left"/>
      </w:pPr>
      <w:r>
        <w:rPr>
          <w:spacing w:val="-2"/>
        </w:rPr>
        <w:t>编制合并财务报表涉及境外经营的，如有实质上构成对境外经营净投资的外币货币性项目，因汇率变动而产生的汇兑差</w:t>
      </w:r>
      <w:r>
        <w:rPr/>
        <w:t> 额，计入其他综合收益；处置境外经营时，转入处置当期损益。</w:t>
      </w:r>
    </w:p>
    <w:p>
      <w:pPr>
        <w:spacing w:after="0" w:line="316" w:lineRule="auto"/>
        <w:jc w:val="left"/>
        <w:sectPr>
          <w:pgSz w:w="11910" w:h="16840"/>
          <w:pgMar w:header="745" w:footer="1133" w:top="1060" w:bottom="132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190" w:firstLine="360"/>
        <w:jc w:val="both"/>
      </w:pPr>
      <w:r>
        <w:rPr>
          <w:spacing w:val="-2"/>
        </w:rPr>
        <w:t>以历史成本计量的外币非货币性项目，仍采用交易发生日的即期汇率折算的记账本位币金额计量。以公允价值计量的外</w:t>
      </w:r>
      <w:r>
        <w:rPr/>
        <w:t> </w:t>
      </w:r>
      <w:r>
        <w:rPr>
          <w:spacing w:val="-2"/>
        </w:rPr>
        <w:t>币非货币性项目，采用公允价值确定日的即期汇率折算，折算后的记账本位币金额与原记账本位币金额的差额，作为公允价</w:t>
      </w:r>
      <w:r>
        <w:rPr>
          <w:spacing w:val="-63"/>
        </w:rPr>
        <w:t> </w:t>
      </w:r>
      <w:r>
        <w:rPr>
          <w:spacing w:val="-63"/>
        </w:rPr>
      </w:r>
      <w:r>
        <w:rPr/>
        <w:t>值变动（含汇率变动）处理，计入当期损益或确认为其他综合收益。</w:t>
      </w:r>
    </w:p>
    <w:p>
      <w:pPr>
        <w:pStyle w:val="BodyText"/>
        <w:spacing w:line="300" w:lineRule="auto" w:before="19"/>
        <w:ind w:left="513" w:right="94" w:hanging="89"/>
        <w:jc w:val="left"/>
      </w:pPr>
      <w:r>
        <w:rPr/>
        <w:t>（</w:t>
      </w:r>
      <w:r>
        <w:rPr>
          <w:rFonts w:ascii="Times New Roman" w:hAnsi="Times New Roman" w:cs="Times New Roman" w:eastAsia="Times New Roman" w:hint="default"/>
        </w:rPr>
        <w:t>3</w:t>
      </w:r>
      <w:r>
        <w:rPr/>
        <w:t>）外币财务报表的折算方法 </w:t>
      </w:r>
      <w:r>
        <w:rPr>
          <w:spacing w:val="-2"/>
        </w:rPr>
        <w:t>编制合并财务报表涉及境外经营的，如有实质上构成对境外经营净投资的外币货币性项目，因汇率变动而产生的汇兑差</w:t>
      </w:r>
    </w:p>
    <w:p>
      <w:pPr>
        <w:pStyle w:val="BodyText"/>
        <w:spacing w:line="300" w:lineRule="auto" w:before="31"/>
        <w:ind w:left="513" w:right="94" w:hanging="361"/>
        <w:jc w:val="left"/>
      </w:pPr>
      <w:r>
        <w:rPr/>
        <w:t>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确认为其他综合收益；处置境外经营时，计入处置当期损益。 </w:t>
      </w:r>
      <w:r>
        <w:rPr>
          <w:spacing w:val="-2"/>
        </w:rPr>
        <w:t>境外经营的外币财务报表按以下方法折算为人民币报表：资产负债表中的资产和负债项目，采用资产负债表日的即期汇</w:t>
      </w:r>
    </w:p>
    <w:p>
      <w:pPr>
        <w:pStyle w:val="BodyText"/>
        <w:spacing w:line="314" w:lineRule="auto" w:before="31"/>
        <w:ind w:right="189"/>
        <w:jc w:val="both"/>
      </w:pPr>
      <w:r>
        <w:rPr>
          <w:spacing w:val="-2"/>
        </w:rPr>
        <w:t>率折算；股东权益类项目除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w:t>
      </w:r>
      <w:r>
        <w:rPr>
          <w:spacing w:val="-42"/>
        </w:rPr>
        <w:t> </w:t>
      </w:r>
      <w:r>
        <w:rPr>
          <w:spacing w:val="-42"/>
        </w:rPr>
      </w:r>
      <w:r>
        <w:rPr>
          <w:spacing w:val="-2"/>
        </w:rPr>
        <w:t>交易发生日的即期汇率折算。年初未分配利润为上一年折算后的年末未分配利润；年末未分配利润按折算后的利润分配各项</w:t>
      </w:r>
      <w:r>
        <w:rPr>
          <w:spacing w:val="-64"/>
        </w:rPr>
        <w:t> </w:t>
      </w:r>
      <w:r>
        <w:rPr>
          <w:spacing w:val="-64"/>
        </w:rPr>
      </w:r>
      <w:r>
        <w:rPr>
          <w:spacing w:val="-2"/>
        </w:rPr>
        <w:t>目计算列示；折算后资产类项目与负债类项目和股东权益类项目合计数的差额，作为外币报表折算差额，确认为其他综合收</w:t>
      </w:r>
      <w:r>
        <w:rPr>
          <w:spacing w:val="-63"/>
        </w:rPr>
        <w:t> </w:t>
      </w:r>
      <w:r>
        <w:rPr>
          <w:spacing w:val="-63"/>
        </w:rPr>
      </w:r>
      <w:r>
        <w:rPr>
          <w:spacing w:val="-2"/>
        </w:rPr>
        <w:t>益。处置境外经营并丧失控制权时，将资产负债表中股东权益项目下列示的、与该境外经营相关的外币报表折算差额，全部</w:t>
      </w:r>
      <w:r>
        <w:rPr>
          <w:spacing w:val="-64"/>
        </w:rPr>
        <w:t> </w:t>
      </w:r>
      <w:r>
        <w:rPr>
          <w:spacing w:val="-64"/>
        </w:rPr>
      </w:r>
      <w:r>
        <w:rPr/>
        <w:t>或按处置该境外经营的比例转入处置当期损益。</w:t>
      </w:r>
    </w:p>
    <w:p>
      <w:pPr>
        <w:pStyle w:val="BodyText"/>
        <w:spacing w:line="316" w:lineRule="auto" w:before="20"/>
        <w:ind w:right="192" w:firstLine="360"/>
        <w:jc w:val="both"/>
      </w:pPr>
      <w:r>
        <w:rPr>
          <w:spacing w:val="-2"/>
        </w:rPr>
        <w:t>外币现金流量以及境外子公司的现金流量，采用现金流量发生日的即期汇率折算。汇率变动对现金的影响额作为调节项</w:t>
      </w:r>
      <w:r>
        <w:rPr/>
        <w:t> 目，在现金流量表中单独列报。</w:t>
      </w:r>
    </w:p>
    <w:p>
      <w:pPr>
        <w:pStyle w:val="BodyText"/>
        <w:spacing w:line="316" w:lineRule="auto" w:before="19"/>
        <w:ind w:left="513" w:right="94"/>
        <w:jc w:val="left"/>
      </w:pPr>
      <w:r>
        <w:rPr/>
        <w:t>年初数和上年实际数按照上年财务报表折算后的数额列示。 </w:t>
      </w:r>
      <w:r>
        <w:rPr>
          <w:spacing w:val="-2"/>
        </w:rPr>
        <w:t>在处置本公司在境外经营的全部所有者权益或因处置部分股权投资或其他原因丧失了对境外经营控制权时，将资产负债</w:t>
      </w:r>
    </w:p>
    <w:p>
      <w:pPr>
        <w:pStyle w:val="BodyText"/>
        <w:spacing w:line="300" w:lineRule="auto" w:before="19"/>
        <w:ind w:right="197"/>
        <w:jc w:val="both"/>
      </w:pPr>
      <w:r>
        <w:rPr/>
        <w:t>表中股东权益</w:t>
      </w:r>
      <w:r>
        <w:rPr>
          <w:rFonts w:ascii="Times New Roman" w:hAnsi="Times New Roman" w:cs="Times New Roman" w:eastAsia="Times New Roman" w:hint="default"/>
        </w:rPr>
        <w:t>/</w:t>
      </w:r>
      <w:r>
        <w:rPr/>
        <w:t>所有者权益项目下列示的、与该境外经营相关的归属于母公司所有者权益的外币报表折算差额，全部转入处</w:t>
      </w:r>
      <w:r>
        <w:rPr>
          <w:spacing w:val="-50"/>
        </w:rPr>
        <w:t> </w:t>
      </w:r>
      <w:r>
        <w:rPr>
          <w:spacing w:val="-50"/>
        </w:rPr>
      </w:r>
      <w:r>
        <w:rPr/>
        <w:t>置当期损益。</w:t>
      </w:r>
    </w:p>
    <w:p>
      <w:pPr>
        <w:pStyle w:val="BodyText"/>
        <w:spacing w:line="316" w:lineRule="auto" w:before="31"/>
        <w:ind w:right="94" w:firstLine="360"/>
        <w:jc w:val="left"/>
      </w:pPr>
      <w:r>
        <w:rPr>
          <w:spacing w:val="-2"/>
        </w:rPr>
        <w:t>在处置部分股权投资或其他原因导致持有境外经营权益比例降低但不丧失对境外经营控制权时，与该境外经营处置部分</w:t>
      </w:r>
      <w:r>
        <w:rPr/>
        <w:t> 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spacing w:line="240" w:lineRule="auto" w:before="9"/>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85" w:firstLine="360"/>
        <w:jc w:val="both"/>
      </w:pPr>
      <w:r>
        <w:rPr/>
        <w:t>在本公司成为金融工具合同的一方时确认一项金融资产或金融负债。金融资产和金融负债在初始确认时以公允价值计</w:t>
      </w:r>
      <w:r>
        <w:rPr>
          <w:spacing w:val="2"/>
        </w:rPr>
        <w:t> </w:t>
      </w:r>
      <w:r>
        <w:rPr>
          <w:spacing w:val="-2"/>
        </w:rPr>
        <w:t>量。对于以公允价值计量且其变动计入当期损益的金融资产和金融负债，相关的交易费用直接计入损益；对于其他类别的金</w:t>
      </w:r>
      <w:r>
        <w:rPr>
          <w:spacing w:val="-61"/>
        </w:rPr>
        <w:t> </w:t>
      </w:r>
      <w:r>
        <w:rPr>
          <w:spacing w:val="-61"/>
        </w:rPr>
      </w:r>
      <w:r>
        <w:rPr/>
        <w:t>融资产和金融负债，相关交易费用计入初始确认金额。</w:t>
      </w:r>
    </w:p>
    <w:p>
      <w:pPr>
        <w:pStyle w:val="BodyText"/>
        <w:spacing w:line="300" w:lineRule="auto" w:before="19"/>
        <w:ind w:left="513" w:right="94" w:hanging="89"/>
        <w:jc w:val="left"/>
      </w:pPr>
      <w:r>
        <w:rPr/>
        <w:t>（</w:t>
      </w:r>
      <w:r>
        <w:rPr>
          <w:rFonts w:ascii="Times New Roman" w:hAnsi="Times New Roman" w:cs="Times New Roman" w:eastAsia="Times New Roman" w:hint="default"/>
        </w:rPr>
        <w:t>1</w:t>
      </w:r>
      <w:r>
        <w:rPr/>
        <w:t>）金融资产和金融负债的公允价值确定方法 </w:t>
      </w:r>
      <w:r>
        <w:rPr>
          <w:spacing w:val="-2"/>
        </w:rPr>
        <w:t>公允价值，是指市场参与者在计量日发生的有序交易中，出售一项资产所能收到或者转移一项负债所需支付的价格。金</w:t>
      </w:r>
    </w:p>
    <w:p>
      <w:pPr>
        <w:pStyle w:val="BodyText"/>
        <w:spacing w:line="319" w:lineRule="auto" w:before="31"/>
        <w:ind w:right="94"/>
        <w:jc w:val="left"/>
      </w:pPr>
      <w:r>
        <w:rPr>
          <w:spacing w:val="-4"/>
        </w:rPr>
        <w:t>融工具存在活跃市场的，本公司采用活跃市场中的报价确定其公允价值。活跃市场中的报价是指易于定期从交易所、经纪商、</w:t>
      </w:r>
      <w:r>
        <w:rPr>
          <w:spacing w:val="-44"/>
        </w:rPr>
        <w:t> </w:t>
      </w:r>
      <w:r>
        <w:rPr>
          <w:spacing w:val="-44"/>
        </w:rPr>
      </w:r>
      <w:r>
        <w:rPr/>
        <w:t>行业协会、定价服务机构等获得的价格，且代表了在公平交易中实际发生的市场交易的价格。金融工具不存在活跃市场的， </w:t>
      </w:r>
      <w:r>
        <w:rPr>
          <w:spacing w:val="-2"/>
        </w:rPr>
        <w:t>本公司采用估值技术确定其公允价值。估值技术包括参考熟悉情况并自愿交易的各方最近进行的市场交易中使用的价格、参</w:t>
      </w:r>
      <w:r>
        <w:rPr>
          <w:spacing w:val="-63"/>
        </w:rPr>
        <w:t> </w:t>
      </w:r>
      <w:r>
        <w:rPr>
          <w:spacing w:val="-63"/>
        </w:rPr>
      </w:r>
      <w:r>
        <w:rPr/>
        <w:t>照实质上相同的其他金融工具当前的公允价值、现金流量折现法和期权定价模型等。</w:t>
      </w:r>
    </w:p>
    <w:p>
      <w:pPr>
        <w:pStyle w:val="BodyText"/>
        <w:spacing w:line="300" w:lineRule="auto" w:before="17"/>
        <w:ind w:left="513" w:right="94" w:hanging="89"/>
        <w:jc w:val="left"/>
      </w:pPr>
      <w:r>
        <w:rPr/>
        <w:t>（</w:t>
      </w:r>
      <w:r>
        <w:rPr>
          <w:rFonts w:ascii="Times New Roman" w:hAnsi="Times New Roman" w:cs="Times New Roman" w:eastAsia="Times New Roman" w:hint="default"/>
        </w:rPr>
        <w:t>2</w:t>
      </w:r>
      <w:r>
        <w:rPr/>
        <w:t>）金融资产的分类、确认和计量 </w:t>
      </w:r>
      <w:r>
        <w:rPr>
          <w:spacing w:val="-2"/>
        </w:rPr>
        <w:t>以常规方式买卖金融资产，按交易日进行会计确认和终止确认。金融资产在初始确认时划分为以公允价值计量且其变动</w:t>
      </w:r>
    </w:p>
    <w:p>
      <w:pPr>
        <w:pStyle w:val="BodyText"/>
        <w:spacing w:line="240" w:lineRule="auto" w:before="31"/>
        <w:ind w:right="0"/>
        <w:jc w:val="both"/>
      </w:pPr>
      <w:r>
        <w:rPr/>
        <w:t>计入当期损益的金融资产、持有至到期投资、贷款和应收款项以及可供出售金融资产。</w:t>
      </w:r>
    </w:p>
    <w:p>
      <w:pPr>
        <w:pStyle w:val="BodyText"/>
        <w:spacing w:line="316" w:lineRule="auto" w:before="74"/>
        <w:ind w:left="513" w:right="94"/>
        <w:jc w:val="left"/>
      </w:pPr>
      <w:r>
        <w:rPr/>
        <w:t>①</w:t>
      </w:r>
      <w:r>
        <w:rPr>
          <w:spacing w:val="-18"/>
        </w:rPr>
        <w:t> </w:t>
      </w:r>
      <w:r>
        <w:rPr/>
        <w:t>以公允价值计量且其变动计入当期损益的金融资产</w:t>
      </w:r>
      <w:r>
        <w:rPr/>
        <w:t> 包括交易性金融资产和指定为以公允价值计量且其变动计入当期损益的金融资产。 </w:t>
      </w:r>
      <w:r>
        <w:rPr>
          <w:spacing w:val="-2"/>
        </w:rPr>
        <w:t>交易性金融资产是指满足下列条件之一的金融资产：</w:t>
      </w:r>
      <w:r>
        <w:rPr>
          <w:rFonts w:ascii="Times New Roman" w:hAnsi="Times New Roman" w:cs="Times New Roman" w:eastAsia="Times New Roman" w:hint="default"/>
          <w:spacing w:val="-2"/>
        </w:rPr>
        <w:t>A.</w:t>
      </w:r>
      <w:r>
        <w:rPr>
          <w:spacing w:val="-2"/>
        </w:rPr>
        <w:t>取得该金融资产的目的，主要是为了近期内出售；</w:t>
      </w:r>
      <w:r>
        <w:rPr>
          <w:rFonts w:ascii="Times New Roman" w:hAnsi="Times New Roman" w:cs="Times New Roman" w:eastAsia="Times New Roman" w:hint="default"/>
          <w:spacing w:val="-2"/>
        </w:rPr>
        <w:t>B.</w:t>
      </w:r>
      <w:r>
        <w:rPr>
          <w:spacing w:val="-2"/>
        </w:rPr>
        <w:t>属于进行集</w:t>
      </w:r>
    </w:p>
    <w:p>
      <w:pPr>
        <w:pStyle w:val="BodyText"/>
        <w:spacing w:line="309" w:lineRule="auto"/>
        <w:ind w:right="191"/>
        <w:jc w:val="both"/>
      </w:pPr>
      <w:r>
        <w:rPr>
          <w:spacing w:val="-2"/>
        </w:rPr>
        <w:t>中管理的可辨认金融工具组合的一部分，且有客观证据表明本公司近期采用短期获利方式对该组合进行管理；</w:t>
      </w:r>
      <w:r>
        <w:rPr>
          <w:rFonts w:ascii="Times New Roman" w:hAnsi="Times New Roman" w:cs="Times New Roman" w:eastAsia="Times New Roman" w:hint="default"/>
          <w:spacing w:val="-2"/>
        </w:rPr>
        <w:t>C.</w:t>
      </w:r>
      <w:r>
        <w:rPr>
          <w:spacing w:val="-2"/>
        </w:rPr>
        <w:t>属于衍生工</w:t>
      </w:r>
      <w:r>
        <w:rPr>
          <w:spacing w:val="-47"/>
        </w:rPr>
        <w:t> </w:t>
      </w:r>
      <w:r>
        <w:rPr>
          <w:spacing w:val="-2"/>
        </w:rPr>
        <w:t>具，但是，被指定且为有效套期工具的衍生工具、属于财务担保合同的衍生工具、与在活跃市场中没有报价且其公允价值不</w:t>
      </w:r>
      <w:r>
        <w:rPr>
          <w:spacing w:val="-64"/>
        </w:rPr>
        <w:t> </w:t>
      </w:r>
      <w:r>
        <w:rPr>
          <w:spacing w:val="-64"/>
        </w:rPr>
      </w:r>
      <w:r>
        <w:rPr/>
        <w:t>能可靠计量的权益工具投资挂钩并须通过交付该权益工具结算的衍生工具除外。</w:t>
      </w:r>
    </w:p>
    <w:p>
      <w:pPr>
        <w:pStyle w:val="BodyText"/>
        <w:spacing w:line="300" w:lineRule="auto" w:before="24"/>
        <w:ind w:right="191" w:firstLine="360"/>
        <w:jc w:val="both"/>
      </w:pPr>
      <w:r>
        <w:rPr>
          <w:spacing w:val="-2"/>
        </w:rPr>
        <w:t>符合下述条件之一的金融资产，在初始确认时可指定为以公允价值计量且其变动计入当期损益的金融资产：</w:t>
      </w:r>
      <w:r>
        <w:rPr>
          <w:rFonts w:ascii="Times New Roman" w:hAnsi="Times New Roman" w:cs="Times New Roman" w:eastAsia="Times New Roman" w:hint="default"/>
          <w:spacing w:val="-2"/>
        </w:rPr>
        <w:t>A.</w:t>
      </w:r>
      <w:r>
        <w:rPr>
          <w:spacing w:val="-2"/>
        </w:rPr>
        <w:t>该指定可</w:t>
      </w:r>
      <w:r>
        <w:rPr/>
        <w:t> </w:t>
      </w:r>
      <w:r>
        <w:rPr>
          <w:spacing w:val="-2"/>
        </w:rPr>
        <w:t>以消除或明显减少由于该金融资产的计量基础不同所导致的相关利得或损失在确认或计量方面不一致的情况；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本公司风险</w:t>
      </w:r>
    </w:p>
    <w:p>
      <w:pPr>
        <w:spacing w:after="0" w:line="300" w:lineRule="auto"/>
        <w:jc w:val="both"/>
        <w:sectPr>
          <w:pgSz w:w="11910" w:h="16840"/>
          <w:pgMar w:header="745" w:footer="1133" w:top="1060" w:bottom="132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193"/>
        <w:jc w:val="both"/>
      </w:pPr>
      <w:r>
        <w:rPr>
          <w:spacing w:val="-2"/>
        </w:rPr>
        <w:t>管理或投资策略的正式书面文件已载明，对该金融资产所在的金融资产组合或金融资产和金融负债组合以公允价值为基础进</w:t>
      </w:r>
      <w:r>
        <w:rPr>
          <w:spacing w:val="-64"/>
        </w:rPr>
        <w:t> </w:t>
      </w:r>
      <w:r>
        <w:rPr>
          <w:spacing w:val="-64"/>
        </w:rPr>
      </w:r>
      <w:r>
        <w:rPr/>
        <w:t>行管理、评价并向关键管理人员报告。</w:t>
      </w:r>
    </w:p>
    <w:p>
      <w:pPr>
        <w:pStyle w:val="BodyText"/>
        <w:spacing w:line="316" w:lineRule="auto" w:before="19"/>
        <w:ind w:right="192" w:firstLine="360"/>
        <w:jc w:val="both"/>
      </w:pPr>
      <w:r>
        <w:rPr>
          <w:spacing w:val="-2"/>
        </w:rPr>
        <w:t>以公允价值计量且其变动计入当期损益的金融资产采用公允价值进行后续计量，公允价值变动形成的利得或损失以及与</w:t>
      </w:r>
      <w:r>
        <w:rPr/>
        <w:t> 该等金融资产相关的股利和利息收入计入当期损益。</w:t>
      </w:r>
    </w:p>
    <w:p>
      <w:pPr>
        <w:pStyle w:val="BodyText"/>
        <w:spacing w:line="316" w:lineRule="auto" w:before="19"/>
        <w:ind w:left="513" w:right="94" w:hanging="17"/>
        <w:jc w:val="left"/>
      </w:pPr>
      <w:r>
        <w:rPr/>
        <w:t>①</w:t>
      </w:r>
      <w:r>
        <w:rPr>
          <w:spacing w:val="-18"/>
        </w:rPr>
        <w:t> </w:t>
      </w:r>
      <w:r>
        <w:rPr/>
        <w:t>以公允价值计量且其变动计入当期损益的金融资产</w:t>
      </w:r>
      <w:r>
        <w:rPr/>
        <w:t> </w:t>
      </w:r>
      <w:r>
        <w:rPr>
          <w:spacing w:val="-2"/>
        </w:rPr>
        <w:t>包括交易性金融资产和指定为以公允价值计量且其变动计入当期损益的金融资产。本公司以公允价值计量且其变动计入</w:t>
      </w:r>
    </w:p>
    <w:p>
      <w:pPr>
        <w:pStyle w:val="BodyText"/>
        <w:spacing w:line="316" w:lineRule="auto" w:before="19"/>
        <w:ind w:left="513" w:right="94" w:hanging="361"/>
        <w:jc w:val="left"/>
      </w:pPr>
      <w:r>
        <w:rPr/>
        <w:t>当期损益的金融资产均为交易性金融资产。 </w:t>
      </w:r>
      <w:r>
        <w:rPr>
          <w:spacing w:val="-2"/>
        </w:rPr>
        <w:t>交易性金融资产是指满足下列条件之一的金融资产：</w:t>
      </w:r>
      <w:r>
        <w:rPr>
          <w:rFonts w:ascii="Times New Roman" w:hAnsi="Times New Roman" w:cs="Times New Roman" w:eastAsia="Times New Roman" w:hint="default"/>
          <w:spacing w:val="-2"/>
        </w:rPr>
        <w:t>A.</w:t>
      </w:r>
      <w:r>
        <w:rPr>
          <w:spacing w:val="-2"/>
        </w:rPr>
        <w:t>取得该金融资产的目的，主要是为了近期内出售或回购；</w:t>
      </w:r>
      <w:r>
        <w:rPr>
          <w:rFonts w:ascii="Times New Roman" w:hAnsi="Times New Roman" w:cs="Times New Roman" w:eastAsia="Times New Roman" w:hint="default"/>
          <w:spacing w:val="-2"/>
        </w:rPr>
        <w:t>B.</w:t>
      </w:r>
      <w:r>
        <w:rPr>
          <w:spacing w:val="-2"/>
        </w:rPr>
        <w:t>属于</w:t>
      </w:r>
    </w:p>
    <w:p>
      <w:pPr>
        <w:pStyle w:val="BodyText"/>
        <w:spacing w:line="309" w:lineRule="auto"/>
        <w:ind w:right="191"/>
        <w:jc w:val="both"/>
      </w:pPr>
      <w:r>
        <w:rPr>
          <w:spacing w:val="-2"/>
        </w:rPr>
        <w:t>进行集中管理的可辨认金融工具组合的一部分，且有客观证据表明本公司近期采用短期获利方式对该组合进行管理；</w:t>
      </w:r>
      <w:r>
        <w:rPr>
          <w:rFonts w:ascii="Times New Roman" w:hAnsi="Times New Roman" w:cs="Times New Roman" w:eastAsia="Times New Roman" w:hint="default"/>
          <w:spacing w:val="-2"/>
        </w:rPr>
        <w:t>C.</w:t>
      </w:r>
      <w:r>
        <w:rPr>
          <w:spacing w:val="-2"/>
        </w:rPr>
        <w:t>属于</w:t>
      </w:r>
      <w:r>
        <w:rPr>
          <w:spacing w:val="-47"/>
        </w:rPr>
        <w:t> </w:t>
      </w:r>
      <w:r>
        <w:rPr>
          <w:spacing w:val="-2"/>
        </w:rPr>
        <w:t>衍生工具，但是，被指定且为有效套期工具的衍生工具、属于财务担保合同的衍生工具、与在活跃市场中没有报价且其公允</w:t>
      </w:r>
      <w:r>
        <w:rPr>
          <w:spacing w:val="-64"/>
        </w:rPr>
        <w:t> </w:t>
      </w:r>
      <w:r>
        <w:rPr>
          <w:spacing w:val="-64"/>
        </w:rPr>
      </w:r>
      <w:r>
        <w:rPr/>
        <w:t>价值不能可靠计量的权益工具投资挂钩并须通过交付该权益工具结算的衍生工具除外。</w:t>
      </w:r>
    </w:p>
    <w:p>
      <w:pPr>
        <w:pStyle w:val="BodyText"/>
        <w:spacing w:line="316" w:lineRule="auto" w:before="25"/>
        <w:ind w:right="191" w:firstLine="360"/>
        <w:jc w:val="both"/>
      </w:pPr>
      <w:r>
        <w:rPr>
          <w:spacing w:val="-2"/>
        </w:rPr>
        <w:t>交易性金融资产采用公允价值进行后续计量，公允价值变动形成的利得或损失以及与该金融资产相关的股利和利息收入</w:t>
      </w:r>
      <w:r>
        <w:rPr/>
        <w:t> 计入当期损益。</w:t>
      </w:r>
    </w:p>
    <w:p>
      <w:pPr>
        <w:pStyle w:val="BodyText"/>
        <w:spacing w:line="316" w:lineRule="auto" w:before="19"/>
        <w:ind w:left="513" w:right="94"/>
        <w:jc w:val="left"/>
      </w:pPr>
      <w:r>
        <w:rPr/>
        <w:t>②</w:t>
      </w:r>
      <w:r>
        <w:rPr>
          <w:spacing w:val="-18"/>
        </w:rPr>
        <w:t> </w:t>
      </w:r>
      <w:r>
        <w:rPr/>
        <w:t>持有至到期投资</w:t>
      </w:r>
      <w:r>
        <w:rPr/>
        <w:t> 是指到期日固定、回收金额固定或可确定，且本公司有明确意图和能力持有至到期的非衍生金融资产。 </w:t>
      </w:r>
      <w:r>
        <w:rPr>
          <w:spacing w:val="-2"/>
        </w:rPr>
        <w:t>持有至到期投资采用实际利率法，按摊余成本进行后续计量，在终止确认、发生减值或摊销时产生的利得或损失，计入</w:t>
      </w:r>
    </w:p>
    <w:p>
      <w:pPr>
        <w:pStyle w:val="BodyText"/>
        <w:spacing w:line="240" w:lineRule="auto" w:before="19"/>
        <w:ind w:right="94"/>
        <w:jc w:val="left"/>
      </w:pPr>
      <w:r>
        <w:rPr/>
        <w:t>当期损益。</w:t>
      </w:r>
    </w:p>
    <w:p>
      <w:pPr>
        <w:pStyle w:val="BodyText"/>
        <w:spacing w:line="316" w:lineRule="auto" w:before="76"/>
        <w:ind w:right="192" w:firstLine="360"/>
        <w:jc w:val="both"/>
      </w:pPr>
      <w:r>
        <w:rPr>
          <w:spacing w:val="-2"/>
        </w:rPr>
        <w:t>实际利率法是指按照金融资产或金融负债（含一组金融资产或金融负债）的实际利率计算其摊余成本及各期利息收入或</w:t>
      </w:r>
      <w:r>
        <w:rPr/>
        <w:t> </w:t>
      </w:r>
      <w:r>
        <w:rPr>
          <w:spacing w:val="-2"/>
        </w:rPr>
        <w:t>支出的方法。实际利率是指将金融资产或金融负债在预期存续期间或适用的更短期间内的未来现金流量，折现为该金融资产</w:t>
      </w:r>
      <w:r>
        <w:rPr>
          <w:spacing w:val="-64"/>
        </w:rPr>
        <w:t> </w:t>
      </w:r>
      <w:r>
        <w:rPr>
          <w:spacing w:val="-64"/>
        </w:rPr>
      </w:r>
      <w:r>
        <w:rPr/>
        <w:t>或金融负债当前账面价值所使用的利率。</w:t>
      </w:r>
    </w:p>
    <w:p>
      <w:pPr>
        <w:pStyle w:val="BodyText"/>
        <w:spacing w:line="319" w:lineRule="auto" w:before="19"/>
        <w:ind w:right="191" w:firstLine="360"/>
        <w:jc w:val="both"/>
      </w:pPr>
      <w:r>
        <w:rPr>
          <w:spacing w:val="-2"/>
        </w:rPr>
        <w:t>在计算实际利率时，本公司将在考虑金融资产或金融负债所有合同条款的基础上预计未来现金流量（不考虑未来的信用</w:t>
      </w:r>
      <w:r>
        <w:rPr/>
        <w:t> </w:t>
      </w:r>
      <w:r>
        <w:rPr>
          <w:spacing w:val="-2"/>
        </w:rPr>
        <w:t>损失），同时还将考虑金融资产或金融负债合同各方之间支付或收取的、属于实际利率组成部分的各项收费、交易费用及折</w:t>
      </w:r>
      <w:r>
        <w:rPr>
          <w:spacing w:val="-64"/>
        </w:rPr>
        <w:t> </w:t>
      </w:r>
      <w:r>
        <w:rPr>
          <w:spacing w:val="-64"/>
        </w:rPr>
      </w:r>
      <w:r>
        <w:rPr/>
        <w:t>价或溢价等。</w:t>
      </w:r>
    </w:p>
    <w:p>
      <w:pPr>
        <w:pStyle w:val="BodyText"/>
        <w:spacing w:line="316" w:lineRule="auto" w:before="17"/>
        <w:ind w:left="513" w:right="94"/>
        <w:jc w:val="left"/>
      </w:pPr>
      <w:r>
        <w:rPr/>
        <w:t>③</w:t>
      </w:r>
      <w:r>
        <w:rPr>
          <w:spacing w:val="-18"/>
        </w:rPr>
        <w:t> </w:t>
      </w:r>
      <w:r>
        <w:rPr/>
        <w:t>贷款和应收款项</w:t>
      </w:r>
      <w:r>
        <w:rPr/>
        <w:t> </w:t>
      </w:r>
      <w:r>
        <w:rPr>
          <w:spacing w:val="-2"/>
        </w:rPr>
        <w:t>是指在活跃市场中没有报价、回收金额固定或可确定的非衍生金融资产。本公司划分为贷款和应收款的金融资产包括应</w:t>
      </w:r>
    </w:p>
    <w:p>
      <w:pPr>
        <w:pStyle w:val="BodyText"/>
        <w:spacing w:line="316" w:lineRule="auto" w:before="19"/>
        <w:ind w:left="513" w:right="94" w:hanging="361"/>
        <w:jc w:val="left"/>
      </w:pPr>
      <w:r>
        <w:rPr/>
        <w:t>收票据、应收账款、应收利息、应收股利及其他应收款等。 </w:t>
      </w:r>
      <w:r>
        <w:rPr>
          <w:spacing w:val="-2"/>
        </w:rPr>
        <w:t>贷款和应收款项采用实际利率法，按摊余成本进行后续计量，在终止确认、发生减值或摊销时产生的利得或损失，计入</w:t>
      </w:r>
    </w:p>
    <w:p>
      <w:pPr>
        <w:pStyle w:val="BodyText"/>
        <w:spacing w:line="240" w:lineRule="auto" w:before="19"/>
        <w:ind w:right="94"/>
        <w:jc w:val="left"/>
      </w:pPr>
      <w:r>
        <w:rPr/>
        <w:t>当期损益。</w:t>
      </w:r>
    </w:p>
    <w:p>
      <w:pPr>
        <w:pStyle w:val="BodyText"/>
        <w:spacing w:line="316" w:lineRule="auto" w:before="76"/>
        <w:ind w:left="513" w:right="93"/>
        <w:jc w:val="left"/>
      </w:pPr>
      <w:r>
        <w:rPr/>
        <w:t>④</w:t>
      </w:r>
      <w:r>
        <w:rPr>
          <w:spacing w:val="-18"/>
        </w:rPr>
        <w:t> </w:t>
      </w:r>
      <w:r>
        <w:rPr/>
        <w:t>可供出售金融资产</w:t>
      </w:r>
      <w:r>
        <w:rPr/>
        <w:t> 包括初始确认时即被指定为可供出售的非衍生金融资产，以及除了以公允价值计量且其变动计入当期损益的金融资产、</w:t>
      </w:r>
    </w:p>
    <w:p>
      <w:pPr>
        <w:pStyle w:val="BodyText"/>
        <w:spacing w:line="316" w:lineRule="auto" w:before="19"/>
        <w:ind w:left="513" w:right="94" w:hanging="361"/>
        <w:jc w:val="left"/>
      </w:pPr>
      <w:r>
        <w:rPr/>
        <w:t>贷款和应收款项、持有至到期投资以外的金融资产。 </w:t>
      </w:r>
      <w:r>
        <w:rPr>
          <w:spacing w:val="-2"/>
        </w:rPr>
        <w:t>可供出售债务工具投资的期末成本按照摊余成本法确定，即初始确认金额扣除已偿还的本金，加上或减去采用实际利率</w:t>
      </w:r>
    </w:p>
    <w:p>
      <w:pPr>
        <w:pStyle w:val="BodyText"/>
        <w:spacing w:line="316" w:lineRule="auto" w:before="19"/>
        <w:ind w:right="193"/>
        <w:jc w:val="both"/>
      </w:pPr>
      <w:r>
        <w:rPr>
          <w:spacing w:val="-2"/>
        </w:rPr>
        <w:t>法将该初始确认金额与到期日金额之间的差额进行摊销形成的累计摊销额，并扣除已发生的减值损失后的金额。可供出售权</w:t>
      </w:r>
      <w:r>
        <w:rPr>
          <w:spacing w:val="-64"/>
        </w:rPr>
        <w:t> </w:t>
      </w:r>
      <w:r>
        <w:rPr>
          <w:spacing w:val="-64"/>
        </w:rPr>
      </w:r>
      <w:r>
        <w:rPr/>
        <w:t>益工具投资的期末成本为其初始取得成本。</w:t>
      </w:r>
    </w:p>
    <w:p>
      <w:pPr>
        <w:pStyle w:val="BodyText"/>
        <w:spacing w:line="316" w:lineRule="auto" w:before="19"/>
        <w:ind w:right="191" w:firstLine="360"/>
        <w:jc w:val="both"/>
      </w:pPr>
      <w:r>
        <w:rPr>
          <w:spacing w:val="-2"/>
        </w:rPr>
        <w:t>可供出售金融资产采用公允价值进行后续计量，公允价值变动形成的利得或损失，除减值损失和外币货币性金融资产与</w:t>
      </w:r>
      <w:r>
        <w:rPr/>
        <w:t> </w:t>
      </w:r>
      <w:r>
        <w:rPr>
          <w:spacing w:val="-2"/>
        </w:rPr>
        <w:t>摊余成本相关的汇兑差额计入当期损益外，确认为其他综合收益，在该金融资产终止确认时转出，计入当期损益。但是，在</w:t>
      </w:r>
      <w:r>
        <w:rPr>
          <w:spacing w:val="-67"/>
        </w:rPr>
        <w:t> </w:t>
      </w:r>
      <w:r>
        <w:rPr>
          <w:spacing w:val="-67"/>
        </w:rPr>
      </w:r>
      <w:r>
        <w:rPr>
          <w:spacing w:val="-2"/>
        </w:rPr>
        <w:t>活跃市场中没有报价且其公允价值不能可靠计量的权益工具投资，以及与该权益工具挂钩并须通过交付该权益工具结算的衍</w:t>
      </w:r>
      <w:r>
        <w:rPr>
          <w:spacing w:val="-64"/>
        </w:rPr>
        <w:t> </w:t>
      </w:r>
      <w:r>
        <w:rPr>
          <w:spacing w:val="-64"/>
        </w:rPr>
      </w:r>
      <w:r>
        <w:rPr/>
        <w:t>生金融资产，按照成本进行后续计量。</w:t>
      </w:r>
    </w:p>
    <w:p>
      <w:pPr>
        <w:pStyle w:val="BodyText"/>
        <w:spacing w:line="240" w:lineRule="auto" w:before="19"/>
        <w:ind w:left="513" w:right="94"/>
        <w:jc w:val="left"/>
      </w:pPr>
      <w:r>
        <w:rPr/>
        <w:t>可供出售金融资产持有期间取得的利息及被投资单位宣告发放的现金股利，计入投资收益。</w:t>
      </w:r>
    </w:p>
    <w:p>
      <w:pPr>
        <w:pStyle w:val="BodyText"/>
        <w:spacing w:line="300" w:lineRule="auto" w:before="76"/>
        <w:ind w:left="513" w:right="94" w:hanging="89"/>
        <w:jc w:val="left"/>
      </w:pPr>
      <w:r>
        <w:rPr/>
        <w:t>（</w:t>
      </w:r>
      <w:r>
        <w:rPr>
          <w:rFonts w:ascii="Times New Roman" w:hAnsi="Times New Roman" w:cs="Times New Roman" w:eastAsia="Times New Roman" w:hint="default"/>
        </w:rPr>
        <w:t>3</w:t>
      </w:r>
      <w:r>
        <w:rPr/>
        <w:t>）金融资产减值 </w:t>
      </w:r>
      <w:r>
        <w:rPr>
          <w:spacing w:val="-2"/>
        </w:rPr>
        <w:t>除了以公允价值计量且其变动计入当期损益的金融资产外，本公司在每个资产负债表日对其他金融资产的账面价值进行</w:t>
      </w:r>
    </w:p>
    <w:p>
      <w:pPr>
        <w:pStyle w:val="BodyText"/>
        <w:spacing w:line="319" w:lineRule="auto" w:before="31"/>
        <w:ind w:left="513" w:right="94" w:hanging="361"/>
        <w:jc w:val="left"/>
      </w:pPr>
      <w:r>
        <w:rPr/>
        <w:t>检查，有客观证据表明金融资产发生减值的，计提减值准备。 </w:t>
      </w:r>
      <w:r>
        <w:rPr>
          <w:spacing w:val="-2"/>
        </w:rPr>
        <w:t>本公司对单项金额重大的金融资产单独进行减值测试；对单项金额不重大的金融资产，单独进行减值测试或包括在具有</w:t>
      </w:r>
    </w:p>
    <w:p>
      <w:pPr>
        <w:pStyle w:val="BodyText"/>
        <w:spacing w:line="240" w:lineRule="auto" w:before="17"/>
        <w:ind w:right="0"/>
        <w:jc w:val="left"/>
      </w:pPr>
      <w:r>
        <w:rPr/>
        <w:t>类似信用风险特征的金融资产组合中进行减值测试。单独测试未发生减值的金融资产（包括单项金额重大和不重大的金融资</w:t>
      </w:r>
    </w:p>
    <w:p>
      <w:pPr>
        <w:spacing w:after="0" w:line="240" w:lineRule="auto"/>
        <w:jc w:val="left"/>
        <w:sectPr>
          <w:pgSz w:w="11910" w:h="16840"/>
          <w:pgMar w:header="745" w:footer="1133" w:top="1060" w:bottom="132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191"/>
        <w:jc w:val="both"/>
      </w:pPr>
      <w:r>
        <w:rPr>
          <w:spacing w:val="-2"/>
        </w:rPr>
        <w:t>产），包括在具有类似信用风险特征的金融资产组合中再进行减值测试。已单项确认减值损失的金融资产，不包括在具有类</w:t>
      </w:r>
      <w:r>
        <w:rPr>
          <w:spacing w:val="-64"/>
        </w:rPr>
        <w:t> </w:t>
      </w:r>
      <w:r>
        <w:rPr>
          <w:spacing w:val="-64"/>
        </w:rPr>
      </w:r>
      <w:r>
        <w:rPr/>
        <w:t>似信用风险特征的金融资产组合中进行减值测试。</w:t>
      </w:r>
    </w:p>
    <w:p>
      <w:pPr>
        <w:pStyle w:val="BodyText"/>
        <w:spacing w:line="316" w:lineRule="auto" w:before="19"/>
        <w:ind w:left="513" w:right="94"/>
        <w:jc w:val="left"/>
      </w:pPr>
      <w:r>
        <w:rPr/>
        <w:t>①</w:t>
      </w:r>
      <w:r>
        <w:rPr>
          <w:spacing w:val="-18"/>
        </w:rPr>
        <w:t> </w:t>
      </w:r>
      <w:r>
        <w:rPr/>
        <w:t>持有至到期投资、贷款和应收款项减值</w:t>
      </w:r>
      <w:r>
        <w:rPr/>
        <w:t> </w:t>
      </w:r>
      <w:r>
        <w:rPr>
          <w:spacing w:val="-2"/>
        </w:rPr>
        <w:t>以成本或摊余成本计量的金融资产将其账面价值减记至预计未来现金流量现值，减记金额确认为减值损失，计入当期损</w:t>
      </w:r>
    </w:p>
    <w:p>
      <w:pPr>
        <w:pStyle w:val="BodyText"/>
        <w:spacing w:line="316" w:lineRule="auto" w:before="19"/>
        <w:ind w:right="191"/>
        <w:jc w:val="both"/>
      </w:pPr>
      <w:r>
        <w:rPr>
          <w:spacing w:val="-2"/>
        </w:rPr>
        <w:t>益。金融资产在确认减值损失后，如有客观证据表明该金融资产价值已恢复，且客观上与确认该损失后发生的事项有关，原</w:t>
      </w:r>
      <w:r>
        <w:rPr>
          <w:spacing w:val="-64"/>
        </w:rPr>
        <w:t> </w:t>
      </w:r>
      <w:r>
        <w:rPr>
          <w:spacing w:val="-64"/>
        </w:rPr>
      </w:r>
      <w:r>
        <w:rPr>
          <w:spacing w:val="-2"/>
        </w:rPr>
        <w:t>确认的减值损失予以转回，金融资产转回减值损失后的账面价值不超过假定不计提减值准备情况下该金融资产在转回日的摊</w:t>
      </w:r>
      <w:r>
        <w:rPr>
          <w:spacing w:val="-64"/>
        </w:rPr>
        <w:t> </w:t>
      </w:r>
      <w:r>
        <w:rPr>
          <w:spacing w:val="-64"/>
        </w:rPr>
      </w:r>
      <w:r>
        <w:rPr/>
        <w:t>余成本。</w:t>
      </w:r>
    </w:p>
    <w:p>
      <w:pPr>
        <w:pStyle w:val="BodyText"/>
        <w:spacing w:line="316" w:lineRule="auto" w:before="19"/>
        <w:ind w:left="513" w:right="94"/>
        <w:jc w:val="left"/>
      </w:pPr>
      <w:r>
        <w:rPr/>
        <w:t>②</w:t>
      </w:r>
      <w:r>
        <w:rPr>
          <w:spacing w:val="-18"/>
        </w:rPr>
        <w:t> </w:t>
      </w:r>
      <w:r>
        <w:rPr/>
        <w:t>可供出售金融资产减值</w:t>
      </w:r>
      <w:r>
        <w:rPr/>
        <w:t> </w:t>
      </w:r>
      <w:r>
        <w:rPr>
          <w:spacing w:val="-2"/>
        </w:rPr>
        <w:t>当综合相关因素判断可供出售权益工具投资公允价值下跌是严重或非暂时性下跌时，表明该可供出售权益工具投资发生</w:t>
      </w:r>
    </w:p>
    <w:p>
      <w:pPr>
        <w:pStyle w:val="BodyText"/>
        <w:spacing w:line="300" w:lineRule="auto" w:before="19"/>
        <w:ind w:left="513" w:right="94" w:hanging="361"/>
        <w:jc w:val="left"/>
      </w:pPr>
      <w:r>
        <w:rPr/>
        <w:t>减值。其中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是指公允价值连续下跌时间超过</w:t>
      </w:r>
      <w:r>
        <w:rPr>
          <w:rFonts w:ascii="Times New Roman" w:hAnsi="Times New Roman" w:cs="Times New Roman" w:eastAsia="Times New Roman" w:hint="default"/>
        </w:rPr>
        <w:t>12</w:t>
      </w:r>
      <w:r>
        <w:rPr/>
        <w:t>个月。</w:t>
      </w:r>
      <w:r>
        <w:rPr>
          <w:spacing w:val="-88"/>
        </w:rPr>
        <w:t> </w:t>
      </w:r>
      <w:r>
        <w:rPr>
          <w:spacing w:val="-2"/>
        </w:rPr>
        <w:t>可供出售金融资产发生减值时，将原计入其他综合收益的因公允价值下降形成的累计损失予以转出并计入当期损益，该</w:t>
      </w:r>
    </w:p>
    <w:p>
      <w:pPr>
        <w:pStyle w:val="BodyText"/>
        <w:spacing w:line="316" w:lineRule="auto" w:before="32"/>
        <w:ind w:left="513" w:right="94" w:hanging="361"/>
        <w:jc w:val="left"/>
      </w:pPr>
      <w:r>
        <w:rPr/>
        <w:t>转出的累计损失为该资产初始取得成本扣除已收回本金和已摊销金额、当前公允价值和原已计入损益的减值损失后的余额。 </w:t>
      </w:r>
      <w:r>
        <w:rPr>
          <w:spacing w:val="-2"/>
        </w:rPr>
        <w:t>在确认减值损失后，期后如有客观证据表明该金融资产价值已恢复，且客观上与确认该损失后发生的事项有关，原确认</w:t>
      </w:r>
    </w:p>
    <w:p>
      <w:pPr>
        <w:pStyle w:val="BodyText"/>
        <w:spacing w:line="316" w:lineRule="auto" w:before="19"/>
        <w:ind w:right="193"/>
        <w:jc w:val="both"/>
      </w:pP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pStyle w:val="BodyText"/>
        <w:spacing w:line="316" w:lineRule="auto" w:before="19"/>
        <w:ind w:right="191" w:firstLine="360"/>
        <w:jc w:val="both"/>
      </w:pPr>
      <w:r>
        <w:rPr>
          <w:spacing w:val="-2"/>
        </w:rPr>
        <w:t>在活跃市场中没有报价且其公允价值不能可靠计量的权益工具投资，或与该权益工具挂钩并须通过交付该权益工具结算</w:t>
      </w:r>
      <w:r>
        <w:rPr/>
        <w:t> 的衍生金融资产的减值损失，不予转回。</w:t>
      </w:r>
    </w:p>
    <w:p>
      <w:pPr>
        <w:pStyle w:val="BodyText"/>
        <w:spacing w:line="240" w:lineRule="auto" w:before="19"/>
        <w:ind w:left="424" w:right="94"/>
        <w:jc w:val="left"/>
      </w:pPr>
      <w:r>
        <w:rPr/>
        <w:t>（</w:t>
      </w:r>
      <w:r>
        <w:rPr>
          <w:rFonts w:ascii="Times New Roman" w:hAnsi="Times New Roman" w:cs="Times New Roman" w:eastAsia="Times New Roman" w:hint="default"/>
        </w:rPr>
        <w:t>4</w:t>
      </w:r>
      <w:r>
        <w:rPr/>
        <w:t>）金融资产转移的确认依据和计量方法</w:t>
      </w:r>
    </w:p>
    <w:p>
      <w:pPr>
        <w:pStyle w:val="BodyText"/>
        <w:spacing w:line="316" w:lineRule="auto" w:before="63"/>
        <w:ind w:right="145" w:firstLine="360"/>
        <w:jc w:val="both"/>
      </w:pPr>
      <w:r>
        <w:rPr/>
        <w:t>满足下列条件之一的金融资产，予以终止确认：① 收取该金融资产现金流量的合同权利终止；②</w:t>
      </w:r>
      <w:r>
        <w:rPr>
          <w:spacing w:val="-35"/>
        </w:rPr>
        <w:t> </w:t>
      </w:r>
      <w:r>
        <w:rPr/>
        <w:t>该金融资产已转移，</w:t>
      </w:r>
      <w:r>
        <w:rPr/>
        <w:t> </w:t>
      </w:r>
      <w:r>
        <w:rPr>
          <w:spacing w:val="-2"/>
        </w:rPr>
        <w:t>且将金融资产所有权上几乎所有的风险和报酬转移给转入方；③该金融资产已转移，虽然企业既没有转移也没有保留金融资</w:t>
      </w:r>
      <w:r>
        <w:rPr>
          <w:spacing w:val="-64"/>
        </w:rPr>
        <w:t> </w:t>
      </w:r>
      <w:r>
        <w:rPr>
          <w:spacing w:val="-64"/>
        </w:rPr>
      </w:r>
      <w:r>
        <w:rPr/>
        <w:t>产所有权上几乎所有的风险和报酬，但是放弃了对该金融资产的控制。</w:t>
      </w:r>
    </w:p>
    <w:p>
      <w:pPr>
        <w:pStyle w:val="BodyText"/>
        <w:spacing w:line="316" w:lineRule="auto" w:before="19"/>
        <w:ind w:right="189" w:firstLine="360"/>
        <w:jc w:val="both"/>
      </w:pPr>
      <w:r>
        <w:rPr>
          <w:spacing w:val="-2"/>
        </w:rPr>
        <w:t>企业既没有转移也没有保留金融资产所有权上几乎所有的风险和报酬，且未放弃对该金融资产的控制的，则按照继续涉</w:t>
      </w:r>
      <w:r>
        <w:rPr/>
        <w:t> </w:t>
      </w:r>
      <w:r>
        <w:rPr>
          <w:spacing w:val="-2"/>
        </w:rPr>
        <w:t>入所转移金融资产的程度确认有关金融资产，并相应确认有关负债。继续涉入所转移金融资产的程度，是指该金融资产价值</w:t>
      </w:r>
      <w:r>
        <w:rPr>
          <w:spacing w:val="-62"/>
        </w:rPr>
        <w:t> </w:t>
      </w:r>
      <w:r>
        <w:rPr>
          <w:spacing w:val="-62"/>
        </w:rPr>
      </w:r>
      <w:r>
        <w:rPr/>
        <w:t>变动使企业面临的风险水平。</w:t>
      </w:r>
    </w:p>
    <w:p>
      <w:pPr>
        <w:pStyle w:val="BodyText"/>
        <w:spacing w:line="316" w:lineRule="auto" w:before="19"/>
        <w:ind w:right="192" w:firstLine="360"/>
        <w:jc w:val="both"/>
      </w:pPr>
      <w:r>
        <w:rPr>
          <w:spacing w:val="-2"/>
        </w:rPr>
        <w:t>金融资产整体转移满足终止确认条件的，将所转移金融资产的账面价值及因转移而收到的对价与原计入其他综合收益的</w:t>
      </w:r>
      <w:r>
        <w:rPr/>
        <w:t> 公允价值变动累计额之和的差额计入当期损益。</w:t>
      </w:r>
    </w:p>
    <w:p>
      <w:pPr>
        <w:pStyle w:val="BodyText"/>
        <w:spacing w:line="316" w:lineRule="auto" w:before="19"/>
        <w:ind w:right="192" w:firstLine="360"/>
        <w:jc w:val="both"/>
      </w:pPr>
      <w:r>
        <w:rPr>
          <w:spacing w:val="-2"/>
        </w:rPr>
        <w:t>金融资产部分转移满足终止确认条件的，将所转移金融资产的账面价值在终止确认及未终止确认部分之间按其相对的公</w:t>
      </w:r>
      <w:r>
        <w:rPr/>
        <w:t> </w:t>
      </w: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p>
    <w:p>
      <w:pPr>
        <w:pStyle w:val="BodyText"/>
        <w:spacing w:line="319" w:lineRule="auto" w:before="19"/>
        <w:ind w:right="192" w:firstLine="360"/>
        <w:jc w:val="both"/>
      </w:pPr>
      <w:r>
        <w:rPr>
          <w:spacing w:val="-2"/>
        </w:rPr>
        <w:t>本公司对采用附追索权方式出售的金融资产，或将持有的金融资产背书转让，需确定该金融资产所有权上几乎所有的风</w:t>
      </w:r>
      <w:r>
        <w:rPr/>
        <w:t> </w:t>
      </w:r>
      <w:r>
        <w:rPr>
          <w:spacing w:val="-2"/>
        </w:rPr>
        <w:t>险和报酬是否已经转移。已将该金融资产所有权上几乎所有的风险和报酬转移给转入方的，终止确认该金融资产；保留了金</w:t>
      </w:r>
      <w:r>
        <w:rPr>
          <w:spacing w:val="-66"/>
        </w:rPr>
        <w:t> </w:t>
      </w:r>
      <w:r>
        <w:rPr>
          <w:spacing w:val="-66"/>
        </w:rPr>
      </w:r>
      <w:r>
        <w:rPr>
          <w:spacing w:val="-2"/>
        </w:rPr>
        <w:t>融资产所有权上几乎所有的风险和报酬的，不终止确认该金融资产；既没有转移也没有保留金融资产所有权上几乎所有的风</w:t>
      </w:r>
      <w:r>
        <w:rPr>
          <w:spacing w:val="-64"/>
        </w:rPr>
        <w:t> </w:t>
      </w:r>
      <w:r>
        <w:rPr>
          <w:spacing w:val="-64"/>
        </w:rPr>
      </w:r>
      <w:r>
        <w:rPr/>
        <w:t>险和报酬的，则继续判断企业是否对该资产保留了控制，并根据前面各段所述的原则进行会计处理。</w:t>
      </w:r>
    </w:p>
    <w:p>
      <w:pPr>
        <w:pStyle w:val="BodyText"/>
        <w:spacing w:line="300" w:lineRule="auto" w:before="17"/>
        <w:ind w:left="513" w:right="93"/>
        <w:jc w:val="left"/>
      </w:pPr>
      <w:r>
        <w:rPr/>
        <w:t>（</w:t>
      </w:r>
      <w:r>
        <w:rPr>
          <w:rFonts w:ascii="Times New Roman" w:hAnsi="Times New Roman" w:cs="Times New Roman" w:eastAsia="Times New Roman" w:hint="default"/>
        </w:rPr>
        <w:t>5</w:t>
      </w:r>
      <w:r>
        <w:rPr/>
        <w:t>）金融负债的分类和计量 金融负债在初始确认时划分为以公允价值计量且其变动计入当期损益的金融负债和其他金融负债。初始确认金融负债，</w:t>
      </w:r>
    </w:p>
    <w:p>
      <w:pPr>
        <w:pStyle w:val="BodyText"/>
        <w:spacing w:line="316" w:lineRule="auto" w:before="31"/>
        <w:ind w:right="190"/>
        <w:jc w:val="both"/>
      </w:pPr>
      <w:r>
        <w:rPr>
          <w:spacing w:val="-2"/>
        </w:rPr>
        <w:t>以公允价值计量。对于以公允价值计量且其变动计入当期损益的金融负债，相关的交易费用直接计入当期损益；对于其他金</w:t>
      </w:r>
      <w:r>
        <w:rPr>
          <w:spacing w:val="-63"/>
        </w:rPr>
        <w:t> </w:t>
      </w:r>
      <w:r>
        <w:rPr>
          <w:spacing w:val="-63"/>
        </w:rPr>
      </w:r>
      <w:r>
        <w:rPr/>
        <w:t>融负债，相关交易费用计入初始确认金额。</w:t>
      </w:r>
    </w:p>
    <w:p>
      <w:pPr>
        <w:pStyle w:val="BodyText"/>
        <w:spacing w:line="316" w:lineRule="auto" w:before="19"/>
        <w:ind w:left="513" w:right="273"/>
        <w:jc w:val="left"/>
      </w:pPr>
      <w:r>
        <w:rPr/>
        <w:t>①</w:t>
      </w:r>
      <w:r>
        <w:rPr>
          <w:spacing w:val="-18"/>
        </w:rPr>
        <w:t> </w:t>
      </w:r>
      <w:r>
        <w:rPr/>
        <w:t>以公允价值计量且其变动计入当期损益的金融负债</w:t>
      </w:r>
      <w:r>
        <w:rPr/>
        <w:t> 分类为交易性金融负债和在初始确认时指定为以公允价值计量且其变动计入当期损益的金融负债的条件与分类为交易</w:t>
      </w:r>
    </w:p>
    <w:p>
      <w:pPr>
        <w:pStyle w:val="BodyText"/>
        <w:spacing w:line="316" w:lineRule="auto" w:before="19"/>
        <w:ind w:left="513" w:right="94" w:hanging="361"/>
        <w:jc w:val="left"/>
      </w:pPr>
      <w:r>
        <w:rPr/>
        <w:t>性金融资产和在初始确认时指定为以公允价值计量且其变动计入当期损益的金融资产的条件一致。 </w:t>
      </w:r>
      <w:r>
        <w:rPr>
          <w:spacing w:val="-2"/>
        </w:rPr>
        <w:t>以公允价值计量且其变动计入当期损益的金融负债采用公允价值进行后续计量，公允价值的变动形成的利得或损失以及</w:t>
      </w:r>
    </w:p>
    <w:p>
      <w:pPr>
        <w:pStyle w:val="BodyText"/>
        <w:spacing w:line="240" w:lineRule="auto" w:before="19"/>
        <w:ind w:right="94"/>
        <w:jc w:val="left"/>
      </w:pPr>
      <w:r>
        <w:rPr/>
        <w:t>与该等金融负债相关的股利和利息支出计入当期损益。</w:t>
      </w:r>
    </w:p>
    <w:p>
      <w:pPr>
        <w:pStyle w:val="BodyText"/>
        <w:spacing w:line="316" w:lineRule="auto" w:before="77"/>
        <w:ind w:left="513" w:right="94"/>
        <w:jc w:val="left"/>
      </w:pPr>
      <w:r>
        <w:rPr/>
        <w:t>②</w:t>
      </w:r>
      <w:r>
        <w:rPr>
          <w:spacing w:val="-18"/>
        </w:rPr>
        <w:t> </w:t>
      </w:r>
      <w:r>
        <w:rPr/>
        <w:t>其他金融负债</w:t>
      </w:r>
      <w:r>
        <w:rPr/>
        <w:t> </w:t>
      </w:r>
      <w:r>
        <w:rPr>
          <w:spacing w:val="-2"/>
        </w:rPr>
        <w:t>与在活跃市场中没有报价、公允价值不能可靠计量的权益工具挂钩并须通过交付该权益工具结算的衍生金融负债，按照</w:t>
      </w:r>
    </w:p>
    <w:p>
      <w:pPr>
        <w:spacing w:after="0" w:line="316" w:lineRule="auto"/>
        <w:jc w:val="left"/>
        <w:sectPr>
          <w:pgSz w:w="11910" w:h="16840"/>
          <w:pgMar w:header="745" w:footer="1133" w:top="1060" w:bottom="132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94"/>
        <w:jc w:val="left"/>
      </w:pPr>
      <w:r>
        <w:rPr>
          <w:spacing w:val="-2"/>
        </w:rPr>
        <w:t>成本进行后续计量。其他金融负债采用实际利率法，按摊余成本进行后续计量，终止确认或摊销产生的利得或损失计入当期</w:t>
      </w:r>
      <w:r>
        <w:rPr>
          <w:spacing w:val="-63"/>
        </w:rPr>
        <w:t> </w:t>
      </w:r>
      <w:r>
        <w:rPr>
          <w:spacing w:val="-63"/>
        </w:rPr>
      </w:r>
      <w:r>
        <w:rPr/>
        <w:t>损益。</w:t>
      </w:r>
    </w:p>
    <w:p>
      <w:pPr>
        <w:pStyle w:val="BodyText"/>
        <w:spacing w:line="300" w:lineRule="auto" w:before="19"/>
        <w:ind w:left="513" w:right="94" w:hanging="89"/>
        <w:jc w:val="left"/>
      </w:pPr>
      <w:r>
        <w:rPr/>
        <w:t>（</w:t>
      </w:r>
      <w:r>
        <w:rPr>
          <w:rFonts w:ascii="Times New Roman" w:hAnsi="Times New Roman" w:cs="Times New Roman" w:eastAsia="Times New Roman" w:hint="default"/>
        </w:rPr>
        <w:t>6</w:t>
      </w:r>
      <w:r>
        <w:rPr/>
        <w:t>）金融负债的终止确认 </w:t>
      </w:r>
      <w:r>
        <w:rPr>
          <w:spacing w:val="-2"/>
        </w:rPr>
        <w:t>金融负债的现时义务全部或部分已经解除的，才能终止确认该金融负债或其一部分。本公司（债务人）与债权人之间签</w:t>
      </w:r>
    </w:p>
    <w:p>
      <w:pPr>
        <w:pStyle w:val="BodyText"/>
        <w:spacing w:line="316" w:lineRule="auto" w:before="31"/>
        <w:ind w:right="94"/>
        <w:jc w:val="left"/>
      </w:pPr>
      <w:r>
        <w:rPr>
          <w:spacing w:val="-2"/>
        </w:rPr>
        <w:t>订协议，以承担新金融负债方式替换现存金融负债，且新金融负债与现存金融负债的合同条款实质上不同的，终止确认现存</w:t>
      </w:r>
      <w:r>
        <w:rPr>
          <w:spacing w:val="-63"/>
        </w:rPr>
        <w:t> </w:t>
      </w:r>
      <w:r>
        <w:rPr>
          <w:spacing w:val="-63"/>
        </w:rPr>
      </w:r>
      <w:r>
        <w:rPr/>
        <w:t>金融负债，并同时确认新金融负债。</w:t>
      </w:r>
    </w:p>
    <w:p>
      <w:pPr>
        <w:pStyle w:val="BodyText"/>
        <w:spacing w:line="316" w:lineRule="auto" w:before="19"/>
        <w:ind w:right="94" w:firstLine="360"/>
        <w:jc w:val="left"/>
      </w:pPr>
      <w:r>
        <w:rPr>
          <w:spacing w:val="-2"/>
        </w:rPr>
        <w:t>金融负债全部或部分终止确认的，将终止确认部分的账面价值与支付的对价（包括转出的非现金资产或承担的新金融负</w:t>
      </w:r>
      <w:r>
        <w:rPr/>
        <w:t> 债）之间的差额，计入当期损益。</w:t>
      </w:r>
    </w:p>
    <w:p>
      <w:pPr>
        <w:pStyle w:val="BodyText"/>
        <w:spacing w:line="300" w:lineRule="auto" w:before="19"/>
        <w:ind w:left="513" w:right="94" w:hanging="89"/>
        <w:jc w:val="left"/>
      </w:pPr>
      <w:r>
        <w:rPr/>
        <w:t>（</w:t>
      </w:r>
      <w:r>
        <w:rPr>
          <w:rFonts w:ascii="Times New Roman" w:hAnsi="Times New Roman" w:cs="Times New Roman" w:eastAsia="Times New Roman" w:hint="default"/>
        </w:rPr>
        <w:t>7</w:t>
      </w:r>
      <w:r>
        <w:rPr/>
        <w:t>）金融资产和金融负债的抵销 </w:t>
      </w:r>
      <w:r>
        <w:rPr>
          <w:spacing w:val="-2"/>
        </w:rPr>
        <w:t>当本公司具有抵销已确认金融资产和金融负债的法定权利，且目前可执行该种法定权利，同时本公司计划以净额结算或</w:t>
      </w:r>
    </w:p>
    <w:p>
      <w:pPr>
        <w:pStyle w:val="BodyText"/>
        <w:spacing w:line="319" w:lineRule="auto" w:before="31"/>
        <w:ind w:right="94"/>
        <w:jc w:val="left"/>
      </w:pPr>
      <w:r>
        <w:rPr>
          <w:spacing w:val="-2"/>
        </w:rPr>
        <w:t>同时变现该金融资产和清偿该金融负债时，金融资产和金融负债以相互抵销后的金额在资产负债表内列示。除此以外，金融</w:t>
      </w:r>
      <w:r>
        <w:rPr>
          <w:spacing w:val="-65"/>
        </w:rPr>
        <w:t> </w:t>
      </w:r>
      <w:r>
        <w:rPr>
          <w:spacing w:val="-65"/>
        </w:rPr>
      </w:r>
      <w:r>
        <w:rPr/>
        <w:t>资产和金融负债在资产负债表内分别列示，不予相互抵销。</w:t>
      </w:r>
    </w:p>
    <w:p>
      <w:pPr>
        <w:pStyle w:val="BodyText"/>
        <w:spacing w:line="300" w:lineRule="auto" w:before="17"/>
        <w:ind w:left="513" w:right="94" w:hanging="89"/>
        <w:jc w:val="left"/>
      </w:pPr>
      <w:r>
        <w:rPr/>
        <w:t>（</w:t>
      </w:r>
      <w:r>
        <w:rPr>
          <w:rFonts w:ascii="Times New Roman" w:hAnsi="Times New Roman" w:cs="Times New Roman" w:eastAsia="Times New Roman" w:hint="default"/>
        </w:rPr>
        <w:t>8</w:t>
      </w:r>
      <w:r>
        <w:rPr/>
        <w:t>）权益工具 </w:t>
      </w:r>
      <w:r>
        <w:rPr>
          <w:spacing w:val="-2"/>
        </w:rPr>
        <w:t>权益工具是指能证明拥有本公司在扣除所有负债后的资产中的剩余权益的合同。本公司发行（含再融资）、回购、出售</w:t>
      </w:r>
    </w:p>
    <w:p>
      <w:pPr>
        <w:pStyle w:val="BodyText"/>
        <w:spacing w:line="316" w:lineRule="auto" w:before="31"/>
        <w:ind w:left="513" w:right="93" w:hanging="361"/>
        <w:jc w:val="left"/>
      </w:pPr>
      <w:r>
        <w:rPr>
          <w:spacing w:val="-4"/>
        </w:rPr>
        <w:t>或注销权益工具作为权益的变动处理。本公司不确认权益工具的公允价值变动。与权益性交易相关的交易费用从权益中扣减。</w:t>
      </w:r>
      <w:r>
        <w:rPr>
          <w:spacing w:val="-44"/>
        </w:rPr>
        <w:t> </w:t>
      </w:r>
      <w:r>
        <w:rPr>
          <w:spacing w:val="-44"/>
        </w:rPr>
      </w:r>
      <w:r>
        <w:rPr/>
        <w:t>本公司对权益工具持有方的各种分配（不包括股票股利），减少股东权益。本公司不确认权益工具的公允价值变动额。</w:t>
      </w:r>
    </w:p>
    <w:p>
      <w:pPr>
        <w:spacing w:line="240" w:lineRule="auto" w:before="9"/>
        <w:rPr>
          <w:rFonts w:ascii="宋体" w:hAnsi="宋体" w:cs="宋体" w:eastAsia="宋体" w:hint="default"/>
          <w:sz w:val="17"/>
          <w:szCs w:val="17"/>
        </w:rPr>
      </w:pPr>
    </w:p>
    <w:p>
      <w:pPr>
        <w:pStyle w:val="Heading3"/>
        <w:spacing w:line="240" w:lineRule="auto"/>
        <w:ind w:right="94"/>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万元以上的应收款项确认为单项金 额重大的应收款项</w:t>
            </w:r>
          </w:p>
        </w:tc>
      </w:tr>
      <w:tr>
        <w:trPr>
          <w:trHeight w:val="164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94"/>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收款无风险组合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49"/>
        <w:ind w:right="94"/>
        <w:jc w:val="left"/>
      </w:pPr>
      <w:r>
        <w:rPr/>
        <w:t>组合中，采用账龄分析法计提坏账准备的：</w:t>
      </w:r>
    </w:p>
    <w:p>
      <w:pPr>
        <w:pStyle w:val="BodyText"/>
        <w:spacing w:line="240" w:lineRule="auto" w:before="117"/>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33" w:top="1060" w:bottom="132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94"/>
        <w:jc w:val="left"/>
      </w:pPr>
      <w:r>
        <w:rPr/>
        <w:t>组合中，采用余额百分比法计提坏账准备的：</w:t>
      </w:r>
    </w:p>
    <w:p>
      <w:pPr>
        <w:pStyle w:val="BodyText"/>
        <w:spacing w:line="340" w:lineRule="auto" w:before="115"/>
        <w:ind w:right="65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1"/>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94"/>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单项金额在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万元以下且账龄在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年以上的应收款项</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 损失，计提坏账准备</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94"/>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60" w:lineRule="auto"/>
        <w:ind w:right="6754"/>
        <w:jc w:val="left"/>
      </w:pPr>
      <w:r>
        <w:rPr/>
        <w:t>公司是否需要遵守特殊行业的披露要求 否</w:t>
      </w:r>
    </w:p>
    <w:p>
      <w:pPr>
        <w:pStyle w:val="BodyText"/>
        <w:spacing w:line="300" w:lineRule="auto" w:before="25"/>
        <w:ind w:left="513" w:right="5493" w:hanging="89"/>
        <w:jc w:val="left"/>
      </w:pPr>
      <w:r>
        <w:rPr/>
        <w:t>（</w:t>
      </w:r>
      <w:r>
        <w:rPr>
          <w:rFonts w:ascii="Times New Roman" w:hAnsi="Times New Roman" w:cs="Times New Roman" w:eastAsia="Times New Roman" w:hint="default"/>
        </w:rPr>
        <w:t>1</w:t>
      </w:r>
      <w:r>
        <w:rPr/>
        <w:t>）存货的分类 存货主要包括原材料、库存商品、低值易耗品等。</w:t>
      </w:r>
    </w:p>
    <w:p>
      <w:pPr>
        <w:pStyle w:val="BodyText"/>
        <w:spacing w:line="300" w:lineRule="auto" w:before="32"/>
        <w:ind w:left="513" w:right="453" w:hanging="89"/>
        <w:jc w:val="left"/>
      </w:pPr>
      <w:r>
        <w:rPr/>
        <w:t>（</w:t>
      </w:r>
      <w:r>
        <w:rPr>
          <w:rFonts w:ascii="Times New Roman" w:hAnsi="Times New Roman" w:cs="Times New Roman" w:eastAsia="Times New Roman" w:hint="default"/>
        </w:rPr>
        <w:t>2</w:t>
      </w:r>
      <w:r>
        <w:rPr/>
        <w:t>）存货取得和发出的计价方法 存货在取得时按实际成本计价，存货成本包括采购成本、加工成本和其他成本。领用和发出时按加权平均法计价。</w:t>
      </w:r>
    </w:p>
    <w:p>
      <w:pPr>
        <w:pStyle w:val="BodyText"/>
        <w:spacing w:line="297" w:lineRule="auto" w:before="19"/>
        <w:ind w:left="513" w:right="94" w:hanging="89"/>
        <w:jc w:val="left"/>
      </w:pPr>
      <w:r>
        <w:rPr/>
        <w:t>（</w:t>
      </w:r>
      <w:r>
        <w:rPr>
          <w:rFonts w:ascii="Times New Roman" w:hAnsi="Times New Roman" w:cs="Times New Roman" w:eastAsia="Times New Roman" w:hint="default"/>
        </w:rPr>
        <w:t>3</w:t>
      </w:r>
      <w:r>
        <w:rPr/>
        <w:t>）存货可变现净值的确认和</w:t>
      </w:r>
      <w:r>
        <w:rPr>
          <w:rFonts w:ascii="宋体" w:hAnsi="宋体" w:cs="宋体" w:eastAsia="宋体" w:hint="default"/>
          <w:sz w:val="19"/>
          <w:szCs w:val="19"/>
        </w:rPr>
        <w:t>跌价</w:t>
      </w:r>
      <w:r>
        <w:rPr/>
        <w:t>准备的计提方法 </w:t>
      </w:r>
      <w:r>
        <w:rPr>
          <w:spacing w:val="-2"/>
        </w:rPr>
        <w:t>可变现净值是指在日常活动中，存货的估计售价减去至完工时估计将要发生的成本、估计的销售费用以及相关税费后的</w:t>
      </w:r>
    </w:p>
    <w:p>
      <w:pPr>
        <w:pStyle w:val="BodyText"/>
        <w:spacing w:line="316" w:lineRule="auto" w:before="33"/>
        <w:ind w:left="513" w:right="94" w:hanging="361"/>
        <w:jc w:val="left"/>
      </w:pPr>
      <w:r>
        <w:rPr/>
        <w:t>金额。在确定存货的可变现净值时，以取得的确凿证据为基础，同时考虑持有存货的目的以及资产负债表日后事项的影响。 </w:t>
      </w:r>
      <w:r>
        <w:rPr>
          <w:spacing w:val="-2"/>
        </w:rPr>
        <w:t>在资产负债表日，存货按照成本与可变现净值孰低计量。当其可变现净值低于成本时，提取存货跌价准备。存货跌价准</w:t>
      </w:r>
    </w:p>
    <w:p>
      <w:pPr>
        <w:pStyle w:val="BodyText"/>
        <w:spacing w:line="316" w:lineRule="auto" w:before="19"/>
        <w:ind w:left="513" w:right="94" w:hanging="361"/>
        <w:jc w:val="left"/>
      </w:pPr>
      <w:r>
        <w:rPr/>
        <w:t>备按单个存货项目的成本高于其可变现净值的差额提取。 </w:t>
      </w:r>
      <w:r>
        <w:rPr>
          <w:spacing w:val="-2"/>
        </w:rPr>
        <w:t>计提存货跌价准备后，如果以前减记存货价值的影响因素已经消失，导致存货的可变现净值高于其账面价值的，在原已</w:t>
      </w:r>
    </w:p>
    <w:p>
      <w:pPr>
        <w:pStyle w:val="BodyText"/>
        <w:spacing w:line="240" w:lineRule="auto" w:before="19"/>
        <w:ind w:right="94"/>
        <w:jc w:val="left"/>
      </w:pPr>
      <w:r>
        <w:rPr/>
        <w:t>计提的存货跌价准备金额内予以转回，转回的金额计入当期损益。</w:t>
      </w:r>
    </w:p>
    <w:p>
      <w:pPr>
        <w:pStyle w:val="BodyText"/>
        <w:spacing w:line="240" w:lineRule="auto" w:before="76"/>
        <w:ind w:left="424" w:right="94"/>
        <w:jc w:val="left"/>
      </w:pPr>
      <w:r>
        <w:rPr/>
        <w:t>（</w:t>
      </w:r>
      <w:r>
        <w:rPr>
          <w:rFonts w:ascii="Times New Roman" w:hAnsi="Times New Roman" w:cs="Times New Roman" w:eastAsia="Times New Roman" w:hint="default"/>
        </w:rPr>
        <w:t>4</w:t>
      </w:r>
      <w:r>
        <w:rPr/>
        <w:t>）存货的盘存制度为永续盘存制。</w:t>
      </w:r>
    </w:p>
    <w:p>
      <w:pPr>
        <w:pStyle w:val="BodyText"/>
        <w:spacing w:line="300" w:lineRule="auto" w:before="63"/>
        <w:ind w:left="513" w:right="3333" w:hanging="89"/>
        <w:jc w:val="left"/>
      </w:pPr>
      <w:r>
        <w:rPr/>
        <w:t>（</w:t>
      </w:r>
      <w:r>
        <w:rPr>
          <w:rFonts w:ascii="Times New Roman" w:hAnsi="Times New Roman" w:cs="Times New Roman" w:eastAsia="Times New Roman" w:hint="default"/>
        </w:rPr>
        <w:t>5</w:t>
      </w:r>
      <w:r>
        <w:rPr/>
        <w:t>）低值易耗品和包装物的摊销方法 低值易耗品于领用时按一次摊销法摊销；包装物于领用时按一次摊销法摊销。</w:t>
      </w:r>
    </w:p>
    <w:p>
      <w:pPr>
        <w:spacing w:line="240" w:lineRule="auto" w:before="8"/>
        <w:rPr>
          <w:rFonts w:ascii="宋体" w:hAnsi="宋体" w:cs="宋体" w:eastAsia="宋体" w:hint="default"/>
          <w:sz w:val="18"/>
          <w:szCs w:val="18"/>
        </w:rPr>
      </w:pPr>
    </w:p>
    <w:p>
      <w:pPr>
        <w:pStyle w:val="Heading3"/>
        <w:spacing w:line="240" w:lineRule="auto"/>
        <w:ind w:right="94"/>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4" w:lineRule="auto"/>
        <w:ind w:right="190" w:firstLine="360"/>
        <w:jc w:val="both"/>
      </w:pPr>
      <w:r>
        <w:rPr>
          <w:spacing w:val="-2"/>
        </w:rPr>
        <w:t>若某项非流动资产在其当前状况下仅根据出售此类资产的惯常条款即可立即出售，本公司已就处置该项非流动资产作出</w:t>
      </w:r>
      <w:r>
        <w:rPr/>
        <w:t> </w:t>
      </w:r>
      <w:r>
        <w:rPr>
          <w:spacing w:val="-2"/>
        </w:rPr>
        <w:t>决议，已经与受让方签订了不可撤销的转让协议，且该项转让将在一年内完成，则该非流动资产作为持有待售非流动资产核</w:t>
      </w:r>
      <w:r>
        <w:rPr>
          <w:spacing w:val="-63"/>
        </w:rPr>
        <w:t> </w:t>
      </w:r>
      <w:r>
        <w:rPr>
          <w:spacing w:val="-63"/>
        </w:rPr>
      </w:r>
      <w:r>
        <w:rPr>
          <w:spacing w:val="-2"/>
        </w:rPr>
        <w:t>算，自划分为持有待售之日起不计提折旧或进行摊销，按照账面价值与公允价值减去处置费用后的净额孰低计量。持有待售</w:t>
      </w:r>
      <w:r>
        <w:rPr>
          <w:spacing w:val="-63"/>
        </w:rPr>
        <w:t> </w:t>
      </w:r>
      <w:r>
        <w:rPr>
          <w:spacing w:val="-63"/>
        </w:rPr>
      </w:r>
      <w:r>
        <w:rPr/>
        <w:t>的非流动资产包括单项资产和处置组。如果处置组是一个《企业会计准则第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资产减值》所定义的资产组，并且按照 </w:t>
      </w:r>
      <w:r>
        <w:rPr>
          <w:spacing w:val="-2"/>
        </w:rPr>
        <w:t>该准则的规定将企业合并中取得的商誉分摊至该资产组，或者该处置组是资产组中的一项经营，则该处置组包括企业合并中</w:t>
      </w:r>
      <w:r>
        <w:rPr>
          <w:spacing w:val="-63"/>
        </w:rPr>
        <w:t> </w:t>
      </w:r>
      <w:r>
        <w:rPr>
          <w:spacing w:val="-63"/>
        </w:rPr>
      </w:r>
      <w:r>
        <w:rPr/>
        <w:t>所形成的商誉。</w:t>
      </w:r>
    </w:p>
    <w:p>
      <w:pPr>
        <w:pStyle w:val="BodyText"/>
        <w:spacing w:line="316" w:lineRule="auto" w:before="21"/>
        <w:ind w:right="192" w:firstLine="360"/>
        <w:jc w:val="both"/>
      </w:pPr>
      <w:r>
        <w:rPr>
          <w:spacing w:val="-2"/>
        </w:rPr>
        <w:t>被划分为持有待售的单项非流动资产和处置组中的资产，在资产负债表的流动资产部分单独列报；被划分为持有待售的</w:t>
      </w:r>
      <w:r>
        <w:rPr/>
        <w:t> 处置组中的与转让资产相关的负债，在资产负债表的流动负债部分单独列报。</w:t>
      </w:r>
    </w:p>
    <w:p>
      <w:pPr>
        <w:pStyle w:val="BodyText"/>
        <w:spacing w:line="240" w:lineRule="auto" w:before="19"/>
        <w:ind w:left="513" w:right="94"/>
        <w:jc w:val="left"/>
      </w:pPr>
      <w:r>
        <w:rPr/>
        <w:t>某项资产或处置组被划归为持有待售，但后来不再满足持有待售的非流动资产的确认条件，本公司停止将其划归为持</w:t>
      </w:r>
    </w:p>
    <w:p>
      <w:pPr>
        <w:spacing w:after="0" w:line="240" w:lineRule="auto"/>
        <w:jc w:val="left"/>
        <w:sectPr>
          <w:pgSz w:w="11910" w:h="16840"/>
          <w:pgMar w:header="745" w:footer="1133" w:top="1060" w:bottom="1320" w:left="980" w:right="940"/>
        </w:sectPr>
      </w:pPr>
    </w:p>
    <w:p>
      <w:pPr>
        <w:spacing w:line="240" w:lineRule="auto" w:before="10"/>
        <w:rPr>
          <w:rFonts w:ascii="宋体" w:hAnsi="宋体" w:cs="宋体" w:eastAsia="宋体" w:hint="default"/>
          <w:sz w:val="25"/>
          <w:szCs w:val="25"/>
        </w:rPr>
      </w:pPr>
    </w:p>
    <w:p>
      <w:pPr>
        <w:pStyle w:val="BodyText"/>
        <w:spacing w:line="300" w:lineRule="auto" w:before="44"/>
        <w:ind w:right="343"/>
        <w:jc w:val="both"/>
      </w:pPr>
      <w:r>
        <w:rPr/>
        <w:t>有待售，并按照下列两项金额中较低者进行计量：（</w:t>
      </w:r>
      <w:r>
        <w:rPr>
          <w:rFonts w:ascii="Times New Roman" w:hAnsi="Times New Roman" w:cs="Times New Roman" w:eastAsia="Times New Roman" w:hint="default"/>
        </w:rPr>
        <w:t>1</w:t>
      </w:r>
      <w:r>
        <w:rPr/>
        <w:t>）该资产或处置组被划归为持有待售之前的账面价值，按照其假定</w:t>
      </w:r>
      <w:r>
        <w:rPr>
          <w:spacing w:val="-58"/>
        </w:rPr>
        <w:t> </w:t>
      </w:r>
      <w:r>
        <w:rPr>
          <w:spacing w:val="-58"/>
        </w:rPr>
      </w:r>
      <w:r>
        <w:rPr/>
        <w:t>在没有被划归为持有待售的情况下原应确认的折旧、摊销或减值进行调整后的金额；（</w:t>
      </w:r>
      <w:r>
        <w:rPr>
          <w:rFonts w:ascii="Times New Roman" w:hAnsi="Times New Roman" w:cs="Times New Roman" w:eastAsia="Times New Roman" w:hint="default"/>
        </w:rPr>
        <w:t>2</w:t>
      </w:r>
      <w:r>
        <w:rPr/>
        <w:t>）决定不再出售之日的可收回金</w:t>
      </w:r>
      <w:r>
        <w:rPr>
          <w:spacing w:val="-56"/>
        </w:rPr>
        <w:t> </w:t>
      </w:r>
      <w:r>
        <w:rPr>
          <w:spacing w:val="-56"/>
        </w:rPr>
      </w:r>
      <w:r>
        <w:rPr/>
        <w:t>额。</w:t>
      </w:r>
    </w:p>
    <w:p>
      <w:pPr>
        <w:spacing w:line="240" w:lineRule="auto" w:before="8"/>
        <w:rPr>
          <w:rFonts w:ascii="宋体" w:hAnsi="宋体" w:cs="宋体" w:eastAsia="宋体" w:hint="default"/>
          <w:sz w:val="18"/>
          <w:szCs w:val="18"/>
        </w:rPr>
      </w:pPr>
    </w:p>
    <w:p>
      <w:pPr>
        <w:pStyle w:val="Heading3"/>
        <w:spacing w:line="240" w:lineRule="auto"/>
        <w:ind w:right="0"/>
        <w:jc w:val="both"/>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92" w:firstLine="360"/>
        <w:jc w:val="both"/>
      </w:pPr>
      <w:r>
        <w:rPr>
          <w:spacing w:val="-2"/>
        </w:rPr>
        <w:t>本部分所指的长期股权投资是指本公司对被投资单位具有控制、共同控制或重大影响的长期股权投资。本公司对被投资</w:t>
      </w:r>
      <w:r>
        <w:rPr/>
        <w:t> </w:t>
      </w:r>
      <w:r>
        <w:rPr>
          <w:spacing w:val="-2"/>
        </w:rPr>
        <w:t>单位不具有控制、共同控制或重大影响的长期股权投资，作为可供出售金融资产或以公允价值计量且其变动计入当期损益的</w:t>
      </w:r>
      <w:r>
        <w:rPr>
          <w:spacing w:val="-64"/>
        </w:rPr>
        <w:t> </w:t>
      </w:r>
      <w:r>
        <w:rPr>
          <w:spacing w:val="-64"/>
        </w:rPr>
      </w:r>
      <w:r>
        <w:rPr/>
        <w:t>金融资产核算，其会计政策详见附注五、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p>
    <w:p>
      <w:pPr>
        <w:pStyle w:val="BodyText"/>
        <w:spacing w:line="319" w:lineRule="auto"/>
        <w:ind w:right="188" w:firstLine="360"/>
        <w:jc w:val="both"/>
      </w:pPr>
      <w:r>
        <w:rPr>
          <w:spacing w:val="-2"/>
        </w:rPr>
        <w:t>共同控制，是指本公司按照相关约定对某项安排所共有的控制，并且该安排的相关活动必须经过分享控制权的参与方一</w:t>
      </w:r>
      <w:r>
        <w:rPr/>
        <w:t> </w:t>
      </w:r>
      <w:r>
        <w:rPr>
          <w:spacing w:val="-2"/>
        </w:rPr>
        <w:t>致同意后才能决策。重大影响，是指本公司对被投资单位的财务和经营政策有参与决策的权力，但并不能够控制或者与其他</w:t>
      </w:r>
      <w:r>
        <w:rPr>
          <w:spacing w:val="-61"/>
        </w:rPr>
        <w:t> </w:t>
      </w:r>
      <w:r>
        <w:rPr>
          <w:spacing w:val="-61"/>
        </w:rPr>
      </w:r>
      <w:r>
        <w:rPr/>
        <w:t>方一起共同控制这些政策的制定。</w:t>
      </w:r>
    </w:p>
    <w:p>
      <w:pPr>
        <w:pStyle w:val="BodyText"/>
        <w:spacing w:line="300" w:lineRule="auto" w:before="17"/>
        <w:ind w:left="513" w:right="94" w:hanging="89"/>
        <w:jc w:val="left"/>
      </w:pPr>
      <w:r>
        <w:rPr/>
        <w:t>（</w:t>
      </w:r>
      <w:r>
        <w:rPr>
          <w:rFonts w:ascii="Times New Roman" w:hAnsi="Times New Roman" w:cs="Times New Roman" w:eastAsia="Times New Roman" w:hint="default"/>
        </w:rPr>
        <w:t>1</w:t>
      </w:r>
      <w:r>
        <w:rPr/>
        <w:t>）投资成本的确定 </w:t>
      </w:r>
      <w:r>
        <w:rPr>
          <w:spacing w:val="-2"/>
        </w:rPr>
        <w:t>对于同一控制下的企业合并取得的长期股权投资，在合并日按照被合并方所有者权益在最终控制方合并财务报表中的账</w:t>
      </w:r>
    </w:p>
    <w:p>
      <w:pPr>
        <w:pStyle w:val="BodyText"/>
        <w:spacing w:line="314" w:lineRule="auto" w:before="31"/>
        <w:ind w:right="191"/>
        <w:jc w:val="both"/>
      </w:pPr>
      <w:r>
        <w:rPr>
          <w:spacing w:val="-2"/>
        </w:rPr>
        <w:t>面价值的份额作为长期股权投资的初始投资成本。长期股权投资初始投资成本与支付的现金、转让的非现金资产以及所承担</w:t>
      </w:r>
      <w:r>
        <w:rPr>
          <w:spacing w:val="-64"/>
        </w:rPr>
        <w:t> </w:t>
      </w:r>
      <w:r>
        <w:rPr>
          <w:spacing w:val="-64"/>
        </w:rPr>
      </w:r>
      <w:r>
        <w:rPr>
          <w:spacing w:val="-2"/>
        </w:rPr>
        <w:t>债务账面价值之间的差额，调整资本公积；资本公积不足冲减的，调整留存收益。以发行权益性证券作为合并对价的，在合</w:t>
      </w:r>
      <w:r>
        <w:rPr>
          <w:spacing w:val="-67"/>
        </w:rPr>
        <w:t> </w:t>
      </w:r>
      <w:r>
        <w:rPr>
          <w:spacing w:val="-67"/>
        </w:rPr>
      </w:r>
      <w:r>
        <w:rPr>
          <w:spacing w:val="-2"/>
        </w:rPr>
        <w:t>并日按照被合并方所有者权益在最终控制方合并财务报表中的账面价值的份额作为长期股权投资的初始投资成本，按照发行</w:t>
      </w:r>
      <w:r>
        <w:rPr>
          <w:spacing w:val="-64"/>
        </w:rPr>
        <w:t> </w:t>
      </w:r>
      <w:r>
        <w:rPr>
          <w:spacing w:val="-64"/>
        </w:rPr>
      </w:r>
      <w:r>
        <w:rPr>
          <w:spacing w:val="-2"/>
        </w:rPr>
        <w:t>股份的面值总额作为股本，长期股权投资初始投资成本与所发行股份面值总额之间的差额，调整资本公积；资本公积不足冲</w:t>
      </w:r>
      <w:r>
        <w:rPr>
          <w:spacing w:val="-66"/>
        </w:rPr>
        <w:t> </w:t>
      </w:r>
      <w:r>
        <w:rPr>
          <w:spacing w:val="-66"/>
        </w:rPr>
      </w:r>
      <w:r>
        <w:rPr>
          <w:spacing w:val="-2"/>
        </w:rPr>
        <w:t>减的，调整留存收益。通过多次交易分步取得同一控制下被合并方的股权，最终形成同一控制下企业合并的，应分别是否属</w:t>
      </w:r>
      <w:r>
        <w:rPr>
          <w:spacing w:val="-64"/>
        </w:rPr>
        <w:t> </w:t>
      </w:r>
      <w:r>
        <w:rPr>
          <w:spacing w:val="-64"/>
        </w:rPr>
      </w:r>
      <w:r>
        <w:rPr/>
        <w:t>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一揽子交 易</w:t>
      </w:r>
      <w:r>
        <w:rPr>
          <w:rFonts w:ascii="Times New Roman" w:hAnsi="Times New Roman" w:cs="Times New Roman" w:eastAsia="Times New Roman" w:hint="default"/>
        </w:rPr>
        <w:t>”</w:t>
      </w:r>
      <w:r>
        <w:rPr/>
        <w:t>的，在合并日按照应享有被合并方所有者权益在最终控制方合并财务报表中的账面价值的份额作为长期股权投资的初始 </w:t>
      </w:r>
      <w:r>
        <w:rPr>
          <w:spacing w:val="-2"/>
        </w:rPr>
        <w:t>投资成本，长期股权投资初始投资成本与达到合并前的长期股权投资账面价值加上合并日进一步取得股份新支付对价的账面</w:t>
      </w:r>
      <w:r>
        <w:rPr>
          <w:spacing w:val="-63"/>
        </w:rPr>
        <w:t> </w:t>
      </w:r>
      <w:r>
        <w:rPr>
          <w:spacing w:val="-63"/>
        </w:rPr>
      </w:r>
      <w:r>
        <w:rPr>
          <w:spacing w:val="-2"/>
        </w:rPr>
        <w:t>价值之和的差额，调整资本公积；资本公积不足冲减的，调整留存收益。合并日之前持有的股权投资因采用权益法核算或为</w:t>
      </w:r>
      <w:r>
        <w:rPr>
          <w:spacing w:val="-64"/>
        </w:rPr>
        <w:t> </w:t>
      </w:r>
      <w:r>
        <w:rPr>
          <w:spacing w:val="-64"/>
        </w:rPr>
      </w:r>
      <w:r>
        <w:rPr/>
        <w:t>可供出售金融资产而确认的其他综合收益，暂不进行会计处理。</w:t>
      </w:r>
    </w:p>
    <w:p>
      <w:pPr>
        <w:pStyle w:val="BodyText"/>
        <w:spacing w:line="312" w:lineRule="auto" w:before="20"/>
        <w:ind w:right="102" w:firstLine="360"/>
        <w:jc w:val="left"/>
      </w:pPr>
      <w:r>
        <w:rPr>
          <w:spacing w:val="-2"/>
        </w:rPr>
        <w:t>对于非同一控制下的企业合并取得的长期股权投资，在购买日按照合并成本作为长期股权投资的初始投资成本，合并成</w:t>
      </w:r>
      <w:r>
        <w:rPr/>
        <w:t> </w:t>
      </w:r>
      <w:r>
        <w:rPr>
          <w:spacing w:val="-4"/>
        </w:rPr>
        <w:t>本包括购买方付出的资产、发生或承担的负债、发行的权益性证券的公允价值之和。通过多次交易分步取得被购买方的股权，</w:t>
      </w:r>
      <w:r>
        <w:rPr>
          <w:spacing w:val="-44"/>
        </w:rPr>
        <w:t> </w:t>
      </w:r>
      <w:r>
        <w:rPr>
          <w:spacing w:val="-44"/>
        </w:rPr>
      </w:r>
      <w:r>
        <w:rPr/>
        <w:t>最终形成非同一控制下的企业合并的，应分别是否属于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w:t>
      </w:r>
      <w:r>
        <w:rPr>
          <w:spacing w:val="2"/>
        </w:rPr>
        <w:t> </w:t>
      </w:r>
      <w:r>
        <w:rPr>
          <w:spacing w:val="-3"/>
          <w:w w:val="100"/>
        </w:rPr>
        <w:t>取得控制权的交易进行会计处理。不属于</w:t>
      </w:r>
      <w:r>
        <w:rPr>
          <w:rFonts w:ascii="Times New Roman" w:hAnsi="Times New Roman" w:cs="Times New Roman" w:eastAsia="Times New Roman" w:hint="default"/>
          <w:spacing w:val="-3"/>
          <w:w w:val="100"/>
        </w:rPr>
        <w:t>“</w:t>
      </w:r>
      <w:r>
        <w:rPr>
          <w:spacing w:val="-3"/>
          <w:w w:val="100"/>
        </w:rPr>
        <w:t>一揽子交易</w:t>
      </w:r>
      <w:r>
        <w:rPr>
          <w:rFonts w:ascii="Times New Roman" w:hAnsi="Times New Roman" w:cs="Times New Roman" w:eastAsia="Times New Roman" w:hint="default"/>
          <w:spacing w:val="-3"/>
          <w:w w:val="100"/>
        </w:rPr>
        <w:t>”</w:t>
      </w:r>
      <w:r>
        <w:rPr>
          <w:spacing w:val="-3"/>
          <w:w w:val="100"/>
        </w:rPr>
        <w:t>的，按照原持有被购买方的股权投资账面价值加上新增投资成本之和，</w:t>
      </w:r>
      <w:r>
        <w:rPr>
          <w:spacing w:val="-76"/>
          <w:w w:val="100"/>
        </w:rPr>
        <w:t> </w:t>
      </w:r>
      <w:r>
        <w:rPr>
          <w:spacing w:val="-76"/>
          <w:w w:val="100"/>
        </w:rPr>
      </w:r>
      <w:r>
        <w:rPr>
          <w:spacing w:val="-2"/>
        </w:rPr>
        <w:t>作为改按成本法核算的长期股权投资的初始投资成本。原持有的股权采用权益法核算的，相关其他综合收益暂不进行会计处</w:t>
      </w:r>
      <w:r>
        <w:rPr>
          <w:spacing w:val="-64"/>
        </w:rPr>
        <w:t> </w:t>
      </w:r>
      <w:r>
        <w:rPr>
          <w:spacing w:val="-64"/>
        </w:rPr>
      </w:r>
      <w:r>
        <w:rPr>
          <w:spacing w:val="-2"/>
        </w:rPr>
        <w:t>理。原持有股权投资为可供出售金融资产的，其公允价值与账面价值之间的差额，以及原计入其他综合收益的累计公允价值</w:t>
      </w:r>
      <w:r>
        <w:rPr>
          <w:spacing w:val="-63"/>
        </w:rPr>
        <w:t> </w:t>
      </w:r>
      <w:r>
        <w:rPr>
          <w:spacing w:val="-63"/>
        </w:rPr>
      </w:r>
      <w:r>
        <w:rPr/>
        <w:t>变动转入当期损益。</w:t>
      </w:r>
    </w:p>
    <w:p>
      <w:pPr>
        <w:pStyle w:val="BodyText"/>
        <w:spacing w:line="240" w:lineRule="auto" w:before="22"/>
        <w:ind w:left="513" w:right="0"/>
        <w:jc w:val="left"/>
      </w:pPr>
      <w:r>
        <w:rPr/>
        <w:t>合并方或购买方为企业合并发生的审计、法律服务、评估咨询等中介费用以及其他相关管理费用，于发生时计入当期损</w:t>
      </w:r>
    </w:p>
    <w:p>
      <w:pPr>
        <w:pStyle w:val="BodyText"/>
        <w:spacing w:line="240" w:lineRule="auto" w:before="77"/>
        <w:ind w:right="94"/>
        <w:jc w:val="left"/>
      </w:pPr>
      <w:r>
        <w:rPr/>
        <w:t>益。</w:t>
      </w:r>
    </w:p>
    <w:p>
      <w:pPr>
        <w:pStyle w:val="BodyText"/>
        <w:spacing w:line="240" w:lineRule="auto" w:before="76"/>
        <w:ind w:left="513" w:right="0"/>
        <w:jc w:val="left"/>
      </w:pPr>
      <w:r>
        <w:rPr/>
        <w:t>除企业合并形成的长期股权投资外的其他股权投资，按成本进行初始计量，该成本视长期股权投资取得方式的不同，分</w:t>
      </w:r>
    </w:p>
    <w:p>
      <w:pPr>
        <w:pStyle w:val="BodyText"/>
        <w:spacing w:line="312" w:lineRule="auto" w:before="76"/>
        <w:ind w:right="189"/>
        <w:jc w:val="both"/>
      </w:pPr>
      <w:r>
        <w:rPr>
          <w:spacing w:val="-2"/>
        </w:rPr>
        <w:t>别按照本公司实际支付的现金购买价款、本公司发行的权益性证券的公允价值、投资合同或协议约定的价值、非货币性资产</w:t>
      </w:r>
      <w:r>
        <w:rPr>
          <w:spacing w:val="-63"/>
        </w:rPr>
        <w:t> </w:t>
      </w:r>
      <w:r>
        <w:rPr>
          <w:spacing w:val="-63"/>
        </w:rPr>
      </w:r>
      <w:r>
        <w:rPr>
          <w:spacing w:val="-2"/>
        </w:rPr>
        <w:t>交换交易中换出资产的公允价值或原账面价值、该项长期股权投资自身的公允价值等方式确定。与取得长期股权投资直接相</w:t>
      </w:r>
      <w:r>
        <w:rPr>
          <w:spacing w:val="-64"/>
        </w:rPr>
        <w:t> </w:t>
      </w:r>
      <w:r>
        <w:rPr>
          <w:spacing w:val="-64"/>
        </w:rPr>
      </w:r>
      <w:r>
        <w:rPr>
          <w:spacing w:val="-2"/>
        </w:rPr>
        <w:t>关的费用、税金及其他必要支出也计入投资成本。对于因追加投资能够对被投资单位实施重大影响或实施共同控制但不构成</w:t>
      </w:r>
      <w:r>
        <w:rPr>
          <w:spacing w:val="-64"/>
        </w:rPr>
        <w:t> </w:t>
      </w:r>
      <w:r>
        <w:rPr>
          <w:spacing w:val="-64"/>
        </w:rPr>
      </w:r>
      <w:r>
        <w:rPr>
          <w:spacing w:val="-2"/>
        </w:rPr>
        <w:t>控制的，长期股权投资成本为按照《企业会计准则第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金融工具确认和计量》确定的原持有股权投资的公允价值加上</w:t>
      </w:r>
      <w:r>
        <w:rPr>
          <w:spacing w:val="-61"/>
        </w:rPr>
        <w:t> </w:t>
      </w:r>
      <w:r>
        <w:rPr>
          <w:spacing w:val="-61"/>
        </w:rPr>
      </w:r>
      <w:r>
        <w:rPr/>
        <w:t>新增投资成本之和。</w:t>
      </w:r>
    </w:p>
    <w:p>
      <w:pPr>
        <w:pStyle w:val="BodyText"/>
        <w:spacing w:line="300" w:lineRule="auto" w:before="22"/>
        <w:ind w:left="513" w:right="94" w:hanging="89"/>
        <w:jc w:val="left"/>
      </w:pPr>
      <w:r>
        <w:rPr/>
        <w:t>（</w:t>
      </w:r>
      <w:r>
        <w:rPr>
          <w:rFonts w:ascii="Times New Roman" w:hAnsi="Times New Roman" w:cs="Times New Roman" w:eastAsia="Times New Roman" w:hint="default"/>
        </w:rPr>
        <w:t>2</w:t>
      </w:r>
      <w:r>
        <w:rPr/>
        <w:t>）后续计量及损益确认方法 </w:t>
      </w:r>
      <w:r>
        <w:rPr>
          <w:spacing w:val="-2"/>
        </w:rPr>
        <w:t>对被投资单位具有共同控制（构成共同经营者除外）或重大影响的长期股权投资，采用权益法核算。此外，公司财务报</w:t>
      </w:r>
    </w:p>
    <w:p>
      <w:pPr>
        <w:pStyle w:val="BodyText"/>
        <w:spacing w:line="240" w:lineRule="auto" w:before="31"/>
        <w:ind w:right="0"/>
        <w:jc w:val="both"/>
      </w:pPr>
      <w:r>
        <w:rPr/>
        <w:t>表采用成本法核算能够对被投资单位实施控制的长期股权投资。</w:t>
      </w:r>
    </w:p>
    <w:p>
      <w:pPr>
        <w:pStyle w:val="BodyText"/>
        <w:spacing w:line="316" w:lineRule="auto" w:before="77"/>
        <w:ind w:left="513" w:right="94"/>
        <w:jc w:val="left"/>
      </w:pPr>
      <w:r>
        <w:rPr/>
        <w:t>①</w:t>
      </w:r>
      <w:r>
        <w:rPr>
          <w:spacing w:val="-18"/>
        </w:rPr>
        <w:t> </w:t>
      </w:r>
      <w:r>
        <w:rPr/>
        <w:t>成本法核算的长期股权投资</w:t>
      </w:r>
      <w:r>
        <w:rPr/>
        <w:t> </w:t>
      </w:r>
      <w:r>
        <w:rPr>
          <w:spacing w:val="-2"/>
        </w:rPr>
        <w:t>采用成本法核算时，长期股权投资按初始投资成本计价，追加或收回投资调整长期股权投资的成本。除取得投资时实际</w:t>
      </w:r>
    </w:p>
    <w:p>
      <w:pPr>
        <w:spacing w:after="0" w:line="316" w:lineRule="auto"/>
        <w:jc w:val="left"/>
        <w:sectPr>
          <w:pgSz w:w="11910" w:h="16840"/>
          <w:pgMar w:header="745" w:footer="1133" w:top="1060" w:bottom="132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94"/>
        <w:jc w:val="left"/>
      </w:pPr>
      <w:r>
        <w:rPr>
          <w:spacing w:val="-2"/>
        </w:rPr>
        <w:t>支付的价款或者对价中包含的已宣告但尚未发放的现金股利或者利润外，当期投资收益按照享有被投资单位宣告发放的现金</w:t>
      </w:r>
      <w:r>
        <w:rPr>
          <w:spacing w:val="-64"/>
        </w:rPr>
        <w:t> </w:t>
      </w:r>
      <w:r>
        <w:rPr>
          <w:spacing w:val="-64"/>
        </w:rPr>
      </w:r>
      <w:r>
        <w:rPr/>
        <w:t>股利或利润确认。</w:t>
      </w:r>
    </w:p>
    <w:p>
      <w:pPr>
        <w:pStyle w:val="BodyText"/>
        <w:spacing w:line="316" w:lineRule="auto" w:before="19"/>
        <w:ind w:left="513" w:right="94"/>
        <w:jc w:val="left"/>
      </w:pPr>
      <w:r>
        <w:rPr/>
        <w:t>②</w:t>
      </w:r>
      <w:r>
        <w:rPr>
          <w:spacing w:val="-18"/>
        </w:rPr>
        <w:t> </w:t>
      </w:r>
      <w:r>
        <w:rPr/>
        <w:t>权益法核算的长期股权投资</w:t>
      </w:r>
      <w:r>
        <w:rPr/>
        <w:t> </w:t>
      </w:r>
      <w:r>
        <w:rPr>
          <w:spacing w:val="-2"/>
        </w:rPr>
        <w:t>采用权益法核算时，长期股权投资的初始投资成本大于投资时应享有被投资单位可辨认净资产公允价值份额的，不调整</w:t>
      </w:r>
    </w:p>
    <w:p>
      <w:pPr>
        <w:pStyle w:val="BodyText"/>
        <w:spacing w:line="316" w:lineRule="auto" w:before="19"/>
        <w:ind w:right="94"/>
        <w:jc w:val="left"/>
      </w:pPr>
      <w:r>
        <w:rPr>
          <w:spacing w:val="-2"/>
        </w:rPr>
        <w:t>长期股权投资的初始投资成本；初始投资成本小于投资时应享有被投资单位可辨认净资产公允价值份额的，其差额计入当期</w:t>
      </w:r>
      <w:r>
        <w:rPr>
          <w:spacing w:val="-64"/>
        </w:rPr>
        <w:t> </w:t>
      </w:r>
      <w:r>
        <w:rPr>
          <w:spacing w:val="-64"/>
        </w:rPr>
      </w:r>
      <w:r>
        <w:rPr/>
        <w:t>损益，同时调整长期股权投资的成本。</w:t>
      </w:r>
    </w:p>
    <w:p>
      <w:pPr>
        <w:pStyle w:val="BodyText"/>
        <w:spacing w:line="316" w:lineRule="auto" w:before="19"/>
        <w:ind w:right="94" w:firstLine="360"/>
        <w:jc w:val="left"/>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3"/>
        </w:rPr>
        <w:t> </w:t>
      </w:r>
      <w:r>
        <w:rPr>
          <w:spacing w:val="-63"/>
        </w:rPr>
      </w:r>
      <w:r>
        <w:rPr>
          <w:spacing w:val="-2"/>
        </w:rPr>
        <w:t>期股权投资的账面价值；对于被投资单位除净损益、其他综合收益和利润分配以外所有者权益的其他变动，调整长期股权投</w:t>
      </w:r>
      <w:r>
        <w:rPr>
          <w:spacing w:val="-61"/>
        </w:rPr>
        <w:t> </w:t>
      </w:r>
      <w:r>
        <w:rPr>
          <w:spacing w:val="-61"/>
        </w:rPr>
      </w:r>
      <w:r>
        <w:rPr>
          <w:spacing w:val="-2"/>
        </w:rPr>
        <w:t>资的账面价值并计入资本公积。在确认应享有被投资单位净损益的份额时，以取得投资时被投资单位各项可辨认资产等的公</w:t>
      </w:r>
      <w:r>
        <w:rPr>
          <w:spacing w:val="-64"/>
        </w:rPr>
        <w:t> </w:t>
      </w:r>
      <w:r>
        <w:rPr>
          <w:spacing w:val="-64"/>
        </w:rPr>
      </w:r>
      <w:r>
        <w:rPr>
          <w:spacing w:val="-2"/>
        </w:rPr>
        <w:t>允价值为基础，对被投资单位的净利润进行调整后确认。被投资单位采用的会计政策及会计期间与本公司不一致的，按照本</w:t>
      </w:r>
      <w:r>
        <w:rPr>
          <w:spacing w:val="-63"/>
        </w:rPr>
        <w:t> </w:t>
      </w:r>
      <w:r>
        <w:rPr>
          <w:spacing w:val="-63"/>
        </w:rPr>
      </w:r>
      <w:r>
        <w:rPr>
          <w:spacing w:val="-2"/>
        </w:rPr>
        <w:t>公司的会计政策及会计期间对被投资单位的财务报表进行调整，并据以确认投资收益和其他综合收益。对于本公司与联营企</w:t>
      </w:r>
      <w:r>
        <w:rPr>
          <w:spacing w:val="-64"/>
        </w:rPr>
        <w:t> </w:t>
      </w:r>
      <w:r>
        <w:rPr>
          <w:spacing w:val="-64"/>
        </w:rPr>
      </w:r>
      <w:r>
        <w:rPr>
          <w:spacing w:val="-2"/>
        </w:rPr>
        <w:t>业及合营企业之间发生的交易，投出或出售的资产不构成业务的，未实现内部交易损益按照享有的比例计算归属于本公司的</w:t>
      </w:r>
      <w:r>
        <w:rPr>
          <w:spacing w:val="-64"/>
        </w:rPr>
        <w:t> </w:t>
      </w:r>
      <w:r>
        <w:rPr>
          <w:spacing w:val="-64"/>
        </w:rPr>
      </w:r>
      <w:r>
        <w:rPr>
          <w:spacing w:val="-4"/>
        </w:rPr>
        <w:t>部分予以抵销，在此基础上确认投资损益。但本公司与被投资单位发生的未实现内部交易损失，属于所转让资产减值损失的，</w:t>
      </w:r>
      <w:r>
        <w:rPr>
          <w:spacing w:val="-43"/>
        </w:rPr>
        <w:t> </w:t>
      </w:r>
      <w:r>
        <w:rPr>
          <w:spacing w:val="-43"/>
        </w:rPr>
      </w:r>
      <w:r>
        <w:rPr>
          <w:spacing w:val="-2"/>
        </w:rPr>
        <w:t>不予以抵销。本公司向合营企业或联营企业投出的资产构成业务的，投资方因此取得长期股权投资但未取得控制权的，以投</w:t>
      </w:r>
      <w:r>
        <w:rPr>
          <w:spacing w:val="-63"/>
        </w:rPr>
        <w:t> </w:t>
      </w:r>
      <w:r>
        <w:rPr>
          <w:spacing w:val="-63"/>
        </w:rPr>
      </w:r>
      <w:r>
        <w:rPr/>
        <w:t>出业务的公允价值作为新增长期股权投资的初始投资成本，初始投资成本与投出业务的账面价值之差，全额计入当期损益。 </w:t>
      </w:r>
      <w:r>
        <w:rPr>
          <w:spacing w:val="-2"/>
        </w:rPr>
        <w:t>本公司向合营企业或联营企业出售的资产构成业务的，取得的对价与业务的账面价值之差，全额计入当期损益。本公司自联</w:t>
      </w:r>
      <w:r>
        <w:rPr>
          <w:spacing w:val="-66"/>
        </w:rPr>
        <w:t> </w:t>
      </w:r>
      <w:r>
        <w:rPr>
          <w:spacing w:val="-66"/>
        </w:rPr>
      </w:r>
      <w:r>
        <w:rPr>
          <w:spacing w:val="-2"/>
        </w:rPr>
        <w:t>营企业及合营企业购入的资产构成业务的，按《企业会计准则第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企业合并》的规定进行会计处理，全额确认与交易</w:t>
      </w:r>
      <w:r>
        <w:rPr>
          <w:spacing w:val="-61"/>
        </w:rPr>
        <w:t> </w:t>
      </w:r>
      <w:r>
        <w:rPr>
          <w:spacing w:val="-61"/>
        </w:rPr>
      </w:r>
      <w:r>
        <w:rPr/>
        <w:t>相关的利得或损失。</w:t>
      </w:r>
    </w:p>
    <w:p>
      <w:pPr>
        <w:pStyle w:val="BodyText"/>
        <w:spacing w:line="319" w:lineRule="auto" w:before="19"/>
        <w:ind w:right="191" w:firstLine="360"/>
        <w:jc w:val="both"/>
      </w:pPr>
      <w:r>
        <w:rPr>
          <w:spacing w:val="-2"/>
        </w:rPr>
        <w:t>在确认应分担被投资单位发生的净亏损时，以长期股权投资的账面价值和其他实质上构成对被投资单位净投资的长期权</w:t>
      </w:r>
      <w:r>
        <w:rPr/>
        <w:t> </w:t>
      </w:r>
      <w:r>
        <w:rPr>
          <w:spacing w:val="-2"/>
        </w:rPr>
        <w:t>益减记至零为限。此外，如本公司对被投资单位负有承担额外损失的义务，则按预计承担的义务确认预计负债，计入当期投</w:t>
      </w:r>
      <w:r>
        <w:rPr>
          <w:spacing w:val="-64"/>
        </w:rPr>
        <w:t> </w:t>
      </w:r>
      <w:r>
        <w:rPr>
          <w:spacing w:val="-64"/>
        </w:rPr>
      </w:r>
      <w:r>
        <w:rPr/>
        <w:t>资损失。被投资单位以后期间实现净利润的，本公司在收益分享额弥补未确认的亏损分担额后，恢复确认收益分享额。</w:t>
      </w:r>
    </w:p>
    <w:p>
      <w:pPr>
        <w:pStyle w:val="BodyText"/>
        <w:spacing w:line="316" w:lineRule="auto" w:before="17"/>
        <w:ind w:left="513" w:right="94"/>
        <w:jc w:val="left"/>
      </w:pPr>
      <w:r>
        <w:rPr/>
        <w:t>③</w:t>
      </w:r>
      <w:r>
        <w:rPr>
          <w:spacing w:val="-18"/>
        </w:rPr>
        <w:t> </w:t>
      </w:r>
      <w:r>
        <w:rPr/>
        <w:t>收购少数股权</w:t>
      </w:r>
      <w:r>
        <w:rPr/>
        <w:t> </w:t>
      </w:r>
      <w:r>
        <w:rPr>
          <w:spacing w:val="-2"/>
        </w:rPr>
        <w:t>在编制合并财务报表时，因购买少数股权新增的长期股权投资与按照新增持股比例计算应享有子公司自购买日（或合并</w:t>
      </w:r>
    </w:p>
    <w:p>
      <w:pPr>
        <w:pStyle w:val="BodyText"/>
        <w:spacing w:line="240" w:lineRule="auto" w:before="19"/>
        <w:ind w:right="94"/>
        <w:jc w:val="left"/>
      </w:pPr>
      <w:r>
        <w:rPr/>
        <w:t>日）开始持续计算的净资产份额之间的差额，调整资本公积，资本公积不足冲减的，调整留存收益。</w:t>
      </w:r>
    </w:p>
    <w:p>
      <w:pPr>
        <w:pStyle w:val="BodyText"/>
        <w:spacing w:line="316" w:lineRule="auto" w:before="76"/>
        <w:ind w:left="513" w:right="94"/>
        <w:jc w:val="left"/>
      </w:pPr>
      <w:r>
        <w:rPr/>
        <w:t>④</w:t>
      </w:r>
      <w:r>
        <w:rPr>
          <w:spacing w:val="-18"/>
        </w:rPr>
        <w:t> </w:t>
      </w:r>
      <w:r>
        <w:rPr/>
        <w:t>处置长期股权投资</w:t>
      </w:r>
      <w:r>
        <w:rPr/>
        <w:t> </w:t>
      </w:r>
      <w:r>
        <w:rPr>
          <w:spacing w:val="-2"/>
        </w:rPr>
        <w:t>在合并财务报表中，母公司在不丧失控制权的情况下部分处置对子公司的长期股权投资，处置价款与处置长期股权投资</w:t>
      </w:r>
    </w:p>
    <w:p>
      <w:pPr>
        <w:pStyle w:val="BodyText"/>
        <w:spacing w:line="316" w:lineRule="auto" w:before="19"/>
        <w:ind w:right="94"/>
        <w:jc w:val="left"/>
      </w:pPr>
      <w:r>
        <w:rPr>
          <w:spacing w:val="-2"/>
        </w:rPr>
        <w:t>相对应享有子公司净资产的差额计入股东权益；母公司部分处置对子公司的长期股权投资导致丧失对子公司控制权的，按本</w:t>
      </w:r>
      <w:r>
        <w:rPr>
          <w:spacing w:val="-64"/>
        </w:rPr>
        <w:t> </w:t>
      </w:r>
      <w:r>
        <w:rPr>
          <w:spacing w:val="-64"/>
        </w:rPr>
      </w:r>
      <w:r>
        <w:rPr/>
        <w:t>附注五、</w:t>
      </w:r>
      <w:r>
        <w:rPr>
          <w:rFonts w:ascii="Times New Roman" w:hAnsi="Times New Roman" w:cs="Times New Roman" w:eastAsia="Times New Roman" w:hint="default"/>
        </w:rPr>
        <w:t>6</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w:t>
      </w:r>
    </w:p>
    <w:p>
      <w:pPr>
        <w:pStyle w:val="BodyText"/>
        <w:spacing w:line="316" w:lineRule="auto"/>
        <w:ind w:left="513" w:right="94"/>
        <w:jc w:val="left"/>
      </w:pPr>
      <w:r>
        <w:rPr/>
        <w:t>其他情形下的长期股权投资处置，对于处置的股权，其账面价值与实际取得价款的差额，计入当期损益。 </w:t>
      </w:r>
      <w:r>
        <w:rPr>
          <w:spacing w:val="-2"/>
        </w:rPr>
        <w:t>采用权益法核算的长期股权投资，处置后的剩余股权仍采用权益法核算的，在处置时将原计入股东权益的其他综合收益</w:t>
      </w:r>
    </w:p>
    <w:p>
      <w:pPr>
        <w:pStyle w:val="BodyText"/>
        <w:spacing w:line="319" w:lineRule="auto" w:before="19"/>
        <w:ind w:right="94"/>
        <w:jc w:val="left"/>
      </w:pPr>
      <w:r>
        <w:rPr>
          <w:spacing w:val="-2"/>
        </w:rPr>
        <w:t>部分按相应的比例采用与被投资单位直接处置相关资产或负债相同的基础进行会计处理。因被投资方除净损益、其他综合收</w:t>
      </w:r>
      <w:r>
        <w:rPr>
          <w:spacing w:val="-64"/>
        </w:rPr>
        <w:t> </w:t>
      </w:r>
      <w:r>
        <w:rPr>
          <w:spacing w:val="-64"/>
        </w:rPr>
      </w:r>
      <w:r>
        <w:rPr/>
        <w:t>益和利润分配以外的其他所有者权益变动而确认的所有者权益，按比例结转入当期损益。</w:t>
      </w:r>
    </w:p>
    <w:p>
      <w:pPr>
        <w:pStyle w:val="BodyText"/>
        <w:spacing w:line="316" w:lineRule="auto" w:before="17"/>
        <w:ind w:right="190" w:firstLine="360"/>
        <w:jc w:val="both"/>
      </w:pPr>
      <w:r>
        <w:rPr>
          <w:spacing w:val="-2"/>
        </w:rPr>
        <w:t>采用成本法核算的长期股权投资，处置后剩余股权仍采用成本法核算的，其在取得对被投资单位的控制之前因采用权益</w:t>
      </w:r>
      <w:r>
        <w:rPr/>
        <w:t> </w:t>
      </w:r>
      <w:r>
        <w:rPr>
          <w:spacing w:val="-2"/>
        </w:rPr>
        <w:t>法核算或金融工具确认和计量准则核算而确认的其他综合收益，采用与被投资单位直接处置相关资产或负债相同的基础进行</w:t>
      </w:r>
      <w:r>
        <w:rPr>
          <w:spacing w:val="-64"/>
        </w:rPr>
        <w:t> </w:t>
      </w:r>
      <w:r>
        <w:rPr>
          <w:spacing w:val="-64"/>
        </w:rPr>
      </w:r>
      <w:r>
        <w:rPr>
          <w:spacing w:val="-2"/>
        </w:rPr>
        <w:t>会计处理，并按比例结转当期损益；因采用权益法核算而确认的被投资单位净资产中除净损益、其他综合收益和利润分配以</w:t>
      </w:r>
      <w:r>
        <w:rPr>
          <w:spacing w:val="-63"/>
        </w:rPr>
        <w:t> </w:t>
      </w:r>
      <w:r>
        <w:rPr>
          <w:spacing w:val="-63"/>
        </w:rPr>
      </w:r>
      <w:r>
        <w:rPr/>
        <w:t>外的其他所有者权益变动按比例结转当期损益。</w:t>
      </w:r>
    </w:p>
    <w:p>
      <w:pPr>
        <w:pStyle w:val="BodyText"/>
        <w:spacing w:line="316" w:lineRule="auto" w:before="19"/>
        <w:ind w:right="192" w:firstLine="360"/>
        <w:jc w:val="both"/>
      </w:pPr>
      <w:r>
        <w:rPr>
          <w:spacing w:val="-2"/>
        </w:rPr>
        <w:t>本公司因处置部分股权投资丧失了对被投资单位的控制的，在编制个别财务报表时，处置后的剩余股权能够对被投资单</w:t>
      </w:r>
      <w:r>
        <w:rPr/>
        <w:t> </w:t>
      </w:r>
      <w:r>
        <w:rPr>
          <w:spacing w:val="-2"/>
        </w:rPr>
        <w:t>位实施共同控制或施加重大影响的，改按权益法核算，并对该剩余股权视同自取得时即采用权益法核算进行调整；处置后的</w:t>
      </w:r>
      <w:r>
        <w:rPr>
          <w:spacing w:val="-66"/>
        </w:rPr>
        <w:t> </w:t>
      </w:r>
      <w:r>
        <w:rPr>
          <w:spacing w:val="-66"/>
        </w:rPr>
      </w:r>
      <w:r>
        <w:rPr>
          <w:spacing w:val="-2"/>
        </w:rPr>
        <w:t>剩余股权不能对被投资单位实施共同控制或施加重大影响的，改按金融工具确认和计量准则的有关规定进行会计处理，其在</w:t>
      </w:r>
      <w:r>
        <w:rPr>
          <w:spacing w:val="-64"/>
        </w:rPr>
        <w:t> </w:t>
      </w:r>
      <w:r>
        <w:rPr>
          <w:spacing w:val="-64"/>
        </w:rPr>
      </w:r>
      <w:r>
        <w:rPr>
          <w:spacing w:val="-2"/>
        </w:rPr>
        <w:t>丧失控制之日的公允价值与账面价值之间的差额计入当期损益。对于本公司取得对被投资单位的控制之前，因采用权益法核</w:t>
      </w:r>
      <w:r>
        <w:rPr>
          <w:spacing w:val="-64"/>
        </w:rPr>
        <w:t> </w:t>
      </w:r>
      <w:r>
        <w:rPr>
          <w:spacing w:val="-64"/>
        </w:rPr>
      </w:r>
      <w:r>
        <w:rPr>
          <w:spacing w:val="-2"/>
        </w:rPr>
        <w:t>算或金融工具确认和计量准则核算而确认的其他综合收益，在丧失对被投资单位控制时采用与被投资单位直接处置相关资产</w:t>
      </w:r>
      <w:r>
        <w:rPr>
          <w:spacing w:val="-63"/>
        </w:rPr>
        <w:t> </w:t>
      </w:r>
      <w:r>
        <w:rPr>
          <w:spacing w:val="-63"/>
        </w:rPr>
      </w:r>
      <w:r>
        <w:rPr>
          <w:spacing w:val="-2"/>
        </w:rPr>
        <w:t>或负债相同的基础进行会计处理，因采用权益法核算而确认的被投资单位净资产中除净损益、其他综合收益和利润分配以外</w:t>
      </w:r>
      <w:r>
        <w:rPr>
          <w:spacing w:val="-64"/>
        </w:rPr>
        <w:t> </w:t>
      </w:r>
      <w:r>
        <w:rPr>
          <w:spacing w:val="-64"/>
        </w:rPr>
      </w:r>
      <w:r>
        <w:rPr>
          <w:spacing w:val="-2"/>
        </w:rPr>
        <w:t>的其他所有者权益变动在丧失对被投资单位控制时结转入当期损益。其中，处置后的剩余股权采用权益法核算的，其他综合</w:t>
      </w:r>
    </w:p>
    <w:p>
      <w:pPr>
        <w:spacing w:after="0" w:line="316" w:lineRule="auto"/>
        <w:jc w:val="both"/>
        <w:sectPr>
          <w:pgSz w:w="11910" w:h="16840"/>
          <w:pgMar w:header="745" w:footer="1133" w:top="1060" w:bottom="132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94"/>
        <w:jc w:val="left"/>
      </w:pPr>
      <w:r>
        <w:rPr>
          <w:spacing w:val="-2"/>
        </w:rPr>
        <w:t>收益和其他所有者权益按比例结转；处置后的剩余股权改按金融工具确认和计量准则进行会计处理的，其他综合收益和其他</w:t>
      </w:r>
      <w:r>
        <w:rPr>
          <w:spacing w:val="-64"/>
        </w:rPr>
        <w:t> </w:t>
      </w:r>
      <w:r>
        <w:rPr>
          <w:spacing w:val="-64"/>
        </w:rPr>
      </w:r>
      <w:r>
        <w:rPr/>
        <w:t>所有者权益全部结转。</w:t>
      </w:r>
    </w:p>
    <w:p>
      <w:pPr>
        <w:pStyle w:val="BodyText"/>
        <w:spacing w:line="316" w:lineRule="auto" w:before="19"/>
        <w:ind w:right="94" w:firstLine="360"/>
        <w:jc w:val="left"/>
      </w:pPr>
      <w:r>
        <w:rPr>
          <w:spacing w:val="-2"/>
        </w:rPr>
        <w:t>本公司因处置部分股权投资丧失了对被投资单位的共同控制或重大影响的，处置后的剩余股权改按金融工具确认和计量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因被投资方除净损益、其他综合收益和利润分配以外的其他所有者权益变动而确认的所有者权益，在终止采用权益法时全部</w:t>
      </w:r>
      <w:r>
        <w:rPr>
          <w:spacing w:val="-64"/>
        </w:rPr>
        <w:t> </w:t>
      </w:r>
      <w:r>
        <w:rPr>
          <w:spacing w:val="-64"/>
        </w:rPr>
      </w:r>
      <w:r>
        <w:rPr/>
        <w:t>转入当期投资收益。</w:t>
      </w:r>
    </w:p>
    <w:p>
      <w:pPr>
        <w:pStyle w:val="BodyText"/>
        <w:spacing w:line="316" w:lineRule="auto" w:before="19"/>
        <w:ind w:right="191" w:firstLine="360"/>
        <w:jc w:val="both"/>
      </w:pPr>
      <w:r>
        <w:rPr>
          <w:spacing w:val="-2"/>
        </w:rPr>
        <w:t>本公司通过多次交易分步处置对子公司股权投资直至丧失控制权，如果上述交易属于一揽子交易的，将各项交易作为一</w:t>
      </w:r>
      <w:r>
        <w:rPr/>
        <w:t> </w:t>
      </w:r>
      <w:r>
        <w:rPr>
          <w:spacing w:val="-2"/>
        </w:rPr>
        <w:t>项处置子公司股权投资并丧失控制权的交易进行会计处理，在丧失控制权之前每一次处置价款与所处置的股权对应的长期股</w:t>
      </w:r>
      <w:r>
        <w:rPr>
          <w:spacing w:val="-63"/>
        </w:rPr>
        <w:t> </w:t>
      </w:r>
      <w:r>
        <w:rPr>
          <w:spacing w:val="-63"/>
        </w:rPr>
      </w:r>
      <w:r>
        <w:rPr/>
        <w:t>权投资账面价值之间的差额，先确认为其他综合收益，到丧失控制权时再一并转入丧失控制权的当期损益。</w:t>
      </w:r>
    </w:p>
    <w:p>
      <w:pPr>
        <w:spacing w:line="240" w:lineRule="auto" w:before="10"/>
        <w:rPr>
          <w:rFonts w:ascii="宋体" w:hAnsi="宋体" w:cs="宋体" w:eastAsia="宋体" w:hint="default"/>
          <w:sz w:val="17"/>
          <w:szCs w:val="17"/>
        </w:rPr>
      </w:pPr>
    </w:p>
    <w:p>
      <w:pPr>
        <w:pStyle w:val="Heading3"/>
        <w:spacing w:line="240" w:lineRule="auto"/>
        <w:ind w:right="94"/>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8014"/>
        <w:jc w:val="left"/>
      </w:pPr>
      <w:r>
        <w:rPr/>
        <w:t>投资性房地产计量模式 不适用</w:t>
      </w:r>
    </w:p>
    <w:p>
      <w:pPr>
        <w:spacing w:line="240" w:lineRule="auto" w:before="5"/>
        <w:rPr>
          <w:rFonts w:ascii="宋体" w:hAnsi="宋体" w:cs="宋体" w:eastAsia="宋体" w:hint="default"/>
          <w:sz w:val="15"/>
          <w:szCs w:val="15"/>
        </w:rPr>
      </w:pPr>
    </w:p>
    <w:p>
      <w:pPr>
        <w:pStyle w:val="Heading3"/>
        <w:spacing w:line="240" w:lineRule="auto"/>
        <w:ind w:right="94"/>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9" w:lineRule="auto"/>
        <w:ind w:right="193" w:firstLine="360"/>
        <w:jc w:val="both"/>
      </w:pPr>
      <w:r>
        <w:rPr>
          <w:spacing w:val="-2"/>
        </w:rPr>
        <w:t>固定资产是指为生产商品、提供劳务、出租或经营管理而持有的，使用寿命超过一个会计年度的有形资产。固定资产仅</w:t>
      </w:r>
      <w:r>
        <w:rPr/>
        <w:t> </w:t>
      </w:r>
      <w:r>
        <w:rPr>
          <w:spacing w:val="-2"/>
        </w:rPr>
        <w:t>在与其有关的经济利益很可能流入本公司，且其成本能够可靠地计量时才予以确认。固定资产按成本并考虑预计弃置费用因</w:t>
      </w:r>
      <w:r>
        <w:rPr>
          <w:spacing w:val="-64"/>
        </w:rPr>
        <w:t> </w:t>
      </w:r>
      <w:r>
        <w:rPr>
          <w:spacing w:val="-64"/>
        </w:rPr>
      </w:r>
      <w:r>
        <w:rPr/>
        <w:t>素的影响进行初始计量。</w:t>
      </w:r>
    </w:p>
    <w:p>
      <w:pPr>
        <w:spacing w:line="240" w:lineRule="auto" w:before="7"/>
        <w:rPr>
          <w:rFonts w:ascii="宋体" w:hAnsi="宋体" w:cs="宋体" w:eastAsia="宋体" w:hint="default"/>
          <w:sz w:val="17"/>
          <w:szCs w:val="17"/>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2.38%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94"/>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90" w:firstLine="360"/>
        <w:jc w:val="both"/>
      </w:pPr>
      <w:r>
        <w:rPr>
          <w:spacing w:val="-2"/>
        </w:rPr>
        <w:t>融资租赁为实质上转移了与资产所有权有关的全部风险和报酬的租赁，其所有权最终可能转移，也可能不转移。以融资</w:t>
      </w:r>
      <w:r>
        <w:rPr/>
        <w:t> </w:t>
      </w:r>
      <w:r>
        <w:rPr>
          <w:spacing w:val="-2"/>
        </w:rPr>
        <w:t>租赁方式租入的固定资产采用与自有固定资产一致的政策计提租赁资产折旧。能够合理确定租赁期届满时取得租赁资产所有</w:t>
      </w:r>
      <w:r>
        <w:rPr>
          <w:spacing w:val="-64"/>
        </w:rPr>
        <w:t> </w:t>
      </w:r>
      <w:r>
        <w:rPr>
          <w:spacing w:val="-64"/>
        </w:rPr>
      </w:r>
      <w:r>
        <w:rPr>
          <w:spacing w:val="-2"/>
        </w:rPr>
        <w:t>权的在租赁资产使用寿命内计提折旧，无法合理确定租赁期届满能够取得租赁资产所有权的，在租赁期与租赁资产使用寿命</w:t>
      </w:r>
      <w:r>
        <w:rPr>
          <w:spacing w:val="-63"/>
        </w:rPr>
        <w:t> </w:t>
      </w:r>
      <w:r>
        <w:rPr>
          <w:spacing w:val="-63"/>
        </w:rPr>
      </w:r>
      <w:r>
        <w:rPr/>
        <w:t>两者中较短的期间内计提折旧。</w:t>
      </w:r>
    </w:p>
    <w:p>
      <w:pPr>
        <w:spacing w:line="240" w:lineRule="auto" w:before="9"/>
        <w:rPr>
          <w:rFonts w:ascii="宋体" w:hAnsi="宋体" w:cs="宋体" w:eastAsia="宋体" w:hint="default"/>
          <w:sz w:val="17"/>
          <w:szCs w:val="17"/>
        </w:rPr>
      </w:pPr>
    </w:p>
    <w:p>
      <w:pPr>
        <w:pStyle w:val="Heading3"/>
        <w:spacing w:line="240" w:lineRule="auto"/>
        <w:ind w:right="94"/>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6754"/>
        <w:jc w:val="left"/>
      </w:pPr>
      <w:r>
        <w:rPr/>
        <w:t>公司是否需要遵守特殊行业的披露要求 否</w:t>
      </w:r>
    </w:p>
    <w:p>
      <w:pPr>
        <w:spacing w:after="0" w:line="357" w:lineRule="auto"/>
        <w:jc w:val="left"/>
        <w:sectPr>
          <w:pgSz w:w="11910" w:h="16840"/>
          <w:pgMar w:header="745" w:footer="1133" w:top="1060" w:bottom="132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192" w:firstLine="360"/>
        <w:jc w:val="both"/>
      </w:pPr>
      <w:r>
        <w:rPr>
          <w:spacing w:val="-2"/>
        </w:rPr>
        <w:t>在建工程成本按实际工程支出确定，包括在建期间发生的各项工程支出以及其他相关费用等。在建工程在达到预定可使</w:t>
      </w:r>
      <w:r>
        <w:rPr/>
        <w:t> 用状态后结转为固定资产。</w:t>
      </w:r>
    </w:p>
    <w:p>
      <w:pPr>
        <w:pStyle w:val="BodyText"/>
        <w:spacing w:line="240" w:lineRule="auto" w:before="59"/>
        <w:ind w:left="498" w:right="94"/>
        <w:jc w:val="left"/>
        <w:rPr>
          <w:rFonts w:ascii="Times New Roman" w:hAnsi="Times New Roman" w:cs="Times New Roman" w:eastAsia="Times New Roman" w:hint="default"/>
        </w:rPr>
      </w:pPr>
      <w:r>
        <w:rPr/>
        <w:t>在建工程的减值测试方法和减值准备计提方法详见附注五、</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8"/>
          <w:szCs w:val="18"/>
        </w:rPr>
      </w:pPr>
    </w:p>
    <w:p>
      <w:pPr>
        <w:pStyle w:val="Heading3"/>
        <w:spacing w:line="240" w:lineRule="auto"/>
        <w:ind w:right="94"/>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9" w:lineRule="auto"/>
        <w:ind w:right="190" w:firstLine="360"/>
        <w:jc w:val="both"/>
      </w:pPr>
      <w:r>
        <w:rPr>
          <w:spacing w:val="-2"/>
        </w:rPr>
        <w:t>借款费用包括借款利息、折价或溢价的摊销、辅助费用以及因外币借款而发生的汇兑差额等。可直接归属于符合资本化</w:t>
      </w:r>
      <w:r>
        <w:rPr/>
        <w:t> </w:t>
      </w:r>
      <w:r>
        <w:rPr>
          <w:spacing w:val="-2"/>
        </w:rPr>
        <w:t>条件的资产的购建或者生产的借款费用，在资产支出已经发生、借款费用已经发生、为使资产达到预定可使用或可销售状态</w:t>
      </w:r>
      <w:r>
        <w:rPr>
          <w:spacing w:val="-66"/>
        </w:rPr>
        <w:t> </w:t>
      </w:r>
      <w:r>
        <w:rPr>
          <w:spacing w:val="-66"/>
        </w:rPr>
      </w:r>
      <w:r>
        <w:rPr>
          <w:spacing w:val="-2"/>
        </w:rPr>
        <w:t>所必要的购建或生产活动已经开始时，开始资本化；构建或者生产的符合资本化条件的资产达到预定可使用状态或者可销售</w:t>
      </w:r>
      <w:r>
        <w:rPr>
          <w:spacing w:val="-64"/>
        </w:rPr>
        <w:t> </w:t>
      </w:r>
      <w:r>
        <w:rPr>
          <w:spacing w:val="-64"/>
        </w:rPr>
      </w:r>
      <w:r>
        <w:rPr/>
        <w:t>状态时，停止资本化。其余借款费用在发生当期确认为费用。</w:t>
      </w:r>
    </w:p>
    <w:p>
      <w:pPr>
        <w:pStyle w:val="BodyText"/>
        <w:spacing w:line="316" w:lineRule="auto" w:before="17"/>
        <w:ind w:right="192" w:firstLine="360"/>
        <w:jc w:val="both"/>
      </w:pPr>
      <w:r>
        <w:rPr>
          <w:spacing w:val="-2"/>
        </w:rPr>
        <w:t>专门借款当期实际发生的利息费用，减去尚未动用的借款资金存入银行取得的利息收入或进行暂时性投资取得的投资收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率，确定资本化金额。资本化率根据一般借款的加权平均利率计算确定。</w:t>
      </w:r>
    </w:p>
    <w:p>
      <w:pPr>
        <w:pStyle w:val="BodyText"/>
        <w:spacing w:line="316" w:lineRule="auto" w:before="19"/>
        <w:ind w:left="513" w:right="94"/>
        <w:jc w:val="left"/>
      </w:pPr>
      <w:r>
        <w:rPr/>
        <w:t>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w:t>
      </w:r>
    </w:p>
    <w:p>
      <w:pPr>
        <w:pStyle w:val="BodyText"/>
        <w:spacing w:line="316" w:lineRule="auto" w:before="19"/>
        <w:ind w:left="513" w:right="183" w:hanging="361"/>
        <w:jc w:val="left"/>
      </w:pPr>
      <w:r>
        <w:rPr/>
        <w:t>性房地产和存货等资产。 如果符合资本化条件的资产在购建或生产过程中发生非正常中断、并且中断时间连续超过</w:t>
      </w:r>
      <w:r>
        <w:rPr>
          <w:rFonts w:ascii="Times New Roman" w:hAnsi="Times New Roman" w:cs="Times New Roman" w:eastAsia="Times New Roman" w:hint="default"/>
        </w:rPr>
        <w:t>3</w:t>
      </w:r>
      <w:r>
        <w:rPr/>
        <w:t>个月的，暂停借款费用的资</w:t>
      </w:r>
    </w:p>
    <w:p>
      <w:pPr>
        <w:pStyle w:val="BodyText"/>
        <w:spacing w:line="235" w:lineRule="exact"/>
        <w:ind w:right="94"/>
        <w:jc w:val="left"/>
      </w:pPr>
      <w:r>
        <w:rPr/>
        <w:t>本化，直至资产的购建或生产活动重新开始。</w:t>
      </w:r>
    </w:p>
    <w:p>
      <w:pPr>
        <w:spacing w:line="240" w:lineRule="auto" w:before="1"/>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right="6754"/>
        <w:jc w:val="left"/>
      </w:pPr>
      <w:r>
        <w:rPr/>
        <w:t>公司是否需要遵守特殊行业的披露要求 否</w:t>
      </w:r>
    </w:p>
    <w:p>
      <w:pPr>
        <w:pStyle w:val="BodyText"/>
        <w:spacing w:line="316" w:lineRule="auto" w:before="25"/>
        <w:ind w:left="460" w:right="94"/>
        <w:jc w:val="left"/>
      </w:pPr>
      <w:r>
        <w:rPr/>
        <w:t>无形资产是指本公司拥有或者控制的没有实物形态的可辨认非货币性资产。 </w:t>
      </w:r>
      <w:r>
        <w:rPr>
          <w:spacing w:val="-3"/>
        </w:rPr>
        <w:t>无形资产按成本进行初始计量。与无形资产有关的支出，如果相关的经济利益很可能流入本公司且其成本能可靠地计量，</w:t>
      </w:r>
    </w:p>
    <w:p>
      <w:pPr>
        <w:pStyle w:val="BodyText"/>
        <w:spacing w:line="316" w:lineRule="auto" w:before="19"/>
        <w:ind w:left="453" w:right="94" w:hanging="301"/>
        <w:jc w:val="left"/>
      </w:pPr>
      <w:r>
        <w:rPr/>
        <w:t>则计入无形资产成本。除此以外的其他项目的支出，在发生时计入当期损益。 </w:t>
      </w:r>
      <w:r>
        <w:rPr>
          <w:spacing w:val="-1"/>
        </w:rPr>
        <w:t>取得的土地使用权通常作为无形资产核算。自行开发建造厂房等建筑物，相关的土地使用权支出和建筑物建造成本则分</w:t>
      </w:r>
    </w:p>
    <w:p>
      <w:pPr>
        <w:pStyle w:val="BodyText"/>
        <w:spacing w:line="319" w:lineRule="auto" w:before="19"/>
        <w:ind w:right="94"/>
        <w:jc w:val="left"/>
      </w:pPr>
      <w:r>
        <w:rPr>
          <w:spacing w:val="-2"/>
        </w:rPr>
        <w:t>别作为无形资产和固定资产核算。如为外购的房屋及建筑物，则将有关价款在土地使用权和建筑物之间进行分配，难以合理</w:t>
      </w:r>
      <w:r>
        <w:rPr>
          <w:spacing w:val="-63"/>
        </w:rPr>
        <w:t> </w:t>
      </w:r>
      <w:r>
        <w:rPr>
          <w:spacing w:val="-63"/>
        </w:rPr>
      </w:r>
      <w:r>
        <w:rPr/>
        <w:t>分配的，全部作为固定资产处理。</w:t>
      </w:r>
    </w:p>
    <w:p>
      <w:pPr>
        <w:pStyle w:val="BodyText"/>
        <w:spacing w:line="316" w:lineRule="auto" w:before="17"/>
        <w:ind w:right="94" w:firstLine="360"/>
        <w:jc w:val="left"/>
      </w:pPr>
      <w:r>
        <w:rPr>
          <w:spacing w:val="-2"/>
        </w:rPr>
        <w:t>使用寿命有限的无形资产自可供使用时起，对其原值减去预计净残值和已计提的减值准备累计金额在其预计使用寿命内</w:t>
      </w:r>
      <w:r>
        <w:rPr/>
        <w:t> 采用直线法分期摊销。使用寿命不确定的无形资产不予摊销。</w:t>
      </w:r>
    </w:p>
    <w:p>
      <w:pPr>
        <w:pStyle w:val="BodyText"/>
        <w:spacing w:line="316" w:lineRule="auto" w:before="19"/>
        <w:ind w:right="94" w:firstLine="379"/>
        <w:jc w:val="left"/>
      </w:pPr>
      <w:r>
        <w:rPr/>
        <w:t>期末，对使用寿命有限的无形资产的使用寿命和摊销方法进行复核，如发生变更则作为会计估计变更处理。此外，还 </w:t>
      </w:r>
      <w:r>
        <w:rPr>
          <w:spacing w:val="-2"/>
        </w:rPr>
        <w:t>对使用寿命不确定的无形资产的使用寿命进行复核如果有证据表明该无形资产为企业带来经济利益的期限是可预见的，则估</w:t>
      </w:r>
      <w:r>
        <w:rPr>
          <w:spacing w:val="-64"/>
        </w:rPr>
        <w:t> </w:t>
      </w:r>
      <w:r>
        <w:rPr>
          <w:spacing w:val="-64"/>
        </w:rPr>
      </w:r>
      <w:r>
        <w:rPr/>
        <w:t>计其使用寿命并按照使用寿命有限的无形资产的摊销政策进行摊销。</w:t>
      </w:r>
    </w:p>
    <w:p>
      <w:pPr>
        <w:spacing w:line="240" w:lineRule="auto" w:before="9"/>
        <w:rPr>
          <w:rFonts w:ascii="宋体" w:hAnsi="宋体" w:cs="宋体" w:eastAsia="宋体" w:hint="default"/>
          <w:sz w:val="17"/>
          <w:szCs w:val="17"/>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9" w:lineRule="auto"/>
        <w:ind w:left="513" w:right="813"/>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17"/>
        <w:ind w:left="513" w:right="94"/>
        <w:jc w:val="left"/>
      </w:pPr>
      <w:r>
        <w:rPr/>
        <w:t>①</w:t>
      </w:r>
      <w:r>
        <w:rPr>
          <w:spacing w:val="1"/>
        </w:rPr>
        <w:t> </w:t>
      </w:r>
      <w:r>
        <w:rPr/>
        <w:t>完成该无形资产以使其能够使用或出售在技术上具有可行性；</w:t>
      </w:r>
    </w:p>
    <w:p>
      <w:pPr>
        <w:spacing w:after="0" w:line="240" w:lineRule="auto"/>
        <w:jc w:val="left"/>
        <w:sectPr>
          <w:pgSz w:w="11910" w:h="16840"/>
          <w:pgMar w:header="745" w:footer="1133" w:top="1060" w:bottom="1320" w:left="980" w:right="940"/>
        </w:sectPr>
      </w:pPr>
    </w:p>
    <w:p>
      <w:pPr>
        <w:spacing w:line="240" w:lineRule="auto" w:before="10"/>
        <w:rPr>
          <w:rFonts w:ascii="宋体" w:hAnsi="宋体" w:cs="宋体" w:eastAsia="宋体" w:hint="default"/>
          <w:sz w:val="25"/>
          <w:szCs w:val="25"/>
        </w:rPr>
      </w:pPr>
    </w:p>
    <w:p>
      <w:pPr>
        <w:pStyle w:val="BodyText"/>
        <w:spacing w:line="240" w:lineRule="auto" w:before="44"/>
        <w:ind w:left="513" w:right="94"/>
        <w:jc w:val="left"/>
      </w:pPr>
      <w:r>
        <w:rPr/>
        <w:t>②</w:t>
      </w:r>
      <w:r>
        <w:rPr>
          <w:spacing w:val="1"/>
        </w:rPr>
        <w:t> </w:t>
      </w:r>
      <w:r>
        <w:rPr/>
        <w:t>具有完成该无形资产并使用或出售的意图；</w:t>
      </w:r>
    </w:p>
    <w:p>
      <w:pPr>
        <w:pStyle w:val="BodyText"/>
        <w:spacing w:line="316" w:lineRule="auto" w:before="76"/>
        <w:ind w:right="199" w:firstLine="360"/>
        <w:jc w:val="both"/>
      </w:pPr>
      <w:r>
        <w:rPr/>
        <w:t>③</w:t>
      </w:r>
      <w:r>
        <w:rPr>
          <w:spacing w:val="1"/>
        </w:rPr>
        <w:t> </w:t>
      </w:r>
      <w:r>
        <w:rPr/>
        <w:t>无形资产产生经济利益的方式，包括能够证明运用该无形资产生产的产品存在市场或无形资产自身存在市场，无形</w:t>
      </w:r>
      <w:r>
        <w:rPr/>
        <w:t> 资产将在内部使用的，能够证明其有用性；</w:t>
      </w:r>
    </w:p>
    <w:p>
      <w:pPr>
        <w:pStyle w:val="BodyText"/>
        <w:spacing w:line="240" w:lineRule="auto" w:before="19"/>
        <w:ind w:left="513" w:right="94"/>
        <w:jc w:val="left"/>
      </w:pPr>
      <w:r>
        <w:rPr/>
        <w:t>④</w:t>
      </w:r>
      <w:r>
        <w:rPr>
          <w:spacing w:val="1"/>
        </w:rPr>
        <w:t> </w:t>
      </w:r>
      <w:r>
        <w:rPr/>
        <w:t>有足够的技术、财务资源和其他资源支持，以完成该无形资产的开发，并有能力使用或出售该无形资产；</w:t>
      </w:r>
    </w:p>
    <w:p>
      <w:pPr>
        <w:pStyle w:val="BodyText"/>
        <w:spacing w:line="316" w:lineRule="auto" w:before="76"/>
        <w:ind w:left="513" w:right="94"/>
        <w:jc w:val="left"/>
      </w:pPr>
      <w:r>
        <w:rPr/>
        <w:t>⑤</w:t>
      </w:r>
      <w:r>
        <w:rPr>
          <w:spacing w:val="1"/>
        </w:rPr>
        <w:t> </w:t>
      </w:r>
      <w:r>
        <w:rPr/>
        <w:t>归属于该无形资产开发阶段的支出能够可靠地计量。</w:t>
      </w:r>
      <w:r>
        <w:rPr/>
        <w:t> </w:t>
      </w:r>
      <w:r>
        <w:rPr>
          <w:spacing w:val="-2"/>
        </w:rPr>
        <w:t>本公司相关项目在满足上述条件，研发部门完成项目可行性研究取得可行性结论后，进入开发阶段。项目达到预定可使</w:t>
      </w:r>
    </w:p>
    <w:p>
      <w:pPr>
        <w:pStyle w:val="BodyText"/>
        <w:spacing w:line="316" w:lineRule="auto" w:before="19"/>
        <w:ind w:right="94"/>
        <w:jc w:val="left"/>
      </w:pPr>
      <w:r>
        <w:rPr>
          <w:spacing w:val="-2"/>
        </w:rPr>
        <w:t>用状态，完成现场测试报告及专家报告（如有），涉及软件著作权的取得著作权登记权证或者获得第一份商业合同后，予以</w:t>
      </w:r>
      <w:r>
        <w:rPr>
          <w:spacing w:val="-65"/>
        </w:rPr>
        <w:t> </w:t>
      </w:r>
      <w:r>
        <w:rPr>
          <w:spacing w:val="-65"/>
        </w:rPr>
      </w:r>
      <w:r>
        <w:rPr/>
        <w:t>资本化，转入无形资产。</w:t>
      </w:r>
    </w:p>
    <w:p>
      <w:pPr>
        <w:spacing w:line="240" w:lineRule="auto" w:before="4"/>
        <w:rPr>
          <w:rFonts w:ascii="宋体" w:hAnsi="宋体" w:cs="宋体" w:eastAsia="宋体" w:hint="default"/>
          <w:sz w:val="25"/>
          <w:szCs w:val="25"/>
        </w:rPr>
      </w:pPr>
    </w:p>
    <w:p>
      <w:pPr>
        <w:pStyle w:val="BodyText"/>
        <w:spacing w:line="316" w:lineRule="auto"/>
        <w:ind w:left="525" w:right="94" w:hanging="12"/>
        <w:jc w:val="left"/>
      </w:pPr>
      <w:r>
        <w:rPr>
          <w:rFonts w:ascii="宋体" w:hAnsi="宋体" w:cs="宋体" w:eastAsia="宋体" w:hint="default"/>
        </w:rPr>
        <w:t>20</w:t>
      </w:r>
      <w:r>
        <w:rPr/>
        <w:t>、长期资产减值 对于固定资产、在建工程、使用寿命有限的无形资产、以成本模式计量的投资性房地产及对子公司、合营企业、联营</w:t>
      </w:r>
    </w:p>
    <w:p>
      <w:pPr>
        <w:pStyle w:val="BodyText"/>
        <w:spacing w:line="316" w:lineRule="auto" w:before="19"/>
        <w:ind w:right="94"/>
        <w:jc w:val="left"/>
      </w:pPr>
      <w:r>
        <w:rPr>
          <w:spacing w:val="-2"/>
        </w:rPr>
        <w:t>企业的长期股权投资等非流动非金融资产，本公司于资产负债表日判断是否存在减值迹象。如存在减值迹象的，则估计其可</w:t>
      </w:r>
      <w:r>
        <w:rPr>
          <w:spacing w:val="-66"/>
        </w:rPr>
        <w:t> </w:t>
      </w:r>
      <w:r>
        <w:rPr>
          <w:spacing w:val="-66"/>
        </w:rPr>
      </w:r>
      <w:r>
        <w:rPr/>
        <w:t>收回金额，进行减值测试。商誉、使用寿命不确定的无形资产和尚未达到可使用状态的无形资产，无论是否存在减值迹象，</w:t>
      </w:r>
      <w:r>
        <w:rPr/>
        <w:t> 每年均进行减值测试。</w:t>
      </w:r>
    </w:p>
    <w:p>
      <w:pPr>
        <w:pStyle w:val="BodyText"/>
        <w:spacing w:line="316" w:lineRule="auto" w:before="19"/>
        <w:ind w:right="188" w:firstLine="372"/>
        <w:jc w:val="both"/>
      </w:pPr>
      <w:r>
        <w:rPr/>
        <w:t>减值测试结果表明资产的可收回金额低于其账面价值的，按其差额计提减值准备并计入减值损失。可收回金额为资产 </w:t>
      </w:r>
      <w:r>
        <w:rPr>
          <w:spacing w:val="-2"/>
        </w:rPr>
        <w:t>的公允价值减去处置费用后的净额与资产预计未来现金流量的现值两者之间的较高者。资产的公允价值根据公平交易中销售</w:t>
      </w:r>
      <w:r>
        <w:rPr>
          <w:spacing w:val="-64"/>
        </w:rPr>
        <w:t> </w:t>
      </w:r>
      <w:r>
        <w:rPr>
          <w:spacing w:val="-64"/>
        </w:rPr>
      </w:r>
      <w:r>
        <w:rPr>
          <w:spacing w:val="-2"/>
        </w:rPr>
        <w:t>协议价格确定；不存在销售协议但存在资产活跃市场的，公允价值按照该资产的买方出价确定；不存在销售协议和资产活跃</w:t>
      </w:r>
      <w:r>
        <w:rPr>
          <w:spacing w:val="-63"/>
        </w:rPr>
        <w:t> </w:t>
      </w:r>
      <w:r>
        <w:rPr>
          <w:spacing w:val="-63"/>
        </w:rPr>
      </w:r>
      <w:r>
        <w:rPr>
          <w:spacing w:val="-2"/>
        </w:rPr>
        <w:t>市场的，则以可获取的最佳信息为基础估计资产的公允价值。处置费用包括与资产处置有关的法律费用、相关税费、搬运费</w:t>
      </w:r>
      <w:r>
        <w:rPr>
          <w:spacing w:val="-62"/>
        </w:rPr>
        <w:t> </w:t>
      </w:r>
      <w:r>
        <w:rPr>
          <w:spacing w:val="-62"/>
        </w:rPr>
      </w:r>
      <w:r>
        <w:rPr>
          <w:spacing w:val="-2"/>
        </w:rPr>
        <w:t>以及为使资产达到可销售状态所发生的直接费用。资产预计未来现金流量的现值，按照资产在持续使用过程中和最终处置时</w:t>
      </w:r>
      <w:r>
        <w:rPr>
          <w:spacing w:val="-64"/>
        </w:rPr>
        <w:t> </w:t>
      </w:r>
      <w:r>
        <w:rPr>
          <w:spacing w:val="-64"/>
        </w:rPr>
      </w:r>
      <w:r>
        <w:rPr>
          <w:spacing w:val="-2"/>
        </w:rPr>
        <w:t>所产生的预计未来现金流量，选择恰当的折现率对其进行折现后的金额加以确定。资产减值准备按单项资产为基础计算并确</w:t>
      </w:r>
      <w:r>
        <w:rPr>
          <w:spacing w:val="-64"/>
        </w:rPr>
        <w:t> </w:t>
      </w:r>
      <w:r>
        <w:rPr>
          <w:spacing w:val="-64"/>
        </w:rPr>
      </w:r>
      <w:r>
        <w:rPr>
          <w:spacing w:val="-2"/>
        </w:rPr>
        <w:t>认，如果难以对单项资产的可收回金额进行估计的，以该资产所属的资产组确定资产组的可收回金额。资产组是能够独立产</w:t>
      </w:r>
      <w:r>
        <w:rPr>
          <w:spacing w:val="-63"/>
        </w:rPr>
        <w:t> </w:t>
      </w:r>
      <w:r>
        <w:rPr>
          <w:spacing w:val="-63"/>
        </w:rPr>
      </w:r>
      <w:r>
        <w:rPr/>
        <w:t>生现金流入的最小资产组合。</w:t>
      </w:r>
    </w:p>
    <w:p>
      <w:pPr>
        <w:pStyle w:val="BodyText"/>
        <w:spacing w:line="316" w:lineRule="auto" w:before="19"/>
        <w:ind w:right="192" w:firstLine="372"/>
        <w:jc w:val="both"/>
      </w:pPr>
      <w:r>
        <w:rPr/>
        <w:t>在财务报表中单独列示的商誉，在进行减值测试时，将商誉的账面价值分摊至预期从企业合并的协同效应中受益的资 </w:t>
      </w:r>
      <w:r>
        <w:rPr>
          <w:spacing w:val="-2"/>
        </w:rPr>
        <w:t>产组或资产组组合。测试结果表明包含分摊的商誉的资产组或资产组组合的可收回金额低于其账面价值的，确认相应的减值</w:t>
      </w:r>
      <w:r>
        <w:rPr>
          <w:spacing w:val="-63"/>
        </w:rPr>
        <w:t> </w:t>
      </w:r>
      <w:r>
        <w:rPr>
          <w:spacing w:val="-63"/>
        </w:rPr>
      </w:r>
      <w:r>
        <w:rPr>
          <w:spacing w:val="-2"/>
        </w:rPr>
        <w:t>损失。减值损失金额先抵减分摊至该资产组或资产组组合的商誉的账面价值，再根据资产组或资产组组合中除商誉以外的其</w:t>
      </w:r>
      <w:r>
        <w:rPr>
          <w:spacing w:val="-64"/>
        </w:rPr>
        <w:t> </w:t>
      </w:r>
      <w:r>
        <w:rPr>
          <w:spacing w:val="-64"/>
        </w:rPr>
      </w:r>
      <w:r>
        <w:rPr/>
        <w:t>他各项资产的账面价值所占比重，按比例抵减其他各项资产的账面价值。</w:t>
      </w:r>
    </w:p>
    <w:p>
      <w:pPr>
        <w:pStyle w:val="BodyText"/>
        <w:spacing w:line="240" w:lineRule="auto" w:before="19"/>
        <w:ind w:left="513" w:right="94"/>
        <w:jc w:val="left"/>
      </w:pPr>
      <w:r>
        <w:rPr/>
        <w:t>上述资产减值损失一经确认，以后期间不予转回价值得以恢复的部分。</w:t>
      </w:r>
    </w:p>
    <w:p>
      <w:pPr>
        <w:spacing w:line="240" w:lineRule="auto" w:before="1"/>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21</w:t>
      </w:r>
      <w:r>
        <w:rPr/>
        <w:t>、长期待摊费用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92" w:firstLine="307"/>
        <w:jc w:val="both"/>
      </w:pPr>
      <w:r>
        <w:rPr>
          <w:spacing w:val="-1"/>
        </w:rPr>
        <w:t>长期待摊费用为已经发生但应由报告期和以后各期负担的分摊期限在一年以上的各项费用。长期待摊费用在预计受益期</w:t>
      </w:r>
      <w:r>
        <w:rPr/>
        <w:t> 间按直线法摊销。</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94"/>
        <w:jc w:val="left"/>
        <w:rPr>
          <w:b w:val="0"/>
          <w:bCs w:val="0"/>
        </w:rPr>
      </w:pPr>
      <w:r>
        <w:rPr>
          <w:rFonts w:ascii="Times New Roman" w:hAnsi="Times New Roman" w:cs="Times New Roman" w:eastAsia="Times New Roman" w:hint="default"/>
        </w:rPr>
        <w:t>22</w:t>
      </w:r>
      <w:r>
        <w:rPr/>
        <w:t>、职工薪酬</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93" w:firstLine="398"/>
        <w:jc w:val="both"/>
      </w:pPr>
      <w:r>
        <w:rPr/>
        <w:t>短期薪酬主要包括工资、奖金、津贴和补贴、职工福利费、医疗保险费、生育保险费、工伤保险费、住房公积金、工 </w:t>
      </w:r>
      <w:r>
        <w:rPr>
          <w:spacing w:val="-2"/>
        </w:rPr>
        <w:t>会经费和职工教育经费、非货币性福利等。本公司在职工为本公司提供服务的会计期间将实际发生的短期职工薪酬确认为负</w:t>
      </w:r>
      <w:r>
        <w:rPr>
          <w:spacing w:val="-64"/>
        </w:rPr>
        <w:t> </w:t>
      </w:r>
      <w:r>
        <w:rPr>
          <w:spacing w:val="-64"/>
        </w:rPr>
      </w:r>
      <w:r>
        <w:rPr/>
        <w:t>债，并计入当期损益或相关资产成本。其中非货币性福利按公允价值计量。</w:t>
      </w:r>
    </w:p>
    <w:p>
      <w:pPr>
        <w:spacing w:line="240" w:lineRule="auto" w:before="9"/>
        <w:rPr>
          <w:rFonts w:ascii="宋体" w:hAnsi="宋体" w:cs="宋体" w:eastAsia="宋体" w:hint="default"/>
          <w:sz w:val="17"/>
          <w:szCs w:val="17"/>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551" w:right="94"/>
        <w:jc w:val="left"/>
      </w:pPr>
      <w:r>
        <w:rPr/>
        <w:t>离职后福利主要包括基本养老保险、失业保险。离职后福利计划包括设定提存计划。采用设定提存计划的，相应的应</w:t>
      </w:r>
    </w:p>
    <w:p>
      <w:pPr>
        <w:spacing w:after="0" w:line="240" w:lineRule="auto"/>
        <w:jc w:val="left"/>
        <w:sectPr>
          <w:footerReference w:type="default" r:id="rId22"/>
          <w:pgSz w:w="11910" w:h="16840"/>
          <w:pgMar w:footer="1133" w:header="745" w:top="1060" w:bottom="1320" w:left="980" w:right="940"/>
          <w:pgNumType w:start="118"/>
        </w:sectPr>
      </w:pPr>
    </w:p>
    <w:p>
      <w:pPr>
        <w:spacing w:line="240" w:lineRule="auto" w:before="10"/>
        <w:rPr>
          <w:rFonts w:ascii="宋体" w:hAnsi="宋体" w:cs="宋体" w:eastAsia="宋体" w:hint="default"/>
          <w:sz w:val="25"/>
          <w:szCs w:val="25"/>
        </w:rPr>
      </w:pPr>
    </w:p>
    <w:p>
      <w:pPr>
        <w:pStyle w:val="BodyText"/>
        <w:spacing w:line="240" w:lineRule="auto" w:before="44"/>
        <w:ind w:right="94"/>
        <w:jc w:val="left"/>
      </w:pPr>
      <w:r>
        <w:rPr/>
        <w:t>缴存金额于发生时计入相关资产成本或当期损益。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0"/>
        <w:ind w:right="94"/>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94" w:firstLine="360"/>
        <w:jc w:val="left"/>
      </w:pPr>
      <w:r>
        <w:rPr>
          <w:spacing w:val="-2"/>
        </w:rPr>
        <w:t>在职工劳动合同到期之前解除与职工的劳动关系，或为鼓励职工自愿接受裁减而提出给予补偿的建议，在本公司不能单</w:t>
      </w:r>
      <w:r>
        <w:rPr/>
        <w:t> </w:t>
      </w:r>
      <w:r>
        <w:rPr>
          <w:spacing w:val="-2"/>
        </w:rPr>
        <w:t>方面撤回因解除劳动关系计划或裁减建议所提供的辞退福利时，和本公司确认与涉及支付辞退福利的重组相关的成本两者孰</w:t>
      </w:r>
      <w:r>
        <w:rPr>
          <w:spacing w:val="-64"/>
        </w:rPr>
        <w:t> </w:t>
      </w:r>
      <w:r>
        <w:rPr>
          <w:spacing w:val="-64"/>
        </w:rPr>
      </w:r>
      <w:r>
        <w:rPr>
          <w:spacing w:val="-4"/>
        </w:rPr>
        <w:t>早日，确认辞退福利产生的职工薪酬负债，并计入当期损益。但辞退福利预期在年度报告期结束后十二个月不能完全支付的，</w:t>
      </w:r>
      <w:r>
        <w:rPr>
          <w:spacing w:val="-44"/>
        </w:rPr>
        <w:t> </w:t>
      </w:r>
      <w:r>
        <w:rPr>
          <w:spacing w:val="-44"/>
        </w:rPr>
      </w:r>
      <w:r>
        <w:rPr/>
        <w:t>按照其他长期职工薪酬处理。</w:t>
      </w:r>
    </w:p>
    <w:p>
      <w:pPr>
        <w:pStyle w:val="BodyText"/>
        <w:spacing w:line="316" w:lineRule="auto" w:before="19"/>
        <w:ind w:right="94" w:firstLine="360"/>
        <w:jc w:val="left"/>
      </w:pPr>
      <w:r>
        <w:rPr>
          <w:spacing w:val="-2"/>
        </w:rPr>
        <w:t>职工内部退休计划采用与上述辞退福利相同的原则处理。本公司将自职工停止提供服务日至正常退休日的期间拟支付的</w:t>
      </w:r>
      <w:r>
        <w:rPr/>
        <w:t> 内退人员工资和缴纳的社会保险费等，在符合预计负债确认条件时，计入当期损益（辞退福利）。</w:t>
      </w:r>
    </w:p>
    <w:p>
      <w:pPr>
        <w:spacing w:line="240" w:lineRule="auto" w:before="10"/>
        <w:rPr>
          <w:rFonts w:ascii="宋体" w:hAnsi="宋体" w:cs="宋体" w:eastAsia="宋体" w:hint="default"/>
          <w:sz w:val="17"/>
          <w:szCs w:val="17"/>
        </w:rPr>
      </w:pPr>
    </w:p>
    <w:p>
      <w:pPr>
        <w:pStyle w:val="Heading3"/>
        <w:spacing w:line="240" w:lineRule="auto"/>
        <w:ind w:right="94"/>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94" w:firstLine="360"/>
        <w:jc w:val="left"/>
      </w:pPr>
      <w:r>
        <w:rPr>
          <w:spacing w:val="-2"/>
        </w:rPr>
        <w:t>本公司向职工提供的其他长期职工福利，符合设定提存计划的，按照设定提存计划进行会计处理，除此之外按照设定受</w:t>
      </w:r>
      <w:r>
        <w:rPr/>
        <w:t> 益计划进行会计处理。</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94"/>
        <w:jc w:val="left"/>
        <w:rPr>
          <w:b w:val="0"/>
          <w:bCs w:val="0"/>
        </w:rPr>
      </w:pPr>
      <w:r>
        <w:rPr>
          <w:rFonts w:ascii="Times New Roman" w:hAnsi="Times New Roman" w:cs="Times New Roman" w:eastAsia="Times New Roman" w:hint="default"/>
        </w:rPr>
        <w:t>23</w:t>
      </w:r>
      <w:r>
        <w:rPr/>
        <w:t>、预计负债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94" w:firstLine="360"/>
        <w:jc w:val="left"/>
      </w:pPr>
      <w:r>
        <w:rPr>
          <w:spacing w:val="-2"/>
        </w:rPr>
        <w:t>当与或有事项相关的义务同时符合以下条件，确认为预计负债：（</w:t>
      </w:r>
      <w:r>
        <w:rPr>
          <w:rFonts w:ascii="Times New Roman" w:hAnsi="Times New Roman" w:cs="Times New Roman" w:eastAsia="Times New Roman" w:hint="default"/>
          <w:spacing w:val="-2"/>
        </w:rPr>
        <w:t>1</w:t>
      </w:r>
      <w:r>
        <w:rPr>
          <w:spacing w:val="-2"/>
        </w:rPr>
        <w:t>）该义务是本公司承担的现时义务；（</w:t>
      </w:r>
      <w:r>
        <w:rPr>
          <w:rFonts w:ascii="Times New Roman" w:hAnsi="Times New Roman" w:cs="Times New Roman" w:eastAsia="Times New Roman" w:hint="default"/>
          <w:spacing w:val="-2"/>
        </w:rPr>
        <w:t>2</w:t>
      </w:r>
      <w:r>
        <w:rPr>
          <w:spacing w:val="-2"/>
        </w:rPr>
        <w:t>）履行该义</w:t>
      </w:r>
      <w:r>
        <w:rPr/>
        <w:t> 务很可能导致经济利益流出；（</w:t>
      </w:r>
      <w:r>
        <w:rPr>
          <w:rFonts w:ascii="Times New Roman" w:hAnsi="Times New Roman" w:cs="Times New Roman" w:eastAsia="Times New Roman" w:hint="default"/>
        </w:rPr>
        <w:t>3</w:t>
      </w:r>
      <w:r>
        <w:rPr/>
        <w:t>）该义务的金额能够可靠地计量。</w:t>
      </w:r>
    </w:p>
    <w:p>
      <w:pPr>
        <w:pStyle w:val="BodyText"/>
        <w:spacing w:line="316" w:lineRule="auto" w:before="13"/>
        <w:ind w:right="94" w:firstLine="360"/>
        <w:jc w:val="left"/>
      </w:pPr>
      <w:r>
        <w:rPr>
          <w:spacing w:val="-2"/>
        </w:rPr>
        <w:t>在资产负债表日，考虑与或有事项有关的风险、不确定性和货币时间价值等因素，按照履行相关现时义务所需支出的最</w:t>
      </w:r>
      <w:r>
        <w:rPr/>
        <w:t> 佳估计数对预计负债进行计量。</w:t>
      </w:r>
    </w:p>
    <w:p>
      <w:pPr>
        <w:pStyle w:val="BodyText"/>
        <w:spacing w:line="316" w:lineRule="auto" w:before="19"/>
        <w:ind w:right="94" w:firstLine="360"/>
        <w:jc w:val="left"/>
      </w:pPr>
      <w:r>
        <w:rPr>
          <w:spacing w:val="-2"/>
        </w:rPr>
        <w:t>如果清偿预计负债所需支出全部或部分预期由第三方补偿的，补偿金额在基本确定能够收到时，作为资产单独确认，且</w:t>
      </w:r>
      <w:r>
        <w:rPr/>
        <w:t> 确认的补偿金额不超过预计负债的账面价值。</w:t>
      </w:r>
    </w:p>
    <w:p>
      <w:pPr>
        <w:spacing w:line="240" w:lineRule="auto" w:before="9"/>
        <w:rPr>
          <w:rFonts w:ascii="宋体" w:hAnsi="宋体" w:cs="宋体" w:eastAsia="宋体" w:hint="default"/>
          <w:sz w:val="17"/>
          <w:szCs w:val="17"/>
        </w:rPr>
      </w:pPr>
    </w:p>
    <w:p>
      <w:pPr>
        <w:pStyle w:val="Heading3"/>
        <w:spacing w:line="240" w:lineRule="auto"/>
        <w:ind w:right="94"/>
        <w:jc w:val="left"/>
        <w:rPr>
          <w:b w:val="0"/>
          <w:bCs w:val="0"/>
        </w:rPr>
      </w:pPr>
      <w:r>
        <w:rPr>
          <w:rFonts w:ascii="Times New Roman" w:hAnsi="Times New Roman" w:cs="Times New Roman" w:eastAsia="Times New Roman" w:hint="default"/>
        </w:rPr>
        <w:t>24</w:t>
      </w:r>
      <w:r>
        <w:rPr/>
        <w:t>、股份支付</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00" w:lineRule="auto"/>
        <w:ind w:left="513" w:right="94" w:hanging="89"/>
        <w:jc w:val="left"/>
      </w:pPr>
      <w:r>
        <w:rPr/>
        <w:t>（</w:t>
      </w:r>
      <w:r>
        <w:rPr>
          <w:rFonts w:ascii="Times New Roman" w:hAnsi="Times New Roman" w:cs="Times New Roman" w:eastAsia="Times New Roman" w:hint="default"/>
        </w:rPr>
        <w:t>1</w:t>
      </w:r>
      <w:r>
        <w:rPr/>
        <w:t>）股份支付的会计处理方法 </w:t>
      </w:r>
      <w:r>
        <w:rPr>
          <w:spacing w:val="-2"/>
        </w:rPr>
        <w:t>股份支付是为了获取职工或其他方提供服务而授予权益工具或者承担以权益工具为基础确定的负债的交易。股份支付分</w:t>
      </w:r>
    </w:p>
    <w:p>
      <w:pPr>
        <w:pStyle w:val="BodyText"/>
        <w:spacing w:line="240" w:lineRule="auto" w:before="31"/>
        <w:ind w:right="94"/>
        <w:jc w:val="left"/>
      </w:pPr>
      <w:r>
        <w:rPr/>
        <w:t>为以权益结算的股份支付和以现金结算的股份支付。</w:t>
      </w:r>
    </w:p>
    <w:p>
      <w:pPr>
        <w:pStyle w:val="BodyText"/>
        <w:spacing w:line="316" w:lineRule="auto" w:before="77"/>
        <w:ind w:left="513" w:right="94"/>
        <w:jc w:val="left"/>
      </w:pPr>
      <w:r>
        <w:rPr/>
        <w:t>①</w:t>
      </w:r>
      <w:r>
        <w:rPr>
          <w:spacing w:val="-18"/>
        </w:rPr>
        <w:t> </w:t>
      </w:r>
      <w:r>
        <w:rPr/>
        <w:t>以权益结算的股份支付</w:t>
      </w:r>
      <w:r>
        <w:rPr/>
        <w:t> </w:t>
      </w:r>
      <w:r>
        <w:rPr>
          <w:spacing w:val="-2"/>
        </w:rPr>
        <w:t>用以换取职工提供的服务的权益结算的股份支付，以授予职工权益工具在授予日的公允价值计量。该公允价值的金额在</w:t>
      </w:r>
    </w:p>
    <w:p>
      <w:pPr>
        <w:pStyle w:val="BodyText"/>
        <w:spacing w:line="316" w:lineRule="auto" w:before="19"/>
        <w:ind w:right="94"/>
        <w:jc w:val="left"/>
      </w:pPr>
      <w:r>
        <w:rPr>
          <w:spacing w:val="-2"/>
        </w:rPr>
        <w:t>完成等待期内的服务或达到规定业绩条件才可行权的情况下，在等待期内以对可行权权益工具数量的最佳估计为基础，按直</w:t>
      </w:r>
      <w:r>
        <w:rPr>
          <w:spacing w:val="-63"/>
        </w:rPr>
        <w:t> </w:t>
      </w:r>
      <w:r>
        <w:rPr>
          <w:spacing w:val="-63"/>
        </w:rPr>
      </w:r>
      <w:r>
        <w:rPr/>
        <w:t>线法计算计入相关成本或费用</w:t>
      </w:r>
      <w:r>
        <w:rPr>
          <w:rFonts w:ascii="Times New Roman" w:hAnsi="Times New Roman" w:cs="Times New Roman" w:eastAsia="Times New Roman" w:hint="default"/>
        </w:rPr>
        <w:t>/</w:t>
      </w:r>
      <w:r>
        <w:rPr/>
        <w:t>在授予后立即可行权时，在授予日计入相关成本或费用，相应增加资本公积。</w:t>
      </w:r>
    </w:p>
    <w:p>
      <w:pPr>
        <w:pStyle w:val="BodyText"/>
        <w:spacing w:line="316" w:lineRule="auto"/>
        <w:ind w:right="94" w:firstLine="360"/>
        <w:jc w:val="left"/>
      </w:pPr>
      <w:r>
        <w:rPr>
          <w:spacing w:val="-2"/>
        </w:rPr>
        <w:t>在等待期内每个资产负债表日，本公司根据最新取得的可行权职工人数变动等后续信息做出最佳估计，修正预计可行权</w:t>
      </w:r>
      <w:r>
        <w:rPr/>
        <w:t> 的权益工具数量。上述估计的影响计入当期相关成本或费用，并相应调整资本公积。</w:t>
      </w:r>
    </w:p>
    <w:p>
      <w:pPr>
        <w:pStyle w:val="BodyText"/>
        <w:spacing w:line="316" w:lineRule="auto" w:before="19"/>
        <w:ind w:right="189" w:firstLine="360"/>
        <w:jc w:val="both"/>
      </w:pPr>
      <w:r>
        <w:rPr>
          <w:spacing w:val="-2"/>
        </w:rPr>
        <w:t>用以换取其他方服务的权益结算的股份支付，如果其他方服务的公允价值能够可靠计量，按照其他方服务在取得日的公</w:t>
      </w:r>
      <w:r>
        <w:rPr/>
        <w:t> </w:t>
      </w:r>
      <w:r>
        <w:rPr>
          <w:spacing w:val="-2"/>
        </w:rPr>
        <w:t>允价值计量，如果其他方服务的公允价值不能可靠计量，但权益工具的公允价值能够可靠计量的，按照权益工具在服务取得</w:t>
      </w:r>
      <w:r>
        <w:rPr>
          <w:spacing w:val="-62"/>
        </w:rPr>
        <w:t> </w:t>
      </w:r>
      <w:r>
        <w:rPr>
          <w:spacing w:val="-62"/>
        </w:rPr>
      </w:r>
      <w:r>
        <w:rPr/>
        <w:t>日的公允价值计量，计入相关成本或费用，相应增加股东权益。</w:t>
      </w:r>
    </w:p>
    <w:p>
      <w:pPr>
        <w:pStyle w:val="BodyText"/>
        <w:spacing w:line="319" w:lineRule="auto" w:before="19"/>
        <w:ind w:left="513" w:right="94"/>
        <w:jc w:val="left"/>
      </w:pPr>
      <w:r>
        <w:rPr/>
        <w:t>②</w:t>
      </w:r>
      <w:r>
        <w:rPr>
          <w:spacing w:val="-18"/>
        </w:rPr>
        <w:t> </w:t>
      </w:r>
      <w:r>
        <w:rPr/>
        <w:t>以现金结算的股份支付</w:t>
      </w:r>
      <w:r>
        <w:rPr/>
        <w:t> </w:t>
      </w:r>
      <w:r>
        <w:rPr>
          <w:spacing w:val="-2"/>
        </w:rPr>
        <w:t>以现金结算的股份支付，按照本公司承担的以股份或其他权益工具为基础确定的负债的公允价值计量。如授予后立即可</w:t>
      </w:r>
    </w:p>
    <w:p>
      <w:pPr>
        <w:pStyle w:val="BodyText"/>
        <w:spacing w:line="316" w:lineRule="auto" w:before="17"/>
        <w:ind w:right="94"/>
        <w:jc w:val="left"/>
      </w:pPr>
      <w:r>
        <w:rPr>
          <w:spacing w:val="-2"/>
        </w:rPr>
        <w:t>行权，在授予日计入相关成本或费用，相应增加负债；如须完成等待期内的服务或达到规定业绩条件以后才可行权，在等待</w:t>
      </w:r>
      <w:r>
        <w:rPr>
          <w:spacing w:val="-64"/>
        </w:rPr>
        <w:t> </w:t>
      </w:r>
      <w:r>
        <w:rPr>
          <w:spacing w:val="-64"/>
        </w:rPr>
      </w:r>
      <w:r>
        <w:rPr>
          <w:spacing w:val="-2"/>
        </w:rPr>
        <w:t>期的每个资产负债表日，以对可行权情况的最佳估计为基础，按照本公司承担负债的公允价值金额，将当期取得的服务计入</w:t>
      </w:r>
    </w:p>
    <w:p>
      <w:pPr>
        <w:spacing w:after="0" w:line="316" w:lineRule="auto"/>
        <w:jc w:val="left"/>
        <w:sectPr>
          <w:footerReference w:type="default" r:id="rId23"/>
          <w:pgSz w:w="11910" w:h="16840"/>
          <w:pgMar w:footer="1133" w:header="745" w:top="1060" w:bottom="1320" w:left="980" w:right="940"/>
          <w:pgNumType w:start="119"/>
        </w:sectPr>
      </w:pPr>
    </w:p>
    <w:p>
      <w:pPr>
        <w:spacing w:line="240" w:lineRule="auto" w:before="10"/>
        <w:rPr>
          <w:rFonts w:ascii="宋体" w:hAnsi="宋体" w:cs="宋体" w:eastAsia="宋体" w:hint="default"/>
          <w:sz w:val="25"/>
          <w:szCs w:val="25"/>
        </w:rPr>
      </w:pPr>
    </w:p>
    <w:p>
      <w:pPr>
        <w:pStyle w:val="BodyText"/>
        <w:spacing w:line="316" w:lineRule="auto" w:before="44"/>
        <w:ind w:left="513" w:right="1133" w:hanging="361"/>
        <w:jc w:val="left"/>
      </w:pPr>
      <w:r>
        <w:rPr/>
        <w:t>成本或费用，相应增加负债。 在相关负债结算前的每个资产负债表日以及结算日，对负债的公允价值重新计量，其变动计入当期损益。</w:t>
      </w:r>
    </w:p>
    <w:p>
      <w:pPr>
        <w:pStyle w:val="BodyText"/>
        <w:spacing w:line="300" w:lineRule="auto" w:before="19"/>
        <w:ind w:left="513" w:right="0" w:hanging="89"/>
        <w:jc w:val="left"/>
      </w:pPr>
      <w:r>
        <w:rPr/>
        <w:t>（</w:t>
      </w:r>
      <w:r>
        <w:rPr>
          <w:rFonts w:ascii="Times New Roman" w:hAnsi="Times New Roman" w:cs="Times New Roman" w:eastAsia="Times New Roman" w:hint="default"/>
        </w:rPr>
        <w:t>2</w:t>
      </w:r>
      <w:r>
        <w:rPr/>
        <w:t>）修改、终止股份支付计划的相关会计处理 </w:t>
      </w:r>
      <w:r>
        <w:rPr>
          <w:spacing w:val="-2"/>
        </w:rPr>
        <w:t>本公司对股份支付计划进行修改时，若修改增加了所授予权益工具的公允价值，按照权益工具公允价值的增加相应确认</w:t>
      </w:r>
    </w:p>
    <w:p>
      <w:pPr>
        <w:pStyle w:val="BodyText"/>
        <w:spacing w:line="316" w:lineRule="auto" w:before="31"/>
        <w:ind w:right="150"/>
        <w:jc w:val="both"/>
      </w:pPr>
      <w:r>
        <w:rPr>
          <w:spacing w:val="-2"/>
        </w:rPr>
        <w:t>取得服务的增加。权益工具公允价值的增加是指修改前后的权益工具在修改日的公允价值之间的差额。若修改减少了股份支</w:t>
      </w:r>
      <w:r>
        <w:rPr>
          <w:spacing w:val="-64"/>
        </w:rPr>
        <w:t> </w:t>
      </w:r>
      <w:r>
        <w:rPr>
          <w:spacing w:val="-64"/>
        </w:rPr>
      </w:r>
      <w:r>
        <w:rPr>
          <w:spacing w:val="-2"/>
        </w:rPr>
        <w:t>付公允价值总额或采用了其他不利于职工的方式，则仍继续对取得的服务进行会计处理，视同该变更从未发生，除非本公司</w:t>
      </w:r>
      <w:r>
        <w:rPr>
          <w:spacing w:val="-63"/>
        </w:rPr>
        <w:t> </w:t>
      </w:r>
      <w:r>
        <w:rPr>
          <w:spacing w:val="-63"/>
        </w:rPr>
      </w:r>
      <w:r>
        <w:rPr/>
        <w:t>取消了部分或全部已授予的权益工具。</w:t>
      </w:r>
    </w:p>
    <w:p>
      <w:pPr>
        <w:pStyle w:val="BodyText"/>
        <w:spacing w:line="316" w:lineRule="auto" w:before="19"/>
        <w:ind w:right="149" w:firstLine="360"/>
        <w:jc w:val="both"/>
      </w:pPr>
      <w:r>
        <w:rPr>
          <w:spacing w:val="-2"/>
        </w:rPr>
        <w:t>在等待期内，如果取消了授予的权益工具，本公司对取消所授予的权益性工具作为加速行权处理，将剩余等待期内应确</w:t>
      </w:r>
      <w:r>
        <w:rPr/>
        <w:t> </w:t>
      </w:r>
      <w:r>
        <w:rPr>
          <w:spacing w:val="-2"/>
        </w:rPr>
        <w:t>认的金额立即计入当期损益，同时确认资本公积。职工或其他方能够选择满足非可行权条件但在等待期内未满足的，本公司</w:t>
      </w:r>
      <w:r>
        <w:rPr>
          <w:spacing w:val="-63"/>
        </w:rPr>
        <w:t> </w:t>
      </w:r>
      <w:r>
        <w:rPr>
          <w:spacing w:val="-63"/>
        </w:rPr>
      </w:r>
      <w:r>
        <w:rPr/>
        <w:t>将其作为授予权益工具的取消处理。</w:t>
      </w:r>
    </w:p>
    <w:p>
      <w:pPr>
        <w:pStyle w:val="BodyText"/>
        <w:spacing w:line="300" w:lineRule="auto" w:before="19"/>
        <w:ind w:left="513" w:right="0" w:hanging="89"/>
        <w:jc w:val="left"/>
      </w:pPr>
      <w:r>
        <w:rPr/>
        <w:t>（</w:t>
      </w:r>
      <w:r>
        <w:rPr>
          <w:rFonts w:ascii="Times New Roman" w:hAnsi="Times New Roman" w:cs="Times New Roman" w:eastAsia="Times New Roman" w:hint="default"/>
        </w:rPr>
        <w:t>3</w:t>
      </w:r>
      <w:r>
        <w:rPr/>
        <w:t>）涉及本公司与本公司股东或实际控制人的股份支付交易的会计处理 </w:t>
      </w:r>
      <w:r>
        <w:rPr>
          <w:spacing w:val="-2"/>
        </w:rPr>
        <w:t>涉及本公司与本公司股东或实际控制人的股份支付交易，结算企业与接受服务企业中其一在本公司内，另一在本公司外</w:t>
      </w:r>
    </w:p>
    <w:p>
      <w:pPr>
        <w:pStyle w:val="BodyText"/>
        <w:spacing w:line="240" w:lineRule="auto" w:before="31"/>
        <w:ind w:right="0"/>
        <w:jc w:val="left"/>
      </w:pPr>
      <w:r>
        <w:rPr/>
        <w:t>的，在本公司合并财务报表中按照以下规定进行会计处理：</w:t>
      </w:r>
    </w:p>
    <w:p>
      <w:pPr>
        <w:pStyle w:val="BodyText"/>
        <w:spacing w:line="316" w:lineRule="auto" w:before="76"/>
        <w:ind w:right="179" w:firstLine="360"/>
        <w:jc w:val="both"/>
      </w:pPr>
      <w:r>
        <w:rPr/>
        <w:t>①</w:t>
      </w:r>
      <w:r>
        <w:rPr>
          <w:spacing w:val="-18"/>
        </w:rPr>
        <w:t> </w:t>
      </w:r>
      <w:r>
        <w:rPr/>
        <w:t>结算企业以其本身权益工具结算的，将该股份支付交易作为权益结算的股份支付处理；除此之外，作为现金结算的</w:t>
      </w:r>
      <w:r>
        <w:rPr/>
        <w:t> 股份支付处理。</w:t>
      </w:r>
    </w:p>
    <w:p>
      <w:pPr>
        <w:pStyle w:val="BodyText"/>
        <w:spacing w:line="316" w:lineRule="auto" w:before="19"/>
        <w:ind w:right="152" w:firstLine="360"/>
        <w:jc w:val="both"/>
      </w:pPr>
      <w:r>
        <w:rPr>
          <w:spacing w:val="-2"/>
        </w:rPr>
        <w:t>结算企业是接受服务企业的投资者的，按照授予日权益工具的公允价值或应承担负债的公允价值确认为对接受服务企业</w:t>
      </w:r>
      <w:r>
        <w:rPr/>
        <w:t> 的长期股权投资，同时确认资本公积（其他资本公积）或负债。</w:t>
      </w:r>
    </w:p>
    <w:p>
      <w:pPr>
        <w:pStyle w:val="BodyText"/>
        <w:spacing w:line="316" w:lineRule="auto" w:before="19"/>
        <w:ind w:right="153" w:firstLine="360"/>
        <w:jc w:val="both"/>
      </w:pPr>
      <w:r>
        <w:rPr/>
        <w:t>②</w:t>
      </w:r>
      <w:r>
        <w:rPr>
          <w:spacing w:val="-18"/>
        </w:rPr>
        <w:t> </w:t>
      </w:r>
      <w:r>
        <w:rPr/>
        <w:t>接受服务企业没有结算义务或授予本企业职工的是其本身权益工具的，将该股份支付交易作为权益结算的股份支付</w:t>
      </w:r>
      <w:r>
        <w:rPr/>
        <w:t> </w:t>
      </w:r>
      <w:r>
        <w:rPr>
          <w:spacing w:val="-2"/>
        </w:rPr>
        <w:t>处理；接受服务企业具有结算义务且授予本企业职工的并非其本身权益工具的，将该股份支付交易作为现金结算的股份支付</w:t>
      </w:r>
      <w:r>
        <w:rPr>
          <w:spacing w:val="-64"/>
        </w:rPr>
        <w:t> </w:t>
      </w:r>
      <w:r>
        <w:rPr>
          <w:spacing w:val="-64"/>
        </w:rPr>
      </w:r>
      <w:r>
        <w:rPr/>
        <w:t>处理。</w:t>
      </w:r>
    </w:p>
    <w:p>
      <w:pPr>
        <w:pStyle w:val="BodyText"/>
        <w:spacing w:line="319" w:lineRule="auto" w:before="19"/>
        <w:ind w:right="152" w:firstLine="360"/>
        <w:jc w:val="both"/>
      </w:pPr>
      <w:r>
        <w:rPr>
          <w:spacing w:val="-2"/>
        </w:rPr>
        <w:t>本公司内各企业之间发生的股份支付交易，接受服务企业和结算企业不是同一企业的，在接受服务企业和结算企业各自</w:t>
      </w:r>
      <w:r>
        <w:rPr/>
        <w:t> 的个别财务报表中对该股份支付交易的确认和计量，比照上述原则处理。</w:t>
      </w:r>
    </w:p>
    <w:p>
      <w:pPr>
        <w:spacing w:line="240" w:lineRule="auto" w:before="7"/>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25</w:t>
      </w:r>
      <w:r>
        <w:rPr/>
        <w:t>、优先股、永续债等其他金融工具</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left="513" w:right="2933" w:hanging="60"/>
        <w:jc w:val="left"/>
      </w:pPr>
      <w:r>
        <w:rPr/>
        <w:t>（</w:t>
      </w:r>
      <w:r>
        <w:rPr>
          <w:rFonts w:ascii="Times New Roman" w:hAnsi="Times New Roman" w:cs="Times New Roman" w:eastAsia="Times New Roman" w:hint="default"/>
        </w:rPr>
        <w:t>1</w:t>
      </w:r>
      <w:r>
        <w:rPr/>
        <w:t>）永续债和优先股等的区分 本公司发行的永续债和优先股等金融工具，同时符合以下条件的，作为权益工具：</w:t>
      </w:r>
    </w:p>
    <w:p>
      <w:pPr>
        <w:pStyle w:val="BodyText"/>
        <w:spacing w:line="316" w:lineRule="auto" w:before="31"/>
        <w:ind w:right="152" w:firstLine="360"/>
        <w:jc w:val="both"/>
      </w:pPr>
      <w:r>
        <w:rPr>
          <w:spacing w:val="-2"/>
        </w:rPr>
        <w:t>①该金融工具不包括交付现金或其他金融资产给其他方，或在潜在不利条件下与其他方交换金融资产或金融负债的合同</w:t>
      </w:r>
      <w:r>
        <w:rPr/>
        <w:t> 义务；</w:t>
      </w:r>
    </w:p>
    <w:p>
      <w:pPr>
        <w:pStyle w:val="BodyText"/>
        <w:spacing w:line="316" w:lineRule="auto" w:before="19"/>
        <w:ind w:right="152" w:firstLine="360"/>
        <w:jc w:val="both"/>
      </w:pPr>
      <w:r>
        <w:rPr>
          <w:spacing w:val="-2"/>
        </w:rPr>
        <w:t>②如将来须用或可用企业自身权益工具结算该金融工具的，如该金融工具为非衍生工具，则不包括交付可变数量的自身</w:t>
      </w:r>
      <w:r>
        <w:rPr/>
        <w:t> </w:t>
      </w:r>
      <w:r>
        <w:rPr>
          <w:spacing w:val="-2"/>
        </w:rPr>
        <w:t>权益工具进行结算的合同义务；如为衍生工具，则本公司只能通过以固定数量的自身权益工具交换固定金额的现金或其他金</w:t>
      </w:r>
      <w:r>
        <w:rPr>
          <w:spacing w:val="-64"/>
        </w:rPr>
        <w:t> </w:t>
      </w:r>
      <w:r>
        <w:rPr>
          <w:spacing w:val="-64"/>
        </w:rPr>
      </w:r>
      <w:r>
        <w:rPr/>
        <w:t>融资产结算该金融工具。</w:t>
      </w:r>
    </w:p>
    <w:p>
      <w:pPr>
        <w:pStyle w:val="BodyText"/>
        <w:spacing w:line="316" w:lineRule="auto" w:before="19"/>
        <w:ind w:left="513" w:right="0"/>
        <w:jc w:val="left"/>
      </w:pPr>
      <w:r>
        <w:rPr/>
        <w:t>除按上述条件可归类为权益工具的金融工具以外，本公司发行的其他金融工具应归类为金融负债。 </w:t>
      </w:r>
      <w:r>
        <w:rPr>
          <w:spacing w:val="-2"/>
        </w:rPr>
        <w:t>本公司发行的金融工具为复合金融工具的，按照负债成分的公允价值确认为一项负债，按实际收到的金额扣除负债成分</w:t>
      </w:r>
    </w:p>
    <w:p>
      <w:pPr>
        <w:pStyle w:val="BodyText"/>
        <w:spacing w:line="316" w:lineRule="auto" w:before="19"/>
        <w:ind w:right="149"/>
        <w:jc w:val="both"/>
      </w:pPr>
      <w:r>
        <w:rPr>
          <w:spacing w:val="-2"/>
        </w:rPr>
        <w:t>的公允价值后的金额，确认为“其他权益工具”。发行复合金融工具发生的交易费用，在负债成分和权益成分之间按照各自</w:t>
      </w:r>
      <w:r>
        <w:rPr>
          <w:spacing w:val="-63"/>
        </w:rPr>
        <w:t> </w:t>
      </w:r>
      <w:r>
        <w:rPr>
          <w:spacing w:val="-63"/>
        </w:rPr>
      </w:r>
      <w:r>
        <w:rPr/>
        <w:t>占总发行价款的比例进行分摊。</w:t>
      </w:r>
    </w:p>
    <w:p>
      <w:pPr>
        <w:pStyle w:val="BodyText"/>
        <w:spacing w:line="316" w:lineRule="auto" w:before="16"/>
        <w:ind w:left="513" w:right="0" w:hanging="89"/>
        <w:jc w:val="left"/>
      </w:pPr>
      <w:r>
        <w:rPr/>
        <w:t>（</w:t>
      </w:r>
      <w:r>
        <w:rPr>
          <w:rFonts w:ascii="宋体" w:hAnsi="宋体" w:cs="宋体" w:eastAsia="宋体" w:hint="default"/>
        </w:rPr>
        <w:t>2</w:t>
      </w:r>
      <w:r>
        <w:rPr/>
        <w:t>）永续债和优先股等的会计处理方法 </w:t>
      </w:r>
      <w:r>
        <w:rPr>
          <w:spacing w:val="-2"/>
        </w:rPr>
        <w:t>归类为金融负债的永续债和优先股等金融工具，其相关利息、股利（或股息）、利得或损失，以及赎回或再融资产生的</w:t>
      </w:r>
    </w:p>
    <w:p>
      <w:pPr>
        <w:pStyle w:val="BodyText"/>
        <w:spacing w:line="316" w:lineRule="auto" w:before="19"/>
        <w:ind w:left="513" w:right="0" w:hanging="361"/>
        <w:jc w:val="left"/>
      </w:pPr>
      <w:r>
        <w:rPr/>
        <w:t>利得或损失等，除符合资本化条件的借款费用（参见本附注五、</w:t>
      </w:r>
      <w:r>
        <w:rPr>
          <w:rFonts w:ascii="宋体" w:hAnsi="宋体" w:cs="宋体" w:eastAsia="宋体" w:hint="default"/>
        </w:rPr>
        <w:t>18</w:t>
      </w:r>
      <w:r>
        <w:rPr/>
        <w:t>“借款费用”）以外，均计入当期损益。 </w:t>
      </w:r>
      <w:r>
        <w:rPr>
          <w:spacing w:val="-2"/>
        </w:rPr>
        <w:t>归类为权益工具的永续债和优先股等金融工具，其发行（含再融资）、回购、出售或注销时，本公司作为权益的变动处</w:t>
      </w:r>
    </w:p>
    <w:p>
      <w:pPr>
        <w:pStyle w:val="BodyText"/>
        <w:spacing w:line="316" w:lineRule="auto" w:before="19"/>
        <w:ind w:left="623" w:right="2754" w:hanging="471"/>
        <w:jc w:val="left"/>
      </w:pPr>
      <w:r>
        <w:rPr/>
        <w:t>理，相关交易费用亦从权益中扣减。本公司对权益工具持有方的分配作为利润分配处理。 本公司不确认权益工具的公允价值变动。</w:t>
      </w:r>
    </w:p>
    <w:p>
      <w:pPr>
        <w:spacing w:after="0" w:line="316" w:lineRule="auto"/>
        <w:jc w:val="left"/>
        <w:sectPr>
          <w:pgSz w:w="11910" w:h="16840"/>
          <w:pgMar w:header="745" w:footer="1133" w:top="1060" w:bottom="1320" w:left="980" w:right="980"/>
        </w:sectPr>
      </w:pPr>
    </w:p>
    <w:p>
      <w:pPr>
        <w:spacing w:line="240" w:lineRule="auto" w:before="10"/>
        <w:rPr>
          <w:rFonts w:ascii="宋体" w:hAnsi="宋体" w:cs="宋体" w:eastAsia="宋体" w:hint="default"/>
          <w:sz w:val="24"/>
          <w:szCs w:val="24"/>
        </w:rPr>
      </w:pPr>
    </w:p>
    <w:p>
      <w:pPr>
        <w:pStyle w:val="Heading3"/>
        <w:spacing w:line="335" w:lineRule="exact"/>
        <w:ind w:right="94"/>
        <w:jc w:val="left"/>
        <w:rPr>
          <w:b w:val="0"/>
          <w:bCs w:val="0"/>
        </w:rPr>
      </w:pPr>
      <w:r>
        <w:rPr>
          <w:rFonts w:ascii="Times New Roman" w:hAnsi="Times New Roman" w:cs="Times New Roman" w:eastAsia="Times New Roman" w:hint="default"/>
        </w:rPr>
        <w:t>26</w:t>
      </w:r>
      <w:r>
        <w:rPr/>
        <w:t>、收入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6754"/>
        <w:jc w:val="left"/>
      </w:pPr>
      <w:r>
        <w:rPr/>
        <w:t>公司是否需要遵守特殊行业的披露要求 否</w:t>
      </w:r>
    </w:p>
    <w:p>
      <w:pPr>
        <w:pStyle w:val="BodyText"/>
        <w:spacing w:line="300" w:lineRule="auto" w:before="29"/>
        <w:ind w:left="513" w:right="94" w:hanging="60"/>
        <w:jc w:val="left"/>
      </w:pPr>
      <w:r>
        <w:rPr/>
        <w:t>（</w:t>
      </w:r>
      <w:r>
        <w:rPr>
          <w:rFonts w:ascii="Times New Roman" w:hAnsi="Times New Roman" w:cs="Times New Roman" w:eastAsia="Times New Roman" w:hint="default"/>
        </w:rPr>
        <w:t>1</w:t>
      </w:r>
      <w:r>
        <w:rPr/>
        <w:t>）商品销售收入 </w:t>
      </w:r>
      <w:r>
        <w:rPr>
          <w:spacing w:val="-2"/>
        </w:rPr>
        <w:t>在已将商品所有权上的主要风险和报酬转移给买方，既没有保留通常与所有权相联系的继续管理权，也没有对已售商品</w:t>
      </w:r>
    </w:p>
    <w:p>
      <w:pPr>
        <w:pStyle w:val="BodyText"/>
        <w:spacing w:line="316" w:lineRule="auto" w:before="31"/>
        <w:ind w:right="94"/>
        <w:jc w:val="left"/>
      </w:pPr>
      <w:r>
        <w:rPr>
          <w:spacing w:val="-2"/>
        </w:rPr>
        <w:t>实施有效控制，收入的金额能够可靠地计量，相关的经济利益很可能流入企业，相关的已发生或将发生的成本能够可靠地计</w:t>
      </w:r>
      <w:r>
        <w:rPr>
          <w:spacing w:val="-63"/>
        </w:rPr>
        <w:t> </w:t>
      </w:r>
      <w:r>
        <w:rPr>
          <w:spacing w:val="-63"/>
        </w:rPr>
      </w:r>
      <w:r>
        <w:rPr/>
        <w:t>量时，确认商品销售收入的实现。</w:t>
      </w:r>
    </w:p>
    <w:p>
      <w:pPr>
        <w:pStyle w:val="BodyText"/>
        <w:spacing w:line="309" w:lineRule="auto" w:before="19"/>
        <w:ind w:left="513" w:right="93" w:hanging="60"/>
        <w:jc w:val="left"/>
      </w:pPr>
      <w:r>
        <w:rPr/>
        <w:t>（</w:t>
      </w:r>
      <w:r>
        <w:rPr>
          <w:rFonts w:ascii="Times New Roman" w:hAnsi="Times New Roman" w:cs="Times New Roman" w:eastAsia="Times New Roman" w:hint="default"/>
        </w:rPr>
        <w:t>2</w:t>
      </w:r>
      <w:r>
        <w:rPr/>
        <w:t>）提供劳务收入 在提供劳务交易的结果能够可靠估计的情况下，于资产负债表日按照完工百分比法确认提供的劳务收入。 提供劳务交易的结果能够可靠估计是指同时满足：①收入的金额能够可靠地计量；②相关的经济利益很可能流入企业；</w:t>
      </w:r>
    </w:p>
    <w:p>
      <w:pPr>
        <w:pStyle w:val="BodyText"/>
        <w:spacing w:line="316" w:lineRule="auto" w:before="24"/>
        <w:ind w:left="513" w:right="94" w:hanging="361"/>
        <w:jc w:val="left"/>
      </w:pPr>
      <w:r>
        <w:rPr/>
        <w:t>③交易的完工程度能够可靠地确定；④交易中已发生和将发生的成本能够可靠地计量。 </w:t>
      </w:r>
      <w:r>
        <w:rPr>
          <w:spacing w:val="-2"/>
        </w:rPr>
        <w:t>如果提供劳务交易的结果不能够可靠估计，则按已经发生并预计能够得到补偿的劳务成本金额确认提供的劳务收入，并</w:t>
      </w:r>
    </w:p>
    <w:p>
      <w:pPr>
        <w:pStyle w:val="BodyText"/>
        <w:spacing w:line="316" w:lineRule="auto" w:before="19"/>
        <w:ind w:left="513" w:right="94" w:hanging="361"/>
        <w:jc w:val="left"/>
      </w:pPr>
      <w:r>
        <w:rPr/>
        <w:t>将已发生的劳务成本作为当期费用。已经发生的劳务成本如预计不能得到补偿的，则不确认收入。 </w:t>
      </w:r>
      <w:r>
        <w:rPr>
          <w:spacing w:val="-2"/>
        </w:rPr>
        <w:t>本公司与其他企业签订的合同或协议包括销售商品和提供劳务时，如销售商品部分和提供劳务部分能够区分并单独计量</w:t>
      </w:r>
    </w:p>
    <w:p>
      <w:pPr>
        <w:pStyle w:val="BodyText"/>
        <w:spacing w:line="316" w:lineRule="auto" w:before="19"/>
        <w:ind w:right="94"/>
        <w:jc w:val="left"/>
      </w:pPr>
      <w:r>
        <w:rPr>
          <w:spacing w:val="-2"/>
        </w:rPr>
        <w:t>的，将销售商品部分和提供劳务部分分别处理；如销售商品部分和提供劳务部分不能够区分，或虽能区分但不能够单独计量</w:t>
      </w:r>
      <w:r>
        <w:rPr>
          <w:spacing w:val="-63"/>
        </w:rPr>
        <w:t> </w:t>
      </w:r>
      <w:r>
        <w:rPr>
          <w:spacing w:val="-63"/>
        </w:rPr>
      </w:r>
      <w:r>
        <w:rPr/>
        <w:t>的，将该合同全部作为销售商品处理。</w:t>
      </w:r>
    </w:p>
    <w:p>
      <w:pPr>
        <w:pStyle w:val="BodyText"/>
        <w:spacing w:line="240" w:lineRule="auto" w:before="19"/>
        <w:ind w:left="453" w:right="94"/>
        <w:jc w:val="left"/>
      </w:pPr>
      <w:r>
        <w:rPr/>
        <w:t>（</w:t>
      </w:r>
      <w:r>
        <w:rPr>
          <w:rFonts w:ascii="Times New Roman" w:hAnsi="Times New Roman" w:cs="Times New Roman" w:eastAsia="Times New Roman" w:hint="default"/>
        </w:rPr>
        <w:t>3</w:t>
      </w:r>
      <w:r>
        <w:rPr/>
        <w:t>）收入确认的具体方法</w:t>
      </w:r>
    </w:p>
    <w:p>
      <w:pPr>
        <w:pStyle w:val="BodyText"/>
        <w:spacing w:line="316" w:lineRule="auto" w:before="63"/>
        <w:ind w:left="513" w:right="93"/>
        <w:jc w:val="left"/>
      </w:pPr>
      <w:r>
        <w:rPr/>
        <w:t>①软件产品的开发和销售 软件产品包括自行开发研制软件产品和定制开发软件产品。自行开发研制软件产品是指拥有自主知识产权、无差异化、</w:t>
      </w:r>
    </w:p>
    <w:p>
      <w:pPr>
        <w:pStyle w:val="BodyText"/>
        <w:spacing w:line="319" w:lineRule="auto" w:before="19"/>
        <w:ind w:left="513" w:right="94" w:hanging="361"/>
        <w:jc w:val="left"/>
      </w:pPr>
      <w:r>
        <w:rPr/>
        <w:t>可批量复制的软件产品；定制开发软件产品是指公司根据买方的实际需求进行定制、开发的软件产品。 </w:t>
      </w:r>
      <w:r>
        <w:rPr>
          <w:spacing w:val="-2"/>
        </w:rPr>
        <w:t>自行开发研制软件产品的销售，公司在软件产品的重要风险和报酬已转移给买方，取得相关的验收单后，不再对其实施</w:t>
      </w:r>
    </w:p>
    <w:p>
      <w:pPr>
        <w:pStyle w:val="BodyText"/>
        <w:spacing w:line="316" w:lineRule="auto" w:before="17"/>
        <w:ind w:right="94"/>
        <w:jc w:val="left"/>
      </w:pPr>
      <w:r>
        <w:rPr>
          <w:spacing w:val="-2"/>
        </w:rPr>
        <w:t>继续管理权和实际控制权，相关的收入已经收到或取得了收款的证据，并且与其有关的成本能够可靠地计量时，确认销售收</w:t>
      </w:r>
      <w:r>
        <w:rPr>
          <w:spacing w:val="-63"/>
        </w:rPr>
        <w:t> </w:t>
      </w:r>
      <w:r>
        <w:rPr>
          <w:spacing w:val="-63"/>
        </w:rPr>
      </w:r>
      <w:r>
        <w:rPr/>
        <w:t>入。</w:t>
      </w:r>
    </w:p>
    <w:p>
      <w:pPr>
        <w:pStyle w:val="BodyText"/>
        <w:spacing w:line="316" w:lineRule="auto" w:before="19"/>
        <w:ind w:right="94" w:firstLine="360"/>
        <w:jc w:val="left"/>
      </w:pPr>
      <w:r>
        <w:rPr>
          <w:spacing w:val="-2"/>
        </w:rPr>
        <w:t>定制开发软件项目按合同约定在项目实施完成并经对方验收合格后确认收入，对合同约定完工比例的，按合同约定的完</w:t>
      </w:r>
      <w:r>
        <w:rPr/>
        <w:t> 工确认条件确认收入。</w:t>
      </w:r>
    </w:p>
    <w:p>
      <w:pPr>
        <w:pStyle w:val="BodyText"/>
        <w:spacing w:line="316" w:lineRule="auto" w:before="19"/>
        <w:ind w:left="513" w:right="2793"/>
        <w:jc w:val="left"/>
      </w:pPr>
      <w:r>
        <w:rPr/>
        <w:t>②技术服务收入 技术服务是指公司为客户提供的技术支持、技术咨询、技术开发、系统维护等服务。</w:t>
      </w:r>
    </w:p>
    <w:p>
      <w:pPr>
        <w:pStyle w:val="BodyText"/>
        <w:spacing w:line="316" w:lineRule="auto" w:before="19"/>
        <w:ind w:right="94" w:firstLine="360"/>
        <w:jc w:val="left"/>
      </w:pPr>
      <w:r>
        <w:rPr>
          <w:spacing w:val="-2"/>
        </w:rPr>
        <w:t>技术服务收入的确认原则及方法为：在劳务已经提供，按合同约定取得验收单、收到价款或取得收取款项的证据时，确</w:t>
      </w:r>
      <w:r>
        <w:rPr/>
        <w:t> 认劳务收入。一定期限的维护合同，按合同期限平均确认收入。</w:t>
      </w:r>
    </w:p>
    <w:p>
      <w:pPr>
        <w:pStyle w:val="BodyText"/>
        <w:spacing w:line="300" w:lineRule="auto" w:before="19"/>
        <w:ind w:left="633" w:right="5553" w:hanging="180"/>
        <w:jc w:val="left"/>
      </w:pPr>
      <w:r>
        <w:rPr/>
        <w:t>（</w:t>
      </w:r>
      <w:r>
        <w:rPr>
          <w:rFonts w:ascii="Times New Roman" w:hAnsi="Times New Roman" w:cs="Times New Roman" w:eastAsia="Times New Roman" w:hint="default"/>
        </w:rPr>
        <w:t>4</w:t>
      </w:r>
      <w:r>
        <w:rPr/>
        <w:t>）使用费收入 根据有关合同或协议，按权责发生制确认收入。</w:t>
      </w:r>
    </w:p>
    <w:p>
      <w:pPr>
        <w:pStyle w:val="BodyText"/>
        <w:spacing w:line="300" w:lineRule="auto" w:before="31"/>
        <w:ind w:left="633" w:right="4653" w:hanging="180"/>
        <w:jc w:val="left"/>
      </w:pPr>
      <w:r>
        <w:rPr/>
        <w:t>（</w:t>
      </w:r>
      <w:r>
        <w:rPr>
          <w:rFonts w:ascii="Times New Roman" w:hAnsi="Times New Roman" w:cs="Times New Roman" w:eastAsia="Times New Roman" w:hint="default"/>
        </w:rPr>
        <w:t>5</w:t>
      </w:r>
      <w:r>
        <w:rPr/>
        <w:t>）利息收入 按照他人使用本公司货币资金的时间和实际利率计算确定。</w:t>
      </w:r>
    </w:p>
    <w:p>
      <w:pPr>
        <w:spacing w:line="240" w:lineRule="auto" w:before="8"/>
        <w:rPr>
          <w:rFonts w:ascii="宋体" w:hAnsi="宋体" w:cs="宋体" w:eastAsia="宋体" w:hint="default"/>
          <w:sz w:val="18"/>
          <w:szCs w:val="18"/>
        </w:rPr>
      </w:pPr>
    </w:p>
    <w:p>
      <w:pPr>
        <w:pStyle w:val="Heading3"/>
        <w:spacing w:line="240" w:lineRule="auto"/>
        <w:ind w:right="94"/>
        <w:jc w:val="left"/>
        <w:rPr>
          <w:b w:val="0"/>
          <w:bCs w:val="0"/>
        </w:rPr>
      </w:pPr>
      <w:r>
        <w:rPr>
          <w:rFonts w:ascii="Times New Roman" w:hAnsi="Times New Roman" w:cs="Times New Roman" w:eastAsia="Times New Roman" w:hint="default"/>
        </w:rPr>
        <w:t>27</w:t>
      </w:r>
      <w:r>
        <w:rPr/>
        <w:t>、政府补助</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333" w:right="94"/>
        <w:jc w:val="left"/>
      </w:pPr>
      <w:r>
        <w:rPr/>
        <w:t>与资产相关的政府补助，确认为递延收益，并在相关资产的使用寿命内平均分配计入当期损益。</w:t>
      </w:r>
    </w:p>
    <w:p>
      <w:pPr>
        <w:spacing w:after="0" w:line="240" w:lineRule="auto"/>
        <w:jc w:val="left"/>
        <w:sectPr>
          <w:pgSz w:w="11910" w:h="16840"/>
          <w:pgMar w:header="745" w:footer="1133" w:top="1060" w:bottom="1320" w:left="980" w:right="940"/>
        </w:sectPr>
      </w:pPr>
    </w:p>
    <w:p>
      <w:pPr>
        <w:spacing w:line="240" w:lineRule="auto" w:before="10"/>
        <w:rPr>
          <w:rFonts w:ascii="宋体" w:hAnsi="宋体" w:cs="宋体" w:eastAsia="宋体" w:hint="default"/>
          <w:sz w:val="24"/>
          <w:szCs w:val="24"/>
        </w:rPr>
      </w:pPr>
    </w:p>
    <w:p>
      <w:pPr>
        <w:pStyle w:val="Heading3"/>
        <w:spacing w:line="335" w:lineRule="exact"/>
        <w:ind w:right="94"/>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94" w:firstLine="360"/>
        <w:jc w:val="left"/>
      </w:pPr>
      <w:r>
        <w:rPr>
          <w:spacing w:val="-2"/>
        </w:rPr>
        <w:t>与收益相关的政府补助，用于补偿以后期间的相关费用和损失的，确认为递延收益，并在确认相关费用的期间计入当期</w:t>
      </w:r>
      <w:r>
        <w:rPr/>
        <w:t> 损益；用于补偿已经发生的相关费用和损失的，直接计入当期损益。</w:t>
      </w:r>
    </w:p>
    <w:p>
      <w:pPr>
        <w:pStyle w:val="BodyText"/>
        <w:spacing w:line="316" w:lineRule="auto" w:before="19"/>
        <w:ind w:right="94" w:firstLine="360"/>
        <w:jc w:val="left"/>
      </w:pPr>
      <w:r>
        <w:rPr>
          <w:spacing w:val="-2"/>
        </w:rPr>
        <w:t>已确认的政府补助需要返还时，存在相关递延收益余额的，冲减相关递延收益账面余额，超出部分计入当期损益；不存</w:t>
      </w:r>
      <w:r>
        <w:rPr/>
        <w:t> 在相关递延收益的，直接计入当期损益。</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94"/>
        <w:jc w:val="left"/>
        <w:rPr>
          <w:b w:val="0"/>
          <w:bCs w:val="0"/>
        </w:rPr>
      </w:pPr>
      <w:r>
        <w:rPr>
          <w:rFonts w:ascii="Times New Roman" w:hAnsi="Times New Roman" w:cs="Times New Roman" w:eastAsia="Times New Roman" w:hint="default"/>
        </w:rPr>
        <w:t>28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00" w:lineRule="auto"/>
        <w:ind w:left="525" w:right="81" w:hanging="156"/>
        <w:jc w:val="left"/>
      </w:pPr>
      <w:r>
        <w:rPr/>
        <w:t>（</w:t>
      </w:r>
      <w:r>
        <w:rPr>
          <w:rFonts w:ascii="Times New Roman" w:hAnsi="Times New Roman" w:cs="Times New Roman" w:eastAsia="Times New Roman" w:hint="default"/>
        </w:rPr>
        <w:t>1</w:t>
      </w:r>
      <w:r>
        <w:rPr/>
        <w:t>）当期所得税 资产负债表日，对于当期和以前期间形成的当期所得税负债（或资产），以按照税法规定计算的预期应交纳（或返还）</w:t>
      </w:r>
    </w:p>
    <w:p>
      <w:pPr>
        <w:pStyle w:val="BodyText"/>
        <w:spacing w:line="316" w:lineRule="auto" w:before="31"/>
        <w:ind w:right="94"/>
        <w:jc w:val="left"/>
      </w:pPr>
      <w:r>
        <w:rPr>
          <w:spacing w:val="-2"/>
        </w:rPr>
        <w:t>的所得税金额计量。计算当期所得税费用所依据的应纳税所得额系根据有关税法规定对本年度税前会计利润作相应调整后计</w:t>
      </w:r>
      <w:r>
        <w:rPr>
          <w:spacing w:val="-64"/>
        </w:rPr>
        <w:t> </w:t>
      </w:r>
      <w:r>
        <w:rPr>
          <w:spacing w:val="-64"/>
        </w:rPr>
      </w:r>
      <w:r>
        <w:rPr/>
        <w:t>算得出。</w:t>
      </w:r>
    </w:p>
    <w:p>
      <w:pPr>
        <w:pStyle w:val="BodyText"/>
        <w:spacing w:line="300" w:lineRule="auto" w:before="19"/>
        <w:ind w:left="525" w:right="261" w:hanging="72"/>
        <w:jc w:val="left"/>
      </w:pPr>
      <w:r>
        <w:rPr/>
        <w:t>（</w:t>
      </w:r>
      <w:r>
        <w:rPr>
          <w:rFonts w:ascii="Times New Roman" w:hAnsi="Times New Roman" w:cs="Times New Roman" w:eastAsia="Times New Roman" w:hint="default"/>
        </w:rPr>
        <w:t>2</w:t>
      </w:r>
      <w:r>
        <w:rPr/>
        <w:t>）递延所得税资产及递延所得税负债 某些资产、负债项目的账面价值与其计税基础之间的差额，以及未作为资产和负债确认但按照税法规定可以确定其计</w:t>
      </w:r>
    </w:p>
    <w:p>
      <w:pPr>
        <w:pStyle w:val="BodyText"/>
        <w:spacing w:line="316" w:lineRule="auto" w:before="31"/>
        <w:ind w:right="94"/>
        <w:jc w:val="left"/>
      </w:pPr>
      <w:r>
        <w:rPr>
          <w:spacing w:val="-2"/>
        </w:rPr>
        <w:t>税基础的项目的账面价值与计税基础之间的差额产生的暂时性差异，采用资产负债表债务法确认递延所得税资产及递延所得</w:t>
      </w:r>
      <w:r>
        <w:rPr>
          <w:spacing w:val="-64"/>
        </w:rPr>
        <w:t> </w:t>
      </w:r>
      <w:r>
        <w:rPr>
          <w:spacing w:val="-64"/>
        </w:rPr>
      </w:r>
      <w:r>
        <w:rPr/>
        <w:t>税负债。</w:t>
      </w:r>
    </w:p>
    <w:p>
      <w:pPr>
        <w:pStyle w:val="BodyText"/>
        <w:spacing w:line="319" w:lineRule="auto" w:before="19"/>
        <w:ind w:right="94" w:firstLine="372"/>
        <w:jc w:val="left"/>
      </w:pPr>
      <w:r>
        <w:rPr/>
        <w:t>与商誉的初始确认有关，以及与既不是企业合并、发生时也不影响会计利润和应纳税所得额（或可抵扣亏损）的交易 </w:t>
      </w:r>
      <w:r>
        <w:rPr>
          <w:spacing w:val="-2"/>
        </w:rPr>
        <w:t>中产生的资产或负债的初始确认有关的应纳税暂时性差异，不予确认有关的递延所得税负债。此外，对与子公司、联营企业</w:t>
      </w:r>
      <w:r>
        <w:rPr>
          <w:spacing w:val="-65"/>
        </w:rPr>
        <w:t> </w:t>
      </w:r>
      <w:r>
        <w:rPr>
          <w:spacing w:val="-65"/>
        </w:rPr>
      </w:r>
      <w:r>
        <w:rPr>
          <w:spacing w:val="-2"/>
        </w:rPr>
        <w:t>及合营企业投资相关的应纳税暂时性差异，如果本公司能够控制暂时性差异转回的时间，而且该暂时性差异在可预见的未来</w:t>
      </w:r>
      <w:r>
        <w:rPr>
          <w:spacing w:val="-64"/>
        </w:rPr>
        <w:t> </w:t>
      </w:r>
      <w:r>
        <w:rPr>
          <w:spacing w:val="-64"/>
        </w:rPr>
      </w:r>
      <w:r>
        <w:rPr>
          <w:spacing w:val="-2"/>
        </w:rPr>
        <w:t>很可能不会转回，也不予确认有关的递延所得税负债。除上述例外情况，本公司确认其他所有应纳税暂时性差异产生的递延</w:t>
      </w:r>
      <w:r>
        <w:rPr>
          <w:spacing w:val="-63"/>
        </w:rPr>
        <w:t> </w:t>
      </w:r>
      <w:r>
        <w:rPr>
          <w:spacing w:val="-63"/>
        </w:rPr>
      </w:r>
      <w:r>
        <w:rPr/>
        <w:t>所得税负债。</w:t>
      </w:r>
    </w:p>
    <w:p>
      <w:pPr>
        <w:pStyle w:val="BodyText"/>
        <w:spacing w:line="316" w:lineRule="auto" w:before="17"/>
        <w:ind w:right="94" w:firstLine="372"/>
        <w:jc w:val="left"/>
      </w:pPr>
      <w:r>
        <w:rPr/>
        <w:t>与既不是企业合并、发生时也不影响会计利润和应纳税所得额（或可抵扣亏损）的交易中产生的资产或负债的初始确 </w:t>
      </w:r>
      <w:r>
        <w:rPr>
          <w:spacing w:val="-2"/>
        </w:rPr>
        <w:t>认有关的可抵扣暂时性差异，不予确认有关的递延所得税资产。此外，对与子公司、联营企业及合营企业投资相关的可抵扣</w:t>
      </w:r>
      <w:r>
        <w:rPr>
          <w:spacing w:val="-66"/>
        </w:rPr>
        <w:t> </w:t>
      </w:r>
      <w:r>
        <w:rPr>
          <w:spacing w:val="-66"/>
        </w:rPr>
      </w:r>
      <w:r>
        <w:rPr>
          <w:spacing w:val="-2"/>
        </w:rPr>
        <w:t>暂时性差异，如果暂时性差异在可预见的未来不是很可能转回，或者未来不是很可能获得用来抵扣可抵扣暂时性差异的应纳</w:t>
      </w:r>
      <w:r>
        <w:rPr>
          <w:spacing w:val="-63"/>
        </w:rPr>
        <w:t> </w:t>
      </w:r>
      <w:r>
        <w:rPr>
          <w:spacing w:val="-63"/>
        </w:rPr>
      </w:r>
      <w:r>
        <w:rPr>
          <w:spacing w:val="-2"/>
        </w:rPr>
        <w:t>税所得额，不予确认有关的递延所得税资产。除上述例外情况，本公司以很可能取得用来抵扣可抵扣暂时性差异的应纳税所</w:t>
      </w:r>
      <w:r>
        <w:rPr>
          <w:spacing w:val="-63"/>
        </w:rPr>
        <w:t> </w:t>
      </w:r>
      <w:r>
        <w:rPr>
          <w:spacing w:val="-63"/>
        </w:rPr>
      </w:r>
      <w:r>
        <w:rPr/>
        <w:t>得额为限，确认其他可抵扣暂时性差异产生的递延所得税资产。</w:t>
      </w:r>
    </w:p>
    <w:p>
      <w:pPr>
        <w:pStyle w:val="BodyText"/>
        <w:spacing w:line="316" w:lineRule="auto" w:before="19"/>
        <w:ind w:right="262" w:firstLine="372"/>
        <w:jc w:val="left"/>
      </w:pPr>
      <w:r>
        <w:rPr/>
        <w:t>对于能够结转以后年度的可抵扣亏损和税款抵减，以很可能获得用来抵扣可抵扣亏损和税款抵减的未来应纳税所得额 为限，确认相应的递延所得税资产。</w:t>
      </w:r>
    </w:p>
    <w:p>
      <w:pPr>
        <w:pStyle w:val="BodyText"/>
        <w:spacing w:line="316" w:lineRule="auto" w:before="19"/>
        <w:ind w:right="262" w:firstLine="372"/>
        <w:jc w:val="left"/>
      </w:pPr>
      <w:r>
        <w:rPr/>
        <w:t>资产负债表日，对于递延所得税资产和递延所得税负债，根据税法规定，按照预期收回相关资产或清偿相关负债期间 的适用税率计量。</w:t>
      </w:r>
    </w:p>
    <w:p>
      <w:pPr>
        <w:pStyle w:val="BodyText"/>
        <w:spacing w:line="316" w:lineRule="auto" w:before="19"/>
        <w:ind w:right="262" w:firstLine="372"/>
        <w:jc w:val="left"/>
      </w:pPr>
      <w:r>
        <w:rPr/>
        <w:t>于资产负债表日，对递延所得税资产的账面价值进行复核，如果未来很可能无法获得足够的应纳税所得额用以抵扣递 延所得税资产的利益，则减记递延所得税资产的账面价值。在很可能获得足够的应纳税所得额时，减记的金额予以转回。</w:t>
      </w:r>
    </w:p>
    <w:p>
      <w:pPr>
        <w:pStyle w:val="BodyText"/>
        <w:spacing w:line="300" w:lineRule="auto" w:before="19"/>
        <w:ind w:left="525" w:right="6021" w:hanging="72"/>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16" w:lineRule="auto" w:before="31"/>
        <w:ind w:right="262" w:firstLine="372"/>
        <w:jc w:val="left"/>
      </w:pPr>
      <w:r>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BodyText"/>
        <w:spacing w:line="300" w:lineRule="auto" w:before="19"/>
        <w:ind w:left="513" w:right="94" w:hanging="53"/>
        <w:jc w:val="left"/>
      </w:pPr>
      <w:r>
        <w:rPr/>
        <w:t>（</w:t>
      </w:r>
      <w:r>
        <w:rPr>
          <w:rFonts w:ascii="Times New Roman" w:hAnsi="Times New Roman" w:cs="Times New Roman" w:eastAsia="Times New Roman" w:hint="default"/>
        </w:rPr>
        <w:t>4</w:t>
      </w:r>
      <w:r>
        <w:rPr/>
        <w:t>）所得税的抵销 </w:t>
      </w:r>
      <w:r>
        <w:rPr>
          <w:spacing w:val="-2"/>
        </w:rPr>
        <w:t>当拥有以净额结算的法定权利，且意图以净额结算或取得资产、清偿负债同时进行时，本公司当期所得税资产及当期所</w:t>
      </w:r>
    </w:p>
    <w:p>
      <w:pPr>
        <w:pStyle w:val="BodyText"/>
        <w:spacing w:line="319" w:lineRule="auto" w:before="31"/>
        <w:ind w:right="94"/>
        <w:jc w:val="left"/>
      </w:pPr>
      <w:r>
        <w:rPr/>
        <w:t>得税负债以抵销后的净额列报。 </w:t>
      </w:r>
      <w:r>
        <w:rPr>
          <w:spacing w:val="-2"/>
        </w:rPr>
        <w:t>当拥有以净额结算当期所得税资产及当期所得税负债的法定权利，且递延所得税资产及递延所得税负债是与同一税收征管部</w:t>
      </w:r>
      <w:r>
        <w:rPr>
          <w:spacing w:val="-64"/>
        </w:rPr>
        <w:t> </w:t>
      </w:r>
      <w:r>
        <w:rPr>
          <w:spacing w:val="-64"/>
        </w:rPr>
      </w:r>
      <w:r>
        <w:rPr>
          <w:spacing w:val="-2"/>
        </w:rPr>
        <w:t>门对同一纳税主体征收的所得税相关或者是对不同的纳税主体相关，但在未来每一具有重要性的递延所得税资产及负债转回</w:t>
      </w:r>
      <w:r>
        <w:rPr>
          <w:spacing w:val="-64"/>
        </w:rPr>
        <w:t> </w:t>
      </w:r>
      <w:r>
        <w:rPr>
          <w:spacing w:val="-64"/>
        </w:rPr>
      </w:r>
      <w:r>
        <w:rPr>
          <w:spacing w:val="-2"/>
        </w:rPr>
        <w:t>的期间内，涉及的纳税主体意图以净额结算当期所得税资产和负债或是同时取得资产、清偿负债时，本公司递延所得税资产</w:t>
      </w:r>
    </w:p>
    <w:p>
      <w:pPr>
        <w:spacing w:after="0" w:line="319" w:lineRule="auto"/>
        <w:jc w:val="left"/>
        <w:sectPr>
          <w:pgSz w:w="11910" w:h="16840"/>
          <w:pgMar w:header="745" w:footer="1133" w:top="1060" w:bottom="132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94"/>
        <w:jc w:val="left"/>
      </w:pPr>
      <w:r>
        <w:rPr/>
        <w:t>及递延所得税负债以抵销后的净额列报。</w:t>
      </w:r>
    </w:p>
    <w:p>
      <w:pPr>
        <w:spacing w:line="240" w:lineRule="auto" w:before="1"/>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29</w:t>
      </w:r>
      <w:r>
        <w:rPr/>
        <w:t>、租赁</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left="513" w:right="94" w:hanging="60"/>
        <w:jc w:val="left"/>
      </w:pPr>
      <w:r>
        <w:rPr/>
        <w:t>（</w:t>
      </w:r>
      <w:r>
        <w:rPr>
          <w:rFonts w:ascii="宋体" w:hAnsi="宋体" w:cs="宋体" w:eastAsia="宋体" w:hint="default"/>
        </w:rPr>
        <w:t>1</w:t>
      </w:r>
      <w:r>
        <w:rPr/>
        <w:t>）本公司作为承租人记录经营租赁业务 </w:t>
      </w:r>
      <w:r>
        <w:rPr>
          <w:spacing w:val="-2"/>
        </w:rPr>
        <w:t>经营租赁的租金支出在租赁期内的各个期间按直线法计入相关资产成本或当期损益。初始直接费用计入当期损益。或有</w:t>
      </w:r>
    </w:p>
    <w:p>
      <w:pPr>
        <w:pStyle w:val="BodyText"/>
        <w:spacing w:line="240" w:lineRule="auto" w:before="19"/>
        <w:ind w:right="94"/>
        <w:jc w:val="left"/>
      </w:pPr>
      <w:r>
        <w:rPr/>
        <w:t>租金于实际发生时计入当期损益。</w:t>
      </w:r>
    </w:p>
    <w:p>
      <w:pPr>
        <w:pStyle w:val="BodyText"/>
        <w:spacing w:line="316" w:lineRule="auto" w:before="76"/>
        <w:ind w:left="513" w:right="273" w:hanging="60"/>
        <w:jc w:val="left"/>
      </w:pPr>
      <w:r>
        <w:rPr/>
        <w:t>（</w:t>
      </w:r>
      <w:r>
        <w:rPr>
          <w:rFonts w:ascii="宋体" w:hAnsi="宋体" w:cs="宋体" w:eastAsia="宋体" w:hint="default"/>
        </w:rPr>
        <w:t>2</w:t>
      </w:r>
      <w:r>
        <w:rPr/>
        <w:t>）本公司作为出租人记录经营租赁业务 经营租赁的租金收入在租赁期内的各个期间按直线法确认为当期损益。对金额较大的初始直接费用于发生时予以资本</w:t>
      </w:r>
    </w:p>
    <w:p>
      <w:pPr>
        <w:pStyle w:val="BodyText"/>
        <w:spacing w:line="316" w:lineRule="auto" w:before="19"/>
        <w:ind w:right="94"/>
        <w:jc w:val="left"/>
      </w:pPr>
      <w:r>
        <w:rPr>
          <w:spacing w:val="-2"/>
        </w:rPr>
        <w:t>化，在整个租赁期间内按照与确认租金收入相同的基础分期计入当期损益；其他金额较小的初始直接费用于发生时计入当期</w:t>
      </w:r>
      <w:r>
        <w:rPr>
          <w:spacing w:val="-64"/>
        </w:rPr>
        <w:t> </w:t>
      </w:r>
      <w:r>
        <w:rPr>
          <w:spacing w:val="-64"/>
        </w:rPr>
      </w:r>
      <w:r>
        <w:rPr/>
        <w:t>损益。或有租金于实际发生时计入当期损益。</w:t>
      </w:r>
    </w:p>
    <w:p>
      <w:pPr>
        <w:spacing w:line="240" w:lineRule="auto" w:before="9"/>
        <w:rPr>
          <w:rFonts w:ascii="宋体" w:hAnsi="宋体" w:cs="宋体" w:eastAsia="宋体" w:hint="default"/>
          <w:sz w:val="17"/>
          <w:szCs w:val="17"/>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left="453" w:right="94" w:hanging="65"/>
        <w:jc w:val="left"/>
      </w:pPr>
      <w:r>
        <w:rPr/>
        <w:t>（</w:t>
      </w:r>
      <w:r>
        <w:rPr>
          <w:rFonts w:ascii="宋体" w:hAnsi="宋体" w:cs="宋体" w:eastAsia="宋体" w:hint="default"/>
        </w:rPr>
        <w:t>1</w:t>
      </w:r>
      <w:r>
        <w:rPr/>
        <w:t>）本公司作为承租人记录融资租赁业务 </w:t>
      </w:r>
      <w:r>
        <w:rPr>
          <w:spacing w:val="-1"/>
        </w:rPr>
        <w:t>于租赁期开始日，将租赁开始日租赁资产的公允价值与最低租赁付款额现值两者中较低者作为租入资产的入账价值，将</w:t>
      </w:r>
    </w:p>
    <w:p>
      <w:pPr>
        <w:pStyle w:val="BodyText"/>
        <w:spacing w:line="316" w:lineRule="auto" w:before="19"/>
        <w:ind w:right="94"/>
        <w:jc w:val="left"/>
      </w:pPr>
      <w:r>
        <w:rPr>
          <w:spacing w:val="-4"/>
        </w:rPr>
        <w:t>最低租赁付款额作为长期应付款的入账价值，其差额作为未确认融资费用。此外，在租赁谈判和签订租赁合同过程中发生的，</w:t>
      </w:r>
      <w:r>
        <w:rPr>
          <w:spacing w:val="-44"/>
        </w:rPr>
        <w:t> </w:t>
      </w:r>
      <w:r>
        <w:rPr>
          <w:spacing w:val="-44"/>
        </w:rPr>
      </w:r>
      <w:r>
        <w:rPr>
          <w:spacing w:val="-2"/>
        </w:rPr>
        <w:t>可归属于租赁项目的初始直接费用也计入租入资产价值。最低租赁付款额扣除未确认融资费用后的余额分别长期负债和一年</w:t>
      </w:r>
      <w:r>
        <w:rPr>
          <w:spacing w:val="-64"/>
        </w:rPr>
        <w:t> </w:t>
      </w:r>
      <w:r>
        <w:rPr>
          <w:spacing w:val="-64"/>
        </w:rPr>
      </w:r>
      <w:r>
        <w:rPr/>
        <w:t>内到期的长期负债列示。</w:t>
      </w:r>
    </w:p>
    <w:p>
      <w:pPr>
        <w:pStyle w:val="BodyText"/>
        <w:spacing w:line="240" w:lineRule="auto" w:before="19"/>
        <w:ind w:left="453" w:right="94"/>
        <w:jc w:val="left"/>
      </w:pPr>
      <w:r>
        <w:rPr/>
        <w:t>未确认融资费用在租赁期内采用实际利率法计算确认当期的融资费用。或有租金于实际发生时计入当期损益。</w:t>
      </w:r>
    </w:p>
    <w:p>
      <w:pPr>
        <w:pStyle w:val="BodyText"/>
        <w:spacing w:line="316" w:lineRule="auto" w:before="76"/>
        <w:ind w:left="453" w:right="94" w:hanging="120"/>
        <w:jc w:val="left"/>
      </w:pPr>
      <w:r>
        <w:rPr/>
        <w:t>（</w:t>
      </w:r>
      <w:r>
        <w:rPr>
          <w:rFonts w:ascii="宋体" w:hAnsi="宋体" w:cs="宋体" w:eastAsia="宋体" w:hint="default"/>
        </w:rPr>
        <w:t>2</w:t>
      </w:r>
      <w:r>
        <w:rPr/>
        <w:t>）本公司作为出租人记录融资租赁业务 </w:t>
      </w:r>
      <w:r>
        <w:rPr>
          <w:spacing w:val="-1"/>
        </w:rPr>
        <w:t>于租赁期开始日，将租赁开始日最低租赁收款额与初始直接费用之和作为应收融资租赁款的入账价值，同时记录未担保</w:t>
      </w:r>
    </w:p>
    <w:p>
      <w:pPr>
        <w:pStyle w:val="BodyText"/>
        <w:spacing w:line="316" w:lineRule="auto" w:before="19"/>
        <w:ind w:right="94"/>
        <w:jc w:val="left"/>
      </w:pPr>
      <w:r>
        <w:rPr>
          <w:spacing w:val="-2"/>
        </w:rPr>
        <w:t>余值；将最低租赁收款额、初始直接费用及未担保余值之和与其现值之和的差额确认为未实现融资收益。应收融资租赁款扣</w:t>
      </w:r>
      <w:r>
        <w:rPr>
          <w:spacing w:val="-66"/>
        </w:rPr>
        <w:t> </w:t>
      </w:r>
      <w:r>
        <w:rPr>
          <w:spacing w:val="-66"/>
        </w:rPr>
      </w:r>
      <w:r>
        <w:rPr/>
        <w:t>除未实现融资收益后的余额分别长期债权和一年内到期的长期债权列示。 未实现融资收益在租赁期内采用实际利率法计算确认当期的融资收入。或有租金于实际发生时计入当期损益。</w:t>
      </w:r>
    </w:p>
    <w:p>
      <w:pPr>
        <w:spacing w:line="240" w:lineRule="auto" w:before="9"/>
        <w:rPr>
          <w:rFonts w:ascii="宋体" w:hAnsi="宋体" w:cs="宋体" w:eastAsia="宋体" w:hint="default"/>
          <w:sz w:val="17"/>
          <w:szCs w:val="17"/>
        </w:rPr>
      </w:pPr>
    </w:p>
    <w:p>
      <w:pPr>
        <w:pStyle w:val="Heading3"/>
        <w:spacing w:line="240" w:lineRule="auto"/>
        <w:ind w:right="94"/>
        <w:jc w:val="left"/>
        <w:rPr>
          <w:b w:val="0"/>
          <w:bCs w:val="0"/>
        </w:rPr>
      </w:pPr>
      <w:r>
        <w:rPr>
          <w:rFonts w:ascii="Times New Roman" w:hAnsi="Times New Roman" w:cs="Times New Roman" w:eastAsia="Times New Roman" w:hint="default"/>
        </w:rPr>
        <w:t>30</w:t>
      </w:r>
      <w:r>
        <w:rPr/>
        <w:t>、其他重要的会计政策和会计估计</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9" w:lineRule="auto"/>
        <w:ind w:right="94" w:firstLine="360"/>
        <w:jc w:val="left"/>
      </w:pPr>
      <w:r>
        <w:rPr>
          <w:spacing w:val="-2"/>
        </w:rPr>
        <w:t>本公司在运用会计政策过程中，由于经营活动内在的不确定性，本公司需要对无法准确计量的报表项目的账面价值进行</w:t>
      </w:r>
      <w:r>
        <w:rPr/>
        <w:t> 判断、估计和假设。这些判断、估计和假设是基于本公司管理层过去的历史经验，并在考虑其他相关因素的基础上做出的。 </w:t>
      </w:r>
      <w:r>
        <w:rPr>
          <w:spacing w:val="-2"/>
        </w:rPr>
        <w:t>这些判断、估计和假设会影响收入、费用、资产和负债的报告金额以及资产负债表日或有负债的披露。然而，这些估计的不</w:t>
      </w:r>
      <w:r>
        <w:rPr>
          <w:spacing w:val="-67"/>
        </w:rPr>
        <w:t> </w:t>
      </w:r>
      <w:r>
        <w:rPr>
          <w:spacing w:val="-67"/>
        </w:rPr>
      </w:r>
      <w:r>
        <w:rPr>
          <w:spacing w:val="-2"/>
        </w:rPr>
        <w:t>确定性所导致的实际结果可能与本公司管理层当前的估计存在差异，进而造成对未来受影响的资产或负债的账面金额进行重</w:t>
      </w:r>
      <w:r>
        <w:rPr>
          <w:spacing w:val="-64"/>
        </w:rPr>
        <w:t> </w:t>
      </w:r>
      <w:r>
        <w:rPr>
          <w:spacing w:val="-64"/>
        </w:rPr>
      </w:r>
      <w:r>
        <w:rPr/>
        <w:t>大调整。</w:t>
      </w:r>
    </w:p>
    <w:p>
      <w:pPr>
        <w:pStyle w:val="BodyText"/>
        <w:spacing w:line="316" w:lineRule="auto" w:before="17"/>
        <w:ind w:right="94" w:firstLine="360"/>
        <w:jc w:val="left"/>
      </w:pPr>
      <w:r>
        <w:rPr>
          <w:spacing w:val="-2"/>
        </w:rPr>
        <w:t>本公司对前述判断、估计和假设在持续经营的基础上进行定期复核，会计估计的变更仅影响变更当期的，其影响数在变</w:t>
      </w:r>
      <w:r>
        <w:rPr/>
        <w:t> 更当期予以确认；既影响变更当期又影响未来期间的，其影响数在变更当期和未来期间予以确认。</w:t>
      </w:r>
    </w:p>
    <w:p>
      <w:pPr>
        <w:pStyle w:val="BodyText"/>
        <w:spacing w:line="240" w:lineRule="auto" w:before="19"/>
        <w:ind w:left="513" w:right="94"/>
        <w:jc w:val="left"/>
      </w:pPr>
      <w:r>
        <w:rPr/>
        <w:t>于资产负债表日，本公司需对财务报表项目金额进行判断、估计和假设的重要领域如下：</w:t>
      </w:r>
    </w:p>
    <w:p>
      <w:pPr>
        <w:pStyle w:val="BodyText"/>
        <w:spacing w:line="316" w:lineRule="auto" w:before="76"/>
        <w:ind w:left="513" w:right="94" w:hanging="89"/>
        <w:jc w:val="left"/>
      </w:pPr>
      <w:r>
        <w:rPr/>
        <w:t>（</w:t>
      </w:r>
      <w:r>
        <w:rPr>
          <w:rFonts w:ascii="宋体" w:hAnsi="宋体" w:cs="宋体" w:eastAsia="宋体" w:hint="default"/>
        </w:rPr>
        <w:t>1</w:t>
      </w:r>
      <w:r>
        <w:rPr/>
        <w:t>）租赁的归类 </w:t>
      </w:r>
      <w:r>
        <w:rPr>
          <w:spacing w:val="-2"/>
        </w:rPr>
        <w:t>本公司根据《企业会计准则第</w:t>
      </w:r>
      <w:r>
        <w:rPr>
          <w:rFonts w:ascii="宋体" w:hAnsi="宋体" w:cs="宋体" w:eastAsia="宋体" w:hint="default"/>
          <w:spacing w:val="-2"/>
        </w:rPr>
        <w:t>21</w:t>
      </w:r>
      <w:r>
        <w:rPr>
          <w:spacing w:val="-2"/>
        </w:rPr>
        <w:t>号——租赁》的规定，将租赁归类为经营租赁和融资租赁，在进行归类时，管理层需要</w:t>
      </w:r>
    </w:p>
    <w:p>
      <w:pPr>
        <w:pStyle w:val="BodyText"/>
        <w:spacing w:line="316" w:lineRule="auto" w:before="19"/>
        <w:ind w:right="94"/>
        <w:jc w:val="left"/>
      </w:pPr>
      <w:r>
        <w:rPr>
          <w:spacing w:val="-2"/>
        </w:rPr>
        <w:t>对是否已将与租出资产所有权有关的全部风险和报酬实质上转移给承租人，或者本公司是否已经实质上承担与租入资产所有</w:t>
      </w:r>
      <w:r>
        <w:rPr>
          <w:spacing w:val="-64"/>
        </w:rPr>
        <w:t> </w:t>
      </w:r>
      <w:r>
        <w:rPr>
          <w:spacing w:val="-64"/>
        </w:rPr>
      </w:r>
      <w:r>
        <w:rPr/>
        <w:t>权有关的全部风险和报酬，作出分析和判断。</w:t>
      </w:r>
    </w:p>
    <w:p>
      <w:pPr>
        <w:pStyle w:val="BodyText"/>
        <w:spacing w:line="316" w:lineRule="auto" w:before="19"/>
        <w:ind w:left="513" w:right="94" w:hanging="89"/>
        <w:jc w:val="left"/>
      </w:pPr>
      <w:r>
        <w:rPr/>
        <w:t>（</w:t>
      </w:r>
      <w:r>
        <w:rPr>
          <w:rFonts w:ascii="宋体" w:hAnsi="宋体" w:cs="宋体" w:eastAsia="宋体" w:hint="default"/>
        </w:rPr>
        <w:t>2</w:t>
      </w:r>
      <w:r>
        <w:rPr/>
        <w:t>）坏账准备计提 </w:t>
      </w:r>
      <w:r>
        <w:rPr>
          <w:spacing w:val="-2"/>
        </w:rPr>
        <w:t>本公司根据应收款项的会计政策，采用备抵法核算坏账损失。应收款项减值是基于评估应收款项的可收回性。鉴定应收</w:t>
      </w:r>
    </w:p>
    <w:p>
      <w:pPr>
        <w:pStyle w:val="BodyText"/>
        <w:spacing w:line="240" w:lineRule="auto" w:before="19"/>
        <w:ind w:right="94"/>
        <w:jc w:val="left"/>
      </w:pPr>
      <w:r>
        <w:rPr/>
        <w:t>款项减值要求管理层的判断和估计</w:t>
      </w:r>
      <w:r>
        <w:rPr>
          <w:spacing w:val="-82"/>
        </w:rPr>
        <w:t>。</w:t>
      </w:r>
      <w:r>
        <w:rPr/>
        <w:t>实际的结果与原先估计的差异将在估计被改变的期间影响应收款项的账面价值及应收款</w:t>
      </w:r>
    </w:p>
    <w:p>
      <w:pPr>
        <w:spacing w:after="0" w:line="240" w:lineRule="auto"/>
        <w:jc w:val="left"/>
        <w:sectPr>
          <w:pgSz w:w="11910" w:h="16840"/>
          <w:pgMar w:header="745" w:footer="1133" w:top="1060" w:bottom="132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0"/>
        <w:jc w:val="both"/>
      </w:pPr>
      <w:r>
        <w:rPr/>
        <w:t>项坏账准备的计提或转回。</w:t>
      </w:r>
    </w:p>
    <w:p>
      <w:pPr>
        <w:pStyle w:val="BodyText"/>
        <w:spacing w:line="316" w:lineRule="auto" w:before="76"/>
        <w:ind w:left="513" w:right="94" w:hanging="89"/>
        <w:jc w:val="left"/>
      </w:pPr>
      <w:r>
        <w:rPr/>
        <w:t>（</w:t>
      </w:r>
      <w:r>
        <w:rPr>
          <w:rFonts w:ascii="宋体" w:hAnsi="宋体" w:cs="宋体" w:eastAsia="宋体" w:hint="default"/>
        </w:rPr>
        <w:t>3</w:t>
      </w:r>
      <w:r>
        <w:rPr/>
        <w:t>）存货跌价准备 </w:t>
      </w:r>
      <w:r>
        <w:rPr>
          <w:spacing w:val="-2"/>
        </w:rPr>
        <w:t>本公司根据存货会计政策，按照成本与可变现净值孰低计量，对成本高于可变现净值及陈旧和滞销的存货，计提存货跌</w:t>
      </w:r>
    </w:p>
    <w:p>
      <w:pPr>
        <w:pStyle w:val="BodyText"/>
        <w:spacing w:line="316" w:lineRule="auto" w:before="19"/>
        <w:ind w:right="190"/>
        <w:jc w:val="both"/>
      </w:pPr>
      <w:r>
        <w:rPr>
          <w:spacing w:val="-2"/>
        </w:rPr>
        <w:t>价准备。存货减值至可变现净值是基于评估存货的可售性及其可变现净值。鉴定存货减值要求管理层在取得确凿证据，并且</w:t>
      </w:r>
      <w:r>
        <w:rPr>
          <w:spacing w:val="-63"/>
        </w:rPr>
        <w:t> </w:t>
      </w:r>
      <w:r>
        <w:rPr>
          <w:spacing w:val="-63"/>
        </w:rPr>
      </w:r>
      <w:r>
        <w:rPr>
          <w:spacing w:val="-2"/>
        </w:rPr>
        <w:t>考虑持有存货的目的、资产负债表日后事项的影响等因素的基础上作出判断和估计。实际的结果与原先估计的差异将在估计</w:t>
      </w:r>
      <w:r>
        <w:rPr>
          <w:spacing w:val="-64"/>
        </w:rPr>
        <w:t> </w:t>
      </w:r>
      <w:r>
        <w:rPr>
          <w:spacing w:val="-64"/>
        </w:rPr>
      </w:r>
      <w:r>
        <w:rPr/>
        <w:t>被改变的期间影响存货的账面价值及存货跌价准备的计提或转回。</w:t>
      </w:r>
    </w:p>
    <w:p>
      <w:pPr>
        <w:pStyle w:val="BodyText"/>
        <w:spacing w:line="316" w:lineRule="auto" w:before="19"/>
        <w:ind w:left="513" w:right="94" w:hanging="89"/>
        <w:jc w:val="left"/>
      </w:pPr>
      <w:r>
        <w:rPr/>
        <w:t>（</w:t>
      </w:r>
      <w:r>
        <w:rPr>
          <w:rFonts w:ascii="宋体" w:hAnsi="宋体" w:cs="宋体" w:eastAsia="宋体" w:hint="default"/>
        </w:rPr>
        <w:t>4</w:t>
      </w:r>
      <w:r>
        <w:rPr/>
        <w:t>）金融工具公允价值 </w:t>
      </w:r>
      <w:r>
        <w:rPr>
          <w:spacing w:val="-2"/>
        </w:rPr>
        <w:t>对不存在活跃交易市场的金融工具，本公司通过各种估值方法确定其公允价值。这些估值方法包括贴现现金流模型分析</w:t>
      </w:r>
    </w:p>
    <w:p>
      <w:pPr>
        <w:pStyle w:val="BodyText"/>
        <w:spacing w:line="316" w:lineRule="auto" w:before="19"/>
        <w:ind w:right="195"/>
        <w:jc w:val="both"/>
      </w:pPr>
      <w:r>
        <w:rPr>
          <w:spacing w:val="-2"/>
        </w:rPr>
        <w:t>等。估值时本公司需对未来现金流量、信用风险、市场波动率和相关性等方面进行估计，并选择适当的折现率。这些相关假</w:t>
      </w:r>
      <w:r>
        <w:rPr>
          <w:spacing w:val="-67"/>
        </w:rPr>
        <w:t> </w:t>
      </w:r>
      <w:r>
        <w:rPr>
          <w:spacing w:val="-67"/>
        </w:rPr>
      </w:r>
      <w:r>
        <w:rPr/>
        <w:t>设具有不确定性，其变化会对金融工具的公允价值产生影响。</w:t>
      </w:r>
    </w:p>
    <w:p>
      <w:pPr>
        <w:pStyle w:val="BodyText"/>
        <w:spacing w:line="319" w:lineRule="auto" w:before="19"/>
        <w:ind w:left="513" w:right="94" w:hanging="89"/>
        <w:jc w:val="left"/>
      </w:pPr>
      <w:r>
        <w:rPr/>
        <w:t>（</w:t>
      </w:r>
      <w:r>
        <w:rPr>
          <w:rFonts w:ascii="宋体" w:hAnsi="宋体" w:cs="宋体" w:eastAsia="宋体" w:hint="default"/>
        </w:rPr>
        <w:t>5</w:t>
      </w:r>
      <w:r>
        <w:rPr/>
        <w:t>）可供出售金融资产减值 </w:t>
      </w:r>
      <w:r>
        <w:rPr>
          <w:spacing w:val="-2"/>
        </w:rPr>
        <w:t>本公司确定可供出售金融资产是否减值在很大程度上依赖于管理层的判断和假设，以确定是否需要在利润表中确认其减</w:t>
      </w:r>
    </w:p>
    <w:p>
      <w:pPr>
        <w:pStyle w:val="BodyText"/>
        <w:spacing w:line="316" w:lineRule="auto" w:before="17"/>
        <w:ind w:right="189"/>
        <w:jc w:val="both"/>
      </w:pPr>
      <w:r>
        <w:rPr>
          <w:spacing w:val="-2"/>
        </w:rPr>
        <w:t>值损失。在进行判断和作出假设的过程中，本公司需评估该项投资的公允价值低于成本的程度和持续期间，以及被投资对象</w:t>
      </w:r>
      <w:r>
        <w:rPr>
          <w:spacing w:val="-62"/>
        </w:rPr>
        <w:t> </w:t>
      </w:r>
      <w:r>
        <w:rPr>
          <w:spacing w:val="-62"/>
        </w:rPr>
      </w:r>
      <w:r>
        <w:rPr/>
        <w:t>的财务状况和短期业务展望，包括行业状况、技术变革、信用评级、违约率和对手方的风险。</w:t>
      </w:r>
    </w:p>
    <w:p>
      <w:pPr>
        <w:pStyle w:val="BodyText"/>
        <w:spacing w:line="316" w:lineRule="auto" w:before="19"/>
        <w:ind w:left="513" w:right="94" w:hanging="89"/>
        <w:jc w:val="left"/>
      </w:pPr>
      <w:r>
        <w:rPr/>
        <w:t>（</w:t>
      </w:r>
      <w:r>
        <w:rPr>
          <w:rFonts w:ascii="宋体" w:hAnsi="宋体" w:cs="宋体" w:eastAsia="宋体" w:hint="default"/>
        </w:rPr>
        <w:t>6</w:t>
      </w:r>
      <w:r>
        <w:rPr/>
        <w:t>）长期资产减值准备 </w:t>
      </w:r>
      <w:r>
        <w:rPr>
          <w:spacing w:val="-2"/>
        </w:rPr>
        <w:t>本公司于资产负债表日对除金融资产之外的非流动资产判断是否存在可能发生减值的迹象。对使用寿命不确定的无形资</w:t>
      </w:r>
    </w:p>
    <w:p>
      <w:pPr>
        <w:pStyle w:val="BodyText"/>
        <w:spacing w:line="316" w:lineRule="auto" w:before="19"/>
        <w:ind w:right="195"/>
        <w:jc w:val="both"/>
      </w:pPr>
      <w:r>
        <w:rPr>
          <w:spacing w:val="-2"/>
        </w:rPr>
        <w:t>产，除每年进行的减值测试外，当其存在减值迹象时，也进行减值测试。其他除金融资产之外的非流动资产，当存在迹象表</w:t>
      </w:r>
      <w:r>
        <w:rPr>
          <w:spacing w:val="-67"/>
        </w:rPr>
        <w:t> </w:t>
      </w:r>
      <w:r>
        <w:rPr>
          <w:spacing w:val="-67"/>
        </w:rPr>
      </w:r>
      <w:r>
        <w:rPr/>
        <w:t>明其账面金额不可收回时，进行减值测试。</w:t>
      </w:r>
    </w:p>
    <w:p>
      <w:pPr>
        <w:pStyle w:val="BodyText"/>
        <w:spacing w:line="316" w:lineRule="auto" w:before="19"/>
        <w:ind w:right="94" w:firstLine="360"/>
        <w:jc w:val="left"/>
      </w:pPr>
      <w:r>
        <w:rPr/>
        <w:t>当资产或资产组的账面价值高于可收回金额，即公允价值减去处置费用后的净额和预计未来现金流量的现值中的较高</w:t>
      </w:r>
      <w:r>
        <w:rPr>
          <w:spacing w:val="2"/>
        </w:rPr>
        <w:t> </w:t>
      </w:r>
      <w:r>
        <w:rPr/>
        <w:t>者，表明发生了减值。</w:t>
      </w:r>
    </w:p>
    <w:p>
      <w:pPr>
        <w:pStyle w:val="BodyText"/>
        <w:spacing w:line="319" w:lineRule="auto" w:before="19"/>
        <w:ind w:right="94" w:firstLine="360"/>
        <w:jc w:val="left"/>
      </w:pPr>
      <w:r>
        <w:rPr>
          <w:spacing w:val="-2"/>
        </w:rPr>
        <w:t>公允价值减去处置费用后的净额，参考公平交易中类似资产的销售协议价格或可观察到的市场价格，减去可直接归属于</w:t>
      </w:r>
      <w:r>
        <w:rPr/>
        <w:t> 该资产处置的增量成本确定。</w:t>
      </w:r>
    </w:p>
    <w:p>
      <w:pPr>
        <w:pStyle w:val="BodyText"/>
        <w:spacing w:line="316" w:lineRule="auto" w:before="17"/>
        <w:ind w:right="94" w:firstLine="360"/>
        <w:jc w:val="left"/>
      </w:pPr>
      <w:r>
        <w:rPr>
          <w:spacing w:val="-2"/>
        </w:rPr>
        <w:t>在预计未来现金流量现值时，需要对该资产（或资产组）的产量、售价、相关经营成本以及计算现值时使用的折现率等</w:t>
      </w:r>
      <w:r>
        <w:rPr/>
        <w:t> </w:t>
      </w:r>
      <w:r>
        <w:rPr>
          <w:spacing w:val="-4"/>
        </w:rPr>
        <w:t>作出重大判断。本公司在估计可收回金额时会采用所有能够获得的相关资料，包括根据合理和可支持的假设所作出有关产量、</w:t>
      </w:r>
      <w:r>
        <w:rPr>
          <w:spacing w:val="-44"/>
        </w:rPr>
        <w:t> </w:t>
      </w:r>
      <w:r>
        <w:rPr>
          <w:spacing w:val="-44"/>
        </w:rPr>
      </w:r>
      <w:r>
        <w:rPr/>
        <w:t>售价和相关经营成本的预测。</w:t>
      </w:r>
    </w:p>
    <w:p>
      <w:pPr>
        <w:pStyle w:val="BodyText"/>
        <w:spacing w:line="316" w:lineRule="auto" w:before="19"/>
        <w:ind w:right="185" w:firstLine="360"/>
        <w:jc w:val="both"/>
      </w:pPr>
      <w:r>
        <w:rPr/>
        <w:t>本公司至少每年测试商誉是否发生减值。这要求对分配了商誉的资产组或者资产组组合的未来现金流量的现值进行预</w:t>
      </w:r>
      <w:r>
        <w:rPr>
          <w:spacing w:val="2"/>
        </w:rPr>
        <w:t> </w:t>
      </w:r>
      <w:r>
        <w:rPr>
          <w:spacing w:val="-2"/>
        </w:rPr>
        <w:t>计。对未来现金流量的现值进行预计时，本公司需要预计未来资产组或者资产组组合产生的现金流量，同时选择恰当的折现</w:t>
      </w:r>
      <w:r>
        <w:rPr>
          <w:spacing w:val="-63"/>
        </w:rPr>
        <w:t> </w:t>
      </w:r>
      <w:r>
        <w:rPr>
          <w:spacing w:val="-63"/>
        </w:rPr>
      </w:r>
      <w:r>
        <w:rPr/>
        <w:t>率确定未来现金流量的现值。</w:t>
      </w:r>
    </w:p>
    <w:p>
      <w:pPr>
        <w:pStyle w:val="BodyText"/>
        <w:spacing w:line="316" w:lineRule="auto" w:before="19"/>
        <w:ind w:left="513" w:right="94" w:hanging="89"/>
        <w:jc w:val="left"/>
      </w:pPr>
      <w:r>
        <w:rPr/>
        <w:t>（</w:t>
      </w:r>
      <w:r>
        <w:rPr>
          <w:rFonts w:ascii="宋体" w:hAnsi="宋体" w:cs="宋体" w:eastAsia="宋体" w:hint="default"/>
        </w:rPr>
        <w:t>7</w:t>
      </w:r>
      <w:r>
        <w:rPr/>
        <w:t>）折旧和摊销 </w:t>
      </w:r>
      <w:r>
        <w:rPr>
          <w:spacing w:val="-2"/>
        </w:rPr>
        <w:t>本公司对投资性房地产、固定资产和无形资产在考虑其残值后，在使用寿命内按直线法计提折旧和摊销。本公司定期复</w:t>
      </w:r>
    </w:p>
    <w:p>
      <w:pPr>
        <w:pStyle w:val="BodyText"/>
        <w:spacing w:line="316" w:lineRule="auto" w:before="19"/>
        <w:ind w:right="193"/>
        <w:jc w:val="both"/>
      </w:pPr>
      <w:r>
        <w:rPr>
          <w:spacing w:val="-2"/>
        </w:rPr>
        <w:t>核使用寿命，以决定将计入每个报告期的折旧和摊销费用数额。使用寿命是本公司根据对同类资产的以往经验并结合预期的</w:t>
      </w:r>
      <w:r>
        <w:rPr>
          <w:spacing w:val="-64"/>
        </w:rPr>
        <w:t> </w:t>
      </w:r>
      <w:r>
        <w:rPr>
          <w:spacing w:val="-64"/>
        </w:rPr>
      </w:r>
      <w:r>
        <w:rPr/>
        <w:t>技术更新而确定的。如果以前的估计发生重大变化，则会在未来期间对折旧和摊销费用进行调整。</w:t>
      </w:r>
    </w:p>
    <w:p>
      <w:pPr>
        <w:pStyle w:val="BodyText"/>
        <w:spacing w:line="316" w:lineRule="auto" w:before="19"/>
        <w:ind w:left="513" w:right="93" w:hanging="89"/>
        <w:jc w:val="left"/>
      </w:pPr>
      <w:r>
        <w:rPr/>
        <w:t>（</w:t>
      </w:r>
      <w:r>
        <w:rPr>
          <w:rFonts w:ascii="宋体" w:hAnsi="宋体" w:cs="宋体" w:eastAsia="宋体" w:hint="default"/>
        </w:rPr>
        <w:t>8</w:t>
      </w:r>
      <w:r>
        <w:rPr/>
        <w:t>）开发支出 确定资本化的金额时，本公司管理层需要作出有关资产的预计未来现金流量、适用的折现率以及预计受益期间的假设。 </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日本公司自行开发的金甲防线、北信源国产终端安全管理系统、虚拟化终端安全管理系统和北信源数据泄</w:t>
      </w:r>
    </w:p>
    <w:p>
      <w:pPr>
        <w:pStyle w:val="BodyText"/>
        <w:spacing w:line="316" w:lineRule="auto" w:before="19"/>
        <w:ind w:right="190"/>
        <w:jc w:val="both"/>
      </w:pPr>
      <w:r>
        <w:rPr/>
        <w:t>露智能防护系统四项无形资产在资产负债表中的余额为人民币</w:t>
      </w:r>
      <w:r>
        <w:rPr>
          <w:rFonts w:ascii="宋体" w:hAnsi="宋体" w:cs="宋体" w:eastAsia="宋体" w:hint="default"/>
        </w:rPr>
        <w:t>35,637,112.54</w:t>
      </w:r>
      <w:r>
        <w:rPr/>
        <w:t>元。本公司管理层认为相关业务的前景和目前</w:t>
      </w:r>
      <w:r>
        <w:rPr>
          <w:spacing w:val="-87"/>
        </w:rPr>
        <w:t> </w:t>
      </w:r>
      <w:r>
        <w:rPr>
          <w:spacing w:val="-87"/>
        </w:rPr>
      </w:r>
      <w:r>
        <w:rPr>
          <w:spacing w:val="-2"/>
        </w:rPr>
        <w:t>的发展良好，市场对以该无形资产生产的产品的反应也证实了管理层之前对这一项目预期收入的估计。但是日益增加的竞争</w:t>
      </w:r>
      <w:r>
        <w:rPr>
          <w:spacing w:val="-64"/>
        </w:rPr>
        <w:t> </w:t>
      </w:r>
      <w:r>
        <w:rPr>
          <w:spacing w:val="-64"/>
        </w:rPr>
      </w:r>
      <w:r>
        <w:rPr>
          <w:spacing w:val="-2"/>
        </w:rPr>
        <w:t>也使得管理层重新考虑对市场份额和有关产品的预计毛利等方面的假设。经过全面的检视后，本公司管理层认为即使在产品</w:t>
      </w:r>
      <w:r>
        <w:rPr>
          <w:spacing w:val="-64"/>
        </w:rPr>
        <w:t> </w:t>
      </w:r>
      <w:r>
        <w:rPr>
          <w:spacing w:val="-64"/>
        </w:rPr>
      </w:r>
      <w:r>
        <w:rPr>
          <w:spacing w:val="-2"/>
        </w:rPr>
        <w:t>回报率出现下调的情况下，仍可以全额收回无形资产账面价值。本公司将继续密切检视有关情况，一旦有迹象表明需要调整</w:t>
      </w:r>
      <w:r>
        <w:rPr>
          <w:spacing w:val="-63"/>
        </w:rPr>
        <w:t> </w:t>
      </w:r>
      <w:r>
        <w:rPr>
          <w:spacing w:val="-63"/>
        </w:rPr>
      </w:r>
      <w:r>
        <w:rPr/>
        <w:t>相关会计估计的假设，本公司将在有关迹象发生的期间作出调整。</w:t>
      </w:r>
    </w:p>
    <w:p>
      <w:pPr>
        <w:pStyle w:val="BodyText"/>
        <w:spacing w:line="316" w:lineRule="auto" w:before="19"/>
        <w:ind w:left="513" w:right="94" w:hanging="89"/>
        <w:jc w:val="left"/>
      </w:pPr>
      <w:r>
        <w:rPr/>
        <w:t>（</w:t>
      </w:r>
      <w:r>
        <w:rPr>
          <w:rFonts w:ascii="宋体" w:hAnsi="宋体" w:cs="宋体" w:eastAsia="宋体" w:hint="default"/>
        </w:rPr>
        <w:t>9</w:t>
      </w:r>
      <w:r>
        <w:rPr/>
        <w:t>）递延所得税资产 </w:t>
      </w:r>
      <w:r>
        <w:rPr>
          <w:spacing w:val="-2"/>
        </w:rPr>
        <w:t>在很有可能有足够的应纳税利润来抵扣亏损的限度内，本公司就所有未利用的税务亏损确认递延所得税资产。这需要本</w:t>
      </w:r>
    </w:p>
    <w:p>
      <w:pPr>
        <w:pStyle w:val="BodyText"/>
        <w:spacing w:line="316" w:lineRule="auto" w:before="19"/>
        <w:ind w:right="193"/>
        <w:jc w:val="both"/>
      </w:pPr>
      <w:r>
        <w:rPr>
          <w:spacing w:val="-2"/>
        </w:rPr>
        <w:t>公司管理层运用大量的判断来估计未来应纳税利润发生的时间和金额，结合纳税筹划策略，以决定应确认的递延所得税资产</w:t>
      </w:r>
      <w:r>
        <w:rPr>
          <w:spacing w:val="-64"/>
        </w:rPr>
        <w:t> </w:t>
      </w:r>
      <w:r>
        <w:rPr>
          <w:spacing w:val="-64"/>
        </w:rPr>
      </w:r>
      <w:r>
        <w:rPr/>
        <w:t>的金额。</w:t>
      </w:r>
    </w:p>
    <w:p>
      <w:pPr>
        <w:spacing w:after="0" w:line="316" w:lineRule="auto"/>
        <w:jc w:val="both"/>
        <w:sectPr>
          <w:pgSz w:w="11910" w:h="16840"/>
          <w:pgMar w:header="745" w:footer="1133" w:top="1060" w:bottom="1320" w:left="980" w:right="940"/>
        </w:sectPr>
      </w:pPr>
    </w:p>
    <w:p>
      <w:pPr>
        <w:spacing w:line="240" w:lineRule="auto" w:before="10"/>
        <w:rPr>
          <w:rFonts w:ascii="宋体" w:hAnsi="宋体" w:cs="宋体" w:eastAsia="宋体" w:hint="default"/>
          <w:sz w:val="25"/>
          <w:szCs w:val="25"/>
        </w:rPr>
      </w:pPr>
      <w:r>
        <w:rPr/>
        <w:pict>
          <v:group style="position:absolute;margin-left:349.98999pt;margin-top:378.769989pt;width:157.6pt;height:149.8pt;mso-position-horizontal-relative:page;mso-position-vertical-relative:page;z-index:-795280" coordorigin="7000,7575" coordsize="3152,2996">
            <v:group style="position:absolute;left:7000;top:7575;width:3152;height:1892" coordorigin="7000,7575" coordsize="3152,1892">
              <v:shape style="position:absolute;left:7000;top:7575;width:3152;height:1892" coordorigin="7000,7575" coordsize="3152,1892" path="m7000,9467l10151,9467,10151,7575,7000,7575,7000,9467xe" filled="true" fillcolor="#ffffff" stroked="false">
                <v:path arrowok="t"/>
                <v:fill type="solid"/>
              </v:shape>
            </v:group>
            <v:group style="position:absolute;left:7000;top:9479;width:3152;height:1092" coordorigin="7000,9479" coordsize="3152,1092">
              <v:shape style="position:absolute;left:7000;top:9479;width:3152;height:1092" coordorigin="7000,9479" coordsize="3152,1092" path="m7000,10571l10151,10571,10151,9479,7000,9479,7000,10571xe" filled="true" fillcolor="#ffffff" stroked="false">
                <v:path arrowok="t"/>
                <v:fill type="solid"/>
              </v:shape>
            </v:group>
            <w10:wrap type="none"/>
          </v:group>
        </w:pict>
      </w:r>
    </w:p>
    <w:p>
      <w:pPr>
        <w:pStyle w:val="BodyText"/>
        <w:spacing w:line="316" w:lineRule="auto" w:before="44"/>
        <w:ind w:left="513" w:right="0" w:hanging="89"/>
        <w:jc w:val="left"/>
      </w:pPr>
      <w:r>
        <w:rPr/>
        <w:t>（</w:t>
      </w:r>
      <w:r>
        <w:rPr>
          <w:rFonts w:ascii="宋体" w:hAnsi="宋体" w:cs="宋体" w:eastAsia="宋体" w:hint="default"/>
        </w:rPr>
        <w:t>10</w:t>
      </w:r>
      <w:r>
        <w:rPr/>
        <w:t>）所得税 </w:t>
      </w:r>
      <w:r>
        <w:rPr>
          <w:spacing w:val="-2"/>
        </w:rPr>
        <w:t>本公司在正常的经营活动中，有部分交易其最终的税务处理和计算存在一定的不确定性。部分项目是否能够在税前列支</w:t>
      </w:r>
    </w:p>
    <w:p>
      <w:pPr>
        <w:pStyle w:val="BodyText"/>
        <w:spacing w:line="316" w:lineRule="auto" w:before="19"/>
        <w:ind w:right="0"/>
        <w:jc w:val="left"/>
      </w:pPr>
      <w:r>
        <w:rPr>
          <w:spacing w:val="-2"/>
        </w:rPr>
        <w:t>需要税收主管机关的审批。如果这些税务事项的最终认定结果同最初估计的金额存在差异，则该差异将对其最终认定期间的</w:t>
      </w:r>
      <w:r>
        <w:rPr>
          <w:spacing w:val="-64"/>
        </w:rPr>
        <w:t> </w:t>
      </w:r>
      <w:r>
        <w:rPr>
          <w:spacing w:val="-64"/>
        </w:rPr>
      </w:r>
      <w:r>
        <w:rPr/>
        <w:t>当期所得税和递延所得税产生影响。</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31</w:t>
      </w:r>
      <w:r>
        <w:rPr/>
        <w:t>、重要会计政策和会计估计变更</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pict>
          <v:shape style="position:absolute;margin-left:298.733002pt;margin-top:37.781727pt;width:208.85pt;height:224.45pt;mso-position-horizontal-relative:page;mso-position-vertical-relative:paragraph;z-index:-79532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0" w:right="0"/>
                    <w:jc w:val="left"/>
                  </w:pPr>
                  <w:r>
                    <w:rPr/>
                    <w:t>计量和列报，</w:t>
                  </w:r>
                </w:p>
                <w:p>
                  <w:pPr>
                    <w:pStyle w:val="BodyText"/>
                    <w:spacing w:line="240" w:lineRule="auto" w:before="76"/>
                    <w:ind w:left="905" w:right="0"/>
                    <w:jc w:val="left"/>
                  </w:pPr>
                  <w:r>
                    <w:rPr/>
                    <w:t>）</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5891"/>
        <w:gridCol w:w="3159"/>
        <w:gridCol w:w="648"/>
      </w:tblGrid>
      <w:tr>
        <w:trPr>
          <w:trHeight w:val="401" w:hRule="exact"/>
        </w:trPr>
        <w:tc>
          <w:tcPr>
            <w:tcW w:w="5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6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498" w:hRule="exact"/>
        </w:trPr>
        <w:tc>
          <w:tcPr>
            <w:tcW w:w="5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日，财政部以财会</w:t>
            </w:r>
            <w:r>
              <w:rPr>
                <w:rFonts w:ascii="Times New Roman" w:hAnsi="Times New Roman" w:cs="Times New Roman" w:eastAsia="Times New Roman" w:hint="default"/>
                <w:sz w:val="18"/>
                <w:szCs w:val="18"/>
              </w:rPr>
              <w:t>[2017]13 </w:t>
            </w:r>
            <w:r>
              <w:rPr>
                <w:rFonts w:ascii="宋体" w:hAnsi="宋体" w:cs="宋体" w:eastAsia="宋体" w:hint="default"/>
                <w:sz w:val="18"/>
                <w:szCs w:val="18"/>
              </w:rPr>
              <w:t>号发布了《企业会计准则第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持有待售的非流动资产</w:t>
            </w:r>
            <w:r>
              <w:rPr>
                <w:rFonts w:ascii="宋体" w:hAnsi="宋体" w:cs="宋体" w:eastAsia="宋体" w:hint="default"/>
                <w:spacing w:val="-10"/>
                <w:sz w:val="18"/>
                <w:szCs w:val="18"/>
              </w:rPr>
              <w:t>、</w:t>
            </w:r>
            <w:r>
              <w:rPr>
                <w:rFonts w:ascii="宋体" w:hAnsi="宋体" w:cs="宋体" w:eastAsia="宋体" w:hint="default"/>
                <w:sz w:val="18"/>
                <w:szCs w:val="18"/>
              </w:rPr>
              <w:t>处置组和终止经营</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自</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07" w:lineRule="auto" w:before="63"/>
              <w:ind w:left="24" w:right="94"/>
              <w:jc w:val="left"/>
              <w:rPr>
                <w:rFonts w:ascii="宋体" w:hAnsi="宋体" w:cs="宋体" w:eastAsia="宋体" w:hint="default"/>
                <w:sz w:val="18"/>
                <w:szCs w:val="18"/>
              </w:rPr>
            </w:pPr>
            <w:r>
              <w:rPr>
                <w:rFonts w:ascii="宋体" w:hAnsi="宋体" w:cs="宋体" w:eastAsia="宋体" w:hint="default"/>
                <w:spacing w:val="-8"/>
                <w:sz w:val="18"/>
                <w:szCs w:val="18"/>
              </w:rPr>
              <w:t>起实施。《企业会计准则第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持有待售的非流动资产、处置组和终 止经营》准则规范了持有待售的非流动资产或处置组的分类、 </w:t>
            </w:r>
            <w:r>
              <w:rPr>
                <w:rFonts w:ascii="宋体" w:hAnsi="宋体" w:cs="宋体" w:eastAsia="宋体" w:hint="default"/>
                <w:spacing w:val="-6"/>
                <w:sz w:val="18"/>
                <w:szCs w:val="18"/>
              </w:rPr>
              <w:t>以及终止经营的列报。本财务报表已按该准则对实施日（</w:t>
            </w:r>
            <w:r>
              <w:rPr>
                <w:rFonts w:ascii="Times New Roman" w:hAnsi="Times New Roman" w:cs="Times New Roman" w:eastAsia="Times New Roman" w:hint="default"/>
                <w:spacing w:val="-6"/>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存在的终止经营对可比年度财务报表列报和附注的披露进行了相应调整。</w:t>
            </w:r>
          </w:p>
          <w:p>
            <w:pPr>
              <w:pStyle w:val="TableParagraph"/>
              <w:spacing w:line="240" w:lineRule="auto" w:before="67"/>
              <w:ind w:left="24"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日，财政部以财会</w:t>
            </w:r>
            <w:r>
              <w:rPr>
                <w:rFonts w:ascii="Times New Roman" w:hAnsi="Times New Roman" w:cs="Times New Roman" w:eastAsia="Times New Roman" w:hint="default"/>
                <w:sz w:val="18"/>
                <w:szCs w:val="18"/>
              </w:rPr>
              <w:t>[2017]15 </w:t>
            </w:r>
            <w:r>
              <w:rPr>
                <w:rFonts w:ascii="宋体" w:hAnsi="宋体" w:cs="宋体" w:eastAsia="宋体" w:hint="default"/>
                <w:sz w:val="18"/>
                <w:szCs w:val="18"/>
              </w:rPr>
              <w:t>号发布了《企业会计准则第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307" w:lineRule="auto" w:before="63"/>
              <w:ind w:left="24" w:right="17"/>
              <w:jc w:val="both"/>
              <w:rPr>
                <w:rFonts w:ascii="宋体" w:hAnsi="宋体" w:cs="宋体" w:eastAsia="宋体" w:hint="default"/>
                <w:sz w:val="18"/>
                <w:szCs w:val="18"/>
              </w:rPr>
            </w:pP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政府补助（</w:t>
            </w:r>
            <w:r>
              <w:rPr>
                <w:rFonts w:ascii="Times New Roman" w:hAnsi="Times New Roman" w:cs="Times New Roman" w:eastAsia="Times New Roman" w:hint="default"/>
                <w:spacing w:val="-1"/>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pacing w:val="-27"/>
                <w:sz w:val="18"/>
                <w:szCs w:val="18"/>
              </w:rPr>
              <w:t>年修订）》，自</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日起实施。执行《企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业会计准则第</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政府补助（</w:t>
            </w:r>
            <w:r>
              <w:rPr>
                <w:rFonts w:ascii="Times New Roman" w:hAnsi="Times New Roman" w:cs="Times New Roman" w:eastAsia="Times New Roman" w:hint="default"/>
                <w:spacing w:val="-1"/>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7"/>
                <w:sz w:val="18"/>
                <w:szCs w:val="18"/>
              </w:rPr>
              <w:t>年修订）》之前，本公司将取得的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政府补助计入营业外收入；与资产相关的政府补助确认为递延收益，在资 产使用寿命内平均摊销计入当期损益。执行《企业会计准则第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w:t>
            </w:r>
          </w:p>
          <w:p>
            <w:pPr>
              <w:pStyle w:val="TableParagraph"/>
              <w:spacing w:line="309" w:lineRule="auto" w:before="7"/>
              <w:ind w:left="24" w:right="48"/>
              <w:jc w:val="both"/>
              <w:rPr>
                <w:rFonts w:ascii="宋体" w:hAnsi="宋体" w:cs="宋体" w:eastAsia="宋体" w:hint="default"/>
                <w:sz w:val="18"/>
                <w:szCs w:val="18"/>
              </w:rPr>
            </w:pPr>
            <w:r>
              <w:rPr>
                <w:rFonts w:ascii="宋体" w:hAnsi="宋体" w:cs="宋体" w:eastAsia="宋体" w:hint="default"/>
                <w:sz w:val="18"/>
                <w:szCs w:val="18"/>
              </w:rPr>
              <w:t>府补助（</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pacing w:val="-11"/>
                <w:sz w:val="18"/>
                <w:szCs w:val="18"/>
              </w:rPr>
              <w:t>年修订）》之后，对</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日之后发生的与日常活动</w:t>
            </w:r>
            <w:r>
              <w:rPr>
                <w:rFonts w:ascii="宋体" w:hAnsi="宋体" w:cs="宋体" w:eastAsia="宋体" w:hint="default"/>
                <w:sz w:val="18"/>
                <w:szCs w:val="18"/>
              </w:rPr>
              <w:t> 相关的政府补助，计入其他收益；与日常活动无关的政府补助，计入营业 外收支。</w:t>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1893" w:lineRule="exact"/>
              <w:ind w:right="-53"/>
              <w:jc w:val="left"/>
              <w:rPr>
                <w:rFonts w:ascii="宋体" w:hAnsi="宋体" w:cs="宋体" w:eastAsia="宋体" w:hint="default"/>
                <w:sz w:val="20"/>
                <w:szCs w:val="20"/>
              </w:rPr>
            </w:pPr>
            <w:r>
              <w:rPr>
                <w:rFonts w:ascii="宋体" w:hAnsi="宋体" w:cs="宋体" w:eastAsia="宋体" w:hint="default"/>
                <w:position w:val="-37"/>
                <w:sz w:val="20"/>
                <w:szCs w:val="20"/>
              </w:rPr>
              <w:pict>
                <v:group style="width:157.6pt;height:94.7pt;mso-position-horizontal-relative:char;mso-position-vertical-relative:line" coordorigin="0,0" coordsize="3152,1894">
                  <v:group style="position:absolute;left:0;top:0;width:3152;height:1894" coordorigin="0,0" coordsize="3152,1894">
                    <v:shape style="position:absolute;left:0;top:0;width:3152;height:1894" coordorigin="0,0" coordsize="3152,1894" path="m0,1894l3152,1894,3152,0,0,0,0,1894xe" filled="true" fillcolor="#ffffff" stroked="false">
                      <v:path arrowok="t"/>
                      <v:fill type="solid"/>
                    </v:shape>
                  </v:group>
                </v:group>
              </w:pict>
            </w:r>
            <w:r>
              <w:rPr>
                <w:rFonts w:ascii="宋体" w:hAnsi="宋体" w:cs="宋体" w:eastAsia="宋体" w:hint="default"/>
                <w:position w:val="-37"/>
                <w:sz w:val="20"/>
                <w:szCs w:val="20"/>
              </w:rPr>
            </w:r>
          </w:p>
          <w:p>
            <w:pPr>
              <w:pStyle w:val="TableParagraph"/>
              <w:spacing w:line="297" w:lineRule="auto" w:before="49"/>
              <w:ind w:left="23"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日，第三届董事会第四 次会议</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2"/>
                <w:szCs w:val="22"/>
              </w:rPr>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2900" w:hRule="exact"/>
        </w:trPr>
        <w:tc>
          <w:tcPr>
            <w:tcW w:w="58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94"/>
              <w:jc w:val="both"/>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日，财政部修订并发布了《财政部关于修订印发一般企 </w:t>
            </w:r>
            <w:r>
              <w:rPr>
                <w:rFonts w:ascii="宋体" w:hAnsi="宋体" w:cs="宋体" w:eastAsia="宋体" w:hint="default"/>
                <w:spacing w:val="-5"/>
                <w:sz w:val="18"/>
                <w:szCs w:val="18"/>
              </w:rPr>
              <w:t>业财务报表格式的通知》（财会</w:t>
            </w:r>
            <w:r>
              <w:rPr>
                <w:rFonts w:ascii="Times New Roman" w:hAnsi="Times New Roman" w:cs="Times New Roman" w:eastAsia="Times New Roman" w:hint="default"/>
                <w:spacing w:val="-5"/>
                <w:sz w:val="18"/>
                <w:szCs w:val="18"/>
              </w:rPr>
              <w:t>[2017]30</w:t>
            </w:r>
            <w:r>
              <w:rPr>
                <w:rFonts w:ascii="Times New Roman" w:hAnsi="Times New Roman" w:cs="Times New Roman" w:eastAsia="Times New Roman" w:hint="default"/>
                <w:sz w:val="18"/>
                <w:szCs w:val="18"/>
              </w:rPr>
              <w:t> </w:t>
            </w:r>
            <w:r>
              <w:rPr>
                <w:rFonts w:ascii="宋体" w:hAnsi="宋体" w:cs="宋体" w:eastAsia="宋体" w:hint="default"/>
                <w:spacing w:val="-7"/>
                <w:sz w:val="18"/>
                <w:szCs w:val="18"/>
              </w:rPr>
              <w:t>号），对一般企业财务报表格式进</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行了修订，适用于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年度及以后期间的财务报表。经本公司第三届董</w:t>
            </w:r>
          </w:p>
          <w:p>
            <w:pPr>
              <w:pStyle w:val="TableParagraph"/>
              <w:spacing w:line="300" w:lineRule="auto" w:before="13"/>
              <w:ind w:left="24" w:right="22"/>
              <w:jc w:val="both"/>
              <w:rPr>
                <w:rFonts w:ascii="宋体" w:hAnsi="宋体" w:cs="宋体" w:eastAsia="宋体" w:hint="default"/>
                <w:sz w:val="18"/>
                <w:szCs w:val="18"/>
              </w:rPr>
            </w:pPr>
            <w:r>
              <w:rPr>
                <w:rFonts w:ascii="宋体" w:hAnsi="宋体" w:cs="宋体" w:eastAsia="宋体" w:hint="default"/>
                <w:sz w:val="18"/>
                <w:szCs w:val="18"/>
              </w:rPr>
              <w:t>事会第六次会议于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日决议通过，本公司按照财政部的要求 </w:t>
            </w:r>
            <w:r>
              <w:rPr>
                <w:rFonts w:ascii="宋体" w:hAnsi="宋体" w:cs="宋体" w:eastAsia="宋体" w:hint="default"/>
                <w:spacing w:val="-4"/>
                <w:sz w:val="18"/>
                <w:szCs w:val="18"/>
              </w:rPr>
              <w:t>执行《关于修订印发一般企业财务报表格式的通知》（财会〔</w:t>
            </w: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30</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r>
              <w:rPr>
                <w:rFonts w:ascii="宋体" w:hAnsi="宋体" w:cs="宋体" w:eastAsia="宋体" w:hint="default"/>
                <w:spacing w:val="-61"/>
                <w:sz w:val="18"/>
                <w:szCs w:val="18"/>
              </w:rPr>
              <w:t> </w:t>
            </w:r>
            <w:r>
              <w:rPr>
                <w:rFonts w:ascii="宋体" w:hAnsi="宋体" w:cs="宋体" w:eastAsia="宋体" w:hint="default"/>
                <w:sz w:val="18"/>
                <w:szCs w:val="18"/>
              </w:rPr>
              <w:t>在利润表中新增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项目，将部分原列示为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营 业外支出</w:t>
            </w:r>
            <w:r>
              <w:rPr>
                <w:rFonts w:ascii="Times New Roman" w:hAnsi="Times New Roman" w:cs="Times New Roman" w:eastAsia="Times New Roman" w:hint="default"/>
                <w:sz w:val="18"/>
                <w:szCs w:val="18"/>
              </w:rPr>
              <w:t>”</w:t>
            </w:r>
            <w:r>
              <w:rPr>
                <w:rFonts w:ascii="宋体" w:hAnsi="宋体" w:cs="宋体" w:eastAsia="宋体" w:hint="default"/>
                <w:sz w:val="18"/>
                <w:szCs w:val="18"/>
              </w:rPr>
              <w:t>的资产处置损益重分类至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项目，按照《企业会计 准则第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财务报表列报》等相关规定，对可比期间的比较数据按照规定</w:t>
            </w:r>
            <w:r>
              <w:rPr>
                <w:rFonts w:ascii="宋体" w:hAnsi="宋体" w:cs="宋体" w:eastAsia="宋体" w:hint="default"/>
                <w:sz w:val="18"/>
                <w:szCs w:val="18"/>
              </w:rPr>
              <w:t> 进行调整。</w:t>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97" w:lineRule="auto"/>
              <w:ind w:left="23"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日，第三届董事会第六 次会议</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1092" w:lineRule="exact"/>
              <w:ind w:right="-53"/>
              <w:jc w:val="left"/>
              <w:rPr>
                <w:rFonts w:ascii="宋体" w:hAnsi="宋体" w:cs="宋体" w:eastAsia="宋体" w:hint="default"/>
                <w:sz w:val="20"/>
                <w:szCs w:val="20"/>
              </w:rPr>
            </w:pPr>
            <w:r>
              <w:rPr>
                <w:rFonts w:ascii="宋体" w:hAnsi="宋体" w:cs="宋体" w:eastAsia="宋体" w:hint="default"/>
                <w:position w:val="-21"/>
                <w:sz w:val="20"/>
                <w:szCs w:val="20"/>
              </w:rPr>
              <w:pict>
                <v:group style="width:157.6pt;height:54.65pt;mso-position-horizontal-relative:char;mso-position-vertical-relative:line" coordorigin="0,0" coordsize="3152,1093">
                  <v:group style="position:absolute;left:0;top:0;width:3152;height:1093" coordorigin="0,0" coordsize="3152,1093">
                    <v:shape style="position:absolute;left:0;top:0;width:3152;height:1093" coordorigin="0,0" coordsize="3152,1093" path="m0,1093l3152,1093,3152,0,0,0,0,1093xe" filled="true" fillcolor="#ffffff" stroked="false">
                      <v:path arrowok="t"/>
                      <v:fill type="solid"/>
                    </v:shape>
                  </v:group>
                </v:group>
              </w:pict>
            </w:r>
            <w:r>
              <w:rPr>
                <w:rFonts w:ascii="宋体" w:hAnsi="宋体" w:cs="宋体" w:eastAsia="宋体" w:hint="default"/>
                <w:position w:val="-21"/>
                <w:sz w:val="20"/>
                <w:szCs w:val="20"/>
              </w:rPr>
            </w:r>
          </w:p>
        </w:tc>
        <w:tc>
          <w:tcPr>
            <w:tcW w:w="64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335" w:lineRule="exact"/>
        <w:ind w:right="0"/>
        <w:jc w:val="left"/>
        <w:rPr>
          <w:b w:val="0"/>
          <w:bCs w:val="0"/>
        </w:rPr>
      </w:pPr>
      <w:r>
        <w:rPr/>
        <w:pict>
          <v:shape style="position:absolute;margin-left:343.98999pt;margin-top:-173.024994pt;width:163.6pt;height:144.4pt;mso-position-horizontal-relative:page;mso-position-vertical-relative:paragraph;z-index:-79530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6"/>
                      <w:szCs w:val="26"/>
                    </w:rPr>
                  </w:pPr>
                </w:p>
                <w:p>
                  <w:pPr>
                    <w:pStyle w:val="BodyText"/>
                    <w:spacing w:line="240" w:lineRule="auto"/>
                    <w:ind w:left="0" w:right="0"/>
                    <w:jc w:val="left"/>
                  </w:pPr>
                  <w:r>
                    <w:rPr/>
                    <w:t>）</w:t>
                  </w:r>
                </w:p>
              </w:txbxContent>
            </v:textbox>
            <w10:wrap type="none"/>
          </v:shape>
        </w:pict>
      </w:r>
      <w:r>
        <w:rPr/>
        <w:t>（</w:t>
      </w:r>
      <w:r>
        <w:rPr>
          <w:rFonts w:ascii="Times New Roman" w:hAnsi="Times New Roman" w:cs="Times New Roman" w:eastAsia="Times New Roman" w:hint="default"/>
        </w:rPr>
        <w:t>2</w:t>
      </w:r>
      <w:r>
        <w:rPr/>
        <w:t>）重要会计估计变更</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1133" w:top="1060" w:bottom="1320" w:left="980" w:right="980"/>
        </w:sectPr>
      </w:pPr>
    </w:p>
    <w:p>
      <w:pPr>
        <w:spacing w:line="240" w:lineRule="auto" w:before="8"/>
        <w:rPr>
          <w:rFonts w:ascii="宋体" w:hAnsi="宋体" w:cs="宋体" w:eastAsia="宋体" w:hint="default"/>
          <w:sz w:val="23"/>
          <w:szCs w:val="23"/>
        </w:rPr>
      </w:pPr>
    </w:p>
    <w:p>
      <w:pPr>
        <w:pStyle w:val="Heading2"/>
        <w:spacing w:line="367" w:lineRule="exact"/>
        <w:ind w:right="94"/>
        <w:jc w:val="left"/>
        <w:rPr>
          <w:b w:val="0"/>
          <w:bCs w:val="0"/>
        </w:rPr>
      </w:pPr>
      <w:r>
        <w:rPr/>
        <w:t>六、税项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94"/>
        <w:jc w:val="left"/>
        <w:rPr>
          <w:b w:val="0"/>
          <w:bCs w:val="0"/>
        </w:rPr>
      </w:pPr>
      <w:r>
        <w:rPr/>
        <w:pict>
          <v:shape style="position:absolute;margin-left:297.769989pt;margin-top:55.204422pt;width:237.2pt;height:50.8pt;mso-position-horizontal-relative:page;mso-position-vertical-relative:paragraph;z-index:-795184" type="#_x0000_t202" filled="false" stroked="false">
            <v:textbox inset="0,0,0,0">
              <w:txbxContent>
                <w:p>
                  <w:pPr>
                    <w:pStyle w:val="BodyText"/>
                    <w:spacing w:line="240" w:lineRule="auto" w:before="49"/>
                    <w:ind w:left="0" w:right="0"/>
                    <w:jc w:val="left"/>
                  </w:pPr>
                  <w:r>
                    <w:rPr/>
                    <w:t>的税率计算销项税，</w:t>
                  </w:r>
                </w:p>
              </w:txbxContent>
            </v:textbox>
            <w10:wrap type="none"/>
          </v:shape>
        </w:pict>
      </w:r>
      <w:r>
        <w:rPr/>
        <w:pict>
          <v:group style="position:absolute;margin-left:375.910004pt;margin-top:90.364418pt;width:159.050pt;height:15.6pt;mso-position-horizontal-relative:page;mso-position-vertical-relative:paragraph;z-index:-795136" coordorigin="7518,1807" coordsize="3181,312">
            <v:shape style="position:absolute;left:7518;top:1807;width:3181;height:312" coordorigin="7518,1807" coordsize="3181,312" path="m7518,2119l10699,2119,10699,1807,7518,1807,7518,2119xe" filled="true" fillcolor="#ffffff" stroked="false">
              <v:path arrowok="t"/>
              <v:fill type="solid"/>
            </v:shape>
            <w10:wrap type="none"/>
          </v:group>
        </w:pict>
      </w:r>
      <w:r>
        <w:rPr>
          <w:rFonts w:ascii="Times New Roman" w:hAnsi="Times New Roman" w:cs="Times New Roman" w:eastAsia="Times New Roman" w:hint="default"/>
        </w:rPr>
        <w:t>1</w:t>
      </w:r>
      <w:r>
        <w:rPr/>
        <w:t>、主要税种及税率</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07"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47"/>
                <w:sz w:val="18"/>
                <w:szCs w:val="18"/>
              </w:rPr>
              <w:t> </w:t>
            </w:r>
            <w:r>
              <w:rPr>
                <w:rFonts w:ascii="Times New Roman" w:hAnsi="Times New Roman" w:cs="Times New Roman" w:eastAsia="Times New Roman" w:hint="default"/>
                <w:spacing w:val="-15"/>
                <w:sz w:val="18"/>
                <w:szCs w:val="18"/>
              </w:rPr>
              <w:t>17%</w:t>
            </w: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并按扣除当期允许抵扣的进项税额后的 差额计缴增值税。</w:t>
            </w:r>
          </w:p>
        </w:tc>
        <w:tc>
          <w:tcPr>
            <w:tcW w:w="3190" w:type="dxa"/>
            <w:vMerge w:val="restart"/>
            <w:tcBorders>
              <w:top w:val="single" w:sz="4" w:space="0" w:color="000000"/>
              <w:left w:val="single" w:sz="4" w:space="0" w:color="000000"/>
              <w:right w:val="single" w:sz="4" w:space="0" w:color="000000"/>
            </w:tcBorders>
          </w:tcPr>
          <w:p>
            <w:pPr>
              <w:pStyle w:val="TableParagraph"/>
              <w:spacing w:line="312" w:lineRule="exact"/>
              <w:ind w:right="-51"/>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5"/>
                <w:sz w:val="20"/>
                <w:szCs w:val="20"/>
              </w:rPr>
              <w:pict>
                <v:group style="width:159.050pt;height:15.6pt;mso-position-horizontal-relative:char;mso-position-vertical-relative:line" coordorigin="0,0" coordsize="3181,312">
                  <v:group style="position:absolute;left:0;top:0;width:3181;height:312" coordorigin="0,0" coordsize="3181,312">
                    <v:shape style="position:absolute;left:0;top:0;width:3181;height:312" coordorigin="0,0" coordsize="3181,312" path="m0,312l3180,312,3180,0,0,0,0,312xe" filled="true" fillcolor="#ffffff" stroked="false">
                      <v:path arrowok="t"/>
                      <v:fill type="solid"/>
                    </v:shape>
                  </v:group>
                </v:group>
              </w:pict>
            </w:r>
            <w:r>
              <w:rPr>
                <w:rFonts w:ascii="Microsoft JhengHei" w:hAnsi="Microsoft JhengHei" w:cs="Microsoft JhengHei" w:eastAsia="Microsoft JhengHei" w:hint="default"/>
                <w:position w:val="-5"/>
                <w:sz w:val="20"/>
                <w:szCs w:val="20"/>
              </w:rPr>
            </w:r>
          </w:p>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应纳税所得额的</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15</w:t>
            </w:r>
            <w:r>
              <w:rPr>
                <w:rFonts w:ascii="Times New Roman" w:hAnsi="Times New Roman" w:cs="Times New Roman" w:eastAsia="Times New Roman" w:hint="default"/>
                <w:spacing w:val="-2"/>
                <w:sz w:val="18"/>
                <w:szCs w:val="18"/>
              </w:rPr>
              <w:t>%</w:t>
            </w:r>
            <w:r>
              <w:rPr>
                <w:rFonts w:ascii="宋体" w:hAnsi="宋体" w:cs="宋体" w:eastAsia="宋体" w:hint="default"/>
                <w:spacing w:val="-87"/>
                <w:sz w:val="18"/>
                <w:szCs w:val="18"/>
              </w:rPr>
              <w:t>、</w:t>
            </w:r>
            <w:r>
              <w:rPr>
                <w:rFonts w:ascii="Times New Roman" w:hAnsi="Times New Roman" w:cs="Times New Roman" w:eastAsia="Times New Roman" w:hint="default"/>
                <w:spacing w:val="1"/>
                <w:sz w:val="18"/>
                <w:szCs w:val="18"/>
              </w:rPr>
              <w:t>16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1"/>
                <w:sz w:val="18"/>
                <w:szCs w:val="18"/>
              </w:rPr>
              <w:t>%</w:t>
            </w:r>
            <w:r>
              <w:rPr>
                <w:rFonts w:ascii="宋体" w:hAnsi="宋体" w:cs="宋体" w:eastAsia="宋体" w:hint="default"/>
                <w:spacing w:val="-87"/>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1"/>
                <w:sz w:val="18"/>
                <w:szCs w:val="18"/>
              </w:rPr>
              <w:t>%</w:t>
            </w:r>
            <w:r>
              <w:rPr>
                <w:rFonts w:ascii="宋体" w:hAnsi="宋体" w:cs="宋体" w:eastAsia="宋体" w:hint="default"/>
                <w:spacing w:val="-87"/>
                <w:sz w:val="18"/>
                <w:szCs w:val="18"/>
              </w:rPr>
              <w:t>、</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z w:val="18"/>
                <w:szCs w:val="18"/>
              </w:rPr>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详见下表。</w:t>
            </w:r>
          </w:p>
        </w:tc>
        <w:tc>
          <w:tcPr>
            <w:tcW w:w="3190" w:type="dxa"/>
            <w:vMerge w:val="restart"/>
            <w:tcBorders>
              <w:top w:val="single" w:sz="4" w:space="0" w:color="000000"/>
              <w:left w:val="single" w:sz="4" w:space="0" w:color="000000"/>
              <w:right w:val="single" w:sz="4" w:space="0" w:color="000000"/>
            </w:tcBorders>
          </w:tcPr>
          <w:p>
            <w:pPr>
              <w:pStyle w:val="TableParagraph"/>
              <w:spacing w:line="156" w:lineRule="exact"/>
              <w:ind w:right="-51"/>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position w:val="-2"/>
                <w:sz w:val="15"/>
                <w:szCs w:val="15"/>
              </w:rPr>
              <w:pict>
                <v:group style="width:159.050pt;height:7.8pt;mso-position-horizontal-relative:char;mso-position-vertical-relative:line" coordorigin="0,0" coordsize="3181,156">
                  <v:group style="position:absolute;left:0;top:0;width:3181;height:156" coordorigin="0,0" coordsize="3181,156">
                    <v:shape style="position:absolute;left:0;top:0;width:3181;height:156" coordorigin="0,0" coordsize="3181,156" path="m0,156l3180,156,3180,0,0,0,0,156xe" filled="true" fillcolor="#ffffff" stroked="false">
                      <v:path arrowok="t"/>
                      <v:fill type="solid"/>
                    </v:shape>
                  </v:group>
                </v:group>
              </w:pict>
            </w:r>
            <w:r>
              <w:rPr>
                <w:rFonts w:ascii="Microsoft JhengHei" w:hAnsi="Microsoft JhengHei" w:cs="Microsoft JhengHei" w:eastAsia="Microsoft JhengHei" w:hint="default"/>
                <w:position w:val="-2"/>
                <w:sz w:val="15"/>
                <w:szCs w:val="15"/>
              </w:rPr>
            </w:r>
          </w:p>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24%</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392"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vMerge/>
            <w:tcBorders>
              <w:left w:val="single" w:sz="4" w:space="0" w:color="000000"/>
              <w:right w:val="single" w:sz="4" w:space="0" w:color="000000"/>
            </w:tcBorders>
          </w:tcPr>
          <w:p>
            <w:pPr/>
          </w:p>
        </w:tc>
        <w:tc>
          <w:tcPr>
            <w:tcW w:w="3190" w:type="dxa"/>
            <w:vMerge/>
            <w:tcBorders>
              <w:left w:val="single" w:sz="4" w:space="0" w:color="000000"/>
              <w:bottom w:val="nil" w:sz="6" w:space="0" w:color="auto"/>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Style w:val="TableParagraph"/>
              <w:spacing w:line="156" w:lineRule="exact"/>
              <w:ind w:right="-51"/>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position w:val="-2"/>
                <w:sz w:val="15"/>
                <w:szCs w:val="15"/>
              </w:rPr>
              <w:pict>
                <v:group style="width:159.050pt;height:7.8pt;mso-position-horizontal-relative:char;mso-position-vertical-relative:line" coordorigin="0,0" coordsize="3181,156">
                  <v:group style="position:absolute;left:0;top:0;width:3181;height:156" coordorigin="0,0" coordsize="3181,156">
                    <v:shape style="position:absolute;left:0;top:0;width:3181;height:156" coordorigin="0,0" coordsize="3181,156" path="m0,156l3180,156,3180,0,0,0,0,156xe" filled="true" fillcolor="#ffffff" stroked="false">
                      <v:path arrowok="t"/>
                      <v:fill type="solid"/>
                    </v:shape>
                  </v:group>
                </v:group>
              </w:pict>
            </w:r>
            <w:r>
              <w:rPr>
                <w:rFonts w:ascii="Microsoft JhengHei" w:hAnsi="Microsoft JhengHei" w:cs="Microsoft JhengHei" w:eastAsia="Microsoft JhengHei" w:hint="default"/>
                <w:position w:val="-2"/>
                <w:sz w:val="15"/>
                <w:szCs w:val="15"/>
              </w:rPr>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94"/>
        <w:jc w:val="left"/>
      </w:pPr>
      <w:r>
        <w:rPr/>
        <w:pict>
          <v:shape style="position:absolute;margin-left:369.790009pt;margin-top:-75.862259pt;width:165.15pt;height:35.2pt;mso-position-horizontal-relative:page;mso-position-vertical-relative:paragraph;z-index:-795160" type="#_x0000_t202" filled="false" stroked="false">
            <v:textbox inset="0,0,0,0">
              <w:txbxContent>
                <w:p>
                  <w:pPr>
                    <w:pStyle w:val="BodyText"/>
                    <w:spacing w:line="240" w:lineRule="auto" w:before="49"/>
                    <w:ind w:left="0" w:right="0"/>
                    <w:jc w:val="left"/>
                  </w:pPr>
                  <w:r>
                    <w:rPr/>
                    <w:t>，</w:t>
                  </w:r>
                </w:p>
              </w:txbxContent>
            </v:textbox>
            <w10:wrap type="none"/>
          </v:shape>
        </w:pict>
      </w:r>
      <w:r>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江苏神州信源系统工程有限公司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上海北信源信息技术有限公司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北信源（马来西亚）信息技术公司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北京中软华泰信息技术有限责任公司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北京信源匡恩工控安全科技有限公司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人工智能产业技术创新联盟（北京）科技有限公司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北京北信源信息安全技术有限公司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北信源国际有限公司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bl>
    <w:p>
      <w:pPr>
        <w:spacing w:line="240" w:lineRule="auto" w:before="3"/>
        <w:rPr>
          <w:rFonts w:ascii="宋体" w:hAnsi="宋体" w:cs="宋体" w:eastAsia="宋体" w:hint="default"/>
          <w:sz w:val="19"/>
          <w:szCs w:val="19"/>
        </w:rPr>
      </w:pPr>
    </w:p>
    <w:p>
      <w:pPr>
        <w:pStyle w:val="Heading3"/>
        <w:spacing w:line="335" w:lineRule="exact"/>
        <w:ind w:right="94"/>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16" w:lineRule="auto"/>
        <w:ind w:right="94" w:firstLine="300"/>
        <w:jc w:val="left"/>
      </w:pPr>
      <w:r>
        <w:rPr/>
        <w:t>（</w:t>
      </w:r>
      <w:r>
        <w:rPr>
          <w:rFonts w:ascii="宋体" w:hAnsi="宋体" w:cs="宋体" w:eastAsia="宋体" w:hint="default"/>
        </w:rPr>
        <w:t>1</w:t>
      </w:r>
      <w:r>
        <w:rPr/>
        <w:t>）根据国务院国发</w:t>
      </w:r>
      <w:r>
        <w:rPr>
          <w:rFonts w:ascii="宋体" w:hAnsi="宋体" w:cs="宋体" w:eastAsia="宋体" w:hint="default"/>
        </w:rPr>
        <w:t>[2000]18</w:t>
      </w:r>
      <w:r>
        <w:rPr/>
        <w:t>号文件《国务院关于印发</w:t>
      </w:r>
      <w:r>
        <w:rPr>
          <w:rFonts w:ascii="宋体" w:hAnsi="宋体" w:cs="宋体" w:eastAsia="宋体" w:hint="default"/>
        </w:rPr>
        <w:t>&lt;</w:t>
      </w:r>
      <w:r>
        <w:rPr/>
        <w:t>鼓励软件产业和集成电路产业发展若干政策</w:t>
      </w:r>
      <w:r>
        <w:rPr>
          <w:rFonts w:ascii="宋体" w:hAnsi="宋体" w:cs="宋体" w:eastAsia="宋体" w:hint="default"/>
        </w:rPr>
        <w:t>&gt;</w:t>
      </w:r>
      <w:r>
        <w:rPr/>
        <w:t>的通知》和财政 部、国家税务总局、海关总署下发财税</w:t>
      </w:r>
      <w:r>
        <w:rPr>
          <w:rFonts w:ascii="宋体" w:hAnsi="宋体" w:cs="宋体" w:eastAsia="宋体" w:hint="default"/>
        </w:rPr>
        <w:t>[2000]25</w:t>
      </w:r>
      <w:r>
        <w:rPr/>
        <w:t>号文《关于鼓励软件产业和集成电路产业发展有关税收政策问题的通知》， </w:t>
      </w:r>
      <w:r>
        <w:rPr>
          <w:rFonts w:ascii="宋体" w:hAnsi="宋体" w:cs="宋体" w:eastAsia="宋体" w:hint="default"/>
        </w:rPr>
        <w:t>2010</w:t>
      </w:r>
      <w:r>
        <w:rPr/>
        <w:t>年底以前，公司自行开发研制软件产品销售收入按</w:t>
      </w:r>
      <w:r>
        <w:rPr>
          <w:rFonts w:ascii="宋体" w:hAnsi="宋体" w:cs="宋体" w:eastAsia="宋体" w:hint="default"/>
        </w:rPr>
        <w:t>17%</w:t>
      </w:r>
      <w:r>
        <w:rPr/>
        <w:t>的法定税率计缴增值税，对实际税负超过</w:t>
      </w:r>
      <w:r>
        <w:rPr>
          <w:rFonts w:ascii="宋体" w:hAnsi="宋体" w:cs="宋体" w:eastAsia="宋体" w:hint="default"/>
        </w:rPr>
        <w:t>3%</w:t>
      </w:r>
      <w:r>
        <w:rPr/>
        <w:t>的部分实行即征即退</w:t>
      </w:r>
      <w:r>
        <w:rPr>
          <w:spacing w:val="-85"/>
        </w:rPr>
        <w:t> </w:t>
      </w:r>
      <w:r>
        <w:rPr>
          <w:spacing w:val="-2"/>
        </w:rPr>
        <w:t>政策。</w:t>
      </w:r>
      <w:r>
        <w:rPr>
          <w:rFonts w:ascii="宋体" w:hAnsi="宋体" w:cs="宋体" w:eastAsia="宋体" w:hint="default"/>
          <w:spacing w:val="-2"/>
        </w:rPr>
        <w:t>2011</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28</w:t>
      </w:r>
      <w:r>
        <w:rPr>
          <w:spacing w:val="-2"/>
        </w:rPr>
        <w:t>日，国务院《关于印发进一步鼓励软件产业和集成电路产业发展若干政策的通知》（国发</w:t>
      </w:r>
      <w:r>
        <w:rPr>
          <w:rFonts w:ascii="宋体" w:hAnsi="宋体" w:cs="宋体" w:eastAsia="宋体" w:hint="default"/>
          <w:spacing w:val="-2"/>
        </w:rPr>
        <w:t>[2011]4</w:t>
      </w:r>
      <w:r>
        <w:rPr>
          <w:spacing w:val="-2"/>
        </w:rPr>
        <w:t>号）继</w:t>
      </w:r>
      <w:r>
        <w:rPr>
          <w:spacing w:val="-57"/>
        </w:rPr>
        <w:t> </w:t>
      </w:r>
      <w:r>
        <w:rPr>
          <w:spacing w:val="-57"/>
        </w:rPr>
      </w:r>
      <w:r>
        <w:rPr/>
        <w:t>续实施上述软件增值税税收优惠政策。</w:t>
      </w:r>
    </w:p>
    <w:p>
      <w:pPr>
        <w:pStyle w:val="BodyText"/>
        <w:spacing w:line="316" w:lineRule="auto" w:before="19"/>
        <w:ind w:right="94" w:firstLine="300"/>
        <w:jc w:val="left"/>
      </w:pPr>
      <w:r>
        <w:rPr/>
        <w:t>（</w:t>
      </w:r>
      <w:r>
        <w:rPr>
          <w:rFonts w:ascii="宋体" w:hAnsi="宋体" w:cs="宋体" w:eastAsia="宋体" w:hint="default"/>
        </w:rPr>
        <w:t>2</w:t>
      </w:r>
      <w:r>
        <w:rPr/>
        <w:t>）</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30</w:t>
      </w:r>
      <w:r>
        <w:rPr/>
        <w:t>日，本公司取得了北京市科学技术委员会、北京市财政局、北京市国家税务局和北京市地方税务局 </w:t>
      </w:r>
      <w:r>
        <w:rPr>
          <w:spacing w:val="-2"/>
        </w:rPr>
        <w:t>联合颁发的《高新技术企业证书》。根据《中华人民共和国企业所得税法》、《中华人民共和国企业所得税暂行条例》以及</w:t>
      </w:r>
    </w:p>
    <w:p>
      <w:pPr>
        <w:pStyle w:val="BodyText"/>
        <w:spacing w:line="316" w:lineRule="auto" w:before="19"/>
        <w:ind w:left="635" w:right="94" w:hanging="483"/>
        <w:jc w:val="left"/>
      </w:pPr>
      <w:r>
        <w:rPr/>
        <w:t>《高新技术企业认定管理办法》的相关规定，</w:t>
      </w:r>
      <w:r>
        <w:rPr>
          <w:rFonts w:ascii="宋体" w:hAnsi="宋体" w:cs="宋体" w:eastAsia="宋体" w:hint="default"/>
        </w:rPr>
        <w:t>2014</w:t>
      </w:r>
      <w:r>
        <w:rPr/>
        <w:t>年至</w:t>
      </w:r>
      <w:r>
        <w:rPr>
          <w:rFonts w:ascii="宋体" w:hAnsi="宋体" w:cs="宋体" w:eastAsia="宋体" w:hint="default"/>
        </w:rPr>
        <w:t>2016</w:t>
      </w:r>
      <w:r>
        <w:rPr/>
        <w:t>年本公司适用的企业所得税税率为</w:t>
      </w:r>
      <w:r>
        <w:rPr>
          <w:rFonts w:ascii="宋体" w:hAnsi="宋体" w:cs="宋体" w:eastAsia="宋体" w:hint="default"/>
        </w:rPr>
        <w:t>15%</w:t>
      </w:r>
      <w:r>
        <w:rPr/>
        <w:t>。 </w:t>
      </w:r>
      <w:r>
        <w:rPr>
          <w:rFonts w:ascii="宋体" w:hAnsi="宋体" w:cs="宋体" w:eastAsia="宋体" w:hint="default"/>
          <w:spacing w:val="-1"/>
        </w:rPr>
        <w:t>2017</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25</w:t>
      </w:r>
      <w:r>
        <w:rPr>
          <w:spacing w:val="-1"/>
        </w:rPr>
        <w:t>日，本公司取得了北京市科学技术委员会、北京市财政局、北京市国家税务局和北京市地方税务局联合</w:t>
      </w:r>
    </w:p>
    <w:p>
      <w:pPr>
        <w:pStyle w:val="BodyText"/>
        <w:spacing w:line="319" w:lineRule="auto" w:before="19"/>
        <w:ind w:right="94"/>
        <w:jc w:val="left"/>
      </w:pPr>
      <w:r>
        <w:rPr>
          <w:spacing w:val="-2"/>
        </w:rPr>
        <w:t>颁发的《高新技术企业证书》。根据《中华人民共和国企业所得税法》、《中华人民共和国企业所得税暂行条例》以及《高</w:t>
      </w:r>
      <w:r>
        <w:rPr>
          <w:spacing w:val="-70"/>
        </w:rPr>
        <w:t> </w:t>
      </w:r>
      <w:r>
        <w:rPr>
          <w:spacing w:val="-70"/>
        </w:rPr>
      </w:r>
      <w:r>
        <w:rPr/>
        <w:t>新技术企业认定管理办法》的相关规定，</w:t>
      </w:r>
      <w:r>
        <w:rPr>
          <w:rFonts w:ascii="宋体" w:hAnsi="宋体" w:cs="宋体" w:eastAsia="宋体" w:hint="default"/>
        </w:rPr>
        <w:t>2017</w:t>
      </w:r>
      <w:r>
        <w:rPr/>
        <w:t>年至</w:t>
      </w:r>
      <w:r>
        <w:rPr>
          <w:rFonts w:ascii="宋体" w:hAnsi="宋体" w:cs="宋体" w:eastAsia="宋体" w:hint="default"/>
        </w:rPr>
        <w:t>2019</w:t>
      </w:r>
      <w:r>
        <w:rPr/>
        <w:t>年本公司适用的企业所得税税率为</w:t>
      </w:r>
      <w:r>
        <w:rPr>
          <w:rFonts w:ascii="宋体" w:hAnsi="宋体" w:cs="宋体" w:eastAsia="宋体" w:hint="default"/>
        </w:rPr>
        <w:t>15%</w:t>
      </w:r>
      <w:r>
        <w:rPr/>
        <w:t>。</w:t>
      </w:r>
    </w:p>
    <w:p>
      <w:pPr>
        <w:pStyle w:val="BodyText"/>
        <w:spacing w:line="316" w:lineRule="auto" w:before="17"/>
        <w:ind w:right="94" w:firstLine="300"/>
        <w:jc w:val="left"/>
      </w:pPr>
      <w:r>
        <w:rPr/>
        <w:t>（</w:t>
      </w:r>
      <w:r>
        <w:rPr>
          <w:rFonts w:ascii="宋体" w:hAnsi="宋体" w:cs="宋体" w:eastAsia="宋体" w:hint="default"/>
        </w:rPr>
        <w:t>3</w:t>
      </w:r>
      <w:r>
        <w:rPr/>
        <w:t>）</w:t>
      </w:r>
      <w:r>
        <w:rPr>
          <w:rFonts w:ascii="宋体" w:hAnsi="宋体" w:cs="宋体" w:eastAsia="宋体" w:hint="default"/>
        </w:rPr>
        <w:t>2016</w:t>
      </w:r>
      <w:r>
        <w:rPr/>
        <w:t>年</w:t>
      </w:r>
      <w:r>
        <w:rPr>
          <w:rFonts w:ascii="宋体" w:hAnsi="宋体" w:cs="宋体" w:eastAsia="宋体" w:hint="default"/>
        </w:rPr>
        <w:t>11</w:t>
      </w:r>
      <w:r>
        <w:rPr/>
        <w:t>月</w:t>
      </w:r>
      <w:r>
        <w:rPr>
          <w:rFonts w:ascii="宋体" w:hAnsi="宋体" w:cs="宋体" w:eastAsia="宋体" w:hint="default"/>
        </w:rPr>
        <w:t>24</w:t>
      </w:r>
      <w:r>
        <w:rPr/>
        <w:t>日，上海北信源信息技术有限公司取得了上海市科学技术委员会、上海市财政局、上海市国家税务 </w:t>
      </w:r>
      <w:r>
        <w:rPr>
          <w:spacing w:val="-2"/>
        </w:rPr>
        <w:t>局和上海市地方税务局联合颁发的《高新技术企业证书》。根据《中华人民共和国企业所得税法》、《中华人民共和国企业</w:t>
      </w:r>
    </w:p>
    <w:p>
      <w:pPr>
        <w:spacing w:after="0" w:line="316" w:lineRule="auto"/>
        <w:jc w:val="left"/>
        <w:sectPr>
          <w:pgSz w:w="11910" w:h="16840"/>
          <w:pgMar w:header="745" w:footer="1133" w:top="1060" w:bottom="132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0"/>
        <w:jc w:val="left"/>
      </w:pPr>
      <w:r>
        <w:rPr>
          <w:spacing w:val="-2"/>
        </w:rPr>
        <w:t>所得税暂行条例》以及《高新技术企业认定管理办法》的相关规定，</w:t>
      </w:r>
      <w:r>
        <w:rPr>
          <w:rFonts w:ascii="宋体" w:hAnsi="宋体" w:cs="宋体" w:eastAsia="宋体" w:hint="default"/>
          <w:spacing w:val="-2"/>
        </w:rPr>
        <w:t>2016</w:t>
      </w:r>
      <w:r>
        <w:rPr>
          <w:spacing w:val="-2"/>
        </w:rPr>
        <w:t>年至</w:t>
      </w:r>
      <w:r>
        <w:rPr>
          <w:rFonts w:ascii="宋体" w:hAnsi="宋体" w:cs="宋体" w:eastAsia="宋体" w:hint="default"/>
          <w:spacing w:val="-2"/>
        </w:rPr>
        <w:t>2018</w:t>
      </w:r>
      <w:r>
        <w:rPr>
          <w:spacing w:val="-2"/>
        </w:rPr>
        <w:t>年上海北信源信息技术有限公司适用的企</w:t>
      </w:r>
      <w:r>
        <w:rPr>
          <w:spacing w:val="-57"/>
        </w:rPr>
        <w:t> </w:t>
      </w:r>
      <w:r>
        <w:rPr>
          <w:spacing w:val="-57"/>
        </w:rPr>
      </w:r>
      <w:r>
        <w:rPr/>
        <w:t>业所得税税率为</w:t>
      </w:r>
      <w:r>
        <w:rPr>
          <w:rFonts w:ascii="宋体" w:hAnsi="宋体" w:cs="宋体" w:eastAsia="宋体" w:hint="default"/>
        </w:rPr>
        <w:t>15%</w:t>
      </w:r>
      <w:r>
        <w:rPr/>
        <w:t>。</w:t>
      </w:r>
    </w:p>
    <w:p>
      <w:pPr>
        <w:pStyle w:val="BodyText"/>
        <w:spacing w:line="316" w:lineRule="auto" w:before="19"/>
        <w:ind w:right="149" w:firstLine="300"/>
        <w:jc w:val="both"/>
      </w:pPr>
      <w:r>
        <w:rPr/>
        <w:t>（</w:t>
      </w:r>
      <w:r>
        <w:rPr>
          <w:rFonts w:ascii="宋体" w:hAnsi="宋体" w:cs="宋体" w:eastAsia="宋体" w:hint="default"/>
        </w:rPr>
        <w:t>4</w:t>
      </w:r>
      <w:r>
        <w:rPr/>
        <w:t>）</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22</w:t>
      </w:r>
      <w:r>
        <w:rPr/>
        <w:t>日，北京中软华泰信息技术有限责任公司取得了北京市科学技术委员会、北京市财政局、北京市国 </w:t>
      </w:r>
      <w:r>
        <w:rPr>
          <w:spacing w:val="-2"/>
        </w:rPr>
        <w:t>家税务局和北京市地方税务局联合颁发的《高新技术企业证书》。根据《中华人民共和国企业所得税法》、《中华人民共和</w:t>
      </w:r>
      <w:r>
        <w:rPr>
          <w:spacing w:val="-71"/>
        </w:rPr>
        <w:t> </w:t>
      </w:r>
      <w:r>
        <w:rPr>
          <w:spacing w:val="-71"/>
        </w:rPr>
      </w:r>
      <w:r>
        <w:rPr>
          <w:spacing w:val="-2"/>
        </w:rPr>
        <w:t>国企业所得税暂行条例》以及《高新技术企业认定管理办法》的相关规定，</w:t>
      </w:r>
      <w:r>
        <w:rPr>
          <w:rFonts w:ascii="宋体" w:hAnsi="宋体" w:cs="宋体" w:eastAsia="宋体" w:hint="default"/>
          <w:spacing w:val="-2"/>
        </w:rPr>
        <w:t>2016</w:t>
      </w:r>
      <w:r>
        <w:rPr>
          <w:spacing w:val="-2"/>
        </w:rPr>
        <w:t>年至</w:t>
      </w:r>
      <w:r>
        <w:rPr>
          <w:rFonts w:ascii="宋体" w:hAnsi="宋体" w:cs="宋体" w:eastAsia="宋体" w:hint="default"/>
          <w:spacing w:val="-2"/>
        </w:rPr>
        <w:t>2018</w:t>
      </w:r>
      <w:r>
        <w:rPr>
          <w:spacing w:val="-2"/>
        </w:rPr>
        <w:t>年北京中软华泰信息技术有限责任</w:t>
      </w:r>
      <w:r>
        <w:rPr>
          <w:spacing w:val="-56"/>
        </w:rPr>
        <w:t> </w:t>
      </w:r>
      <w:r>
        <w:rPr/>
        <w:t>公司适用的企业所得税税率为</w:t>
      </w:r>
      <w:r>
        <w:rPr>
          <w:rFonts w:ascii="宋体" w:hAnsi="宋体" w:cs="宋体" w:eastAsia="宋体" w:hint="default"/>
        </w:rPr>
        <w:t>15%</w:t>
      </w:r>
      <w:r>
        <w:rPr/>
        <w:t>。</w:t>
      </w:r>
    </w:p>
    <w:p>
      <w:pPr>
        <w:pStyle w:val="BodyText"/>
        <w:spacing w:line="316" w:lineRule="auto" w:before="19"/>
        <w:ind w:right="149" w:firstLine="300"/>
        <w:jc w:val="both"/>
      </w:pPr>
      <w:r>
        <w:rPr/>
        <w:t>（</w:t>
      </w:r>
      <w:r>
        <w:rPr>
          <w:rFonts w:ascii="宋体" w:hAnsi="宋体" w:cs="宋体" w:eastAsia="宋体" w:hint="default"/>
        </w:rPr>
        <w:t>5</w:t>
      </w:r>
      <w:r>
        <w:rPr/>
        <w:t>）</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17</w:t>
      </w:r>
      <w:r>
        <w:rPr/>
        <w:t>日，江苏神州信源系统工程有限公司取得了江苏省科学技术厅、江苏省财政厅、江苏省国家税务局 </w:t>
      </w:r>
      <w:r>
        <w:rPr>
          <w:spacing w:val="-2"/>
        </w:rPr>
        <w:t>和江苏省地方税务局联合颁发的《高新技术企业证书》。根据《中华人民共和国企业所得税法》、《中华人民共和国企业所</w:t>
      </w:r>
      <w:r>
        <w:rPr>
          <w:spacing w:val="-71"/>
        </w:rPr>
        <w:t> </w:t>
      </w:r>
      <w:r>
        <w:rPr>
          <w:spacing w:val="-71"/>
        </w:rPr>
      </w:r>
      <w:r>
        <w:rPr>
          <w:spacing w:val="-2"/>
        </w:rPr>
        <w:t>得税暂行条例》以及《高新技术企业认定管理办法》的相关规定，</w:t>
      </w:r>
      <w:r>
        <w:rPr>
          <w:rFonts w:ascii="宋体" w:hAnsi="宋体" w:cs="宋体" w:eastAsia="宋体" w:hint="default"/>
          <w:spacing w:val="-2"/>
        </w:rPr>
        <w:t>2017</w:t>
      </w:r>
      <w:r>
        <w:rPr>
          <w:spacing w:val="-2"/>
        </w:rPr>
        <w:t>年至</w:t>
      </w:r>
      <w:r>
        <w:rPr>
          <w:rFonts w:ascii="宋体" w:hAnsi="宋体" w:cs="宋体" w:eastAsia="宋体" w:hint="default"/>
          <w:spacing w:val="-2"/>
        </w:rPr>
        <w:t>2019</w:t>
      </w:r>
      <w:r>
        <w:rPr>
          <w:spacing w:val="-2"/>
        </w:rPr>
        <w:t>年北京中软华泰信息技术有限责任公司适用</w:t>
      </w:r>
      <w:r>
        <w:rPr>
          <w:spacing w:val="-57"/>
        </w:rPr>
        <w:t> </w:t>
      </w:r>
      <w:r>
        <w:rPr>
          <w:spacing w:val="-57"/>
        </w:rPr>
      </w:r>
      <w:r>
        <w:rPr/>
        <w:t>的企业所得税税率为</w:t>
      </w:r>
      <w:r>
        <w:rPr>
          <w:rFonts w:ascii="宋体" w:hAnsi="宋体" w:cs="宋体" w:eastAsia="宋体" w:hint="default"/>
        </w:rPr>
        <w:t>15%</w:t>
      </w:r>
      <w:r>
        <w:rPr/>
        <w:t>。</w:t>
      </w:r>
    </w:p>
    <w:p>
      <w:pPr>
        <w:spacing w:line="240" w:lineRule="auto" w:before="10"/>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r>
        <w:rPr/>
        <w:t>七、合并财务报表项目注释</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94,224.06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100,127.79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1,037,327,401.14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1,355,914,900.35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10,776,318.00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1,644,920.00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1,048,197,943.20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1,357,659,948.14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1,104,140.88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6,795,054.85</w:t>
            </w:r>
          </w:p>
        </w:tc>
      </w:tr>
    </w:tbl>
    <w:p>
      <w:pPr>
        <w:pStyle w:val="BodyText"/>
        <w:spacing w:line="240" w:lineRule="auto" w:before="49"/>
        <w:ind w:right="0"/>
        <w:jc w:val="left"/>
      </w:pPr>
      <w:r>
        <w:rPr/>
        <w:t>其他说明</w:t>
      </w:r>
    </w:p>
    <w:p>
      <w:pPr>
        <w:pStyle w:val="BodyText"/>
        <w:spacing w:line="316" w:lineRule="auto" w:before="117"/>
        <w:ind w:right="151" w:firstLine="432"/>
        <w:jc w:val="both"/>
      </w:pP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日，本公司的所有权受到限制的货币资金为人民币</w:t>
      </w:r>
      <w:r>
        <w:rPr>
          <w:rFonts w:ascii="宋体" w:hAnsi="宋体" w:cs="宋体" w:eastAsia="宋体" w:hint="default"/>
          <w:spacing w:val="-2"/>
        </w:rPr>
        <w:t>10,776,318.00</w:t>
      </w:r>
      <w:r>
        <w:rPr>
          <w:spacing w:val="-2"/>
        </w:rPr>
        <w:t>元，其中</w:t>
      </w:r>
      <w:r>
        <w:rPr>
          <w:rFonts w:ascii="宋体" w:hAnsi="宋体" w:cs="宋体" w:eastAsia="宋体" w:hint="default"/>
          <w:spacing w:val="-2"/>
        </w:rPr>
        <w:t>2,014,818.00</w:t>
      </w:r>
      <w:r>
        <w:rPr>
          <w:spacing w:val="-2"/>
        </w:rPr>
        <w:t>元系本公司向银</w:t>
      </w:r>
      <w:r>
        <w:rPr/>
        <w:t> </w:t>
      </w:r>
      <w:r>
        <w:rPr>
          <w:spacing w:val="-4"/>
        </w:rPr>
        <w:t>行申请开具无条件、不可撤销的担保函所存入的保函保证金（</w:t>
      </w:r>
      <w:r>
        <w:rPr>
          <w:rFonts w:ascii="宋体" w:hAnsi="宋体" w:cs="宋体" w:eastAsia="宋体" w:hint="default"/>
          <w:spacing w:val="-4"/>
        </w:rPr>
        <w:t>2016</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日：人民币</w:t>
      </w:r>
      <w:r>
        <w:rPr>
          <w:rFonts w:ascii="宋体" w:hAnsi="宋体" w:cs="宋体" w:eastAsia="宋体" w:hint="default"/>
          <w:spacing w:val="-4"/>
        </w:rPr>
        <w:t>1,644,920.00</w:t>
      </w:r>
      <w:r>
        <w:rPr>
          <w:spacing w:val="-4"/>
        </w:rPr>
        <w:t>元）；剩余</w:t>
      </w:r>
      <w:r>
        <w:rPr>
          <w:rFonts w:ascii="宋体" w:hAnsi="宋体" w:cs="宋体" w:eastAsia="宋体" w:hint="default"/>
          <w:spacing w:val="-4"/>
        </w:rPr>
        <w:t>8,761,500.00</w:t>
      </w:r>
      <w:r>
        <w:rPr>
          <w:rFonts w:ascii="宋体" w:hAnsi="宋体" w:cs="宋体" w:eastAsia="宋体" w:hint="default"/>
          <w:spacing w:val="-86"/>
        </w:rPr>
        <w:t> </w:t>
      </w:r>
      <w:r>
        <w:rPr>
          <w:rFonts w:ascii="宋体" w:hAnsi="宋体" w:cs="宋体" w:eastAsia="宋体" w:hint="default"/>
          <w:spacing w:val="-86"/>
        </w:rPr>
      </w:r>
      <w:r>
        <w:rPr/>
        <w:t>为票据保证金。</w:t>
      </w:r>
    </w:p>
    <w:p>
      <w:pPr>
        <w:spacing w:line="240" w:lineRule="auto" w:before="10"/>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w:t>
      </w:r>
      <w:r>
        <w:rPr/>
        <w:t>、衍生金融资产</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910,180.00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33" w:top="1060" w:bottom="132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2,870,240.00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2,410,000.00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3,113,240.00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3,320,180.00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w:t>
      </w:r>
      <w:r>
        <w:rPr/>
        <w:t>、应收账款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398"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6"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7" w:right="0"/>
              <w:jc w:val="left"/>
              <w:rPr>
                <w:rFonts w:ascii="Times New Roman" w:hAnsi="Times New Roman" w:cs="Times New Roman" w:eastAsia="Times New Roman" w:hint="default"/>
                <w:sz w:val="18"/>
                <w:szCs w:val="18"/>
              </w:rPr>
            </w:pPr>
            <w:r>
              <w:rPr>
                <w:rFonts w:ascii="Times New Roman"/>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68" w:right="0"/>
              <w:jc w:val="left"/>
              <w:rPr>
                <w:rFonts w:ascii="Times New Roman" w:hAnsi="Times New Roman" w:cs="Times New Roman" w:eastAsia="Times New Roman" w:hint="default"/>
                <w:sz w:val="18"/>
                <w:szCs w:val="18"/>
              </w:rPr>
            </w:pPr>
            <w:r>
              <w:rPr>
                <w:rFonts w:ascii="Times New Roman"/>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892,469,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826.24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99.99%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159,603,</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257.80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17.88%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732,866,5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68.44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677,722</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,100.39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99.98%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108,225,2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78.70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15.97%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569,496,82</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1.69</w:t>
            </w: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115,000.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115,000</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115,000.0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892,584,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826.24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159,718,</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257.80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17.89%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732,866,5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68.44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677,837</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,100.39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108,340,2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78.70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15.98%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569,496,82</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1.69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133" w:top="1060" w:bottom="132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32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2423"/>
        <w:gridCol w:w="2425"/>
        <w:gridCol w:w="2424"/>
        <w:gridCol w:w="2425"/>
      </w:tblGrid>
      <w:tr>
        <w:trPr>
          <w:trHeight w:val="402" w:hRule="exact"/>
        </w:trPr>
        <w:tc>
          <w:tcPr>
            <w:tcW w:w="24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2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23" w:type="dxa"/>
            <w:vMerge/>
            <w:tcBorders>
              <w:left w:val="single" w:sz="4" w:space="0" w:color="000000"/>
              <w:bottom w:val="single" w:sz="4" w:space="0" w:color="000000"/>
              <w:right w:val="single" w:sz="4" w:space="0" w:color="000000"/>
            </w:tcBorders>
            <w:shd w:val="clear" w:color="auto" w:fill="D2D2D2"/>
          </w:tcPr>
          <w:p>
            <w:pPr/>
          </w:p>
        </w:tc>
        <w:tc>
          <w:tcPr>
            <w:tcW w:w="2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69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bl>
    <w:p>
      <w:pPr>
        <w:spacing w:after="0" w:line="240" w:lineRule="auto"/>
        <w:jc w:val="left"/>
        <w:rPr>
          <w:rFonts w:ascii="宋体" w:hAnsi="宋体" w:cs="宋体" w:eastAsia="宋体" w:hint="default"/>
          <w:sz w:val="18"/>
          <w:szCs w:val="18"/>
        </w:rPr>
        <w:sectPr>
          <w:type w:val="continuous"/>
          <w:pgSz w:w="11910" w:h="16840"/>
          <w:pgMar w:top="1060" w:bottom="1320" w:left="980" w:right="980"/>
        </w:sectPr>
      </w:pPr>
    </w:p>
    <w:p>
      <w:pPr>
        <w:spacing w:line="240" w:lineRule="auto" w:before="6"/>
        <w:rPr>
          <w:rFonts w:ascii="宋体" w:hAnsi="宋体" w:cs="宋体" w:eastAsia="宋体" w:hint="default"/>
          <w:sz w:val="28"/>
          <w:szCs w:val="28"/>
        </w:rPr>
      </w:pPr>
    </w:p>
    <w:tbl>
      <w:tblPr>
        <w:tblW w:w="0" w:type="auto"/>
        <w:jc w:val="left"/>
        <w:tblInd w:w="120" w:type="dxa"/>
        <w:tblLayout w:type="fixed"/>
        <w:tblCellMar>
          <w:top w:w="0" w:type="dxa"/>
          <w:left w:w="0" w:type="dxa"/>
          <w:bottom w:w="0" w:type="dxa"/>
          <w:right w:w="0" w:type="dxa"/>
        </w:tblCellMar>
        <w:tblLook w:val="01E0"/>
      </w:tblPr>
      <w:tblGrid>
        <w:gridCol w:w="2423"/>
        <w:gridCol w:w="2425"/>
        <w:gridCol w:w="2424"/>
        <w:gridCol w:w="2425"/>
      </w:tblGrid>
      <w:tr>
        <w:trPr>
          <w:trHeight w:val="401"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394,427,915.13</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19,721,395.76</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232,082,882.69</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23,208,288.27</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148,525,169.29</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44,557,550.78</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117,433,859.13</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72,116,022.99</w:t>
            </w:r>
          </w:p>
        </w:tc>
        <w:tc>
          <w:tcPr>
            <w:tcW w:w="24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81,030,227.72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40,515,113.86</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24,013,611.36</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19,210,889.08</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12,390,020.05</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12,390,020.05</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892,469,826.24</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159,603,257.80</w:t>
            </w:r>
          </w:p>
        </w:tc>
        <w:tc>
          <w:tcPr>
            <w:tcW w:w="242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454"/>
        <w:jc w:val="left"/>
      </w:pPr>
      <w:r>
        <w:rPr/>
        <w:t>确定该组合依据的说明： 组合中，采用余额百分比法计提坏账准备的应收账款：</w:t>
      </w:r>
    </w:p>
    <w:p>
      <w:pPr>
        <w:pStyle w:val="BodyText"/>
        <w:spacing w:line="340" w:lineRule="auto" w:before="29"/>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1133" w:top="1060" w:bottom="1320" w:left="980" w:right="980"/>
        </w:sectPr>
      </w:pPr>
    </w:p>
    <w:p>
      <w:pPr>
        <w:pStyle w:val="BodyText"/>
        <w:spacing w:line="340" w:lineRule="auto" w:before="44"/>
        <w:ind w:right="-13"/>
        <w:jc w:val="left"/>
      </w:pPr>
      <w:r>
        <w:rPr/>
        <w:t>本期计提坏账准备金额</w:t>
      </w:r>
      <w:r>
        <w:rPr>
          <w:spacing w:val="-46"/>
        </w:rPr>
        <w:t> </w:t>
      </w:r>
      <w:r>
        <w:rPr>
          <w:rFonts w:ascii="Times New Roman" w:hAnsi="Times New Roman" w:cs="Times New Roman" w:eastAsia="Times New Roman" w:hint="default"/>
        </w:rPr>
        <w:t>53,177,775.10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320" w:left="980" w:right="980"/>
          <w:cols w:num="2" w:equalWidth="0">
            <w:col w:w="6548" w:space="2281"/>
            <w:col w:w="112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1,799,796.00</w:t>
            </w:r>
          </w:p>
        </w:tc>
      </w:tr>
    </w:tbl>
    <w:p>
      <w:pPr>
        <w:pStyle w:val="BodyText"/>
        <w:spacing w:line="240" w:lineRule="auto" w:before="49"/>
        <w:ind w:right="0"/>
        <w:jc w:val="left"/>
      </w:pPr>
      <w:r>
        <w:rPr/>
        <w:t>其中重要的应收账款核销情况：</w:t>
      </w:r>
    </w:p>
    <w:p>
      <w:pPr>
        <w:pStyle w:val="BodyText"/>
        <w:spacing w:line="240" w:lineRule="auto" w:before="117"/>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620"/>
        <w:gridCol w:w="1616"/>
        <w:gridCol w:w="1615"/>
        <w:gridCol w:w="1616"/>
        <w:gridCol w:w="1616"/>
        <w:gridCol w:w="1615"/>
      </w:tblGrid>
      <w:tr>
        <w:trPr>
          <w:trHeight w:val="715" w:hRule="exact"/>
        </w:trPr>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广州微界信息科技 有限公司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企业已注销</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石家庄云和科技有 限公司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无偿付能力</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湖南省正元信息科 技有限公司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130,300.00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企业被吊销</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内蒙古雪洋科技有 限公司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129,600.00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20"/>
              <w:jc w:val="center"/>
              <w:rPr>
                <w:rFonts w:ascii="宋体" w:hAnsi="宋体" w:cs="宋体" w:eastAsia="宋体" w:hint="default"/>
                <w:sz w:val="18"/>
                <w:szCs w:val="18"/>
              </w:rPr>
            </w:pPr>
            <w:r>
              <w:rPr>
                <w:rFonts w:ascii="宋体" w:hAnsi="宋体" w:cs="宋体" w:eastAsia="宋体" w:hint="default"/>
                <w:sz w:val="18"/>
                <w:szCs w:val="18"/>
              </w:rPr>
              <w:t>四川全球眼建维科</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111,000.00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320" w:left="980" w:right="980"/>
        </w:sectPr>
      </w:pPr>
    </w:p>
    <w:p>
      <w:pPr>
        <w:spacing w:line="240" w:lineRule="auto" w:before="6"/>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1620"/>
        <w:gridCol w:w="1616"/>
        <w:gridCol w:w="1615"/>
        <w:gridCol w:w="1616"/>
        <w:gridCol w:w="1616"/>
        <w:gridCol w:w="1615"/>
      </w:tblGrid>
      <w:tr>
        <w:trPr>
          <w:trHeight w:val="36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贸有限公司</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278,896.00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1"/>
              <w:jc w:val="left"/>
              <w:rPr>
                <w:rFonts w:ascii="宋体" w:hAnsi="宋体" w:cs="宋体" w:eastAsia="宋体" w:hint="default"/>
                <w:sz w:val="18"/>
                <w:szCs w:val="18"/>
              </w:rPr>
            </w:pPr>
            <w:r>
              <w:rPr>
                <w:rFonts w:ascii="宋体" w:hAnsi="宋体" w:cs="宋体" w:eastAsia="宋体" w:hint="default"/>
                <w:sz w:val="18"/>
                <w:szCs w:val="18"/>
              </w:rPr>
              <w:t>无偿付能力企业已 注销</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1,799,796.00</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6714"/>
        <w:jc w:val="left"/>
      </w:pPr>
      <w:r>
        <w:rPr/>
        <w:t>公司是否需要遵守特殊行业的披露要求 否</w:t>
      </w:r>
    </w:p>
    <w:p>
      <w:pPr>
        <w:pStyle w:val="BodyText"/>
        <w:spacing w:line="319" w:lineRule="auto" w:before="29"/>
        <w:ind w:right="0" w:firstLine="360"/>
        <w:jc w:val="left"/>
      </w:pPr>
      <w:r>
        <w:rPr>
          <w:spacing w:val="-2"/>
        </w:rPr>
        <w:t>本公司本年按欠款方归集的年末余额前五名应收账款汇总金额为</w:t>
      </w:r>
      <w:r>
        <w:rPr>
          <w:rFonts w:ascii="宋体" w:hAnsi="宋体" w:cs="宋体" w:eastAsia="宋体" w:hint="default"/>
          <w:spacing w:val="-2"/>
        </w:rPr>
        <w:t>131,298,404.74</w:t>
      </w:r>
      <w:r>
        <w:rPr>
          <w:spacing w:val="-2"/>
        </w:rPr>
        <w:t>元，占应收账款年末余额合计数的</w:t>
      </w:r>
      <w:r>
        <w:rPr/>
        <w:t> 比例为</w:t>
      </w:r>
      <w:r>
        <w:rPr>
          <w:rFonts w:ascii="宋体" w:hAnsi="宋体" w:cs="宋体" w:eastAsia="宋体" w:hint="default"/>
        </w:rPr>
        <w:t>14.71%</w:t>
      </w:r>
      <w:r>
        <w:rPr/>
        <w:t>，相应计提的坏账准备年末余额汇总金额为</w:t>
      </w:r>
      <w:r>
        <w:rPr>
          <w:rFonts w:ascii="宋体" w:hAnsi="宋体" w:cs="宋体" w:eastAsia="宋体" w:hint="default"/>
        </w:rPr>
        <w:t>19,365,106.66</w:t>
      </w:r>
      <w:r>
        <w:rPr/>
        <w:t>元。</w:t>
      </w:r>
    </w:p>
    <w:p>
      <w:pPr>
        <w:spacing w:line="240" w:lineRule="auto" w:before="7"/>
        <w:rPr>
          <w:rFonts w:ascii="宋体" w:hAnsi="宋体" w:cs="宋体" w:eastAsia="宋体" w:hint="default"/>
          <w:sz w:val="17"/>
          <w:szCs w:val="17"/>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32,432,573.49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89.68%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9,595,854.72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78.08%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2,601,083.77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1,990,842.57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16.20%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1,129,480.00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702,607.61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36,163,137.26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12,289,304.90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504" w:firstLine="360"/>
        <w:jc w:val="left"/>
      </w:pPr>
      <w:r>
        <w:rPr/>
        <w:t>本公司按预付对象归集的年末余额前五名预付账款汇总金额为</w:t>
      </w:r>
      <w:r>
        <w:rPr>
          <w:rFonts w:ascii="宋体" w:hAnsi="宋体" w:cs="宋体" w:eastAsia="宋体" w:hint="default"/>
        </w:rPr>
        <w:t>19,360,435.12</w:t>
      </w:r>
      <w:r>
        <w:rPr/>
        <w:t>元，占预付账款年末余额合计数的比 例为</w:t>
      </w:r>
      <w:r>
        <w:rPr>
          <w:rFonts w:ascii="宋体" w:hAnsi="宋体" w:cs="宋体" w:eastAsia="宋体" w:hint="default"/>
        </w:rPr>
        <w:t>53.54%</w:t>
      </w:r>
      <w:r>
        <w:rPr/>
        <w:t>。</w:t>
      </w:r>
    </w:p>
    <w:p>
      <w:pPr>
        <w:spacing w:after="0" w:line="316" w:lineRule="auto"/>
        <w:jc w:val="left"/>
        <w:sectPr>
          <w:pgSz w:w="11910" w:h="16840"/>
          <w:pgMar w:header="745" w:footer="1133" w:top="1060" w:bottom="132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21,859,1</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44.03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4,969,63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2.79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22.73%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16,889,51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1.24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14,486,</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415.30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3,178,320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21.94%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11,308,094.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94</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21,859,1</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44.03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4,969,63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2.79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22.73%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16,889,51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1.24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14,486,</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415.30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3,178,320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21.94%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11,308,094.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33" w:top="1060" w:bottom="1320" w:left="980" w:right="980"/>
        </w:sectPr>
      </w:pPr>
    </w:p>
    <w:p>
      <w:pPr>
        <w:pStyle w:val="BodyText"/>
        <w:spacing w:line="240" w:lineRule="auto" w:before="49"/>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32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2" w:hRule="exact"/>
        </w:trPr>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0"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11,147,942.40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557,397.12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11,147,942.40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557,397.12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4,476,801.21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447,680.12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1,330,643.77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399,193.14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4,903,756.65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3,565,362.41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1,883,439.08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941,719.55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1,983,373.57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1,586,698.86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1,036,944.00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1,036,944.00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21,859,144.03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4,969,632.79</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274"/>
        <w:jc w:val="left"/>
      </w:pPr>
      <w:r>
        <w:rPr/>
        <w:t>确定该组合依据的说明： 组合中，采用余额百分比法计提坏账准备的其他应收款：</w:t>
      </w:r>
    </w:p>
    <w:p>
      <w:pPr>
        <w:pStyle w:val="BodyText"/>
        <w:spacing w:line="338" w:lineRule="auto" w:before="29"/>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32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1133" w:top="1060" w:bottom="1320" w:left="980" w:right="980"/>
        </w:sectPr>
      </w:pPr>
    </w:p>
    <w:p>
      <w:pPr>
        <w:pStyle w:val="BodyText"/>
        <w:spacing w:line="338" w:lineRule="auto" w:before="44"/>
        <w:ind w:right="-11"/>
        <w:jc w:val="left"/>
      </w:pPr>
      <w:r>
        <w:rPr/>
        <w:t>本期计提坏账准备金额</w:t>
      </w:r>
      <w:r>
        <w:rPr>
          <w:spacing w:val="-46"/>
        </w:rPr>
        <w:t> </w:t>
      </w:r>
      <w:r>
        <w:rPr>
          <w:rFonts w:ascii="Times New Roman" w:hAnsi="Times New Roman" w:cs="Times New Roman" w:eastAsia="Times New Roman" w:hint="default"/>
        </w:rPr>
        <w:t>1,791,312.43</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320" w:left="980" w:right="980"/>
          <w:cols w:num="2" w:equalWidth="0">
            <w:col w:w="6460" w:space="2370"/>
            <w:col w:w="112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11,933,086.10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7,372,677.91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4,876,078.52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4,417,278.80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447,627.63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1,629,300.00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4,602,351.78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1,067,158.59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21,859,144.03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14,486,415.30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徐州九夏信息科技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长春吉大正元信息 技术股份有限公司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1,575,046.00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475,523.00</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南京鸿度装饰工程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装修款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752,376.55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601,901.24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山西省公安厅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593,250.00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29,662.50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南京市国土资源局 浦口分局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395,136.00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19,756.80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5,315,808.55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2,126,843.54</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right="6534"/>
        <w:jc w:val="left"/>
      </w:pPr>
      <w:r>
        <w:rPr/>
        <w:t>公司是否需要遵守房地产行业的披露要求 否</w:t>
      </w:r>
    </w:p>
    <w:p>
      <w:pPr>
        <w:spacing w:after="0" w:line="360" w:lineRule="auto"/>
        <w:jc w:val="left"/>
        <w:sectPr>
          <w:type w:val="continuous"/>
          <w:pgSz w:w="11910" w:h="16840"/>
          <w:pgMar w:top="1060" w:bottom="132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7,923,330.38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7,923,330.38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1,424,118.95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1,424,118.95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61,700,665.14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61,700,665.14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32,702,677.10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32,702,677.10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69,623,995.52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69,623,995.52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34,126,796.05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34,126,796.05</w:t>
            </w:r>
          </w:p>
        </w:tc>
      </w:tr>
    </w:tbl>
    <w:p>
      <w:pPr>
        <w:pStyle w:val="BodyText"/>
        <w:spacing w:line="338" w:lineRule="auto" w:before="49"/>
        <w:ind w:right="1496"/>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3"/>
        <w:ind w:right="596"/>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39"/>
        <w:ind w:right="77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4"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335" w:lineRule="exact"/>
        <w:ind w:right="0"/>
        <w:jc w:val="left"/>
        <w:rPr>
          <w:b w:val="0"/>
          <w:bCs w:val="0"/>
        </w:rPr>
      </w:pPr>
      <w:r>
        <w:rPr>
          <w:rFonts w:ascii="Times New Roman" w:hAnsi="Times New Roman" w:cs="Times New Roman" w:eastAsia="Times New Roman" w:hint="default"/>
        </w:rPr>
        <w:t>8</w:t>
      </w:r>
      <w:r>
        <w:rPr/>
        <w:t>、一年内到期的非流动资产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一年内到期的长期待摊费用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565,711.53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565,711.53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9</w:t>
      </w:r>
      <w:r>
        <w:rPr/>
        <w:t>、其他流动资产</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1133" w:top="1060" w:bottom="132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7,114,610.30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6,000,446.34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待认证进项税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461,772.50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1,410,404.27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167,576,382.80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9,910,850.61</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10</w:t>
      </w:r>
      <w:r>
        <w:rPr/>
        <w:t>、可供出售金融资产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196"/>
        <w:gridCol w:w="1198"/>
        <w:gridCol w:w="1196"/>
        <w:gridCol w:w="1248"/>
        <w:gridCol w:w="1369"/>
        <w:gridCol w:w="1366"/>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38,383,735.00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204,617.24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center"/>
              <w:rPr>
                <w:rFonts w:ascii="Times New Roman" w:hAnsi="Times New Roman" w:cs="Times New Roman" w:eastAsia="Times New Roman" w:hint="default"/>
                <w:sz w:val="18"/>
                <w:szCs w:val="18"/>
              </w:rPr>
            </w:pPr>
            <w:r>
              <w:rPr>
                <w:rFonts w:ascii="Times New Roman"/>
                <w:sz w:val="18"/>
              </w:rPr>
              <w:t>38,179,117.76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28,383,735.00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204,617.24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4" w:right="0"/>
              <w:jc w:val="left"/>
              <w:rPr>
                <w:rFonts w:ascii="Times New Roman" w:hAnsi="Times New Roman" w:cs="Times New Roman" w:eastAsia="Times New Roman" w:hint="default"/>
                <w:sz w:val="18"/>
                <w:szCs w:val="18"/>
              </w:rPr>
            </w:pPr>
            <w:r>
              <w:rPr>
                <w:rFonts w:ascii="Times New Roman"/>
                <w:sz w:val="18"/>
              </w:rPr>
              <w:t>28,179,117.76</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38,383,735.00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204,617.24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center"/>
              <w:rPr>
                <w:rFonts w:ascii="Times New Roman" w:hAnsi="Times New Roman" w:cs="Times New Roman" w:eastAsia="Times New Roman" w:hint="default"/>
                <w:sz w:val="18"/>
                <w:szCs w:val="18"/>
              </w:rPr>
            </w:pPr>
            <w:r>
              <w:rPr>
                <w:rFonts w:ascii="Times New Roman"/>
                <w:sz w:val="18"/>
              </w:rPr>
              <w:t>38,179,117.76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28,383,735.00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204,617.24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Times New Roman" w:hAnsi="Times New Roman" w:cs="Times New Roman" w:eastAsia="Times New Roman" w:hint="default"/>
                <w:sz w:val="18"/>
                <w:szCs w:val="18"/>
              </w:rPr>
            </w:pPr>
            <w:r>
              <w:rPr>
                <w:rFonts w:ascii="Times New Roman"/>
                <w:sz w:val="18"/>
              </w:rPr>
              <w:t>28,179,117.76</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38,383,735.00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204,617.24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center"/>
              <w:rPr>
                <w:rFonts w:ascii="Times New Roman" w:hAnsi="Times New Roman" w:cs="Times New Roman" w:eastAsia="Times New Roman" w:hint="default"/>
                <w:sz w:val="18"/>
                <w:szCs w:val="18"/>
              </w:rPr>
            </w:pPr>
            <w:r>
              <w:rPr>
                <w:rFonts w:ascii="Times New Roman"/>
                <w:sz w:val="18"/>
              </w:rPr>
              <w:t>38,179,117.76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28,383,735.00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204,617.24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4" w:right="0"/>
              <w:jc w:val="left"/>
              <w:rPr>
                <w:rFonts w:ascii="Times New Roman" w:hAnsi="Times New Roman" w:cs="Times New Roman" w:eastAsia="Times New Roman" w:hint="default"/>
                <w:sz w:val="18"/>
                <w:szCs w:val="18"/>
              </w:rPr>
            </w:pPr>
            <w:r>
              <w:rPr>
                <w:rFonts w:ascii="Times New Roman"/>
                <w:sz w:val="18"/>
              </w:rPr>
              <w:t>28,179,117.76</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4"/>
        <w:gridCol w:w="1914"/>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2"/>
        <w:gridCol w:w="869"/>
        <w:gridCol w:w="871"/>
        <w:gridCol w:w="869"/>
        <w:gridCol w:w="871"/>
        <w:gridCol w:w="869"/>
        <w:gridCol w:w="872"/>
        <w:gridCol w:w="869"/>
        <w:gridCol w:w="871"/>
      </w:tblGrid>
      <w:tr>
        <w:trPr>
          <w:trHeight w:val="403"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6"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深圳中软 华泰信息 技术有限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204,617.24</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204,617.24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上海无寻 网络科技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9.28%</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北京双洲 科技有限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14.29%</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深圳市金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1" w:right="0"/>
              <w:jc w:val="center"/>
              <w:rPr>
                <w:rFonts w:ascii="Times New Roman" w:hAnsi="Times New Roman" w:cs="Times New Roman" w:eastAsia="Times New Roman" w:hint="default"/>
                <w:sz w:val="18"/>
                <w:szCs w:val="18"/>
              </w:rPr>
            </w:pPr>
            <w:r>
              <w:rPr>
                <w:rFonts w:ascii="Times New Roman"/>
                <w:sz w:val="18"/>
              </w:rPr>
              <w:t>4,383,735.</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8" w:right="0"/>
              <w:jc w:val="center"/>
              <w:rPr>
                <w:rFonts w:ascii="Times New Roman" w:hAnsi="Times New Roman" w:cs="Times New Roman" w:eastAsia="Times New Roman" w:hint="default"/>
                <w:sz w:val="18"/>
                <w:szCs w:val="18"/>
              </w:rPr>
            </w:pPr>
            <w:r>
              <w:rPr>
                <w:rFonts w:ascii="Times New Roman"/>
                <w:sz w:val="18"/>
              </w:rPr>
              <w:t>4,383,735.</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15.00%</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33" w:top="1060" w:bottom="132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2"/>
        <w:gridCol w:w="869"/>
        <w:gridCol w:w="871"/>
        <w:gridCol w:w="869"/>
        <w:gridCol w:w="871"/>
        <w:gridCol w:w="869"/>
        <w:gridCol w:w="872"/>
        <w:gridCol w:w="869"/>
        <w:gridCol w:w="871"/>
      </w:tblGrid>
      <w:tr>
        <w:trPr>
          <w:trHeight w:val="98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08"/>
              <w:jc w:val="both"/>
              <w:rPr>
                <w:rFonts w:ascii="宋体" w:hAnsi="宋体" w:cs="宋体" w:eastAsia="宋体" w:hint="default"/>
                <w:sz w:val="18"/>
                <w:szCs w:val="18"/>
              </w:rPr>
            </w:pPr>
            <w:r>
              <w:rPr>
                <w:rFonts w:ascii="宋体" w:hAnsi="宋体" w:cs="宋体" w:eastAsia="宋体" w:hint="default"/>
                <w:sz w:val="18"/>
                <w:szCs w:val="18"/>
              </w:rPr>
              <w:t>城保密技 术有限公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浙江华睿 北信源数 据信息产 业投资合 伙企业</w:t>
            </w:r>
          </w:p>
          <w:p>
            <w:pPr>
              <w:pStyle w:val="TableParagraph"/>
              <w:spacing w:line="316" w:lineRule="auto" w:before="19"/>
              <w:ind w:left="24" w:right="108"/>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14.63%</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杭州芸品 绿信息科 技有限公 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国保联盟 信息安全 技术有限 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18.18%</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28,383,735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38,383,735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204,617.24</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204,617.24</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204,617.24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204,617.24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204,617.24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204,617.24</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9" w:right="46" w:hanging="361"/>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6"/>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11</w:t>
      </w:r>
      <w:r>
        <w:rPr/>
        <w:t>、长期股权投资</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1"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1133" w:top="1060" w:bottom="132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北京辰信 领创信息 技术有限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17,393,06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0.61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-6,169,27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2.61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11,223,78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17,393,06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0.61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-6,169,27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2.61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11,223,78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17,393,06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0.61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-6,169,27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2.61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11,223,78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8.00</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pStyle w:val="BodyText"/>
        <w:spacing w:line="316" w:lineRule="auto" w:before="115"/>
        <w:ind w:right="0" w:firstLine="374"/>
        <w:jc w:val="left"/>
      </w:pPr>
      <w:r>
        <w:rPr/>
        <w:t>经公司第二届董事会第十五次临时会议审议通过《关于对外投资设立北京辰信领创信息技术有限公司的议案》，北京 辰信领创信息技术有限公司注册资本</w:t>
      </w:r>
      <w:r>
        <w:rPr>
          <w:rFonts w:ascii="宋体" w:hAnsi="宋体" w:cs="宋体" w:eastAsia="宋体" w:hint="default"/>
        </w:rPr>
        <w:t>8000</w:t>
      </w:r>
      <w:r>
        <w:rPr/>
        <w:t>万元，本公司持股</w:t>
      </w:r>
      <w:r>
        <w:rPr>
          <w:rFonts w:ascii="宋体" w:hAnsi="宋体" w:cs="宋体" w:eastAsia="宋体" w:hint="default"/>
        </w:rPr>
        <w:t>24.50%</w:t>
      </w:r>
      <w:r>
        <w:rPr/>
        <w:t>。</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12</w:t>
      </w:r>
      <w:r>
        <w:rPr/>
        <w:t>、投资性房地产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13</w:t>
      </w:r>
      <w:r>
        <w:rPr/>
        <w:t>、固定资产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电子及通讯设备</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43,852,294.57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48,900,316.26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14,836,646.75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107,589,257.58</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3,576,989.17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9,971,470.27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1,936,792.40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15,485,251.84</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3,576,989.17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9,971,470.27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1,936,792.40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15,485,251.84</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）在建工程转入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89,515.90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736,069.49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825,585.39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89,515.90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736,069.49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825,585.39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33" w:top="1060" w:bottom="132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47,429,283.74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58,782,270.63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16,037,369.66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122,248,924.03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2,241,863.84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20,572,379.09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10,020,078.15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32,834,321.08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1,053,478.35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7,757,843.94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1,716,800.63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10,528,122.92</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1,053,478.35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7,757,843.94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1,716,800.63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10,528,122.92</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71,031.38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597,433.94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668,465.32</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71,031.38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597,433.94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668,465.32</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3,295,342.19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28,259,191.65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11,139,444.84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42,693,978.68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44,133,941.55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30,523,078.98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4,897,924.82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79,554,945.35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41,610,430.73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28,327,937.17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4,816,568.60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74,754,936.50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南京研发楼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9,202,243.18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开发商正在办理过程中</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14</w:t>
      </w:r>
      <w:r>
        <w:rPr/>
        <w:t>、在建工程</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1133" w:top="1060" w:bottom="132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南京产业园项目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26,979,737.02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26,979,737.02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2,270,147.11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2,270,147.11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2" w:right="0"/>
              <w:jc w:val="left"/>
              <w:rPr>
                <w:rFonts w:ascii="Times New Roman" w:hAnsi="Times New Roman" w:cs="Times New Roman" w:eastAsia="Times New Roman" w:hint="default"/>
                <w:sz w:val="18"/>
                <w:szCs w:val="18"/>
              </w:rPr>
            </w:pPr>
            <w:r>
              <w:rPr>
                <w:rFonts w:ascii="Times New Roman"/>
                <w:sz w:val="18"/>
              </w:rPr>
              <w:t>26,979,737.02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26,979,737.02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2,270,147.11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2,270,147.11</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9"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271"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273" w:right="93"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南京产 业园项 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2,270,14</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7.11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24,709,5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89.91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26,979,7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37.02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2,270,14</w:t>
            </w:r>
          </w:p>
          <w:p>
            <w:pPr>
              <w:pStyle w:val="TableParagraph"/>
              <w:spacing w:line="240" w:lineRule="auto" w:before="102"/>
              <w:ind w:left="395" w:right="0"/>
              <w:jc w:val="left"/>
              <w:rPr>
                <w:rFonts w:ascii="Times New Roman" w:hAnsi="Times New Roman" w:cs="Times New Roman" w:eastAsia="Times New Roman" w:hint="default"/>
                <w:sz w:val="18"/>
                <w:szCs w:val="18"/>
              </w:rPr>
            </w:pPr>
            <w:r>
              <w:rPr>
                <w:rFonts w:ascii="Times New Roman"/>
                <w:sz w:val="18"/>
              </w:rPr>
              <w:t>7.11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24,709,5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89.91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26,979,7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37.02</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15</w:t>
      </w:r>
      <w:r>
        <w:rPr/>
        <w:t>、生产性生物资产</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16</w:t>
      </w:r>
      <w:r>
        <w:rPr/>
        <w:t>、油气资产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33" w:top="1060" w:bottom="13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24,455,885.00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22,343,367.66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21,616,914.69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9,945,686.79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78,361,854.14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19,642,086.37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548,537.93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20,190,624.30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548,537.93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548,537.93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5"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19,642,086.37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19,642,086.37</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firstLine="52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w:t>
            </w:r>
            <w:r>
              <w:rPr>
                <w:rFonts w:ascii="宋体" w:hAnsi="宋体" w:cs="宋体" w:eastAsia="宋体" w:hint="default"/>
                <w:sz w:val="18"/>
                <w:szCs w:val="18"/>
              </w:rPr>
              <w:t> 合并增加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24,455,885.00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41,985,454.03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21,616,914.69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10,494,224.72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98,552,478.44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529,877.51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2,804,531.84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12,516,727.06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1,095,503.23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16,946,639.64</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489,117.72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3,543,809.65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1,020,735.75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6,093,663.12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489,117.72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3,543,809.65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1,020,735.75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6,093,663.12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1,018,995.23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6,348,341.49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13,556,727.06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2,116,238.98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23,040,302.76</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33" w:top="1060" w:bottom="13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23,436,889.77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35,637,112.54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8,060,187.63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8,377,985.74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75,512,175.68</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23,926,007.49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19,538,835.82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9,100,187.63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8,850,183.56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61,415,214.50</w:t>
            </w:r>
          </w:p>
        </w:tc>
      </w:tr>
    </w:tbl>
    <w:p>
      <w:pPr>
        <w:pStyle w:val="BodyText"/>
        <w:spacing w:line="240" w:lineRule="auto" w:before="49"/>
        <w:ind w:right="0"/>
        <w:jc w:val="left"/>
      </w:pPr>
      <w:r>
        <w:rPr/>
        <w:t>本期末通过公司内部研发形成的无形资产占无形资产余额的比例</w:t>
      </w:r>
      <w:r>
        <w:rPr>
          <w:spacing w:val="-43"/>
        </w:rPr>
        <w:t> </w:t>
      </w:r>
      <w:r>
        <w:rPr>
          <w:rFonts w:ascii="Times New Roman" w:hAnsi="Times New Roman" w:cs="Times New Roman" w:eastAsia="Times New Roman" w:hint="default"/>
        </w:rPr>
        <w:t>47.19%</w:t>
      </w:r>
      <w:r>
        <w:rPr/>
        <w:t>。</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18</w:t>
      </w:r>
      <w:r>
        <w:rPr/>
        <w:t>、开发支出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205"/>
        <w:gridCol w:w="919"/>
        <w:gridCol w:w="1064"/>
        <w:gridCol w:w="1063"/>
      </w:tblGrid>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43"/>
              <w:jc w:val="righ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9"/>
              <w:jc w:val="both"/>
              <w:rPr>
                <w:rFonts w:ascii="宋体" w:hAnsi="宋体" w:cs="宋体" w:eastAsia="宋体" w:hint="default"/>
                <w:sz w:val="18"/>
                <w:szCs w:val="18"/>
              </w:rPr>
            </w:pPr>
            <w:r>
              <w:rPr>
                <w:rFonts w:ascii="宋体" w:hAnsi="宋体" w:cs="宋体" w:eastAsia="宋体" w:hint="default"/>
                <w:sz w:val="18"/>
                <w:szCs w:val="18"/>
              </w:rPr>
              <w:t>北信源数据 泄露智能防 护系统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13,104,679.9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6,537,406.47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7" w:right="0"/>
              <w:jc w:val="center"/>
              <w:rPr>
                <w:rFonts w:ascii="Times New Roman" w:hAnsi="Times New Roman" w:cs="Times New Roman" w:eastAsia="Times New Roman" w:hint="default"/>
                <w:sz w:val="18"/>
                <w:szCs w:val="18"/>
              </w:rPr>
            </w:pPr>
            <w:r>
              <w:rPr>
                <w:rFonts w:ascii="Times New Roman"/>
                <w:sz w:val="18"/>
              </w:rPr>
              <w:t>19,642,086.37</w:t>
            </w:r>
          </w:p>
        </w:tc>
        <w:tc>
          <w:tcPr>
            <w:tcW w:w="91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49"/>
              <w:ind w:left="22" w:right="129"/>
              <w:jc w:val="left"/>
              <w:rPr>
                <w:rFonts w:ascii="宋体" w:hAnsi="宋体" w:cs="宋体" w:eastAsia="宋体" w:hint="default"/>
                <w:sz w:val="18"/>
                <w:szCs w:val="18"/>
              </w:rPr>
            </w:pPr>
            <w:r>
              <w:rPr>
                <w:rFonts w:ascii="宋体" w:hAnsi="宋体" w:cs="宋体" w:eastAsia="宋体" w:hint="default"/>
                <w:sz w:val="18"/>
                <w:szCs w:val="18"/>
              </w:rPr>
              <w:t>信源豆豆即 时通讯平台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11,796,445.9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22,308,965.7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34,105,411.7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r>
      <w:tr>
        <w:trPr>
          <w:trHeight w:val="1028"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9"/>
              <w:jc w:val="both"/>
              <w:rPr>
                <w:rFonts w:ascii="宋体" w:hAnsi="宋体" w:cs="宋体" w:eastAsia="宋体" w:hint="default"/>
                <w:sz w:val="18"/>
                <w:szCs w:val="18"/>
              </w:rPr>
            </w:pPr>
            <w:r>
              <w:rPr>
                <w:rFonts w:ascii="宋体" w:hAnsi="宋体" w:cs="宋体" w:eastAsia="宋体" w:hint="default"/>
                <w:sz w:val="18"/>
                <w:szCs w:val="18"/>
              </w:rPr>
              <w:t>服务器安全 运营管理平 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3,315,940.87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1,298,279.91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4,614,220.78</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7" w:lineRule="auto" w:before="49"/>
              <w:ind w:left="22" w:right="129"/>
              <w:jc w:val="left"/>
              <w:rPr>
                <w:rFonts w:ascii="宋体" w:hAnsi="宋体" w:cs="宋体" w:eastAsia="宋体" w:hint="default"/>
                <w:sz w:val="18"/>
                <w:szCs w:val="18"/>
              </w:rPr>
            </w:pPr>
            <w:r>
              <w:rPr>
                <w:rFonts w:ascii="宋体" w:hAnsi="宋体" w:cs="宋体" w:eastAsia="宋体" w:hint="default"/>
                <w:sz w:val="18"/>
                <w:szCs w:val="18"/>
              </w:rPr>
              <w:t>北信源 </w:t>
            </w:r>
            <w:r>
              <w:rPr>
                <w:rFonts w:ascii="Times New Roman" w:hAnsi="Times New Roman" w:cs="Times New Roman" w:eastAsia="Times New Roman" w:hint="default"/>
                <w:sz w:val="18"/>
                <w:szCs w:val="18"/>
              </w:rPr>
              <w:t>CEMS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统一 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9,039,174.32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9,039,174.32</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9"/>
              <w:jc w:val="left"/>
              <w:rPr>
                <w:rFonts w:ascii="宋体" w:hAnsi="宋体" w:cs="宋体" w:eastAsia="宋体" w:hint="default"/>
                <w:sz w:val="18"/>
                <w:szCs w:val="18"/>
              </w:rPr>
            </w:pPr>
            <w:r>
              <w:rPr>
                <w:rFonts w:ascii="宋体" w:hAnsi="宋体" w:cs="宋体" w:eastAsia="宋体" w:hint="default"/>
                <w:sz w:val="18"/>
                <w:szCs w:val="18"/>
              </w:rPr>
              <w:t>特权账号监 管系统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1,959,167.07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1,959,167.07</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3"/>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28,217,066.7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41,142,993.5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center"/>
              <w:rPr>
                <w:rFonts w:ascii="Times New Roman" w:hAnsi="Times New Roman" w:cs="Times New Roman" w:eastAsia="Times New Roman" w:hint="default"/>
                <w:sz w:val="18"/>
                <w:szCs w:val="18"/>
              </w:rPr>
            </w:pPr>
            <w:r>
              <w:rPr>
                <w:rFonts w:ascii="Times New Roman"/>
                <w:sz w:val="18"/>
              </w:rPr>
              <w:t>19,642,086.37</w:t>
            </w:r>
          </w:p>
        </w:tc>
        <w:tc>
          <w:tcPr>
            <w:tcW w:w="91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49,717,973.9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19</w:t>
      </w:r>
      <w:r>
        <w:rPr/>
        <w:t>、商誉</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北京中软华泰信 息技术有限责任 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82,754,563.28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82,754,563.28</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82,754,563.28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82,754,563.28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133" w:top="1060" w:bottom="132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944,530.02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44,209.00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433,237.71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555,501.31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222,601.06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4,021,143.13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742,152.35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3,501,591.84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165,704.46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2,885,828.12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537,562.48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2,513,970.10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1,332,835.54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6,951,180.25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1,712,952.54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6,571,063.25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162,315,445.38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24,350,754.54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109,411,236.45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17,293,179.39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14,414,135.84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3,514,638.01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3,860,520.86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874,546.74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4,354,317.27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1,088,579.32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8,952,407.17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1,342,861.08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7,497,275.00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1,124,591.25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204,617.24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30,692.58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204,617.24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30,692.58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190,240,922.90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30,327,525.53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120,973,649.55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19,323,009.96</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8,060,000.00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1,209,000.00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1,365,000.00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8,060,000.00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1,209,000.00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1,365,000.00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30,327,525.53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19,323,009.96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133" w:top="1060" w:bottom="132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1,209,000.00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1,365,000.00</w:t>
            </w:r>
          </w:p>
        </w:tc>
      </w:tr>
    </w:tbl>
    <w:p>
      <w:pPr>
        <w:spacing w:line="240" w:lineRule="auto" w:before="3"/>
        <w:rPr>
          <w:rFonts w:ascii="宋体" w:hAnsi="宋体" w:cs="宋体" w:eastAsia="宋体" w:hint="default"/>
          <w:sz w:val="19"/>
          <w:szCs w:val="19"/>
        </w:rPr>
      </w:pPr>
    </w:p>
    <w:p>
      <w:pPr>
        <w:pStyle w:val="Heading3"/>
        <w:spacing w:line="335" w:lineRule="exact"/>
        <w:ind w:right="94"/>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14,854,533.18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18,089,117.49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2,371,204.92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2,107,362.61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内部交易未实现部分</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36,204.83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37,247.31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17,261,942.93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20,233,727.41</w:t>
            </w:r>
          </w:p>
        </w:tc>
      </w:tr>
    </w:tbl>
    <w:p>
      <w:pPr>
        <w:spacing w:line="240" w:lineRule="auto" w:before="3"/>
        <w:rPr>
          <w:rFonts w:ascii="宋体" w:hAnsi="宋体" w:cs="宋体" w:eastAsia="宋体" w:hint="default"/>
          <w:sz w:val="19"/>
          <w:szCs w:val="19"/>
        </w:rPr>
      </w:pPr>
    </w:p>
    <w:p>
      <w:pPr>
        <w:pStyle w:val="Heading3"/>
        <w:spacing w:line="335" w:lineRule="exact"/>
        <w:ind w:right="94"/>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3,563,492.50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3,563,492.50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2,583,958.26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2,583,958.26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3,100,473.23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11,941,666.73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5,606,609.19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14,854,533.18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18,089,117.49</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94"/>
        <w:jc w:val="left"/>
        <w:rPr>
          <w:b w:val="0"/>
          <w:bCs w:val="0"/>
        </w:rPr>
      </w:pPr>
      <w:r>
        <w:rPr>
          <w:rFonts w:ascii="Times New Roman" w:hAnsi="Times New Roman" w:cs="Times New Roman" w:eastAsia="Times New Roman" w:hint="default"/>
        </w:rPr>
        <w:t>22</w:t>
      </w:r>
      <w:r>
        <w:rPr/>
        <w:t>、其他非流动资产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嘉兴北源投资合伙企业（有限合伙）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19,101,841.22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19,101,841.22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4"/>
        <w:jc w:val="left"/>
      </w:pPr>
      <w:r>
        <w:rPr/>
        <w:t>其他说明：</w:t>
      </w:r>
    </w:p>
    <w:p>
      <w:pPr>
        <w:pStyle w:val="BodyText"/>
        <w:spacing w:line="316" w:lineRule="auto" w:before="115"/>
        <w:ind w:right="94" w:firstLine="288"/>
        <w:jc w:val="left"/>
      </w:pP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22</w:t>
      </w:r>
      <w:r>
        <w:rPr>
          <w:spacing w:val="-2"/>
        </w:rPr>
        <w:t>日，本公司与普通合伙人嘉兴柒玖投资管理合伙企业（有限合伙），有限合伙人成都瑞信和科技有限公司、</w:t>
      </w:r>
      <w:r>
        <w:rPr/>
        <w:t> </w:t>
      </w:r>
      <w:r>
        <w:rPr>
          <w:spacing w:val="-2"/>
        </w:rPr>
        <w:t>北京东升科技企业加速器有限公司签署了《嘉兴北源投资合伙企业（有限合伙）有限合伙协议》，共同出资设立嘉兴北源投</w:t>
      </w:r>
      <w:r>
        <w:rPr>
          <w:spacing w:val="-67"/>
        </w:rPr>
        <w:t> </w:t>
      </w:r>
      <w:r>
        <w:rPr>
          <w:spacing w:val="-67"/>
        </w:rPr>
      </w:r>
      <w:r>
        <w:rPr/>
        <w:t>资合伙企业（有限合伙），认缴出资额人民币</w:t>
      </w:r>
      <w:r>
        <w:rPr>
          <w:rFonts w:ascii="宋体" w:hAnsi="宋体" w:cs="宋体" w:eastAsia="宋体" w:hint="default"/>
        </w:rPr>
        <w:t>1</w:t>
      </w:r>
      <w:r>
        <w:rPr/>
        <w:t>亿元，其中北信源认缴出资额为</w:t>
      </w:r>
      <w:r>
        <w:rPr>
          <w:rFonts w:ascii="宋体" w:hAnsi="宋体" w:cs="宋体" w:eastAsia="宋体" w:hint="default"/>
        </w:rPr>
        <w:t>8000</w:t>
      </w:r>
      <w:r>
        <w:rPr/>
        <w:t>万元，截止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日，北信源实 际出资</w:t>
      </w:r>
      <w:r>
        <w:rPr>
          <w:rFonts w:ascii="宋体" w:hAnsi="宋体" w:cs="宋体" w:eastAsia="宋体" w:hint="default"/>
        </w:rPr>
        <w:t>2,080</w:t>
      </w:r>
      <w:r>
        <w:rPr/>
        <w:t>万元，占比为</w:t>
      </w:r>
      <w:r>
        <w:rPr>
          <w:rFonts w:ascii="宋体" w:hAnsi="宋体" w:cs="宋体" w:eastAsia="宋体" w:hint="default"/>
        </w:rPr>
        <w:t>80%</w:t>
      </w:r>
      <w:r>
        <w:rPr/>
        <w:t>。具有重大影响，按权益法核算。</w:t>
      </w:r>
    </w:p>
    <w:p>
      <w:pPr>
        <w:spacing w:line="240" w:lineRule="auto" w:before="9"/>
        <w:rPr>
          <w:rFonts w:ascii="宋体" w:hAnsi="宋体" w:cs="宋体" w:eastAsia="宋体" w:hint="default"/>
          <w:sz w:val="17"/>
          <w:szCs w:val="17"/>
        </w:rPr>
      </w:pPr>
    </w:p>
    <w:p>
      <w:pPr>
        <w:pStyle w:val="Heading3"/>
        <w:spacing w:line="403" w:lineRule="auto"/>
        <w:ind w:right="8554"/>
        <w:jc w:val="left"/>
        <w:rPr>
          <w:b w:val="0"/>
          <w:bCs w:val="0"/>
        </w:rPr>
      </w:pPr>
      <w:r>
        <w:rPr>
          <w:rFonts w:ascii="Times New Roman" w:hAnsi="Times New Roman" w:cs="Times New Roman" w:eastAsia="Times New Roman" w:hint="default"/>
        </w:rPr>
        <w:t>23</w:t>
      </w:r>
      <w:r>
        <w:rPr/>
        <w:t>、短期借款</w:t>
      </w:r>
      <w:r>
        <w:rPr>
          <w:spacing w:val="-48"/>
        </w:rPr>
        <w:t> </w:t>
      </w:r>
      <w:r>
        <w:rPr/>
        <w:t>短期借款分类</w:t>
      </w:r>
      <w:r>
        <w:rPr>
          <w:b w:val="0"/>
          <w:bCs w:val="0"/>
        </w:rPr>
      </w:r>
    </w:p>
    <w:p>
      <w:pPr>
        <w:pStyle w:val="BodyText"/>
        <w:spacing w:line="240" w:lineRule="auto" w:before="144"/>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1133" w:top="1060" w:bottom="132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24</w:t>
      </w:r>
      <w:r>
        <w:rPr/>
        <w:t>、衍生金融负债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25</w:t>
      </w:r>
      <w:r>
        <w:rPr/>
        <w:t>、应付票据</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17,523,000.00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17,523,000.00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26</w:t>
      </w:r>
      <w:r>
        <w:rPr/>
        <w:t>、应付账款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应付采购产品款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32,853,516.09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23,866,018.22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应付技术服务费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520,553.20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549,068.00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1,638,185.00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997,340.82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35,012,254.29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25,412,427.04</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年的重要应付账款</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中电科华云信息技术有限公司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南京保旺达科技有限公司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南京必得文化广告公司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江苏怡海科技发展有限公司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888,461.00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上海金电网安科技有限公司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9,086,461.00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1133" w:top="1060" w:bottom="132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27</w:t>
      </w:r>
      <w:r>
        <w:rPr/>
        <w:t>、预收款项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预收产品款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31,612,571.80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9,152,783.32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31,612,571.80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9,152,783.32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年的重要预收款项</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武汉佰思杰科技有限公司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128,850.22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未实现销售</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王经纬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112,057.00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未实现销售</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中国北方工业公司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未实现销售</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南京市财政局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未实现销售</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北京卫星制造厂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未实现销售</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462,967.22</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28</w:t>
      </w:r>
      <w:r>
        <w:rPr/>
        <w:t>、应付职工薪酬</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428,065.34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162,501,244.82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162,435,071.59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494,238.57</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9,902.05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12,853,735.55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12,839,838.39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23,799.21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77,284.67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77,284.67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437,967.39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175,432,265.04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175,352,194.65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518,037.78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73" w:right="0"/>
              <w:jc w:val="left"/>
              <w:rPr>
                <w:rFonts w:ascii="Times New Roman" w:hAnsi="Times New Roman" w:cs="Times New Roman" w:eastAsia="Times New Roman" w:hint="default"/>
                <w:sz w:val="18"/>
                <w:szCs w:val="18"/>
              </w:rPr>
            </w:pPr>
            <w:r>
              <w:rPr>
                <w:rFonts w:ascii="Times New Roman"/>
                <w:sz w:val="18"/>
              </w:rPr>
              <w:t>361,363.38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142,224,448.43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142,128,210.48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70" w:right="0"/>
              <w:jc w:val="left"/>
              <w:rPr>
                <w:rFonts w:ascii="Times New Roman" w:hAnsi="Times New Roman" w:cs="Times New Roman" w:eastAsia="Times New Roman" w:hint="default"/>
                <w:sz w:val="18"/>
                <w:szCs w:val="18"/>
              </w:rPr>
            </w:pPr>
            <w:r>
              <w:rPr>
                <w:rFonts w:ascii="Times New Roman"/>
                <w:sz w:val="18"/>
              </w:rPr>
              <w:t>457,601.33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8,232,303.49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8,232,303.49</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33" w:top="1060" w:bottom="132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3,785.72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6,782,744.63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6,766,693.39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19,836.96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3,785.72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6,031,249.76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6,017,001.88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18,033.60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164,940.20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164,579.53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360.67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478,482.29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477,039.60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1,442.69</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4"/>
              <w:jc w:val="right"/>
              <w:rPr>
                <w:rFonts w:ascii="宋体" w:hAnsi="宋体" w:cs="宋体" w:eastAsia="宋体" w:hint="default"/>
                <w:sz w:val="18"/>
                <w:szCs w:val="18"/>
              </w:rPr>
            </w:pPr>
            <w:r>
              <w:rPr>
                <w:rFonts w:ascii="宋体" w:hAnsi="宋体" w:cs="宋体" w:eastAsia="宋体" w:hint="default"/>
                <w:sz w:val="18"/>
                <w:szCs w:val="18"/>
              </w:rPr>
              <w:t>补</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充医疗</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108,072.38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108,072.38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38,801.00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3,933,799.40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3,972,600.40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24,115.24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1,327,948.87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1,335,263.83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16,800.28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428,065.34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162,501,244.82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162,435,071.59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494,238.57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9,748.96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12,391,107.39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12,378,018.73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22,837.62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462,628.16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461,819.66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961.59</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9,902.05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12,853,735.55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12,839,838.39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23,799.21</w:t>
            </w:r>
          </w:p>
        </w:tc>
      </w:tr>
    </w:tbl>
    <w:p>
      <w:pPr>
        <w:pStyle w:val="BodyText"/>
        <w:spacing w:line="240" w:lineRule="auto" w:before="49"/>
        <w:ind w:right="0"/>
        <w:jc w:val="left"/>
      </w:pPr>
      <w:r>
        <w:rPr/>
        <w:t>其他说明：</w:t>
      </w:r>
    </w:p>
    <w:p>
      <w:pPr>
        <w:pStyle w:val="BodyText"/>
        <w:spacing w:line="316" w:lineRule="auto" w:before="115"/>
        <w:ind w:right="150" w:firstLine="312"/>
        <w:jc w:val="both"/>
      </w:pPr>
      <w:r>
        <w:rPr/>
        <w:t>本公司按规定参加由政府机构设立的养老保险、失业保险计划，根据该等计划，本公司分别按员工基本工资的</w:t>
      </w:r>
      <w:r>
        <w:rPr>
          <w:rFonts w:ascii="宋体" w:hAnsi="宋体" w:cs="宋体" w:eastAsia="宋体" w:hint="default"/>
        </w:rPr>
        <w:t>19%</w:t>
      </w:r>
      <w:r>
        <w:rPr/>
        <w:t>、</w:t>
      </w:r>
      <w:r>
        <w:rPr>
          <w:rFonts w:ascii="宋体" w:hAnsi="宋体" w:cs="宋体" w:eastAsia="宋体" w:hint="default"/>
        </w:rPr>
        <w:t>1%</w:t>
      </w:r>
      <w:r>
        <w:rPr>
          <w:rFonts w:ascii="宋体" w:hAnsi="宋体" w:cs="宋体" w:eastAsia="宋体" w:hint="default"/>
          <w:spacing w:val="1"/>
        </w:rPr>
        <w:t> </w:t>
      </w:r>
      <w:r>
        <w:rPr>
          <w:spacing w:val="-2"/>
        </w:rPr>
        <w:t>每月向该等计划缴存费用。除上述每月缴存费用外，本公司不再承担进一步支付义务。相应的支出于发生时计入当期损益或</w:t>
      </w:r>
      <w:r>
        <w:rPr>
          <w:spacing w:val="-63"/>
        </w:rPr>
        <w:t> </w:t>
      </w:r>
      <w:r>
        <w:rPr>
          <w:spacing w:val="-63"/>
        </w:rPr>
      </w:r>
      <w:r>
        <w:rPr/>
        <w:t>相关资产的成本。</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29</w:t>
      </w:r>
      <w:r>
        <w:rPr/>
        <w:t>、应交税费</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102,701,429.99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87,503,033.81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20,840,708.53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13,330,102.10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933,316.27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690,180.86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6,731,472.77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5,015,928.54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4,720,880.93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3,576,317.49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52,068.65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273,663.72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契税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33,373.00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30,615.27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136,283,250.14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110,689,841.79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33" w:top="1060" w:bottom="132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30</w:t>
      </w:r>
      <w:r>
        <w:rPr/>
        <w:t>、其他应付款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2,313,475.55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6,275,243.00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1,622,579.00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3,361,996.50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253,815.67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236,224.19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2,551,712.48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1,246,084.14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6,741,582.70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11,119,547.83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年的重要其他应付款</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田秋桂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股权收购款，未到支付期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马永清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股权收购款，未到支付期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王俊锋</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股权收购款，未到支付期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长沙市卓能环保科技有限公司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101,088.00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代理费，未到支付期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北京东方微点信息技术有限责任公司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代理费，未到支付期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2,201,088.00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31</w:t>
      </w:r>
      <w:r>
        <w:rPr/>
        <w:t>、递延收益</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7,497,275.00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1,544,867.83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8,952,407.17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7,497,275.00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1,544,867.83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8,952,407.17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涉及政府补助的项目：</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76" w:right="72"/>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79" w:right="72"/>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工程实验室 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7,497,275.00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1,279,300.00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6,217,975.00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北京市经济 和信息化委</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265,567.83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234,432.17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1133" w:top="1060" w:bottom="132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129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29"/>
              <w:jc w:val="both"/>
              <w:rPr>
                <w:rFonts w:ascii="宋体" w:hAnsi="宋体" w:cs="宋体" w:eastAsia="宋体" w:hint="default"/>
                <w:sz w:val="18"/>
                <w:szCs w:val="18"/>
              </w:rPr>
            </w:pPr>
            <w:r>
              <w:rPr>
                <w:rFonts w:ascii="宋体" w:hAnsi="宋体" w:cs="宋体" w:eastAsia="宋体" w:hint="default"/>
                <w:sz w:val="18"/>
                <w:szCs w:val="18"/>
              </w:rPr>
              <w:t>员会支付北 京高精尖产 业发展资金 款项目</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北京市经济 和信息化委 员会支付北 京高精尖产 业发展资金 款项目</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7,497,275.00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1,544,867.83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8,952,407.17</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94"/>
        <w:jc w:val="left"/>
        <w:rPr>
          <w:b w:val="0"/>
          <w:bCs w:val="0"/>
        </w:rPr>
      </w:pPr>
      <w:r>
        <w:rPr>
          <w:rFonts w:ascii="Times New Roman" w:hAnsi="Times New Roman" w:cs="Times New Roman" w:eastAsia="Times New Roman" w:hint="default"/>
        </w:rPr>
        <w:t>32</w:t>
      </w:r>
      <w:r>
        <w:rPr/>
        <w:t>、股本</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9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403"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579,929,635.00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869,894,452.00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869,894,452.00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1,449,824,087.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3"/>
        <w:rPr>
          <w:rFonts w:ascii="宋体" w:hAnsi="宋体" w:cs="宋体" w:eastAsia="宋体" w:hint="default"/>
          <w:sz w:val="19"/>
          <w:szCs w:val="19"/>
        </w:rPr>
      </w:pPr>
    </w:p>
    <w:p>
      <w:pPr>
        <w:pStyle w:val="Heading3"/>
        <w:spacing w:line="335" w:lineRule="exact"/>
        <w:ind w:right="94"/>
        <w:jc w:val="left"/>
        <w:rPr>
          <w:b w:val="0"/>
          <w:bCs w:val="0"/>
        </w:rPr>
      </w:pPr>
      <w:r>
        <w:rPr>
          <w:rFonts w:ascii="Times New Roman" w:hAnsi="Times New Roman" w:cs="Times New Roman" w:eastAsia="Times New Roman" w:hint="default"/>
        </w:rPr>
        <w:t>33</w:t>
      </w:r>
      <w:r>
        <w:rPr/>
        <w:t>、资本公积</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1,181,768,548.77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869,894,452.00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311,874,096.77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4,003,788.51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4,003,788.51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1,185,772,337.28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869,894,452.00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315,877,885.28</w:t>
            </w:r>
          </w:p>
        </w:tc>
      </w:tr>
    </w:tbl>
    <w:p>
      <w:pPr>
        <w:pStyle w:val="BodyText"/>
        <w:spacing w:line="360" w:lineRule="auto" w:before="49"/>
        <w:ind w:left="513" w:right="93" w:hanging="361"/>
        <w:jc w:val="left"/>
      </w:pPr>
      <w:r>
        <w:rPr/>
        <w:t>其他说明，包括本期增减变动情况、变动原因说明： </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8</w:t>
      </w:r>
      <w:r>
        <w:rPr/>
        <w:t>日，公司召开</w:t>
      </w:r>
      <w:r>
        <w:rPr>
          <w:rFonts w:ascii="宋体" w:hAnsi="宋体" w:cs="宋体" w:eastAsia="宋体" w:hint="default"/>
        </w:rPr>
        <w:t>2016</w:t>
      </w:r>
      <w:r>
        <w:rPr/>
        <w:t>年度股东大会，审议通过了《关于</w:t>
      </w:r>
      <w:r>
        <w:rPr>
          <w:rFonts w:ascii="宋体" w:hAnsi="宋体" w:cs="宋体" w:eastAsia="宋体" w:hint="default"/>
        </w:rPr>
        <w:t>2016</w:t>
      </w:r>
      <w:r>
        <w:rPr/>
        <w:t>年度利润分配及资本公积金转增股本预案的议案》</w:t>
      </w:r>
    </w:p>
    <w:p>
      <w:pPr>
        <w:pStyle w:val="BodyText"/>
        <w:spacing w:line="222" w:lineRule="exact"/>
        <w:ind w:right="0"/>
        <w:jc w:val="left"/>
        <w:rPr>
          <w:rFonts w:ascii="宋体" w:hAnsi="宋体" w:cs="宋体" w:eastAsia="宋体" w:hint="default"/>
        </w:rPr>
      </w:pPr>
      <w:r>
        <w:rPr/>
        <w:t>和《关于增加注册资本并修订公司章程的议案》的决议。新增的注册资本为人民币</w:t>
      </w:r>
      <w:r>
        <w:rPr>
          <w:rFonts w:ascii="宋体" w:hAnsi="宋体" w:cs="宋体" w:eastAsia="宋体" w:hint="default"/>
        </w:rPr>
        <w:t>869,894,452.00</w:t>
      </w:r>
      <w:r>
        <w:rPr/>
        <w:t>元，公司按每</w:t>
      </w:r>
      <w:r>
        <w:rPr>
          <w:rFonts w:ascii="宋体" w:hAnsi="宋体" w:cs="宋体" w:eastAsia="宋体" w:hint="default"/>
        </w:rPr>
        <w:t>10</w:t>
      </w:r>
      <w:r>
        <w:rPr/>
        <w:t>股转增</w:t>
      </w:r>
      <w:r>
        <w:rPr>
          <w:rFonts w:ascii="宋体" w:hAnsi="宋体" w:cs="宋体" w:eastAsia="宋体" w:hint="default"/>
        </w:rPr>
        <w:t>15</w:t>
      </w:r>
    </w:p>
    <w:p>
      <w:pPr>
        <w:pStyle w:val="BodyText"/>
        <w:spacing w:line="316" w:lineRule="auto" w:before="76"/>
        <w:ind w:right="94"/>
        <w:jc w:val="left"/>
      </w:pPr>
      <w:r>
        <w:rPr>
          <w:spacing w:val="-2"/>
        </w:rPr>
        <w:t>股的比例，以资本公积向全体股东转增股份总额</w:t>
      </w:r>
      <w:r>
        <w:rPr>
          <w:rFonts w:ascii="宋体" w:hAnsi="宋体" w:cs="宋体" w:eastAsia="宋体" w:hint="default"/>
          <w:spacing w:val="-2"/>
        </w:rPr>
        <w:t>869,894,452</w:t>
      </w:r>
      <w:r>
        <w:rPr>
          <w:spacing w:val="-2"/>
        </w:rPr>
        <w:t>股，每股面值</w:t>
      </w:r>
      <w:r>
        <w:rPr>
          <w:rFonts w:ascii="宋体" w:hAnsi="宋体" w:cs="宋体" w:eastAsia="宋体" w:hint="default"/>
          <w:spacing w:val="-2"/>
        </w:rPr>
        <w:t>1</w:t>
      </w:r>
      <w:r>
        <w:rPr>
          <w:spacing w:val="-2"/>
        </w:rPr>
        <w:t>元，共计增加股本人民币</w:t>
      </w:r>
      <w:r>
        <w:rPr>
          <w:rFonts w:ascii="宋体" w:hAnsi="宋体" w:cs="宋体" w:eastAsia="宋体" w:hint="default"/>
          <w:spacing w:val="-2"/>
        </w:rPr>
        <w:t>869,894,452.00</w:t>
      </w:r>
      <w:r>
        <w:rPr>
          <w:spacing w:val="-2"/>
        </w:rPr>
        <w:t>元，增</w:t>
      </w:r>
      <w:r>
        <w:rPr>
          <w:spacing w:val="-46"/>
        </w:rPr>
        <w:t> </w:t>
      </w:r>
      <w:r>
        <w:rPr>
          <w:spacing w:val="-46"/>
        </w:rPr>
      </w:r>
      <w:r>
        <w:rPr/>
        <w:t>资后的股本总额为</w:t>
      </w:r>
      <w:r>
        <w:rPr>
          <w:rFonts w:ascii="宋体" w:hAnsi="宋体" w:cs="宋体" w:eastAsia="宋体" w:hint="default"/>
        </w:rPr>
        <w:t>1,449,824,087.00</w:t>
      </w:r>
      <w:r>
        <w:rPr/>
        <w:t>元。</w:t>
      </w:r>
    </w:p>
    <w:p>
      <w:pPr>
        <w:spacing w:line="240" w:lineRule="auto" w:before="9"/>
        <w:rPr>
          <w:rFonts w:ascii="宋体" w:hAnsi="宋体" w:cs="宋体" w:eastAsia="宋体" w:hint="default"/>
          <w:sz w:val="17"/>
          <w:szCs w:val="17"/>
        </w:rPr>
      </w:pPr>
    </w:p>
    <w:p>
      <w:pPr>
        <w:pStyle w:val="Heading3"/>
        <w:spacing w:line="240" w:lineRule="auto"/>
        <w:ind w:right="94"/>
        <w:jc w:val="left"/>
        <w:rPr>
          <w:b w:val="0"/>
          <w:bCs w:val="0"/>
        </w:rPr>
      </w:pPr>
      <w:r>
        <w:rPr>
          <w:rFonts w:ascii="Times New Roman" w:hAnsi="Times New Roman" w:cs="Times New Roman" w:eastAsia="Times New Roman" w:hint="default"/>
        </w:rPr>
        <w:t>34</w:t>
      </w:r>
      <w:r>
        <w:rPr/>
        <w:t>、其他综合收益</w:t>
      </w:r>
      <w:r>
        <w:rPr>
          <w:b w:val="0"/>
          <w:bCs w:val="0"/>
        </w:rPr>
      </w:r>
    </w:p>
    <w:p>
      <w:pPr>
        <w:spacing w:line="240" w:lineRule="auto" w:before="0"/>
        <w:rPr>
          <w:rFonts w:ascii="Microsoft JhengHei" w:hAnsi="Microsoft JhengHei" w:cs="Microsoft JhengHei" w:eastAsia="Microsoft JhengHei" w:hint="default"/>
          <w:b/>
          <w:bCs/>
          <w:sz w:val="22"/>
          <w:szCs w:val="22"/>
        </w:rPr>
      </w:pPr>
    </w:p>
    <w:p>
      <w:pPr>
        <w:spacing w:line="240" w:lineRule="auto" w:before="0"/>
        <w:rPr>
          <w:rFonts w:ascii="Microsoft JhengHei" w:hAnsi="Microsoft JhengHei" w:cs="Microsoft JhengHei" w:eastAsia="Microsoft JhengHei" w:hint="default"/>
          <w:b/>
          <w:bCs/>
          <w:sz w:val="22"/>
          <w:szCs w:val="22"/>
        </w:rPr>
      </w:pPr>
    </w:p>
    <w:p>
      <w:pPr>
        <w:spacing w:line="240" w:lineRule="auto" w:before="10"/>
        <w:rPr>
          <w:rFonts w:ascii="Microsoft JhengHei" w:hAnsi="Microsoft JhengHei" w:cs="Microsoft JhengHei" w:eastAsia="Microsoft JhengHei" w:hint="default"/>
          <w:b/>
          <w:bCs/>
          <w:sz w:val="15"/>
          <w:szCs w:val="15"/>
        </w:rPr>
      </w:pPr>
    </w:p>
    <w:p>
      <w:pPr>
        <w:pStyle w:val="BodyText"/>
        <w:spacing w:line="240" w:lineRule="auto"/>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0"/>
        <w:gridCol w:w="1068"/>
        <w:gridCol w:w="936"/>
        <w:gridCol w:w="1152"/>
        <w:gridCol w:w="934"/>
        <w:gridCol w:w="937"/>
        <w:gridCol w:w="936"/>
        <w:gridCol w:w="799"/>
      </w:tblGrid>
      <w:tr>
        <w:trPr>
          <w:trHeight w:val="404" w:hRule="exact"/>
        </w:trPr>
        <w:tc>
          <w:tcPr>
            <w:tcW w:w="28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1" w:hRule="exact"/>
        </w:trPr>
        <w:tc>
          <w:tcPr>
            <w:tcW w:w="2810"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本期所得</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减：前期计入</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5"/>
                <w:sz w:val="18"/>
                <w:szCs w:val="18"/>
              </w:rPr>
              <w:t>减：所得税</w:t>
            </w: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税后归属</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税后归属</w:t>
            </w:r>
          </w:p>
        </w:tc>
        <w:tc>
          <w:tcPr>
            <w:tcW w:w="79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1133" w:top="1060" w:bottom="132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811"/>
        <w:gridCol w:w="1068"/>
        <w:gridCol w:w="936"/>
        <w:gridCol w:w="1152"/>
        <w:gridCol w:w="934"/>
        <w:gridCol w:w="937"/>
        <w:gridCol w:w="936"/>
        <w:gridCol w:w="797"/>
      </w:tblGrid>
      <w:tr>
        <w:trPr>
          <w:trHeight w:val="675"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71" w:right="101" w:hanging="269"/>
              <w:jc w:val="left"/>
              <w:rPr>
                <w:rFonts w:ascii="宋体" w:hAnsi="宋体" w:cs="宋体" w:eastAsia="宋体" w:hint="default"/>
                <w:sz w:val="18"/>
                <w:szCs w:val="18"/>
              </w:rPr>
            </w:pPr>
            <w:r>
              <w:rPr>
                <w:rFonts w:ascii="宋体" w:hAnsi="宋体" w:cs="宋体" w:eastAsia="宋体" w:hint="default"/>
                <w:sz w:val="18"/>
                <w:szCs w:val="18"/>
              </w:rPr>
              <w:t>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1" w:right="29"/>
              <w:jc w:val="left"/>
              <w:rPr>
                <w:rFonts w:ascii="宋体" w:hAnsi="宋体" w:cs="宋体" w:eastAsia="宋体" w:hint="default"/>
                <w:sz w:val="18"/>
                <w:szCs w:val="18"/>
              </w:rPr>
            </w:pPr>
            <w:r>
              <w:rPr>
                <w:rFonts w:ascii="宋体" w:hAnsi="宋体" w:cs="宋体" w:eastAsia="宋体" w:hint="default"/>
                <w:sz w:val="18"/>
                <w:szCs w:val="18"/>
              </w:rPr>
              <w:t>其他综合收益 当期转入损益</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于母公司</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74" w:right="98" w:hanging="269"/>
              <w:jc w:val="left"/>
              <w:rPr>
                <w:rFonts w:ascii="宋体" w:hAnsi="宋体" w:cs="宋体" w:eastAsia="宋体" w:hint="default"/>
                <w:sz w:val="18"/>
                <w:szCs w:val="18"/>
              </w:rPr>
            </w:pPr>
            <w:r>
              <w:rPr>
                <w:rFonts w:ascii="宋体" w:hAnsi="宋体" w:cs="宋体" w:eastAsia="宋体" w:hint="default"/>
                <w:sz w:val="18"/>
                <w:szCs w:val="18"/>
              </w:rPr>
              <w:t>于少数股 东</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-1,913,861.77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211,667.70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211,667.70</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-1,702,19</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4.07</w:t>
            </w:r>
          </w:p>
        </w:tc>
      </w:tr>
      <w:tr>
        <w:trPr>
          <w:trHeight w:val="161" w:hRule="exact"/>
        </w:trPr>
        <w:tc>
          <w:tcPr>
            <w:tcW w:w="2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-1,913,861.77</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211,667.70</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211,667.70</w:t>
            </w:r>
          </w:p>
        </w:tc>
        <w:tc>
          <w:tcPr>
            <w:tcW w:w="93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-1,702,19</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4.07</w:t>
            </w:r>
          </w:p>
        </w:tc>
      </w:tr>
      <w:tr>
        <w:trPr>
          <w:trHeight w:val="394"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8"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7"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1" w:hRule="exact"/>
        </w:trPr>
        <w:tc>
          <w:tcPr>
            <w:tcW w:w="2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-1,913,861.77</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211,667.70</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211,667.70</w:t>
            </w:r>
          </w:p>
        </w:tc>
        <w:tc>
          <w:tcPr>
            <w:tcW w:w="93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-1,702,19</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4.07</w:t>
            </w:r>
          </w:p>
        </w:tc>
      </w:tr>
      <w:tr>
        <w:trPr>
          <w:trHeight w:val="391"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7"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其他说明，包括对现金流量套期损益的有效部分转为被套期项目初始确认金额调整：无</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35</w:t>
      </w:r>
      <w:r>
        <w:rPr/>
        <w:t>、盈余公积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43,307,028.21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8,980,881.21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52,287,909.42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43,307,028.21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8,980,881.21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52,287,909.42</w:t>
            </w:r>
          </w:p>
        </w:tc>
      </w:tr>
    </w:tbl>
    <w:p>
      <w:pPr>
        <w:pStyle w:val="BodyText"/>
        <w:spacing w:line="357" w:lineRule="auto" w:before="49"/>
        <w:ind w:left="513" w:right="143" w:hanging="361"/>
        <w:jc w:val="left"/>
      </w:pPr>
      <w:r>
        <w:rPr/>
        <w:t>盈余公积说明，包括本期增减变动情况、变动原因说明： 注：根据《公司法》、公司章程的规定，本公司按净利润的</w:t>
      </w:r>
      <w:r>
        <w:rPr>
          <w:rFonts w:ascii="宋体" w:hAnsi="宋体" w:cs="宋体" w:eastAsia="宋体" w:hint="default"/>
        </w:rPr>
        <w:t>10%</w:t>
      </w:r>
      <w:r>
        <w:rPr/>
        <w:t>提取法定盈余公积。法定盈余公积累计额达到本公司注</w:t>
      </w:r>
    </w:p>
    <w:p>
      <w:pPr>
        <w:pStyle w:val="BodyText"/>
        <w:spacing w:line="224" w:lineRule="exact"/>
        <w:ind w:right="0"/>
        <w:jc w:val="left"/>
      </w:pPr>
      <w:r>
        <w:rPr/>
        <w:t>册资本</w:t>
      </w:r>
      <w:r>
        <w:rPr>
          <w:rFonts w:ascii="宋体" w:hAnsi="宋体" w:cs="宋体" w:eastAsia="宋体" w:hint="default"/>
        </w:rPr>
        <w:t>50%</w:t>
      </w:r>
      <w:r>
        <w:rPr/>
        <w:t>以上的，不再提取。</w:t>
      </w:r>
    </w:p>
    <w:p>
      <w:pPr>
        <w:pStyle w:val="BodyText"/>
        <w:spacing w:line="240" w:lineRule="auto" w:before="77"/>
        <w:ind w:left="515" w:right="0"/>
        <w:jc w:val="left"/>
      </w:pPr>
      <w:r>
        <w:rPr/>
        <w:t>本公司在提取法定盈余公积金后，可提取任意盈余公积金。经批准，任意盈余公积金可用于弥补以前年度亏损或增加股</w:t>
      </w:r>
    </w:p>
    <w:p>
      <w:pPr>
        <w:pStyle w:val="BodyText"/>
        <w:spacing w:line="240" w:lineRule="auto" w:before="76"/>
        <w:ind w:right="0"/>
        <w:jc w:val="left"/>
      </w:pPr>
      <w:r>
        <w:rPr/>
        <w:t>本。</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36</w:t>
      </w:r>
      <w:r>
        <w:rPr/>
        <w:t>、未分配利润</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19"/>
      </w:tblGrid>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337,159,052.64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275,860,659.08</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337,159,052.64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275,860,659.08</w:t>
            </w:r>
          </w:p>
        </w:tc>
      </w:tr>
      <w:tr>
        <w:trPr>
          <w:trHeight w:val="404"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91,451,980.39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80,347,228.14</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8,980,881.21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6,888,658.99</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23,197,185.40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12,160,175.59</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396,432,966.42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337,159,052.64</w:t>
            </w:r>
          </w:p>
        </w:tc>
      </w:tr>
    </w:tbl>
    <w:p>
      <w:pPr>
        <w:pStyle w:val="BodyText"/>
        <w:spacing w:line="240" w:lineRule="auto" w:before="49"/>
        <w:ind w:right="0"/>
        <w:jc w:val="left"/>
      </w:pPr>
      <w:r>
        <w:rPr/>
        <w:t>调整期初未分配利润明细：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45" w:footer="1133" w:top="1060" w:bottom="132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37</w:t>
      </w:r>
      <w:r>
        <w:rPr/>
        <w:t>、营业收入和营业成本</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469,118,115.17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113,205,815.14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482,375,213.49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176,977,710.36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45,734,495.75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49,649,836.72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9,924,564.07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5,611,821.24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514,852,610.92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162,855,651.86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492,299,777.56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182,589,531.60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38</w:t>
      </w:r>
      <w:r>
        <w:rPr/>
        <w:t>、税金及附加</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3,621,162.15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2,574,462.12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2,515,205.35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1,850,198.93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169,961.43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465,370.88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101,994.64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101,930.93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30,543.33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33,210.00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1,391,473.37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300,813.86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435,852.66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35,463.89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8,266,192.93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5,361,450.61</w:t>
            </w:r>
          </w:p>
        </w:tc>
      </w:tr>
    </w:tbl>
    <w:p>
      <w:pPr>
        <w:pStyle w:val="BodyText"/>
        <w:spacing w:line="240" w:lineRule="auto" w:before="49"/>
        <w:ind w:right="0"/>
        <w:jc w:val="left"/>
      </w:pPr>
      <w:r>
        <w:rPr/>
        <w:t>其他说明：</w:t>
      </w:r>
    </w:p>
    <w:p>
      <w:pPr>
        <w:pStyle w:val="BodyText"/>
        <w:spacing w:line="316" w:lineRule="auto" w:before="115"/>
        <w:ind w:left="513" w:right="0"/>
        <w:jc w:val="left"/>
      </w:pPr>
      <w:r>
        <w:rPr/>
        <w:t>各项税金及附加的计缴标准详见第十一节六、税项。 </w:t>
      </w:r>
      <w:r>
        <w:rPr>
          <w:spacing w:val="-2"/>
        </w:rPr>
        <w:t>根据财会</w:t>
      </w:r>
      <w:r>
        <w:rPr>
          <w:rFonts w:ascii="宋体" w:hAnsi="宋体" w:cs="宋体" w:eastAsia="宋体" w:hint="default"/>
          <w:spacing w:val="-2"/>
        </w:rPr>
        <w:t>[2016]22</w:t>
      </w:r>
      <w:r>
        <w:rPr>
          <w:spacing w:val="-2"/>
        </w:rPr>
        <w:t>号财政部《增值税会计处理规定》全面试行营业税改征增值税后，“营业税金及附加”科目名称调整</w:t>
      </w:r>
    </w:p>
    <w:p>
      <w:pPr>
        <w:pStyle w:val="BodyText"/>
        <w:spacing w:line="316" w:lineRule="auto" w:before="19"/>
        <w:ind w:right="0"/>
        <w:jc w:val="left"/>
      </w:pPr>
      <w:r>
        <w:rPr>
          <w:spacing w:val="-2"/>
        </w:rPr>
        <w:t>为“税金及附加”科目，该科目核算企业经营活动发生的消费税、城市维护建设税、资源税、教育费附加及房产税、土地使</w:t>
      </w:r>
      <w:r>
        <w:rPr>
          <w:spacing w:val="-68"/>
        </w:rPr>
        <w:t> </w:t>
      </w:r>
      <w:r>
        <w:rPr>
          <w:spacing w:val="-68"/>
        </w:rPr>
      </w:r>
      <w:r>
        <w:rPr/>
        <w:t>用税、车船使用税、印花税等相关税费。</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39</w:t>
      </w:r>
      <w:r>
        <w:rPr/>
        <w:t>、销售费用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49,710,699.32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43,436,677.10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11,851,022.94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10,070,730.54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9,724,956.89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10,502,062.86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6,169,521.37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4,580,919.74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4,554,616.99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3,351,315.33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资产折旧及摊销费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4,447,762.32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3,560,307.47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33" w:top="1060" w:bottom="132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3,973,772.34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5,523,478.08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市内交通费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3,327,144.47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2,929,190.77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2,560,178.00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2,234,099.46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4,979,032.72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3,164,305.86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101,298,707.36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89,353,087.21</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40</w:t>
      </w:r>
      <w:r>
        <w:rPr/>
        <w:t>、管理费用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59,907,915.45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52,471,848.77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35,084,107.41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30,284,295.15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资产折旧及摊销费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10,414,948.54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7,788,015.82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8,723,989.86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7,787,830.44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8,403,157.26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7,862,058.00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2,242,798.75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1,448,515.36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1,959,796.04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754,984.22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1,656,064.85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2,269,468.76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市内交通费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991,817.91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625,965.19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6,130,175.72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6,727,548.51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135,514,771.79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118,020,530.22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41</w:t>
      </w:r>
      <w:r>
        <w:rPr/>
        <w:t>、财务费用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1,018,580.33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2,499,126.65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6,065,037.32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119,340.98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82,798.67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-1,361,205.34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-5,982,238.65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42</w:t>
      </w:r>
      <w:r>
        <w:rPr/>
        <w:t>、资产减值损失</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54,967,847.24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32,437,553.62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54,967,847.24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32,437,553.62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33" w:top="1060" w:bottom="132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43</w:t>
      </w:r>
      <w:r>
        <w:rPr/>
        <w:t>、投资收益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-7,867,431.39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-2,229,267.89</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30,740,781.88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144,780.83</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22,873,350.49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-2,084,487.06</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44</w:t>
      </w:r>
      <w:r>
        <w:rPr/>
        <w:t>、资产处置收益</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4"/>
              <w:jc w:val="center"/>
              <w:rPr>
                <w:rFonts w:ascii="宋体" w:hAnsi="宋体" w:cs="宋体" w:eastAsia="宋体" w:hint="default"/>
                <w:sz w:val="18"/>
                <w:szCs w:val="18"/>
              </w:rPr>
            </w:pPr>
            <w:r>
              <w:rPr>
                <w:rFonts w:ascii="宋体" w:hAnsi="宋体" w:cs="宋体" w:eastAsia="宋体" w:hint="default"/>
                <w:sz w:val="18"/>
                <w:szCs w:val="18"/>
              </w:rPr>
              <w:t>非流动资产处置利得（损失以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138,058.94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17,277.35</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其中：固定资产处置利得（损失以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填 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138,058.94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17,277.35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45</w:t>
      </w:r>
      <w:r>
        <w:rPr/>
        <w:t>、其他收益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19,660,442.81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工程实验室补贴款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1,279,300.00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创新能力提升资金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265,567.83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文化产业专项资金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市级工程技术研究中心优秀补助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展位费补贴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137,980.00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稳岗补贴款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167,648.84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纳税积极奖励补助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技术研发项目补助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产学研合作（校企联盟）项目补贴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中介补贴款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专利资助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5,700.00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授权专利补助资金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46</w:t>
      </w:r>
      <w:r>
        <w:rPr/>
        <w:t>、营业外收入</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0"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w:t>
            </w:r>
          </w:p>
        </w:tc>
      </w:tr>
    </w:tbl>
    <w:p>
      <w:pPr>
        <w:spacing w:after="0" w:line="240" w:lineRule="auto"/>
        <w:jc w:val="left"/>
        <w:rPr>
          <w:rFonts w:ascii="宋体" w:hAnsi="宋体" w:cs="宋体" w:eastAsia="宋体" w:hint="default"/>
          <w:sz w:val="18"/>
          <w:szCs w:val="18"/>
        </w:rPr>
        <w:sectPr>
          <w:pgSz w:w="11910" w:h="16840"/>
          <w:pgMar w:header="745" w:footer="1133" w:top="1060" w:bottom="132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36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17,806,591.45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6,195.00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6,195.00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106,195.00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17,807,187.42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106,195.00</w:t>
            </w:r>
          </w:p>
        </w:tc>
      </w:tr>
    </w:tbl>
    <w:p>
      <w:pPr>
        <w:pStyle w:val="BodyText"/>
        <w:spacing w:line="240" w:lineRule="auto" w:before="49"/>
        <w:ind w:right="0"/>
        <w:jc w:val="left"/>
      </w:pPr>
      <w:r>
        <w:rPr/>
        <w:t>计入当期损益的政府补助：</w:t>
      </w:r>
    </w:p>
    <w:p>
      <w:pPr>
        <w:pStyle w:val="BodyText"/>
        <w:spacing w:line="240" w:lineRule="auto" w:before="117"/>
        <w:ind w:left="0" w:right="151"/>
        <w:jc w:val="right"/>
      </w:pPr>
      <w:r>
        <w:rPr/>
        <w:pict>
          <v:group style="position:absolute;margin-left:56.400002pt;margin-top:22.721725pt;width:479.05pt;height:572.050pt;mso-position-horizontal-relative:page;mso-position-vertical-relative:paragraph;z-index:-795112" coordorigin="1128,454" coordsize="9581,11441">
            <v:group style="position:absolute;left:1140;top:471;width:1055;height:704" coordorigin="1140,471" coordsize="1055,704">
              <v:shape style="position:absolute;left:1140;top:471;width:1055;height:704" coordorigin="1140,471" coordsize="1055,704" path="m1140,1174l2194,1174,2194,471,1140,471,1140,1174xe" filled="true" fillcolor="#d2d2d2" stroked="false">
                <v:path arrowok="t"/>
                <v:fill type="solid"/>
              </v:shape>
            </v:group>
            <v:group style="position:absolute;left:1162;top:627;width:1011;height:392" coordorigin="1162,627" coordsize="1011,392">
              <v:shape style="position:absolute;left:1162;top:627;width:1011;height:392" coordorigin="1162,627" coordsize="1011,392" path="m1162,1018l2172,1018,2172,627,1162,627,1162,1018xe" filled="true" fillcolor="#d2d2d2" stroked="false">
                <v:path arrowok="t"/>
                <v:fill type="solid"/>
              </v:shape>
            </v:group>
            <v:group style="position:absolute;left:2204;top:471;width:1054;height:704" coordorigin="2204,471" coordsize="1054,704">
              <v:shape style="position:absolute;left:2204;top:471;width:1054;height:704" coordorigin="2204,471" coordsize="1054,704" path="m2204,1174l3257,1174,3257,471,2204,471,2204,1174xe" filled="true" fillcolor="#d2d2d2" stroked="false">
                <v:path arrowok="t"/>
                <v:fill type="solid"/>
              </v:shape>
            </v:group>
            <v:group style="position:absolute;left:2228;top:627;width:1006;height:392" coordorigin="2228,627" coordsize="1006,392">
              <v:shape style="position:absolute;left:2228;top:627;width:1006;height:392" coordorigin="2228,627" coordsize="1006,392" path="m2228,1018l3233,1018,3233,627,2228,627,2228,1018xe" filled="true" fillcolor="#d2d2d2" stroked="false">
                <v:path arrowok="t"/>
                <v:fill type="solid"/>
              </v:shape>
            </v:group>
            <v:group style="position:absolute;left:3267;top:471;width:1055;height:704" coordorigin="3267,471" coordsize="1055,704">
              <v:shape style="position:absolute;left:3267;top:471;width:1055;height:704" coordorigin="3267,471" coordsize="1055,704" path="m3267,1174l4321,1174,4321,471,3267,471,3267,1174xe" filled="true" fillcolor="#d2d2d2" stroked="false">
                <v:path arrowok="t"/>
                <v:fill type="solid"/>
              </v:shape>
            </v:group>
            <v:group style="position:absolute;left:3291;top:627;width:1007;height:392" coordorigin="3291,627" coordsize="1007,392">
              <v:shape style="position:absolute;left:3291;top:627;width:1007;height:392" coordorigin="3291,627" coordsize="1007,392" path="m3291,1018l4297,1018,4297,627,3291,627,3291,1018xe" filled="true" fillcolor="#d2d2d2" stroked="false">
                <v:path arrowok="t"/>
                <v:fill type="solid"/>
              </v:shape>
            </v:group>
            <v:group style="position:absolute;left:4331;top:471;width:1054;height:704" coordorigin="4331,471" coordsize="1054,704">
              <v:shape style="position:absolute;left:4331;top:471;width:1054;height:704" coordorigin="4331,471" coordsize="1054,704" path="m4331,1174l5384,1174,5384,471,4331,471,4331,1174xe" filled="true" fillcolor="#d2d2d2" stroked="false">
                <v:path arrowok="t"/>
                <v:fill type="solid"/>
              </v:shape>
            </v:group>
            <v:group style="position:absolute;left:4355;top:627;width:1006;height:392" coordorigin="4355,627" coordsize="1006,392">
              <v:shape style="position:absolute;left:4355;top:627;width:1006;height:392" coordorigin="4355,627" coordsize="1006,392" path="m4355,1018l5360,1018,5360,627,4355,627,4355,1018xe" filled="true" fillcolor="#d2d2d2" stroked="false">
                <v:path arrowok="t"/>
                <v:fill type="solid"/>
              </v:shape>
            </v:group>
            <v:group style="position:absolute;left:5394;top:471;width:1055;height:704" coordorigin="5394,471" coordsize="1055,704">
              <v:shape style="position:absolute;left:5394;top:471;width:1055;height:704" coordorigin="5394,471" coordsize="1055,704" path="m5394,1174l6448,1174,6448,471,5394,471,5394,1174xe" filled="true" fillcolor="#d2d2d2" stroked="false">
                <v:path arrowok="t"/>
                <v:fill type="solid"/>
              </v:shape>
            </v:group>
            <v:group style="position:absolute;left:5418;top:471;width:1007;height:351" coordorigin="5418,471" coordsize="1007,351">
              <v:shape style="position:absolute;left:5418;top:471;width:1007;height:351" coordorigin="5418,471" coordsize="1007,351" path="m5418,822l6424,822,6424,471,5418,471,5418,822xe" filled="true" fillcolor="#d2d2d2" stroked="false">
                <v:path arrowok="t"/>
                <v:fill type="solid"/>
              </v:shape>
            </v:group>
            <v:group style="position:absolute;left:5418;top:822;width:1007;height:353" coordorigin="5418,822" coordsize="1007,353">
              <v:shape style="position:absolute;left:5418;top:822;width:1007;height:353" coordorigin="5418,822" coordsize="1007,353" path="m5418,1174l6424,1174,6424,822,5418,822,5418,1174xe" filled="true" fillcolor="#d2d2d2" stroked="false">
                <v:path arrowok="t"/>
                <v:fill type="solid"/>
              </v:shape>
            </v:group>
            <v:group style="position:absolute;left:6457;top:471;width:1054;height:704" coordorigin="6457,471" coordsize="1054,704">
              <v:shape style="position:absolute;left:6457;top:471;width:1054;height:704" coordorigin="6457,471" coordsize="1054,704" path="m6457,1174l7511,1174,7511,471,6457,471,6457,1174xe" filled="true" fillcolor="#d2d2d2" stroked="false">
                <v:path arrowok="t"/>
                <v:fill type="solid"/>
              </v:shape>
            </v:group>
            <v:group style="position:absolute;left:6481;top:471;width:1006;height:351" coordorigin="6481,471" coordsize="1006,351">
              <v:shape style="position:absolute;left:6481;top:471;width:1006;height:351" coordorigin="6481,471" coordsize="1006,351" path="m6481,822l7487,822,7487,471,6481,471,6481,822xe" filled="true" fillcolor="#d2d2d2" stroked="false">
                <v:path arrowok="t"/>
                <v:fill type="solid"/>
              </v:shape>
            </v:group>
            <v:group style="position:absolute;left:6481;top:822;width:1006;height:353" coordorigin="6481,822" coordsize="1006,353">
              <v:shape style="position:absolute;left:6481;top:822;width:1006;height:353" coordorigin="6481,822" coordsize="1006,353" path="m6481,1174l7487,1174,7487,822,6481,822,6481,1174xe" filled="true" fillcolor="#d2d2d2" stroked="false">
                <v:path arrowok="t"/>
                <v:fill type="solid"/>
              </v:shape>
            </v:group>
            <v:group style="position:absolute;left:7521;top:471;width:1054;height:704" coordorigin="7521,471" coordsize="1054,704">
              <v:shape style="position:absolute;left:7521;top:471;width:1054;height:704" coordorigin="7521,471" coordsize="1054,704" path="m7521,1174l8574,1174,8574,471,7521,471,7521,1174xe" filled="true" fillcolor="#d2d2d2" stroked="false">
                <v:path arrowok="t"/>
                <v:fill type="solid"/>
              </v:shape>
            </v:group>
            <v:group style="position:absolute;left:7542;top:471;width:1008;height:351" coordorigin="7542,471" coordsize="1008,351">
              <v:shape style="position:absolute;left:7542;top:471;width:1008;height:351" coordorigin="7542,471" coordsize="1008,351" path="m7542,822l8550,822,8550,471,7542,471,7542,822xe" filled="true" fillcolor="#d2d2d2" stroked="false">
                <v:path arrowok="t"/>
                <v:fill type="solid"/>
              </v:shape>
            </v:group>
            <v:group style="position:absolute;left:7542;top:822;width:1008;height:353" coordorigin="7542,822" coordsize="1008,353">
              <v:shape style="position:absolute;left:7542;top:822;width:1008;height:353" coordorigin="7542,822" coordsize="1008,353" path="m7542,1174l8550,1174,8550,822,7542,822,7542,1174xe" filled="true" fillcolor="#d2d2d2" stroked="false">
                <v:path arrowok="t"/>
                <v:fill type="solid"/>
              </v:shape>
            </v:group>
            <v:group style="position:absolute;left:8584;top:471;width:1055;height:704" coordorigin="8584,471" coordsize="1055,704">
              <v:shape style="position:absolute;left:8584;top:471;width:1055;height:704" coordorigin="8584,471" coordsize="1055,704" path="m8584,1174l9638,1174,9638,471,8584,471,8584,1174xe" filled="true" fillcolor="#d2d2d2" stroked="false">
                <v:path arrowok="t"/>
                <v:fill type="solid"/>
              </v:shape>
            </v:group>
            <v:group style="position:absolute;left:8605;top:471;width:1009;height:351" coordorigin="8605,471" coordsize="1009,351">
              <v:shape style="position:absolute;left:8605;top:471;width:1009;height:351" coordorigin="8605,471" coordsize="1009,351" path="m8605,822l9614,822,9614,471,8605,471,8605,822xe" filled="true" fillcolor="#d2d2d2" stroked="false">
                <v:path arrowok="t"/>
                <v:fill type="solid"/>
              </v:shape>
            </v:group>
            <v:group style="position:absolute;left:8605;top:822;width:1009;height:353" coordorigin="8605,822" coordsize="1009,353">
              <v:shape style="position:absolute;left:8605;top:822;width:1009;height:353" coordorigin="8605,822" coordsize="1009,353" path="m8605,1174l9614,1174,9614,822,8605,822,8605,1174xe" filled="true" fillcolor="#d2d2d2" stroked="false">
                <v:path arrowok="t"/>
                <v:fill type="solid"/>
              </v:shape>
            </v:group>
            <v:group style="position:absolute;left:9648;top:471;width:1052;height:704" coordorigin="9648,471" coordsize="1052,704">
              <v:shape style="position:absolute;left:9648;top:471;width:1052;height:704" coordorigin="9648,471" coordsize="1052,704" path="m9648,1174l10699,1174,10699,471,9648,471,9648,1174xe" filled="true" fillcolor="#d2d2d2" stroked="false">
                <v:path arrowok="t"/>
                <v:fill type="solid"/>
              </v:shape>
            </v:group>
            <v:group style="position:absolute;left:9669;top:471;width:1008;height:351" coordorigin="9669,471" coordsize="1008,351">
              <v:shape style="position:absolute;left:9669;top:471;width:1008;height:351" coordorigin="9669,471" coordsize="1008,351" path="m9669,822l10677,822,10677,471,9669,471,9669,822xe" filled="true" fillcolor="#d2d2d2" stroked="false">
                <v:path arrowok="t"/>
                <v:fill type="solid"/>
              </v:shape>
            </v:group>
            <v:group style="position:absolute;left:9669;top:822;width:1008;height:353" coordorigin="9669,822" coordsize="1008,353">
              <v:shape style="position:absolute;left:9669;top:822;width:1008;height:353" coordorigin="9669,822" coordsize="1008,353" path="m9669,1174l10677,1174,10677,822,9669,822,9669,1174xe" filled="true" fillcolor="#d2d2d2" stroked="false">
                <v:path arrowok="t"/>
                <v:fill type="solid"/>
              </v:shape>
            </v:group>
            <v:group style="position:absolute;left:1138;top:464;width:1057;height:2" coordorigin="1138,464" coordsize="1057,2">
              <v:shape style="position:absolute;left:1138;top:464;width:1057;height:2" coordorigin="1138,464" coordsize="1057,0" path="m1138,464l2194,464e" filled="false" stroked="true" strokeweight=".48001pt" strokecolor="#000000">
                <v:path arrowok="t"/>
              </v:shape>
            </v:group>
            <v:group style="position:absolute;left:2204;top:464;width:1054;height:2" coordorigin="2204,464" coordsize="1054,2">
              <v:shape style="position:absolute;left:2204;top:464;width:1054;height:2" coordorigin="2204,464" coordsize="1054,0" path="m2204,464l3257,464e" filled="false" stroked="true" strokeweight=".48001pt" strokecolor="#000000">
                <v:path arrowok="t"/>
              </v:shape>
            </v:group>
            <v:group style="position:absolute;left:3267;top:464;width:1055;height:2" coordorigin="3267,464" coordsize="1055,2">
              <v:shape style="position:absolute;left:3267;top:464;width:1055;height:2" coordorigin="3267,464" coordsize="1055,0" path="m3267,464l4321,464e" filled="false" stroked="true" strokeweight=".48001pt" strokecolor="#000000">
                <v:path arrowok="t"/>
              </v:shape>
            </v:group>
            <v:group style="position:absolute;left:4331;top:464;width:1054;height:2" coordorigin="4331,464" coordsize="1054,2">
              <v:shape style="position:absolute;left:4331;top:464;width:1054;height:2" coordorigin="4331,464" coordsize="1054,0" path="m4331,464l5384,464e" filled="false" stroked="true" strokeweight=".48001pt" strokecolor="#000000">
                <v:path arrowok="t"/>
              </v:shape>
            </v:group>
            <v:group style="position:absolute;left:5394;top:464;width:1052;height:2" coordorigin="5394,464" coordsize="1052,2">
              <v:shape style="position:absolute;left:5394;top:464;width:1052;height:2" coordorigin="5394,464" coordsize="1052,0" path="m5394,464l6445,464e" filled="false" stroked="true" strokeweight=".48001pt" strokecolor="#000000">
                <v:path arrowok="t"/>
              </v:shape>
            </v:group>
            <v:group style="position:absolute;left:6455;top:464;width:1054;height:2" coordorigin="6455,464" coordsize="1054,2">
              <v:shape style="position:absolute;left:6455;top:464;width:1054;height:2" coordorigin="6455,464" coordsize="1054,0" path="m6455,464l7509,464e" filled="false" stroked="true" strokeweight=".48001pt" strokecolor="#000000">
                <v:path arrowok="t"/>
              </v:shape>
            </v:group>
            <v:group style="position:absolute;left:7518;top:464;width:1054;height:2" coordorigin="7518,464" coordsize="1054,2">
              <v:shape style="position:absolute;left:7518;top:464;width:1054;height:2" coordorigin="7518,464" coordsize="1054,0" path="m7518,464l8572,464e" filled="false" stroked="true" strokeweight=".48001pt" strokecolor="#000000">
                <v:path arrowok="t"/>
              </v:shape>
            </v:group>
            <v:group style="position:absolute;left:8581;top:464;width:1055;height:2" coordorigin="8581,464" coordsize="1055,2">
              <v:shape style="position:absolute;left:8581;top:464;width:1055;height:2" coordorigin="8581,464" coordsize="1055,0" path="m8581,464l9635,464e" filled="false" stroked="true" strokeweight=".48001pt" strokecolor="#000000">
                <v:path arrowok="t"/>
              </v:shape>
            </v:group>
            <v:group style="position:absolute;left:9645;top:464;width:1054;height:2" coordorigin="9645,464" coordsize="1054,2">
              <v:shape style="position:absolute;left:9645;top:464;width:1054;height:2" coordorigin="9645,464" coordsize="1054,0" path="m9645,464l10699,464e" filled="false" stroked="true" strokeweight=".48001pt" strokecolor="#000000">
                <v:path arrowok="t"/>
              </v:shape>
            </v:group>
            <v:group style="position:absolute;left:5394;top:1184;width:1055;height:1328" coordorigin="5394,1184" coordsize="1055,1328">
              <v:shape style="position:absolute;left:5394;top:1184;width:1055;height:1328" coordorigin="5394,1184" coordsize="1055,1328" path="m5394,2512l6448,2512,6448,1184,5394,1184,5394,2512xe" filled="true" fillcolor="#ffffff" stroked="false">
                <v:path arrowok="t"/>
                <v:fill type="solid"/>
              </v:shape>
            </v:group>
            <v:group style="position:absolute;left:5418;top:1653;width:1007;height:392" coordorigin="5418,1653" coordsize="1007,392">
              <v:shape style="position:absolute;left:5418;top:1653;width:1007;height:392" coordorigin="5418,1653" coordsize="1007,392" path="m5418,2044l6424,2044,6424,1653,5418,1653,5418,2044xe" filled="true" fillcolor="#ffffff" stroked="false">
                <v:path arrowok="t"/>
                <v:fill type="solid"/>
              </v:shape>
            </v:group>
            <v:group style="position:absolute;left:1138;top:1179;width:1057;height:2" coordorigin="1138,1179" coordsize="1057,2">
              <v:shape style="position:absolute;left:1138;top:1179;width:1057;height:2" coordorigin="1138,1179" coordsize="1057,0" path="m1138,1179l2194,1179e" filled="false" stroked="true" strokeweight=".48pt" strokecolor="#000000">
                <v:path arrowok="t"/>
              </v:shape>
            </v:group>
            <v:group style="position:absolute;left:2204;top:1179;width:1054;height:2" coordorigin="2204,1179" coordsize="1054,2">
              <v:shape style="position:absolute;left:2204;top:1179;width:1054;height:2" coordorigin="2204,1179" coordsize="1054,0" path="m2204,1179l3257,1179e" filled="false" stroked="true" strokeweight=".48pt" strokecolor="#000000">
                <v:path arrowok="t"/>
              </v:shape>
            </v:group>
            <v:group style="position:absolute;left:3267;top:1179;width:1055;height:2" coordorigin="3267,1179" coordsize="1055,2">
              <v:shape style="position:absolute;left:3267;top:1179;width:1055;height:2" coordorigin="3267,1179" coordsize="1055,0" path="m3267,1179l4321,1179e" filled="false" stroked="true" strokeweight=".48pt" strokecolor="#000000">
                <v:path arrowok="t"/>
              </v:shape>
            </v:group>
            <v:group style="position:absolute;left:4331;top:1179;width:1054;height:2" coordorigin="4331,1179" coordsize="1054,2">
              <v:shape style="position:absolute;left:4331;top:1179;width:1054;height:2" coordorigin="4331,1179" coordsize="1054,0" path="m4331,1179l5384,1179e" filled="false" stroked="true" strokeweight=".48pt" strokecolor="#000000">
                <v:path arrowok="t"/>
              </v:shape>
            </v:group>
            <v:group style="position:absolute;left:5394;top:1179;width:1052;height:2" coordorigin="5394,1179" coordsize="1052,2">
              <v:shape style="position:absolute;left:5394;top:1179;width:1052;height:2" coordorigin="5394,1179" coordsize="1052,0" path="m5394,1179l6445,1179e" filled="false" stroked="true" strokeweight=".48pt" strokecolor="#000000">
                <v:path arrowok="t"/>
              </v:shape>
            </v:group>
            <v:group style="position:absolute;left:6455;top:1179;width:1054;height:2" coordorigin="6455,1179" coordsize="1054,2">
              <v:shape style="position:absolute;left:6455;top:1179;width:1054;height:2" coordorigin="6455,1179" coordsize="1054,0" path="m6455,1179l7509,1179e" filled="false" stroked="true" strokeweight=".48pt" strokecolor="#000000">
                <v:path arrowok="t"/>
              </v:shape>
            </v:group>
            <v:group style="position:absolute;left:7518;top:1179;width:1054;height:2" coordorigin="7518,1179" coordsize="1054,2">
              <v:shape style="position:absolute;left:7518;top:1179;width:1054;height:2" coordorigin="7518,1179" coordsize="1054,0" path="m7518,1179l8572,1179e" filled="false" stroked="true" strokeweight=".48pt" strokecolor="#000000">
                <v:path arrowok="t"/>
              </v:shape>
            </v:group>
            <v:group style="position:absolute;left:8581;top:1179;width:1055;height:2" coordorigin="8581,1179" coordsize="1055,2">
              <v:shape style="position:absolute;left:8581;top:1179;width:1055;height:2" coordorigin="8581,1179" coordsize="1055,0" path="m8581,1179l9635,1179e" filled="false" stroked="true" strokeweight=".48pt" strokecolor="#000000">
                <v:path arrowok="t"/>
              </v:shape>
            </v:group>
            <v:group style="position:absolute;left:9645;top:1179;width:1054;height:2" coordorigin="9645,1179" coordsize="1054,2">
              <v:shape style="position:absolute;left:9645;top:1179;width:1054;height:2" coordorigin="9645,1179" coordsize="1054,0" path="m9645,1179l10699,1179e" filled="false" stroked="true" strokeweight=".48pt" strokecolor="#000000">
                <v:path arrowok="t"/>
              </v:shape>
            </v:group>
            <v:group style="position:absolute;left:5394;top:2524;width:1055;height:1328" coordorigin="5394,2524" coordsize="1055,1328">
              <v:shape style="position:absolute;left:5394;top:2524;width:1055;height:1328" coordorigin="5394,2524" coordsize="1055,1328" path="m5394,3851l6448,3851,6448,2524,5394,2524,5394,3851xe" filled="true" fillcolor="#ffffff" stroked="false">
                <v:path arrowok="t"/>
                <v:fill type="solid"/>
              </v:shape>
            </v:group>
            <v:group style="position:absolute;left:5418;top:2992;width:1007;height:392" coordorigin="5418,2992" coordsize="1007,392">
              <v:shape style="position:absolute;left:5418;top:2992;width:1007;height:392" coordorigin="5418,2992" coordsize="1007,392" path="m5418,3383l6424,3383,6424,2992,5418,2992,5418,3383xe" filled="true" fillcolor="#ffffff" stroked="false">
                <v:path arrowok="t"/>
                <v:fill type="solid"/>
              </v:shape>
            </v:group>
            <v:group style="position:absolute;left:1138;top:2517;width:1057;height:2" coordorigin="1138,2517" coordsize="1057,2">
              <v:shape style="position:absolute;left:1138;top:2517;width:1057;height:2" coordorigin="1138,2517" coordsize="1057,0" path="m1138,2517l2194,2517e" filled="false" stroked="true" strokeweight=".48001pt" strokecolor="#000000">
                <v:path arrowok="t"/>
              </v:shape>
            </v:group>
            <v:group style="position:absolute;left:2204;top:2517;width:1054;height:2" coordorigin="2204,2517" coordsize="1054,2">
              <v:shape style="position:absolute;left:2204;top:2517;width:1054;height:2" coordorigin="2204,2517" coordsize="1054,0" path="m2204,2517l3257,2517e" filled="false" stroked="true" strokeweight=".48001pt" strokecolor="#000000">
                <v:path arrowok="t"/>
              </v:shape>
            </v:group>
            <v:group style="position:absolute;left:3267;top:2517;width:1055;height:2" coordorigin="3267,2517" coordsize="1055,2">
              <v:shape style="position:absolute;left:3267;top:2517;width:1055;height:2" coordorigin="3267,2517" coordsize="1055,0" path="m3267,2517l4321,2517e" filled="false" stroked="true" strokeweight=".48001pt" strokecolor="#000000">
                <v:path arrowok="t"/>
              </v:shape>
            </v:group>
            <v:group style="position:absolute;left:4331;top:2517;width:1054;height:2" coordorigin="4331,2517" coordsize="1054,2">
              <v:shape style="position:absolute;left:4331;top:2517;width:1054;height:2" coordorigin="4331,2517" coordsize="1054,0" path="m4331,2517l5384,2517e" filled="false" stroked="true" strokeweight=".48001pt" strokecolor="#000000">
                <v:path arrowok="t"/>
              </v:shape>
            </v:group>
            <v:group style="position:absolute;left:5394;top:2517;width:1052;height:2" coordorigin="5394,2517" coordsize="1052,2">
              <v:shape style="position:absolute;left:5394;top:2517;width:1052;height:2" coordorigin="5394,2517" coordsize="1052,0" path="m5394,2517l6445,2517e" filled="false" stroked="true" strokeweight=".48001pt" strokecolor="#000000">
                <v:path arrowok="t"/>
              </v:shape>
            </v:group>
            <v:group style="position:absolute;left:6455;top:2517;width:1054;height:2" coordorigin="6455,2517" coordsize="1054,2">
              <v:shape style="position:absolute;left:6455;top:2517;width:1054;height:2" coordorigin="6455,2517" coordsize="1054,0" path="m6455,2517l7509,2517e" filled="false" stroked="true" strokeweight=".48001pt" strokecolor="#000000">
                <v:path arrowok="t"/>
              </v:shape>
            </v:group>
            <v:group style="position:absolute;left:7518;top:2517;width:1054;height:2" coordorigin="7518,2517" coordsize="1054,2">
              <v:shape style="position:absolute;left:7518;top:2517;width:1054;height:2" coordorigin="7518,2517" coordsize="1054,0" path="m7518,2517l8572,2517e" filled="false" stroked="true" strokeweight=".48001pt" strokecolor="#000000">
                <v:path arrowok="t"/>
              </v:shape>
            </v:group>
            <v:group style="position:absolute;left:8581;top:2517;width:1055;height:2" coordorigin="8581,2517" coordsize="1055,2">
              <v:shape style="position:absolute;left:8581;top:2517;width:1055;height:2" coordorigin="8581,2517" coordsize="1055,0" path="m8581,2517l9635,2517e" filled="false" stroked="true" strokeweight=".48001pt" strokecolor="#000000">
                <v:path arrowok="t"/>
              </v:shape>
            </v:group>
            <v:group style="position:absolute;left:9645;top:2517;width:1054;height:2" coordorigin="9645,2517" coordsize="1054,2">
              <v:shape style="position:absolute;left:9645;top:2517;width:1054;height:2" coordorigin="9645,2517" coordsize="1054,0" path="m9645,2517l10699,2517e" filled="false" stroked="true" strokeweight=".48001pt" strokecolor="#000000">
                <v:path arrowok="t"/>
              </v:shape>
            </v:group>
            <v:group style="position:absolute;left:5394;top:3861;width:1055;height:1328" coordorigin="5394,3861" coordsize="1055,1328">
              <v:shape style="position:absolute;left:5394;top:3861;width:1055;height:1328" coordorigin="5394,3861" coordsize="1055,1328" path="m5394,5188l6448,5188,6448,3861,5394,3861,5394,5188xe" filled="true" fillcolor="#ffffff" stroked="false">
                <v:path arrowok="t"/>
                <v:fill type="solid"/>
              </v:shape>
            </v:group>
            <v:group style="position:absolute;left:5418;top:4329;width:1007;height:392" coordorigin="5418,4329" coordsize="1007,392">
              <v:shape style="position:absolute;left:5418;top:4329;width:1007;height:392" coordorigin="5418,4329" coordsize="1007,392" path="m5418,4720l6424,4720,6424,4329,5418,4329,5418,4720xe" filled="true" fillcolor="#ffffff" stroked="false">
                <v:path arrowok="t"/>
                <v:fill type="solid"/>
              </v:shape>
            </v:group>
            <v:group style="position:absolute;left:1138;top:3856;width:1057;height:2" coordorigin="1138,3856" coordsize="1057,2">
              <v:shape style="position:absolute;left:1138;top:3856;width:1057;height:2" coordorigin="1138,3856" coordsize="1057,0" path="m1138,3856l2194,3856e" filled="false" stroked="true" strokeweight=".47998pt" strokecolor="#000000">
                <v:path arrowok="t"/>
              </v:shape>
            </v:group>
            <v:group style="position:absolute;left:2204;top:3856;width:1054;height:2" coordorigin="2204,3856" coordsize="1054,2">
              <v:shape style="position:absolute;left:2204;top:3856;width:1054;height:2" coordorigin="2204,3856" coordsize="1054,0" path="m2204,3856l3257,3856e" filled="false" stroked="true" strokeweight=".47998pt" strokecolor="#000000">
                <v:path arrowok="t"/>
              </v:shape>
            </v:group>
            <v:group style="position:absolute;left:3267;top:3856;width:1055;height:2" coordorigin="3267,3856" coordsize="1055,2">
              <v:shape style="position:absolute;left:3267;top:3856;width:1055;height:2" coordorigin="3267,3856" coordsize="1055,0" path="m3267,3856l4321,3856e" filled="false" stroked="true" strokeweight=".47998pt" strokecolor="#000000">
                <v:path arrowok="t"/>
              </v:shape>
            </v:group>
            <v:group style="position:absolute;left:4331;top:3856;width:1054;height:2" coordorigin="4331,3856" coordsize="1054,2">
              <v:shape style="position:absolute;left:4331;top:3856;width:1054;height:2" coordorigin="4331,3856" coordsize="1054,0" path="m4331,3856l5384,3856e" filled="false" stroked="true" strokeweight=".47998pt" strokecolor="#000000">
                <v:path arrowok="t"/>
              </v:shape>
            </v:group>
            <v:group style="position:absolute;left:5394;top:3856;width:1052;height:2" coordorigin="5394,3856" coordsize="1052,2">
              <v:shape style="position:absolute;left:5394;top:3856;width:1052;height:2" coordorigin="5394,3856" coordsize="1052,0" path="m5394,3856l6445,3856e" filled="false" stroked="true" strokeweight=".47998pt" strokecolor="#000000">
                <v:path arrowok="t"/>
              </v:shape>
            </v:group>
            <v:group style="position:absolute;left:6455;top:3856;width:1054;height:2" coordorigin="6455,3856" coordsize="1054,2">
              <v:shape style="position:absolute;left:6455;top:3856;width:1054;height:2" coordorigin="6455,3856" coordsize="1054,0" path="m6455,3856l7509,3856e" filled="false" stroked="true" strokeweight=".47998pt" strokecolor="#000000">
                <v:path arrowok="t"/>
              </v:shape>
            </v:group>
            <v:group style="position:absolute;left:7518;top:3856;width:1054;height:2" coordorigin="7518,3856" coordsize="1054,2">
              <v:shape style="position:absolute;left:7518;top:3856;width:1054;height:2" coordorigin="7518,3856" coordsize="1054,0" path="m7518,3856l8572,3856e" filled="false" stroked="true" strokeweight=".47998pt" strokecolor="#000000">
                <v:path arrowok="t"/>
              </v:shape>
            </v:group>
            <v:group style="position:absolute;left:8581;top:3856;width:1055;height:2" coordorigin="8581,3856" coordsize="1055,2">
              <v:shape style="position:absolute;left:8581;top:3856;width:1055;height:2" coordorigin="8581,3856" coordsize="1055,0" path="m8581,3856l9635,3856e" filled="false" stroked="true" strokeweight=".47998pt" strokecolor="#000000">
                <v:path arrowok="t"/>
              </v:shape>
            </v:group>
            <v:group style="position:absolute;left:9645;top:3856;width:1054;height:2" coordorigin="9645,3856" coordsize="1054,2">
              <v:shape style="position:absolute;left:9645;top:3856;width:1054;height:2" coordorigin="9645,3856" coordsize="1054,0" path="m9645,3856l10699,3856e" filled="false" stroked="true" strokeweight=".47998pt" strokecolor="#000000">
                <v:path arrowok="t"/>
              </v:shape>
            </v:group>
            <v:group style="position:absolute;left:5394;top:5200;width:1055;height:1328" coordorigin="5394,5200" coordsize="1055,1328">
              <v:shape style="position:absolute;left:5394;top:5200;width:1055;height:1328" coordorigin="5394,5200" coordsize="1055,1328" path="m5394,6527l6448,6527,6448,5200,5394,5200,5394,6527xe" filled="true" fillcolor="#ffffff" stroked="false">
                <v:path arrowok="t"/>
                <v:fill type="solid"/>
              </v:shape>
            </v:group>
            <v:group style="position:absolute;left:5418;top:5668;width:1007;height:392" coordorigin="5418,5668" coordsize="1007,392">
              <v:shape style="position:absolute;left:5418;top:5668;width:1007;height:392" coordorigin="5418,5668" coordsize="1007,392" path="m5418,6059l6424,6059,6424,5668,5418,5668,5418,6059xe" filled="true" fillcolor="#ffffff" stroked="false">
                <v:path arrowok="t"/>
                <v:fill type="solid"/>
              </v:shape>
            </v:group>
            <v:group style="position:absolute;left:1138;top:5193;width:1057;height:2" coordorigin="1138,5193" coordsize="1057,2">
              <v:shape style="position:absolute;left:1138;top:5193;width:1057;height:2" coordorigin="1138,5193" coordsize="1057,0" path="m1138,5193l2194,5193e" filled="false" stroked="true" strokeweight=".48001pt" strokecolor="#000000">
                <v:path arrowok="t"/>
              </v:shape>
            </v:group>
            <v:group style="position:absolute;left:2204;top:5193;width:1054;height:2" coordorigin="2204,5193" coordsize="1054,2">
              <v:shape style="position:absolute;left:2204;top:5193;width:1054;height:2" coordorigin="2204,5193" coordsize="1054,0" path="m2204,5193l3257,5193e" filled="false" stroked="true" strokeweight=".48001pt" strokecolor="#000000">
                <v:path arrowok="t"/>
              </v:shape>
            </v:group>
            <v:group style="position:absolute;left:3267;top:5193;width:1055;height:2" coordorigin="3267,5193" coordsize="1055,2">
              <v:shape style="position:absolute;left:3267;top:5193;width:1055;height:2" coordorigin="3267,5193" coordsize="1055,0" path="m3267,5193l4321,5193e" filled="false" stroked="true" strokeweight=".48001pt" strokecolor="#000000">
                <v:path arrowok="t"/>
              </v:shape>
            </v:group>
            <v:group style="position:absolute;left:4331;top:5193;width:1054;height:2" coordorigin="4331,5193" coordsize="1054,2">
              <v:shape style="position:absolute;left:4331;top:5193;width:1054;height:2" coordorigin="4331,5193" coordsize="1054,0" path="m4331,5193l5384,5193e" filled="false" stroked="true" strokeweight=".48001pt" strokecolor="#000000">
                <v:path arrowok="t"/>
              </v:shape>
            </v:group>
            <v:group style="position:absolute;left:5394;top:5193;width:1052;height:2" coordorigin="5394,5193" coordsize="1052,2">
              <v:shape style="position:absolute;left:5394;top:5193;width:1052;height:2" coordorigin="5394,5193" coordsize="1052,0" path="m5394,5193l6445,5193e" filled="false" stroked="true" strokeweight=".48001pt" strokecolor="#000000">
                <v:path arrowok="t"/>
              </v:shape>
            </v:group>
            <v:group style="position:absolute;left:6455;top:5193;width:1054;height:2" coordorigin="6455,5193" coordsize="1054,2">
              <v:shape style="position:absolute;left:6455;top:5193;width:1054;height:2" coordorigin="6455,5193" coordsize="1054,0" path="m6455,5193l7509,5193e" filled="false" stroked="true" strokeweight=".48001pt" strokecolor="#000000">
                <v:path arrowok="t"/>
              </v:shape>
            </v:group>
            <v:group style="position:absolute;left:7518;top:5193;width:1054;height:2" coordorigin="7518,5193" coordsize="1054,2">
              <v:shape style="position:absolute;left:7518;top:5193;width:1054;height:2" coordorigin="7518,5193" coordsize="1054,0" path="m7518,5193l8572,5193e" filled="false" stroked="true" strokeweight=".48001pt" strokecolor="#000000">
                <v:path arrowok="t"/>
              </v:shape>
            </v:group>
            <v:group style="position:absolute;left:8581;top:5193;width:1055;height:2" coordorigin="8581,5193" coordsize="1055,2">
              <v:shape style="position:absolute;left:8581;top:5193;width:1055;height:2" coordorigin="8581,5193" coordsize="1055,0" path="m8581,5193l9635,5193e" filled="false" stroked="true" strokeweight=".48001pt" strokecolor="#000000">
                <v:path arrowok="t"/>
              </v:shape>
            </v:group>
            <v:group style="position:absolute;left:9645;top:5193;width:1054;height:2" coordorigin="9645,5193" coordsize="1054,2">
              <v:shape style="position:absolute;left:9645;top:5193;width:1054;height:2" coordorigin="9645,5193" coordsize="1054,0" path="m9645,5193l10699,5193e" filled="false" stroked="true" strokeweight=".48001pt" strokecolor="#000000">
                <v:path arrowok="t"/>
              </v:shape>
            </v:group>
            <v:group style="position:absolute;left:5394;top:6537;width:1055;height:1328" coordorigin="5394,6537" coordsize="1055,1328">
              <v:shape style="position:absolute;left:5394;top:6537;width:1055;height:1328" coordorigin="5394,6537" coordsize="1055,1328" path="m5394,7864l6448,7864,6448,6537,5394,6537,5394,7864xe" filled="true" fillcolor="#ffffff" stroked="false">
                <v:path arrowok="t"/>
                <v:fill type="solid"/>
              </v:shape>
            </v:group>
            <v:group style="position:absolute;left:5418;top:7005;width:1007;height:392" coordorigin="5418,7005" coordsize="1007,392">
              <v:shape style="position:absolute;left:5418;top:7005;width:1007;height:392" coordorigin="5418,7005" coordsize="1007,392" path="m5418,7396l6424,7396,6424,7005,5418,7005,5418,7396xe" filled="true" fillcolor="#ffffff" stroked="false">
                <v:path arrowok="t"/>
                <v:fill type="solid"/>
              </v:shape>
            </v:group>
            <v:group style="position:absolute;left:1138;top:6532;width:1057;height:2" coordorigin="1138,6532" coordsize="1057,2">
              <v:shape style="position:absolute;left:1138;top:6532;width:1057;height:2" coordorigin="1138,6532" coordsize="1057,0" path="m1138,6532l2194,6532e" filled="false" stroked="true" strokeweight=".47998pt" strokecolor="#000000">
                <v:path arrowok="t"/>
              </v:shape>
            </v:group>
            <v:group style="position:absolute;left:2204;top:6532;width:1054;height:2" coordorigin="2204,6532" coordsize="1054,2">
              <v:shape style="position:absolute;left:2204;top:6532;width:1054;height:2" coordorigin="2204,6532" coordsize="1054,0" path="m2204,6532l3257,6532e" filled="false" stroked="true" strokeweight=".47998pt" strokecolor="#000000">
                <v:path arrowok="t"/>
              </v:shape>
            </v:group>
            <v:group style="position:absolute;left:3267;top:6532;width:1055;height:2" coordorigin="3267,6532" coordsize="1055,2">
              <v:shape style="position:absolute;left:3267;top:6532;width:1055;height:2" coordorigin="3267,6532" coordsize="1055,0" path="m3267,6532l4321,6532e" filled="false" stroked="true" strokeweight=".47998pt" strokecolor="#000000">
                <v:path arrowok="t"/>
              </v:shape>
            </v:group>
            <v:group style="position:absolute;left:4331;top:6532;width:1054;height:2" coordorigin="4331,6532" coordsize="1054,2">
              <v:shape style="position:absolute;left:4331;top:6532;width:1054;height:2" coordorigin="4331,6532" coordsize="1054,0" path="m4331,6532l5384,6532e" filled="false" stroked="true" strokeweight=".47998pt" strokecolor="#000000">
                <v:path arrowok="t"/>
              </v:shape>
            </v:group>
            <v:group style="position:absolute;left:5394;top:6532;width:1052;height:2" coordorigin="5394,6532" coordsize="1052,2">
              <v:shape style="position:absolute;left:5394;top:6532;width:1052;height:2" coordorigin="5394,6532" coordsize="1052,0" path="m5394,6532l6445,6532e" filled="false" stroked="true" strokeweight=".47998pt" strokecolor="#000000">
                <v:path arrowok="t"/>
              </v:shape>
            </v:group>
            <v:group style="position:absolute;left:6455;top:6532;width:1054;height:2" coordorigin="6455,6532" coordsize="1054,2">
              <v:shape style="position:absolute;left:6455;top:6532;width:1054;height:2" coordorigin="6455,6532" coordsize="1054,0" path="m6455,6532l7509,6532e" filled="false" stroked="true" strokeweight=".47998pt" strokecolor="#000000">
                <v:path arrowok="t"/>
              </v:shape>
            </v:group>
            <v:group style="position:absolute;left:7518;top:6532;width:1054;height:2" coordorigin="7518,6532" coordsize="1054,2">
              <v:shape style="position:absolute;left:7518;top:6532;width:1054;height:2" coordorigin="7518,6532" coordsize="1054,0" path="m7518,6532l8572,6532e" filled="false" stroked="true" strokeweight=".47998pt" strokecolor="#000000">
                <v:path arrowok="t"/>
              </v:shape>
            </v:group>
            <v:group style="position:absolute;left:8581;top:6532;width:1055;height:2" coordorigin="8581,6532" coordsize="1055,2">
              <v:shape style="position:absolute;left:8581;top:6532;width:1055;height:2" coordorigin="8581,6532" coordsize="1055,0" path="m8581,6532l9635,6532e" filled="false" stroked="true" strokeweight=".47998pt" strokecolor="#000000">
                <v:path arrowok="t"/>
              </v:shape>
            </v:group>
            <v:group style="position:absolute;left:9645;top:6532;width:1054;height:2" coordorigin="9645,6532" coordsize="1054,2">
              <v:shape style="position:absolute;left:9645;top:6532;width:1054;height:2" coordorigin="9645,6532" coordsize="1054,0" path="m9645,6532l10699,6532e" filled="false" stroked="true" strokeweight=".47998pt" strokecolor="#000000">
                <v:path arrowok="t"/>
              </v:shape>
            </v:group>
            <v:group style="position:absolute;left:5394;top:7876;width:1055;height:1328" coordorigin="5394,7876" coordsize="1055,1328">
              <v:shape style="position:absolute;left:5394;top:7876;width:1055;height:1328" coordorigin="5394,7876" coordsize="1055,1328" path="m5394,9204l6448,9204,6448,7876,5394,7876,5394,9204xe" filled="true" fillcolor="#ffffff" stroked="false">
                <v:path arrowok="t"/>
                <v:fill type="solid"/>
              </v:shape>
            </v:group>
            <v:group style="position:absolute;left:5418;top:8345;width:1007;height:392" coordorigin="5418,8345" coordsize="1007,392">
              <v:shape style="position:absolute;left:5418;top:8345;width:1007;height:392" coordorigin="5418,8345" coordsize="1007,392" path="m5418,8736l6424,8736,6424,8345,5418,8345,5418,8736xe" filled="true" fillcolor="#ffffff" stroked="false">
                <v:path arrowok="t"/>
                <v:fill type="solid"/>
              </v:shape>
            </v:group>
            <v:group style="position:absolute;left:1138;top:7869;width:1057;height:2" coordorigin="1138,7869" coordsize="1057,2">
              <v:shape style="position:absolute;left:1138;top:7869;width:1057;height:2" coordorigin="1138,7869" coordsize="1057,0" path="m1138,7869l2194,7869e" filled="false" stroked="true" strokeweight=".47998pt" strokecolor="#000000">
                <v:path arrowok="t"/>
              </v:shape>
            </v:group>
            <v:group style="position:absolute;left:2204;top:7869;width:1054;height:2" coordorigin="2204,7869" coordsize="1054,2">
              <v:shape style="position:absolute;left:2204;top:7869;width:1054;height:2" coordorigin="2204,7869" coordsize="1054,0" path="m2204,7869l3257,7869e" filled="false" stroked="true" strokeweight=".47998pt" strokecolor="#000000">
                <v:path arrowok="t"/>
              </v:shape>
            </v:group>
            <v:group style="position:absolute;left:3267;top:7869;width:1055;height:2" coordorigin="3267,7869" coordsize="1055,2">
              <v:shape style="position:absolute;left:3267;top:7869;width:1055;height:2" coordorigin="3267,7869" coordsize="1055,0" path="m3267,7869l4321,7869e" filled="false" stroked="true" strokeweight=".47998pt" strokecolor="#000000">
                <v:path arrowok="t"/>
              </v:shape>
            </v:group>
            <v:group style="position:absolute;left:4331;top:7869;width:1054;height:2" coordorigin="4331,7869" coordsize="1054,2">
              <v:shape style="position:absolute;left:4331;top:7869;width:1054;height:2" coordorigin="4331,7869" coordsize="1054,0" path="m4331,7869l5384,7869e" filled="false" stroked="true" strokeweight=".47998pt" strokecolor="#000000">
                <v:path arrowok="t"/>
              </v:shape>
            </v:group>
            <v:group style="position:absolute;left:5394;top:7869;width:1052;height:2" coordorigin="5394,7869" coordsize="1052,2">
              <v:shape style="position:absolute;left:5394;top:7869;width:1052;height:2" coordorigin="5394,7869" coordsize="1052,0" path="m5394,7869l6445,7869e" filled="false" stroked="true" strokeweight=".47998pt" strokecolor="#000000">
                <v:path arrowok="t"/>
              </v:shape>
            </v:group>
            <v:group style="position:absolute;left:6455;top:7869;width:1054;height:2" coordorigin="6455,7869" coordsize="1054,2">
              <v:shape style="position:absolute;left:6455;top:7869;width:1054;height:2" coordorigin="6455,7869" coordsize="1054,0" path="m6455,7869l7509,7869e" filled="false" stroked="true" strokeweight=".47998pt" strokecolor="#000000">
                <v:path arrowok="t"/>
              </v:shape>
            </v:group>
            <v:group style="position:absolute;left:7518;top:7869;width:1054;height:2" coordorigin="7518,7869" coordsize="1054,2">
              <v:shape style="position:absolute;left:7518;top:7869;width:1054;height:2" coordorigin="7518,7869" coordsize="1054,0" path="m7518,7869l8572,7869e" filled="false" stroked="true" strokeweight=".47998pt" strokecolor="#000000">
                <v:path arrowok="t"/>
              </v:shape>
            </v:group>
            <v:group style="position:absolute;left:8581;top:7869;width:1055;height:2" coordorigin="8581,7869" coordsize="1055,2">
              <v:shape style="position:absolute;left:8581;top:7869;width:1055;height:2" coordorigin="8581,7869" coordsize="1055,0" path="m8581,7869l9635,7869e" filled="false" stroked="true" strokeweight=".47998pt" strokecolor="#000000">
                <v:path arrowok="t"/>
              </v:shape>
            </v:group>
            <v:group style="position:absolute;left:9645;top:7869;width:1054;height:2" coordorigin="9645,7869" coordsize="1054,2">
              <v:shape style="position:absolute;left:9645;top:7869;width:1054;height:2" coordorigin="9645,7869" coordsize="1054,0" path="m9645,7869l10699,7869e" filled="false" stroked="true" strokeweight=".47998pt" strokecolor="#000000">
                <v:path arrowok="t"/>
              </v:shape>
            </v:group>
            <v:group style="position:absolute;left:5394;top:9214;width:1055;height:1328" coordorigin="5394,9214" coordsize="1055,1328">
              <v:shape style="position:absolute;left:5394;top:9214;width:1055;height:1328" coordorigin="5394,9214" coordsize="1055,1328" path="m5394,10541l6448,10541,6448,9214,5394,9214,5394,10541xe" filled="true" fillcolor="#ffffff" stroked="false">
                <v:path arrowok="t"/>
                <v:fill type="solid"/>
              </v:shape>
            </v:group>
            <v:group style="position:absolute;left:5418;top:9682;width:1007;height:392" coordorigin="5418,9682" coordsize="1007,392">
              <v:shape style="position:absolute;left:5418;top:9682;width:1007;height:392" coordorigin="5418,9682" coordsize="1007,392" path="m5418,10073l6424,10073,6424,9682,5418,9682,5418,10073xe" filled="true" fillcolor="#ffffff" stroked="false">
                <v:path arrowok="t"/>
                <v:fill type="solid"/>
              </v:shape>
            </v:group>
            <v:group style="position:absolute;left:1138;top:9209;width:1057;height:2" coordorigin="1138,9209" coordsize="1057,2">
              <v:shape style="position:absolute;left:1138;top:9209;width:1057;height:2" coordorigin="1138,9209" coordsize="1057,0" path="m1138,9209l2194,9209e" filled="false" stroked="true" strokeweight=".47998pt" strokecolor="#000000">
                <v:path arrowok="t"/>
              </v:shape>
            </v:group>
            <v:group style="position:absolute;left:2204;top:9209;width:1054;height:2" coordorigin="2204,9209" coordsize="1054,2">
              <v:shape style="position:absolute;left:2204;top:9209;width:1054;height:2" coordorigin="2204,9209" coordsize="1054,0" path="m2204,9209l3257,9209e" filled="false" stroked="true" strokeweight=".47998pt" strokecolor="#000000">
                <v:path arrowok="t"/>
              </v:shape>
            </v:group>
            <v:group style="position:absolute;left:3267;top:9209;width:1055;height:2" coordorigin="3267,9209" coordsize="1055,2">
              <v:shape style="position:absolute;left:3267;top:9209;width:1055;height:2" coordorigin="3267,9209" coordsize="1055,0" path="m3267,9209l4321,9209e" filled="false" stroked="true" strokeweight=".47998pt" strokecolor="#000000">
                <v:path arrowok="t"/>
              </v:shape>
            </v:group>
            <v:group style="position:absolute;left:4331;top:9209;width:1054;height:2" coordorigin="4331,9209" coordsize="1054,2">
              <v:shape style="position:absolute;left:4331;top:9209;width:1054;height:2" coordorigin="4331,9209" coordsize="1054,0" path="m4331,9209l5384,9209e" filled="false" stroked="true" strokeweight=".47998pt" strokecolor="#000000">
                <v:path arrowok="t"/>
              </v:shape>
            </v:group>
            <v:group style="position:absolute;left:5394;top:9209;width:1052;height:2" coordorigin="5394,9209" coordsize="1052,2">
              <v:shape style="position:absolute;left:5394;top:9209;width:1052;height:2" coordorigin="5394,9209" coordsize="1052,0" path="m5394,9209l6445,9209e" filled="false" stroked="true" strokeweight=".47998pt" strokecolor="#000000">
                <v:path arrowok="t"/>
              </v:shape>
            </v:group>
            <v:group style="position:absolute;left:6455;top:9209;width:1054;height:2" coordorigin="6455,9209" coordsize="1054,2">
              <v:shape style="position:absolute;left:6455;top:9209;width:1054;height:2" coordorigin="6455,9209" coordsize="1054,0" path="m6455,9209l7509,9209e" filled="false" stroked="true" strokeweight=".47998pt" strokecolor="#000000">
                <v:path arrowok="t"/>
              </v:shape>
            </v:group>
            <v:group style="position:absolute;left:7518;top:9209;width:1054;height:2" coordorigin="7518,9209" coordsize="1054,2">
              <v:shape style="position:absolute;left:7518;top:9209;width:1054;height:2" coordorigin="7518,9209" coordsize="1054,0" path="m7518,9209l8572,9209e" filled="false" stroked="true" strokeweight=".47998pt" strokecolor="#000000">
                <v:path arrowok="t"/>
              </v:shape>
            </v:group>
            <v:group style="position:absolute;left:8581;top:9209;width:1055;height:2" coordorigin="8581,9209" coordsize="1055,2">
              <v:shape style="position:absolute;left:8581;top:9209;width:1055;height:2" coordorigin="8581,9209" coordsize="1055,0" path="m8581,9209l9635,9209e" filled="false" stroked="true" strokeweight=".47998pt" strokecolor="#000000">
                <v:path arrowok="t"/>
              </v:shape>
            </v:group>
            <v:group style="position:absolute;left:9645;top:9209;width:1054;height:2" coordorigin="9645,9209" coordsize="1054,2">
              <v:shape style="position:absolute;left:9645;top:9209;width:1054;height:2" coordorigin="9645,9209" coordsize="1054,0" path="m9645,9209l10699,9209e" filled="false" stroked="true" strokeweight=".47998pt" strokecolor="#000000">
                <v:path arrowok="t"/>
              </v:shape>
            </v:group>
            <v:group style="position:absolute;left:5394;top:10553;width:1055;height:1328" coordorigin="5394,10553" coordsize="1055,1328">
              <v:shape style="position:absolute;left:5394;top:10553;width:1055;height:1328" coordorigin="5394,10553" coordsize="1055,1328" path="m5394,11880l6448,11880,6448,10553,5394,10553,5394,11880xe" filled="true" fillcolor="#ffffff" stroked="false">
                <v:path arrowok="t"/>
                <v:fill type="solid"/>
              </v:shape>
            </v:group>
            <v:group style="position:absolute;left:5418;top:11021;width:1007;height:392" coordorigin="5418,11021" coordsize="1007,392">
              <v:shape style="position:absolute;left:5418;top:11021;width:1007;height:392" coordorigin="5418,11021" coordsize="1007,392" path="m5418,11412l6424,11412,6424,11021,5418,11021,5418,11412xe" filled="true" fillcolor="#ffffff" stroked="false">
                <v:path arrowok="t"/>
                <v:fill type="solid"/>
              </v:shape>
            </v:group>
            <v:group style="position:absolute;left:1138;top:10546;width:1057;height:2" coordorigin="1138,10546" coordsize="1057,2">
              <v:shape style="position:absolute;left:1138;top:10546;width:1057;height:2" coordorigin="1138,10546" coordsize="1057,0" path="m1138,10546l2194,10546e" filled="false" stroked="true" strokeweight=".48004pt" strokecolor="#000000">
                <v:path arrowok="t"/>
              </v:shape>
            </v:group>
            <v:group style="position:absolute;left:2204;top:10546;width:1054;height:2" coordorigin="2204,10546" coordsize="1054,2">
              <v:shape style="position:absolute;left:2204;top:10546;width:1054;height:2" coordorigin="2204,10546" coordsize="1054,0" path="m2204,10546l3257,10546e" filled="false" stroked="true" strokeweight=".48004pt" strokecolor="#000000">
                <v:path arrowok="t"/>
              </v:shape>
            </v:group>
            <v:group style="position:absolute;left:3267;top:10546;width:1055;height:2" coordorigin="3267,10546" coordsize="1055,2">
              <v:shape style="position:absolute;left:3267;top:10546;width:1055;height:2" coordorigin="3267,10546" coordsize="1055,0" path="m3267,10546l4321,10546e" filled="false" stroked="true" strokeweight=".48004pt" strokecolor="#000000">
                <v:path arrowok="t"/>
              </v:shape>
            </v:group>
            <v:group style="position:absolute;left:4331;top:10546;width:1054;height:2" coordorigin="4331,10546" coordsize="1054,2">
              <v:shape style="position:absolute;left:4331;top:10546;width:1054;height:2" coordorigin="4331,10546" coordsize="1054,0" path="m4331,10546l5384,10546e" filled="false" stroked="true" strokeweight=".48004pt" strokecolor="#000000">
                <v:path arrowok="t"/>
              </v:shape>
            </v:group>
            <v:group style="position:absolute;left:5394;top:10546;width:1052;height:2" coordorigin="5394,10546" coordsize="1052,2">
              <v:shape style="position:absolute;left:5394;top:10546;width:1052;height:2" coordorigin="5394,10546" coordsize="1052,0" path="m5394,10546l6445,10546e" filled="false" stroked="true" strokeweight=".48004pt" strokecolor="#000000">
                <v:path arrowok="t"/>
              </v:shape>
            </v:group>
            <v:group style="position:absolute;left:6455;top:10546;width:1054;height:2" coordorigin="6455,10546" coordsize="1054,2">
              <v:shape style="position:absolute;left:6455;top:10546;width:1054;height:2" coordorigin="6455,10546" coordsize="1054,0" path="m6455,10546l7509,10546e" filled="false" stroked="true" strokeweight=".48004pt" strokecolor="#000000">
                <v:path arrowok="t"/>
              </v:shape>
            </v:group>
            <v:group style="position:absolute;left:7518;top:10546;width:1054;height:2" coordorigin="7518,10546" coordsize="1054,2">
              <v:shape style="position:absolute;left:7518;top:10546;width:1054;height:2" coordorigin="7518,10546" coordsize="1054,0" path="m7518,10546l8572,10546e" filled="false" stroked="true" strokeweight=".48004pt" strokecolor="#000000">
                <v:path arrowok="t"/>
              </v:shape>
            </v:group>
            <v:group style="position:absolute;left:8581;top:10546;width:1055;height:2" coordorigin="8581,10546" coordsize="1055,2">
              <v:shape style="position:absolute;left:8581;top:10546;width:1055;height:2" coordorigin="8581,10546" coordsize="1055,0" path="m8581,10546l9635,10546e" filled="false" stroked="true" strokeweight=".48004pt" strokecolor="#000000">
                <v:path arrowok="t"/>
              </v:shape>
            </v:group>
            <v:group style="position:absolute;left:9645;top:10546;width:1054;height:2" coordorigin="9645,10546" coordsize="1054,2">
              <v:shape style="position:absolute;left:9645;top:10546;width:1054;height:2" coordorigin="9645,10546" coordsize="1054,0" path="m9645,10546l10699,10546e" filled="false" stroked="true" strokeweight=".48004pt" strokecolor="#000000">
                <v:path arrowok="t"/>
              </v:shape>
            </v:group>
            <v:group style="position:absolute;left:1133;top:459;width:2;height:11431" coordorigin="1133,459" coordsize="2,11431">
              <v:shape style="position:absolute;left:1133;top:459;width:2;height:11431" coordorigin="1133,459" coordsize="0,11431" path="m1133,459l1133,11890e" filled="false" stroked="true" strokeweight=".48pt" strokecolor="#000000">
                <v:path arrowok="t"/>
              </v:shape>
            </v:group>
            <v:group style="position:absolute;left:1138;top:11885;width:1057;height:2" coordorigin="1138,11885" coordsize="1057,2">
              <v:shape style="position:absolute;left:1138;top:11885;width:1057;height:2" coordorigin="1138,11885" coordsize="1057,0" path="m1138,11885l2194,11885e" filled="false" stroked="true" strokeweight=".48004pt" strokecolor="#000000">
                <v:path arrowok="t"/>
              </v:shape>
            </v:group>
            <v:group style="position:absolute;left:2199;top:459;width:2;height:11431" coordorigin="2199,459" coordsize="2,11431">
              <v:shape style="position:absolute;left:2199;top:459;width:2;height:11431" coordorigin="2199,459" coordsize="0,11431" path="m2199,459l2199,11890e" filled="false" stroked="true" strokeweight=".48pt" strokecolor="#000000">
                <v:path arrowok="t"/>
              </v:shape>
            </v:group>
            <v:group style="position:absolute;left:2204;top:11885;width:1054;height:2" coordorigin="2204,11885" coordsize="1054,2">
              <v:shape style="position:absolute;left:2204;top:11885;width:1054;height:2" coordorigin="2204,11885" coordsize="1054,0" path="m2204,11885l3257,11885e" filled="false" stroked="true" strokeweight=".48004pt" strokecolor="#000000">
                <v:path arrowok="t"/>
              </v:shape>
            </v:group>
            <v:group style="position:absolute;left:3262;top:459;width:2;height:11431" coordorigin="3262,459" coordsize="2,11431">
              <v:shape style="position:absolute;left:3262;top:459;width:2;height:11431" coordorigin="3262,459" coordsize="0,11431" path="m3262,459l3262,11890e" filled="false" stroked="true" strokeweight=".48pt" strokecolor="#000000">
                <v:path arrowok="t"/>
              </v:shape>
            </v:group>
            <v:group style="position:absolute;left:3267;top:11885;width:1055;height:2" coordorigin="3267,11885" coordsize="1055,2">
              <v:shape style="position:absolute;left:3267;top:11885;width:1055;height:2" coordorigin="3267,11885" coordsize="1055,0" path="m3267,11885l4321,11885e" filled="false" stroked="true" strokeweight=".48004pt" strokecolor="#000000">
                <v:path arrowok="t"/>
              </v:shape>
            </v:group>
            <v:group style="position:absolute;left:4326;top:459;width:2;height:11431" coordorigin="4326,459" coordsize="2,11431">
              <v:shape style="position:absolute;left:4326;top:459;width:2;height:11431" coordorigin="4326,459" coordsize="0,11431" path="m4326,459l4326,11890e" filled="false" stroked="true" strokeweight=".48pt" strokecolor="#000000">
                <v:path arrowok="t"/>
              </v:shape>
            </v:group>
            <v:group style="position:absolute;left:4331;top:11885;width:1054;height:2" coordorigin="4331,11885" coordsize="1054,2">
              <v:shape style="position:absolute;left:4331;top:11885;width:1054;height:2" coordorigin="4331,11885" coordsize="1054,0" path="m4331,11885l5384,11885e" filled="false" stroked="true" strokeweight=".48004pt" strokecolor="#000000">
                <v:path arrowok="t"/>
              </v:shape>
            </v:group>
            <v:group style="position:absolute;left:5389;top:459;width:2;height:11431" coordorigin="5389,459" coordsize="2,11431">
              <v:shape style="position:absolute;left:5389;top:459;width:2;height:11431" coordorigin="5389,459" coordsize="0,11431" path="m5389,459l5389,11890e" filled="false" stroked="true" strokeweight=".47998pt" strokecolor="#000000">
                <v:path arrowok="t"/>
              </v:shape>
            </v:group>
            <v:group style="position:absolute;left:5394;top:11885;width:1052;height:2" coordorigin="5394,11885" coordsize="1052,2">
              <v:shape style="position:absolute;left:5394;top:11885;width:1052;height:2" coordorigin="5394,11885" coordsize="1052,0" path="m5394,11885l6445,11885e" filled="false" stroked="true" strokeweight=".48004pt" strokecolor="#000000">
                <v:path arrowok="t"/>
              </v:shape>
            </v:group>
            <v:group style="position:absolute;left:6450;top:459;width:2;height:11431" coordorigin="6450,459" coordsize="2,11431">
              <v:shape style="position:absolute;left:6450;top:459;width:2;height:11431" coordorigin="6450,459" coordsize="0,11431" path="m6450,459l6450,11890e" filled="false" stroked="true" strokeweight=".48001pt" strokecolor="#000000">
                <v:path arrowok="t"/>
              </v:shape>
            </v:group>
            <v:group style="position:absolute;left:6455;top:11885;width:1054;height:2" coordorigin="6455,11885" coordsize="1054,2">
              <v:shape style="position:absolute;left:6455;top:11885;width:1054;height:2" coordorigin="6455,11885" coordsize="1054,0" path="m6455,11885l7509,11885e" filled="false" stroked="true" strokeweight=".48004pt" strokecolor="#000000">
                <v:path arrowok="t"/>
              </v:shape>
            </v:group>
            <v:group style="position:absolute;left:7513;top:459;width:2;height:11431" coordorigin="7513,459" coordsize="2,11431">
              <v:shape style="position:absolute;left:7513;top:459;width:2;height:11431" coordorigin="7513,459" coordsize="0,11431" path="m7513,459l7513,11890e" filled="false" stroked="true" strokeweight=".48001pt" strokecolor="#000000">
                <v:path arrowok="t"/>
              </v:shape>
            </v:group>
            <v:group style="position:absolute;left:7518;top:11885;width:1054;height:2" coordorigin="7518,11885" coordsize="1054,2">
              <v:shape style="position:absolute;left:7518;top:11885;width:1054;height:2" coordorigin="7518,11885" coordsize="1054,0" path="m7518,11885l8572,11885e" filled="false" stroked="true" strokeweight=".48004pt" strokecolor="#000000">
                <v:path arrowok="t"/>
              </v:shape>
            </v:group>
            <v:group style="position:absolute;left:8577;top:459;width:2;height:11431" coordorigin="8577,459" coordsize="2,11431">
              <v:shape style="position:absolute;left:8577;top:459;width:2;height:11431" coordorigin="8577,459" coordsize="0,11431" path="m8577,459l8577,11890e" filled="false" stroked="true" strokeweight=".47998pt" strokecolor="#000000">
                <v:path arrowok="t"/>
              </v:shape>
            </v:group>
            <v:group style="position:absolute;left:8581;top:11885;width:1055;height:2" coordorigin="8581,11885" coordsize="1055,2">
              <v:shape style="position:absolute;left:8581;top:11885;width:1055;height:2" coordorigin="8581,11885" coordsize="1055,0" path="m8581,11885l9635,11885e" filled="false" stroked="true" strokeweight=".48004pt" strokecolor="#000000">
                <v:path arrowok="t"/>
              </v:shape>
            </v:group>
            <v:group style="position:absolute;left:9640;top:459;width:2;height:11431" coordorigin="9640,459" coordsize="2,11431">
              <v:shape style="position:absolute;left:9640;top:459;width:2;height:11431" coordorigin="9640,459" coordsize="0,11431" path="m9640,459l9640,11890e" filled="false" stroked="true" strokeweight=".48001pt" strokecolor="#000000">
                <v:path arrowok="t"/>
              </v:shape>
            </v:group>
            <v:group style="position:absolute;left:9645;top:11885;width:1054;height:2" coordorigin="9645,11885" coordsize="1054,2">
              <v:shape style="position:absolute;left:9645;top:11885;width:1054;height:2" coordorigin="9645,11885" coordsize="1054,0" path="m9645,11885l10699,11885e" filled="false" stroked="true" strokeweight=".48004pt" strokecolor="#000000">
                <v:path arrowok="t"/>
              </v:shape>
            </v:group>
            <v:group style="position:absolute;left:10704;top:459;width:2;height:11431" coordorigin="10704,459" coordsize="2,11431">
              <v:shape style="position:absolute;left:10704;top:459;width:2;height:11431" coordorigin="10704,459" coordsize="0,11431" path="m10704,459l10704,11890e" filled="false" stroked="true" strokeweight=".47998pt" strokecolor="#000000">
                <v:path arrowok="t"/>
              </v:shape>
            </v:group>
            <w10:wrap type="none"/>
          </v:group>
        </w:pict>
      </w:r>
      <w:r>
        <w:rPr/>
        <w:t>单位：</w:t>
      </w:r>
      <w:r>
        <w:rPr>
          <w:spacing w:val="1"/>
        </w:rPr>
        <w:t> </w:t>
      </w:r>
      <w:r>
        <w:rPr/>
        <w:t>元</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5" w:footer="1133" w:top="1060" w:bottom="1320" w:left="980" w:right="980"/>
        </w:sectPr>
      </w:pPr>
    </w:p>
    <w:p>
      <w:pPr>
        <w:spacing w:line="240" w:lineRule="auto" w:before="4"/>
        <w:rPr>
          <w:rFonts w:ascii="宋体" w:hAnsi="宋体" w:cs="宋体" w:eastAsia="宋体" w:hint="default"/>
          <w:sz w:val="15"/>
          <w:szCs w:val="15"/>
        </w:rPr>
      </w:pPr>
    </w:p>
    <w:p>
      <w:pPr>
        <w:pStyle w:val="BodyText"/>
        <w:tabs>
          <w:tab w:pos="1391" w:val="left" w:leader="none"/>
          <w:tab w:pos="2454" w:val="left" w:leader="none"/>
          <w:tab w:pos="3518" w:val="left" w:leader="none"/>
        </w:tabs>
        <w:spacing w:line="240" w:lineRule="auto"/>
        <w:ind w:left="326" w:right="-20"/>
        <w:jc w:val="left"/>
      </w:pPr>
      <w:r>
        <w:rPr/>
        <w:t>补助项目</w:t>
        <w:tab/>
        <w:t>发放主体</w:t>
        <w:tab/>
        <w:t>发放原因</w:t>
        <w:tab/>
        <w:t>性质类型</w:t>
      </w:r>
    </w:p>
    <w:p>
      <w:pPr>
        <w:pStyle w:val="BodyText"/>
        <w:spacing w:line="314" w:lineRule="auto" w:before="44"/>
        <w:ind w:left="211" w:right="-19"/>
        <w:jc w:val="left"/>
      </w:pPr>
      <w:r>
        <w:rPr/>
        <w:br w:type="column"/>
      </w:r>
      <w:r>
        <w:rPr/>
        <w:t>补贴是否影 响当年盈亏</w:t>
      </w:r>
    </w:p>
    <w:p>
      <w:pPr>
        <w:pStyle w:val="BodyText"/>
        <w:spacing w:line="314" w:lineRule="auto" w:before="44"/>
        <w:ind w:left="483" w:right="-20" w:hanging="360"/>
        <w:jc w:val="left"/>
      </w:pPr>
      <w:r>
        <w:rPr/>
        <w:br w:type="column"/>
      </w:r>
      <w:r>
        <w:rPr/>
        <w:t>是否特殊补 贴</w:t>
      </w:r>
    </w:p>
    <w:p>
      <w:pPr>
        <w:pStyle w:val="BodyText"/>
        <w:spacing w:line="314" w:lineRule="auto" w:before="44"/>
        <w:ind w:left="480" w:right="-20" w:hanging="360"/>
        <w:jc w:val="left"/>
      </w:pPr>
      <w:r>
        <w:rPr/>
        <w:br w:type="column"/>
      </w:r>
      <w:r>
        <w:rPr/>
        <w:t>本期发生金 额</w:t>
      </w:r>
    </w:p>
    <w:p>
      <w:pPr>
        <w:pStyle w:val="BodyText"/>
        <w:spacing w:line="314" w:lineRule="auto" w:before="44"/>
        <w:ind w:left="483" w:right="-19" w:hanging="361"/>
        <w:jc w:val="left"/>
      </w:pPr>
      <w:r>
        <w:rPr/>
        <w:br w:type="column"/>
      </w:r>
      <w:r>
        <w:rPr/>
        <w:t>上期发生金 额</w:t>
      </w:r>
    </w:p>
    <w:p>
      <w:pPr>
        <w:pStyle w:val="BodyText"/>
        <w:spacing w:line="297" w:lineRule="auto" w:before="44"/>
        <w:ind w:left="123" w:right="259" w:hanging="24"/>
        <w:jc w:val="left"/>
      </w:pPr>
      <w:r>
        <w:rPr/>
        <w:br w:type="column"/>
      </w:r>
      <w:r>
        <w:rPr/>
        <w:t>与资产相关</w:t>
      </w:r>
      <w:r>
        <w:rPr>
          <w:rFonts w:ascii="Times New Roman" w:hAnsi="Times New Roman" w:cs="Times New Roman" w:eastAsia="Times New Roman" w:hint="default"/>
        </w:rPr>
        <w:t>/ </w:t>
      </w:r>
      <w:r>
        <w:rPr/>
        <w:t>与收益相关</w:t>
      </w:r>
    </w:p>
    <w:p>
      <w:pPr>
        <w:spacing w:after="0" w:line="297" w:lineRule="auto"/>
        <w:jc w:val="left"/>
        <w:sectPr>
          <w:type w:val="continuous"/>
          <w:pgSz w:w="11910" w:h="16840"/>
          <w:pgMar w:top="1060" w:bottom="1320" w:left="980" w:right="980"/>
          <w:cols w:num="6" w:equalWidth="0">
            <w:col w:w="4239" w:space="40"/>
            <w:col w:w="1113" w:space="40"/>
            <w:col w:w="1024" w:space="40"/>
            <w:col w:w="1021" w:space="40"/>
            <w:col w:w="1024" w:space="40"/>
            <w:col w:w="1329"/>
          </w:cols>
        </w:sect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6"/>
          <w:szCs w:val="26"/>
        </w:rPr>
      </w:pPr>
    </w:p>
    <w:p>
      <w:pPr>
        <w:pStyle w:val="BodyText"/>
        <w:spacing w:line="240" w:lineRule="auto"/>
        <w:ind w:left="181" w:right="-20"/>
        <w:jc w:val="left"/>
      </w:pPr>
      <w:r>
        <w:rPr/>
        <w:t>增值税退税</w:t>
      </w:r>
    </w:p>
    <w:p>
      <w:pPr>
        <w:spacing w:line="240" w:lineRule="auto" w:before="7"/>
        <w:rPr>
          <w:rFonts w:ascii="宋体" w:hAnsi="宋体" w:cs="宋体" w:eastAsia="宋体" w:hint="default"/>
          <w:sz w:val="20"/>
          <w:szCs w:val="20"/>
        </w:rPr>
      </w:pPr>
      <w:r>
        <w:rPr/>
        <w:br w:type="column"/>
      </w:r>
      <w:r>
        <w:rPr>
          <w:rFonts w:ascii="宋体"/>
          <w:sz w:val="20"/>
        </w:rPr>
      </w:r>
    </w:p>
    <w:p>
      <w:pPr>
        <w:pStyle w:val="BodyText"/>
        <w:spacing w:line="316" w:lineRule="auto"/>
        <w:ind w:left="125" w:right="-19"/>
        <w:jc w:val="left"/>
      </w:pPr>
      <w:r>
        <w:rPr/>
        <w:t>北京市海淀 区国家税务</w:t>
      </w:r>
      <w:r>
        <w:rPr>
          <w:spacing w:val="73"/>
        </w:rPr>
        <w:t> </w:t>
      </w:r>
      <w:r>
        <w:rPr/>
        <w:t>补助</w:t>
      </w:r>
      <w:r>
        <w:rPr/>
        <w:t> 局</w:t>
      </w:r>
    </w:p>
    <w:p>
      <w:pPr>
        <w:pStyle w:val="BodyText"/>
        <w:spacing w:line="310" w:lineRule="atLeast" w:before="37"/>
        <w:ind w:left="181" w:right="1207"/>
        <w:jc w:val="left"/>
      </w:pPr>
      <w:r>
        <w:rPr/>
        <w:br w:type="column"/>
      </w:r>
      <w:r>
        <w:rPr/>
        <w:t>因研究开发、 技术更新及</w:t>
      </w:r>
    </w:p>
    <w:p>
      <w:pPr>
        <w:pStyle w:val="BodyText"/>
        <w:tabs>
          <w:tab w:pos="2308" w:val="left" w:leader="none"/>
        </w:tabs>
        <w:spacing w:line="116" w:lineRule="exact"/>
        <w:ind w:left="1244" w:right="-20"/>
        <w:jc w:val="left"/>
      </w:pPr>
      <w:r>
        <w:rPr/>
        <w:t>是</w:t>
        <w:tab/>
        <w:t>否</w:t>
      </w:r>
    </w:p>
    <w:p>
      <w:pPr>
        <w:pStyle w:val="BodyText"/>
        <w:spacing w:line="196" w:lineRule="exact"/>
        <w:ind w:left="181" w:right="1207"/>
        <w:jc w:val="left"/>
      </w:pPr>
      <w:r>
        <w:rPr/>
        <w:t>改造等获得</w:t>
      </w:r>
    </w:p>
    <w:p>
      <w:pPr>
        <w:pStyle w:val="BodyText"/>
        <w:spacing w:line="240" w:lineRule="auto" w:before="76"/>
        <w:ind w:left="181" w:right="1207"/>
        <w:jc w:val="left"/>
      </w:pPr>
      <w:r>
        <w:rPr/>
        <w:t>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7"/>
          <w:szCs w:val="17"/>
        </w:rPr>
      </w:pPr>
    </w:p>
    <w:p>
      <w:pPr>
        <w:pStyle w:val="BodyText"/>
        <w:spacing w:line="240" w:lineRule="auto"/>
        <w:ind w:left="0" w:right="0"/>
        <w:jc w:val="right"/>
        <w:rPr>
          <w:rFonts w:ascii="Times New Roman" w:hAnsi="Times New Roman" w:cs="Times New Roman" w:eastAsia="Times New Roman" w:hint="default"/>
        </w:rPr>
      </w:pPr>
      <w:r>
        <w:rPr>
          <w:rFonts w:ascii="Times New Roman"/>
          <w:spacing w:val="-1"/>
        </w:rPr>
        <w:t>19,660,442.8</w:t>
      </w:r>
    </w:p>
    <w:p>
      <w:pPr>
        <w:pStyle w:val="BodyText"/>
        <w:spacing w:line="240" w:lineRule="auto" w:before="105"/>
        <w:ind w:left="0" w:right="1"/>
        <w:jc w:val="right"/>
        <w:rPr>
          <w:rFonts w:ascii="Times New Roman" w:hAnsi="Times New Roman" w:cs="Times New Roman" w:eastAsia="Times New Roman" w:hint="default"/>
        </w:rPr>
      </w:pPr>
      <w:r>
        <w:rPr>
          <w:rFonts w:ascii="Times New Roman"/>
        </w:rPr>
        <w:t>1</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7"/>
        <w:rPr>
          <w:rFonts w:ascii="Times New Roman" w:hAnsi="Times New Roman" w:cs="Times New Roman" w:eastAsia="Times New Roman" w:hint="default"/>
          <w:sz w:val="22"/>
          <w:szCs w:val="22"/>
        </w:rPr>
      </w:pPr>
    </w:p>
    <w:p>
      <w:pPr>
        <w:pStyle w:val="BodyText"/>
        <w:spacing w:line="240" w:lineRule="auto"/>
        <w:ind w:left="0" w:right="0"/>
        <w:jc w:val="right"/>
        <w:rPr>
          <w:rFonts w:ascii="Times New Roman" w:hAnsi="Times New Roman" w:cs="Times New Roman" w:eastAsia="Times New Roman" w:hint="default"/>
        </w:rPr>
      </w:pPr>
      <w:r>
        <w:rPr>
          <w:rFonts w:ascii="Times New Roman"/>
          <w:spacing w:val="-1"/>
        </w:rPr>
        <w:t>15,467,828.3</w:t>
      </w:r>
    </w:p>
    <w:p>
      <w:pPr>
        <w:pStyle w:val="BodyText"/>
        <w:spacing w:line="240" w:lineRule="auto" w:before="105"/>
        <w:ind w:left="0" w:right="0"/>
        <w:jc w:val="right"/>
        <w:rPr>
          <w:rFonts w:ascii="Times New Roman" w:hAnsi="Times New Roman" w:cs="Times New Roman" w:eastAsia="Times New Roman" w:hint="default"/>
        </w:rPr>
      </w:pPr>
      <w:r>
        <w:rPr>
          <w:rFonts w:ascii="Times New Roman"/>
        </w:rPr>
        <w:t>1</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4"/>
          <w:szCs w:val="14"/>
        </w:rPr>
      </w:pPr>
    </w:p>
    <w:p>
      <w:pPr>
        <w:pStyle w:val="BodyText"/>
        <w:spacing w:line="240" w:lineRule="auto"/>
        <w:ind w:left="15" w:right="0"/>
        <w:jc w:val="left"/>
      </w:pPr>
      <w:r>
        <w:rPr/>
        <w:t>与收益相关</w:t>
      </w:r>
    </w:p>
    <w:p>
      <w:pPr>
        <w:spacing w:after="0" w:line="240" w:lineRule="auto"/>
        <w:jc w:val="left"/>
        <w:sectPr>
          <w:type w:val="continuous"/>
          <w:pgSz w:w="11910" w:h="16840"/>
          <w:pgMar w:top="1060" w:bottom="1320" w:left="980" w:right="980"/>
          <w:cols w:num="6" w:equalWidth="0">
            <w:col w:w="1082" w:space="40"/>
            <w:col w:w="1550" w:space="522"/>
            <w:col w:w="2489" w:space="761"/>
            <w:col w:w="1128" w:space="40"/>
            <w:col w:w="1024" w:space="40"/>
            <w:col w:w="1274"/>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320" w:left="980" w:right="980"/>
        </w:sectPr>
      </w:pPr>
    </w:p>
    <w:p>
      <w:pPr>
        <w:spacing w:line="240" w:lineRule="auto" w:before="0"/>
        <w:rPr>
          <w:rFonts w:ascii="宋体" w:hAnsi="宋体" w:cs="宋体" w:eastAsia="宋体" w:hint="default"/>
          <w:sz w:val="18"/>
          <w:szCs w:val="18"/>
        </w:rPr>
      </w:pPr>
    </w:p>
    <w:p>
      <w:pPr>
        <w:pStyle w:val="BodyText"/>
        <w:spacing w:line="314" w:lineRule="auto" w:before="121"/>
        <w:ind w:left="181" w:right="-20"/>
        <w:jc w:val="left"/>
      </w:pPr>
      <w:r>
        <w:rPr/>
        <w:t>工程实验室 补贴款</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125" w:right="-19"/>
        <w:jc w:val="left"/>
      </w:pPr>
      <w:r>
        <w:rPr/>
        <w:t>北京市海淀 区财政局专</w:t>
      </w:r>
      <w:r>
        <w:rPr>
          <w:spacing w:val="73"/>
        </w:rPr>
        <w:t> </w:t>
      </w:r>
      <w:r>
        <w:rPr/>
        <w:t>补助</w:t>
      </w:r>
      <w:r>
        <w:rPr/>
        <w:t> 项资金</w:t>
      </w:r>
    </w:p>
    <w:p>
      <w:pPr>
        <w:pStyle w:val="BodyText"/>
        <w:spacing w:line="310" w:lineRule="exact" w:before="6"/>
        <w:ind w:left="181" w:right="5472"/>
        <w:jc w:val="left"/>
      </w:pPr>
      <w:r>
        <w:rPr/>
        <w:br w:type="column"/>
      </w:r>
      <w:r>
        <w:rPr/>
        <w:t>因研究开发、 技术更新及</w:t>
      </w:r>
    </w:p>
    <w:p>
      <w:pPr>
        <w:pStyle w:val="BodyText"/>
        <w:tabs>
          <w:tab w:pos="2308" w:val="left" w:leader="none"/>
          <w:tab w:pos="3431" w:val="left" w:leader="none"/>
          <w:tab w:pos="5496" w:val="left" w:leader="none"/>
        </w:tabs>
        <w:spacing w:line="88" w:lineRule="exact"/>
        <w:ind w:left="1244" w:right="0"/>
        <w:jc w:val="left"/>
      </w:pPr>
      <w:r>
        <w:rPr/>
        <w:t>是</w:t>
        <w:tab/>
        <w:t>否</w:t>
        <w:tab/>
      </w:r>
      <w:r>
        <w:rPr>
          <w:rFonts w:ascii="Times New Roman" w:hAnsi="Times New Roman" w:cs="Times New Roman" w:eastAsia="Times New Roman" w:hint="default"/>
          <w:spacing w:val="-1"/>
        </w:rPr>
        <w:t>1,279,300.00</w:t>
        <w:tab/>
      </w:r>
      <w:r>
        <w:rPr/>
        <w:t>与资产相关</w:t>
      </w:r>
    </w:p>
    <w:p>
      <w:pPr>
        <w:pStyle w:val="BodyText"/>
        <w:spacing w:line="188"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320" w:left="980" w:right="980"/>
          <w:cols w:num="3" w:equalWidth="0">
            <w:col w:w="1082" w:space="40"/>
            <w:col w:w="1550" w:space="522"/>
            <w:col w:w="6756"/>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320" w:left="980" w:right="980"/>
        </w:sectPr>
      </w:pPr>
    </w:p>
    <w:p>
      <w:pPr>
        <w:spacing w:line="240" w:lineRule="auto" w:before="0"/>
        <w:rPr>
          <w:rFonts w:ascii="宋体" w:hAnsi="宋体" w:cs="宋体" w:eastAsia="宋体" w:hint="default"/>
          <w:sz w:val="18"/>
          <w:szCs w:val="18"/>
        </w:rPr>
      </w:pPr>
    </w:p>
    <w:p>
      <w:pPr>
        <w:pStyle w:val="BodyText"/>
        <w:spacing w:line="316" w:lineRule="auto" w:before="121"/>
        <w:ind w:left="181" w:right="-20"/>
        <w:jc w:val="left"/>
      </w:pPr>
      <w:r>
        <w:rPr/>
        <w:t>创新能力提 升资金</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9" w:lineRule="auto"/>
        <w:ind w:left="125" w:right="-19"/>
        <w:jc w:val="left"/>
      </w:pPr>
      <w:r>
        <w:rPr/>
        <w:t>北京市经济 和信息化委</w:t>
      </w:r>
      <w:r>
        <w:rPr>
          <w:spacing w:val="73"/>
        </w:rPr>
        <w:t> </w:t>
      </w:r>
      <w:r>
        <w:rPr/>
        <w:t>补助</w:t>
      </w:r>
      <w:r>
        <w:rPr/>
        <w:t> 员会</w:t>
      </w:r>
    </w:p>
    <w:p>
      <w:pPr>
        <w:pStyle w:val="BodyText"/>
        <w:spacing w:line="312" w:lineRule="exact" w:before="5"/>
        <w:ind w:left="181" w:right="5472"/>
        <w:jc w:val="left"/>
      </w:pPr>
      <w:r>
        <w:rPr/>
        <w:br w:type="column"/>
      </w:r>
      <w:r>
        <w:rPr/>
        <w:t>因研究开发、 技术更新及</w:t>
      </w:r>
    </w:p>
    <w:p>
      <w:pPr>
        <w:pStyle w:val="BodyText"/>
        <w:tabs>
          <w:tab w:pos="2308" w:val="left" w:leader="none"/>
          <w:tab w:pos="3565" w:val="left" w:leader="none"/>
          <w:tab w:pos="5496" w:val="left" w:leader="none"/>
        </w:tabs>
        <w:spacing w:line="86" w:lineRule="exact"/>
        <w:ind w:left="1244" w:right="0"/>
        <w:jc w:val="left"/>
      </w:pPr>
      <w:r>
        <w:rPr/>
        <w:t>是</w:t>
        <w:tab/>
        <w:t>否</w:t>
        <w:tab/>
      </w:r>
      <w:r>
        <w:rPr>
          <w:rFonts w:ascii="Times New Roman" w:hAnsi="Times New Roman" w:cs="Times New Roman" w:eastAsia="Times New Roman" w:hint="default"/>
          <w:spacing w:val="-1"/>
        </w:rPr>
        <w:t>265,567.83</w:t>
        <w:tab/>
      </w:r>
      <w:r>
        <w:rPr/>
        <w:t>与收益相关</w:t>
      </w:r>
    </w:p>
    <w:p>
      <w:pPr>
        <w:pStyle w:val="BodyText"/>
        <w:spacing w:line="189" w:lineRule="exact"/>
        <w:ind w:left="181" w:right="5472"/>
        <w:jc w:val="left"/>
      </w:pPr>
      <w:r>
        <w:rPr/>
        <w:t>改造等获得</w:t>
      </w:r>
    </w:p>
    <w:p>
      <w:pPr>
        <w:pStyle w:val="BodyText"/>
        <w:spacing w:line="240" w:lineRule="auto" w:before="77"/>
        <w:ind w:left="181" w:right="5472"/>
        <w:jc w:val="left"/>
      </w:pPr>
      <w:r>
        <w:rPr/>
        <w:t>的补助</w:t>
      </w:r>
    </w:p>
    <w:p>
      <w:pPr>
        <w:spacing w:after="0" w:line="240" w:lineRule="auto"/>
        <w:jc w:val="left"/>
        <w:sectPr>
          <w:type w:val="continuous"/>
          <w:pgSz w:w="11910" w:h="16840"/>
          <w:pgMar w:top="1060" w:bottom="1320" w:left="980" w:right="980"/>
          <w:cols w:num="3" w:equalWidth="0">
            <w:col w:w="1082" w:space="40"/>
            <w:col w:w="1550" w:space="522"/>
            <w:col w:w="6756"/>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320" w:left="980" w:right="980"/>
        </w:sectPr>
      </w:pPr>
    </w:p>
    <w:p>
      <w:pPr>
        <w:spacing w:line="240" w:lineRule="auto" w:before="0"/>
        <w:rPr>
          <w:rFonts w:ascii="宋体" w:hAnsi="宋体" w:cs="宋体" w:eastAsia="宋体" w:hint="default"/>
          <w:sz w:val="18"/>
          <w:szCs w:val="18"/>
        </w:rPr>
      </w:pPr>
    </w:p>
    <w:p>
      <w:pPr>
        <w:pStyle w:val="BodyText"/>
        <w:spacing w:line="314" w:lineRule="auto" w:before="121"/>
        <w:ind w:left="181" w:right="-20"/>
        <w:jc w:val="left"/>
      </w:pPr>
      <w:r>
        <w:rPr/>
        <w:t>文化产业专 项资金</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125" w:right="-19"/>
        <w:jc w:val="left"/>
      </w:pPr>
      <w:r>
        <w:rPr/>
        <w:t>南京市浦口 区文化建设</w:t>
      </w:r>
      <w:r>
        <w:rPr>
          <w:spacing w:val="73"/>
        </w:rPr>
        <w:t> </w:t>
      </w:r>
      <w:r>
        <w:rPr/>
        <w:t>补助</w:t>
      </w:r>
      <w:r>
        <w:rPr/>
        <w:t> 领导小组</w:t>
      </w:r>
    </w:p>
    <w:p>
      <w:pPr>
        <w:pStyle w:val="BodyText"/>
        <w:spacing w:line="310" w:lineRule="exact" w:before="6"/>
        <w:ind w:left="181" w:right="5472"/>
        <w:jc w:val="left"/>
      </w:pPr>
      <w:r>
        <w:rPr/>
        <w:br w:type="column"/>
      </w:r>
      <w:r>
        <w:rPr/>
        <w:t>因研究开发、 技术更新及</w:t>
      </w:r>
    </w:p>
    <w:p>
      <w:pPr>
        <w:pStyle w:val="BodyText"/>
        <w:tabs>
          <w:tab w:pos="2308" w:val="left" w:leader="none"/>
          <w:tab w:pos="3565" w:val="left" w:leader="none"/>
          <w:tab w:pos="5496" w:val="left" w:leader="none"/>
        </w:tabs>
        <w:spacing w:line="88" w:lineRule="exact"/>
        <w:ind w:left="1244" w:right="0"/>
        <w:jc w:val="left"/>
      </w:pPr>
      <w:r>
        <w:rPr/>
        <w:t>是</w:t>
        <w:tab/>
        <w:t>否</w:t>
        <w:tab/>
      </w:r>
      <w:r>
        <w:rPr>
          <w:rFonts w:ascii="Times New Roman" w:hAnsi="Times New Roman" w:cs="Times New Roman" w:eastAsia="Times New Roman" w:hint="default"/>
          <w:spacing w:val="-1"/>
        </w:rPr>
        <w:t>200,000.00</w:t>
        <w:tab/>
      </w:r>
      <w:r>
        <w:rPr/>
        <w:t>与收益相关</w:t>
      </w:r>
    </w:p>
    <w:p>
      <w:pPr>
        <w:pStyle w:val="BodyText"/>
        <w:spacing w:line="188"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320" w:left="980" w:right="980"/>
          <w:cols w:num="3" w:equalWidth="0">
            <w:col w:w="1082" w:space="40"/>
            <w:col w:w="1550" w:space="522"/>
            <w:col w:w="6756"/>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320" w:left="980" w:right="980"/>
        </w:sectPr>
      </w:pPr>
    </w:p>
    <w:p>
      <w:pPr>
        <w:spacing w:line="240" w:lineRule="auto" w:before="4"/>
        <w:rPr>
          <w:rFonts w:ascii="宋体" w:hAnsi="宋体" w:cs="宋体" w:eastAsia="宋体" w:hint="default"/>
          <w:sz w:val="15"/>
          <w:szCs w:val="15"/>
        </w:rPr>
      </w:pPr>
    </w:p>
    <w:p>
      <w:pPr>
        <w:pStyle w:val="BodyText"/>
        <w:spacing w:line="316" w:lineRule="auto"/>
        <w:ind w:left="181" w:right="0"/>
        <w:jc w:val="both"/>
      </w:pPr>
      <w:r>
        <w:rPr/>
        <w:t>市级工程技 术研究中心 优秀补助</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19"/>
        <w:jc w:val="left"/>
      </w:pPr>
      <w:r>
        <w:rPr/>
        <w:t>南京市科学</w:t>
      </w:r>
    </w:p>
    <w:p>
      <w:pPr>
        <w:pStyle w:val="BodyText"/>
        <w:spacing w:line="156" w:lineRule="exact"/>
        <w:ind w:left="0" w:right="0"/>
        <w:jc w:val="right"/>
      </w:pPr>
      <w:r>
        <w:rPr/>
        <w:t>补助</w:t>
      </w:r>
    </w:p>
    <w:p>
      <w:pPr>
        <w:pStyle w:val="BodyText"/>
        <w:spacing w:line="196" w:lineRule="exact"/>
        <w:ind w:left="125" w:right="-19"/>
        <w:jc w:val="left"/>
      </w:pPr>
      <w:r>
        <w:rPr/>
        <w:t>技术委员会</w:t>
      </w:r>
    </w:p>
    <w:p>
      <w:pPr>
        <w:pStyle w:val="BodyText"/>
        <w:spacing w:line="312" w:lineRule="exact" w:before="5"/>
        <w:ind w:left="181" w:right="5472"/>
        <w:jc w:val="left"/>
      </w:pPr>
      <w:r>
        <w:rPr/>
        <w:br w:type="column"/>
      </w:r>
      <w:r>
        <w:rPr/>
        <w:t>因研究开发、 技术更新及</w:t>
      </w:r>
    </w:p>
    <w:p>
      <w:pPr>
        <w:pStyle w:val="BodyText"/>
        <w:tabs>
          <w:tab w:pos="2308" w:val="left" w:leader="none"/>
          <w:tab w:pos="3565" w:val="left" w:leader="none"/>
          <w:tab w:pos="5496" w:val="left" w:leader="none"/>
        </w:tabs>
        <w:spacing w:line="86" w:lineRule="exact"/>
        <w:ind w:left="1244" w:right="0"/>
        <w:jc w:val="left"/>
      </w:pPr>
      <w:r>
        <w:rPr/>
        <w:t>是</w:t>
        <w:tab/>
        <w:t>否</w:t>
        <w:tab/>
      </w:r>
      <w:r>
        <w:rPr>
          <w:rFonts w:ascii="Times New Roman" w:hAnsi="Times New Roman" w:cs="Times New Roman" w:eastAsia="Times New Roman" w:hint="default"/>
          <w:spacing w:val="-1"/>
        </w:rPr>
        <w:t>200,000.00</w:t>
        <w:tab/>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320" w:left="980" w:right="980"/>
          <w:cols w:num="3" w:equalWidth="0">
            <w:col w:w="1082" w:space="40"/>
            <w:col w:w="1550" w:space="522"/>
            <w:col w:w="6756"/>
          </w:cols>
        </w:sectPr>
      </w:pPr>
    </w:p>
    <w:p>
      <w:pPr>
        <w:spacing w:line="240" w:lineRule="auto" w:before="6"/>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320" w:left="980" w:right="980"/>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81" w:right="-19"/>
        <w:jc w:val="left"/>
      </w:pPr>
      <w:r>
        <w:rPr/>
        <w:t>展位费补贴</w:t>
      </w:r>
    </w:p>
    <w:p>
      <w:pPr>
        <w:pStyle w:val="BodyText"/>
        <w:spacing w:line="310" w:lineRule="exact" w:before="6"/>
        <w:ind w:left="125" w:right="503"/>
        <w:jc w:val="left"/>
      </w:pPr>
      <w:r>
        <w:rPr/>
        <w:br w:type="column"/>
      </w:r>
      <w:r>
        <w:rPr/>
        <w:t>北京中关村 海外科技园</w:t>
      </w:r>
    </w:p>
    <w:p>
      <w:pPr>
        <w:pStyle w:val="BodyText"/>
        <w:spacing w:line="81" w:lineRule="exact"/>
        <w:ind w:left="1188" w:right="-20"/>
        <w:jc w:val="left"/>
      </w:pPr>
      <w:r>
        <w:rPr/>
        <w:t>补助</w:t>
      </w:r>
    </w:p>
    <w:p>
      <w:pPr>
        <w:pStyle w:val="BodyText"/>
        <w:spacing w:line="195" w:lineRule="exact"/>
        <w:ind w:left="125" w:right="-20"/>
        <w:jc w:val="left"/>
      </w:pPr>
      <w:r>
        <w:rPr/>
        <w:t>有限责任公</w:t>
      </w:r>
    </w:p>
    <w:p>
      <w:pPr>
        <w:pStyle w:val="BodyText"/>
        <w:spacing w:line="240" w:lineRule="auto" w:before="76"/>
        <w:ind w:left="125" w:right="503"/>
        <w:jc w:val="left"/>
      </w:pPr>
      <w:r>
        <w:rPr/>
        <w:t>司</w:t>
      </w:r>
    </w:p>
    <w:p>
      <w:pPr>
        <w:pStyle w:val="BodyText"/>
        <w:spacing w:line="310" w:lineRule="exact" w:before="6"/>
        <w:ind w:left="181" w:right="5472"/>
        <w:jc w:val="left"/>
      </w:pPr>
      <w:r>
        <w:rPr/>
        <w:br w:type="column"/>
      </w:r>
      <w:r>
        <w:rPr/>
        <w:t>因研究开发、 技术更新及</w:t>
      </w:r>
    </w:p>
    <w:p>
      <w:pPr>
        <w:pStyle w:val="BodyText"/>
        <w:tabs>
          <w:tab w:pos="2308" w:val="left" w:leader="none"/>
          <w:tab w:pos="3565" w:val="left" w:leader="none"/>
          <w:tab w:pos="4720" w:val="left" w:leader="none"/>
        </w:tabs>
        <w:spacing w:line="88" w:lineRule="exact"/>
        <w:ind w:left="1244" w:right="0"/>
        <w:jc w:val="left"/>
      </w:pPr>
      <w:r>
        <w:rPr/>
        <w:t>是</w:t>
        <w:tab/>
        <w:t>否</w:t>
        <w:tab/>
      </w:r>
      <w:r>
        <w:rPr>
          <w:rFonts w:ascii="Times New Roman" w:hAnsi="Times New Roman" w:cs="Times New Roman" w:eastAsia="Times New Roman" w:hint="default"/>
          <w:spacing w:val="-1"/>
        </w:rPr>
        <w:t>137,980.00</w:t>
        <w:tab/>
        <w:t>79,050.00</w:t>
      </w:r>
      <w:r>
        <w:rPr>
          <w:rFonts w:ascii="Times New Roman" w:hAnsi="Times New Roman" w:cs="Times New Roman" w:eastAsia="Times New Roman" w:hint="default"/>
          <w:spacing w:val="16"/>
        </w:rPr>
        <w:t> </w:t>
      </w:r>
      <w:r>
        <w:rPr/>
        <w:t>与收益相关</w:t>
      </w:r>
    </w:p>
    <w:p>
      <w:pPr>
        <w:pStyle w:val="BodyText"/>
        <w:spacing w:line="188"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320" w:left="980" w:right="980"/>
          <w:cols w:num="3" w:equalWidth="0">
            <w:col w:w="1083" w:space="40"/>
            <w:col w:w="1549" w:space="522"/>
            <w:col w:w="6756"/>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320" w:left="980" w:right="980"/>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81" w:right="-20"/>
        <w:jc w:val="left"/>
      </w:pPr>
      <w:r>
        <w:rPr/>
        <w:t>稳岗补贴款</w:t>
      </w:r>
    </w:p>
    <w:p>
      <w:pPr>
        <w:pStyle w:val="BodyText"/>
        <w:spacing w:line="312" w:lineRule="exact" w:before="5"/>
        <w:ind w:left="125" w:right="504"/>
        <w:jc w:val="left"/>
      </w:pPr>
      <w:r>
        <w:rPr/>
        <w:br w:type="column"/>
      </w:r>
      <w:r>
        <w:rPr/>
        <w:t>北京市海淀 区社会保险</w:t>
      </w:r>
    </w:p>
    <w:p>
      <w:pPr>
        <w:pStyle w:val="BodyText"/>
        <w:spacing w:line="79" w:lineRule="exact"/>
        <w:ind w:left="1189" w:right="-20"/>
        <w:jc w:val="left"/>
      </w:pPr>
      <w:r>
        <w:rPr/>
        <w:t>补助</w:t>
      </w:r>
    </w:p>
    <w:p>
      <w:pPr>
        <w:pStyle w:val="BodyText"/>
        <w:spacing w:line="196" w:lineRule="exact"/>
        <w:ind w:left="125" w:right="-19"/>
        <w:jc w:val="left"/>
      </w:pPr>
      <w:r>
        <w:rPr/>
        <w:t>基金管理中</w:t>
      </w:r>
    </w:p>
    <w:p>
      <w:pPr>
        <w:pStyle w:val="BodyText"/>
        <w:spacing w:line="240" w:lineRule="auto" w:before="76"/>
        <w:ind w:left="125" w:right="-19"/>
        <w:jc w:val="left"/>
      </w:pPr>
      <w:r>
        <w:rPr/>
        <w:t>心</w:t>
      </w:r>
    </w:p>
    <w:p>
      <w:pPr>
        <w:pStyle w:val="BodyText"/>
        <w:spacing w:line="312" w:lineRule="exact" w:before="5"/>
        <w:ind w:left="181" w:right="5472"/>
        <w:jc w:val="left"/>
      </w:pPr>
      <w:r>
        <w:rPr/>
        <w:br w:type="column"/>
      </w:r>
      <w:r>
        <w:rPr/>
        <w:t>因研究开发、 技术更新及</w:t>
      </w:r>
    </w:p>
    <w:p>
      <w:pPr>
        <w:pStyle w:val="BodyText"/>
        <w:tabs>
          <w:tab w:pos="2308" w:val="left" w:leader="none"/>
          <w:tab w:pos="3573" w:val="left" w:leader="none"/>
          <w:tab w:pos="4636" w:val="left" w:leader="none"/>
        </w:tabs>
        <w:spacing w:line="86" w:lineRule="exact"/>
        <w:ind w:left="1244" w:right="0"/>
        <w:jc w:val="left"/>
      </w:pPr>
      <w:r>
        <w:rPr/>
        <w:t>是</w:t>
        <w:tab/>
        <w:t>否</w:t>
        <w:tab/>
      </w:r>
      <w:r>
        <w:rPr>
          <w:rFonts w:ascii="Times New Roman" w:hAnsi="Times New Roman" w:cs="Times New Roman" w:eastAsia="Times New Roman" w:hint="default"/>
          <w:spacing w:val="-1"/>
        </w:rPr>
        <w:t>110,881.92</w:t>
        <w:tab/>
        <w:t>117,663.74</w:t>
      </w:r>
      <w:r>
        <w:rPr>
          <w:rFonts w:ascii="Times New Roman" w:hAnsi="Times New Roman" w:cs="Times New Roman" w:eastAsia="Times New Roman" w:hint="default"/>
          <w:spacing w:val="11"/>
        </w:rPr>
        <w:t> </w:t>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320" w:left="980" w:right="980"/>
          <w:cols w:num="3" w:equalWidth="0">
            <w:col w:w="1082" w:space="40"/>
            <w:col w:w="1550" w:space="522"/>
            <w:col w:w="6756"/>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320" w:left="980" w:right="980"/>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81" w:right="-20"/>
        <w:jc w:val="left"/>
      </w:pPr>
      <w:r>
        <w:rPr/>
        <w:t>稳岗补贴款</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125" w:right="-19"/>
        <w:jc w:val="left"/>
      </w:pPr>
      <w:r>
        <w:rPr/>
        <w:t>南京市人力 资源和社会</w:t>
      </w:r>
      <w:r>
        <w:rPr>
          <w:spacing w:val="73"/>
        </w:rPr>
        <w:t> </w:t>
      </w:r>
      <w:r>
        <w:rPr/>
        <w:t>补助</w:t>
      </w:r>
      <w:r>
        <w:rPr/>
        <w:t> 保障局</w:t>
      </w:r>
    </w:p>
    <w:p>
      <w:pPr>
        <w:pStyle w:val="BodyText"/>
        <w:spacing w:line="310" w:lineRule="exact" w:before="6"/>
        <w:ind w:left="181" w:right="5472"/>
        <w:jc w:val="left"/>
      </w:pPr>
      <w:r>
        <w:rPr/>
        <w:br w:type="column"/>
      </w:r>
      <w:r>
        <w:rPr/>
        <w:t>因研究开发、 技术更新及</w:t>
      </w:r>
    </w:p>
    <w:p>
      <w:pPr>
        <w:pStyle w:val="BodyText"/>
        <w:tabs>
          <w:tab w:pos="2308" w:val="left" w:leader="none"/>
          <w:tab w:pos="3657" w:val="left" w:leader="none"/>
          <w:tab w:pos="4720" w:val="left" w:leader="none"/>
        </w:tabs>
        <w:spacing w:line="88" w:lineRule="exact"/>
        <w:ind w:left="1244" w:right="0"/>
        <w:jc w:val="left"/>
      </w:pPr>
      <w:r>
        <w:rPr/>
        <w:t>是</w:t>
        <w:tab/>
        <w:t>否</w:t>
        <w:tab/>
      </w:r>
      <w:r>
        <w:rPr>
          <w:rFonts w:ascii="Times New Roman" w:hAnsi="Times New Roman" w:cs="Times New Roman" w:eastAsia="Times New Roman" w:hint="default"/>
          <w:spacing w:val="-1"/>
        </w:rPr>
        <w:t>56,766.92</w:t>
        <w:tab/>
        <w:t>46,674.40</w:t>
      </w:r>
      <w:r>
        <w:rPr>
          <w:rFonts w:ascii="Times New Roman" w:hAnsi="Times New Roman" w:cs="Times New Roman" w:eastAsia="Times New Roman" w:hint="default"/>
          <w:spacing w:val="16"/>
        </w:rPr>
        <w:t> </w:t>
      </w:r>
      <w:r>
        <w:rPr/>
        <w:t>与收益相关</w:t>
      </w:r>
    </w:p>
    <w:p>
      <w:pPr>
        <w:pStyle w:val="BodyText"/>
        <w:spacing w:line="188"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320" w:left="980" w:right="980"/>
          <w:cols w:num="3" w:equalWidth="0">
            <w:col w:w="1082" w:space="40"/>
            <w:col w:w="1550" w:space="522"/>
            <w:col w:w="6756"/>
          </w:cols>
        </w:sectPr>
      </w:pPr>
    </w:p>
    <w:p>
      <w:pPr>
        <w:spacing w:line="240" w:lineRule="auto" w:before="2"/>
        <w:rPr>
          <w:rFonts w:ascii="宋体" w:hAnsi="宋体" w:cs="宋体" w:eastAsia="宋体" w:hint="default"/>
          <w:sz w:val="28"/>
          <w:szCs w:val="28"/>
        </w:rPr>
      </w:pPr>
    </w:p>
    <w:p>
      <w:pPr>
        <w:spacing w:line="10101" w:lineRule="exact"/>
        <w:ind w:left="148" w:right="0" w:firstLine="0"/>
        <w:rPr>
          <w:rFonts w:ascii="宋体" w:hAnsi="宋体" w:cs="宋体" w:eastAsia="宋体" w:hint="default"/>
          <w:sz w:val="20"/>
          <w:szCs w:val="20"/>
        </w:rPr>
      </w:pPr>
      <w:r>
        <w:rPr>
          <w:rFonts w:ascii="宋体" w:hAnsi="宋体" w:cs="宋体" w:eastAsia="宋体" w:hint="default"/>
          <w:position w:val="-201"/>
          <w:sz w:val="20"/>
          <w:szCs w:val="20"/>
        </w:rPr>
        <w:pict>
          <v:group style="width:479.05pt;height:505.1pt;mso-position-horizontal-relative:char;mso-position-vertical-relative:line" coordorigin="0,0" coordsize="9581,10102">
            <v:group style="position:absolute;left:4266;top:14;width:1055;height:1328" coordorigin="4266,14" coordsize="1055,1328">
              <v:shape style="position:absolute;left:4266;top:14;width:1055;height:1328" coordorigin="4266,14" coordsize="1055,1328" path="m4266,1342l5320,1342,5320,14,4266,14,4266,1342xe" filled="true" fillcolor="#ffffff" stroked="false">
                <v:path arrowok="t"/>
                <v:fill type="solid"/>
              </v:shape>
            </v:group>
            <v:group style="position:absolute;left:4290;top:483;width:1007;height:392" coordorigin="4290,483" coordsize="1007,392">
              <v:shape style="position:absolute;left:4290;top:483;width:1007;height:392" coordorigin="4290,483" coordsize="1007,392" path="m4290,874l5296,874,5296,483,4290,483,4290,874xe" filled="true" fillcolor="#ffffff" stroked="false">
                <v:path arrowok="t"/>
                <v:fill type="solid"/>
              </v:shape>
            </v:group>
            <v:group style="position:absolute;left:10;top:10;width:1057;height:2" coordorigin="10,10" coordsize="1057,2">
              <v:shape style="position:absolute;left:10;top:10;width:1057;height:2" coordorigin="10,10" coordsize="1057,0" path="m10,10l1066,10e" filled="false" stroked="true" strokeweight=".48pt" strokecolor="#000000">
                <v:path arrowok="t"/>
              </v:shape>
            </v:group>
            <v:group style="position:absolute;left:1076;top:10;width:1054;height:2" coordorigin="1076,10" coordsize="1054,2">
              <v:shape style="position:absolute;left:1076;top:10;width:1054;height:2" coordorigin="1076,10" coordsize="1054,0" path="m1076,10l2129,10e" filled="false" stroked="true" strokeweight=".48pt" strokecolor="#000000">
                <v:path arrowok="t"/>
              </v:shape>
            </v:group>
            <v:group style="position:absolute;left:2139;top:10;width:1055;height:2" coordorigin="2139,10" coordsize="1055,2">
              <v:shape style="position:absolute;left:2139;top:10;width:1055;height:2" coordorigin="2139,10" coordsize="1055,0" path="m2139,10l3193,10e" filled="false" stroked="true" strokeweight=".48pt" strokecolor="#000000">
                <v:path arrowok="t"/>
              </v:shape>
            </v:group>
            <v:group style="position:absolute;left:3203;top:10;width:1054;height:2" coordorigin="3203,10" coordsize="1054,2">
              <v:shape style="position:absolute;left:3203;top:10;width:1054;height:2" coordorigin="3203,10" coordsize="1054,0" path="m3203,10l4256,10e" filled="false" stroked="true" strokeweight=".48pt" strokecolor="#000000">
                <v:path arrowok="t"/>
              </v:shape>
            </v:group>
            <v:group style="position:absolute;left:4266;top:10;width:1052;height:2" coordorigin="4266,10" coordsize="1052,2">
              <v:shape style="position:absolute;left:4266;top:10;width:1052;height:2" coordorigin="4266,10" coordsize="1052,0" path="m4266,10l5317,10e" filled="false" stroked="true" strokeweight=".48pt" strokecolor="#000000">
                <v:path arrowok="t"/>
              </v:shape>
            </v:group>
            <v:group style="position:absolute;left:5327;top:10;width:1054;height:2" coordorigin="5327,10" coordsize="1054,2">
              <v:shape style="position:absolute;left:5327;top:10;width:1054;height:2" coordorigin="5327,10" coordsize="1054,0" path="m5327,10l6381,10e" filled="false" stroked="true" strokeweight=".48pt" strokecolor="#000000">
                <v:path arrowok="t"/>
              </v:shape>
            </v:group>
            <v:group style="position:absolute;left:6390;top:10;width:1054;height:2" coordorigin="6390,10" coordsize="1054,2">
              <v:shape style="position:absolute;left:6390;top:10;width:1054;height:2" coordorigin="6390,10" coordsize="1054,0" path="m6390,10l7444,10e" filled="false" stroked="true" strokeweight=".48pt" strokecolor="#000000">
                <v:path arrowok="t"/>
              </v:shape>
            </v:group>
            <v:group style="position:absolute;left:7453;top:10;width:1055;height:2" coordorigin="7453,10" coordsize="1055,2">
              <v:shape style="position:absolute;left:7453;top:10;width:1055;height:2" coordorigin="7453,10" coordsize="1055,0" path="m7453,10l8507,10e" filled="false" stroked="true" strokeweight=".48pt" strokecolor="#000000">
                <v:path arrowok="t"/>
              </v:shape>
            </v:group>
            <v:group style="position:absolute;left:8517;top:10;width:1054;height:2" coordorigin="8517,10" coordsize="1054,2">
              <v:shape style="position:absolute;left:8517;top:10;width:1054;height:2" coordorigin="8517,10" coordsize="1054,0" path="m8517,10l9571,10e" filled="false" stroked="true" strokeweight=".48pt" strokecolor="#000000">
                <v:path arrowok="t"/>
              </v:shape>
            </v:group>
            <v:group style="position:absolute;left:4266;top:1354;width:1055;height:1328" coordorigin="4266,1354" coordsize="1055,1328">
              <v:shape style="position:absolute;left:4266;top:1354;width:1055;height:1328" coordorigin="4266,1354" coordsize="1055,1328" path="m4266,2681l5320,2681,5320,1354,4266,1354,4266,2681xe" filled="true" fillcolor="#ffffff" stroked="false">
                <v:path arrowok="t"/>
                <v:fill type="solid"/>
              </v:shape>
            </v:group>
            <v:group style="position:absolute;left:4290;top:1822;width:1007;height:392" coordorigin="4290,1822" coordsize="1007,392">
              <v:shape style="position:absolute;left:4290;top:1822;width:1007;height:392" coordorigin="4290,1822" coordsize="1007,392" path="m4290,2213l5296,2213,5296,1822,4290,1822,4290,2213xe" filled="true" fillcolor="#ffffff" stroked="false">
                <v:path arrowok="t"/>
                <v:fill type="solid"/>
              </v:shape>
            </v:group>
            <v:group style="position:absolute;left:10;top:1347;width:1057;height:2" coordorigin="10,1347" coordsize="1057,2">
              <v:shape style="position:absolute;left:10;top:1347;width:1057;height:2" coordorigin="10,1347" coordsize="1057,0" path="m10,1347l1066,1347e" filled="false" stroked="true" strokeweight=".48pt" strokecolor="#000000">
                <v:path arrowok="t"/>
              </v:shape>
            </v:group>
            <v:group style="position:absolute;left:1076;top:1347;width:1054;height:2" coordorigin="1076,1347" coordsize="1054,2">
              <v:shape style="position:absolute;left:1076;top:1347;width:1054;height:2" coordorigin="1076,1347" coordsize="1054,0" path="m1076,1347l2129,1347e" filled="false" stroked="true" strokeweight=".48pt" strokecolor="#000000">
                <v:path arrowok="t"/>
              </v:shape>
            </v:group>
            <v:group style="position:absolute;left:2139;top:1347;width:1055;height:2" coordorigin="2139,1347" coordsize="1055,2">
              <v:shape style="position:absolute;left:2139;top:1347;width:1055;height:2" coordorigin="2139,1347" coordsize="1055,0" path="m2139,1347l3193,1347e" filled="false" stroked="true" strokeweight=".48pt" strokecolor="#000000">
                <v:path arrowok="t"/>
              </v:shape>
            </v:group>
            <v:group style="position:absolute;left:3203;top:1347;width:1054;height:2" coordorigin="3203,1347" coordsize="1054,2">
              <v:shape style="position:absolute;left:3203;top:1347;width:1054;height:2" coordorigin="3203,1347" coordsize="1054,0" path="m3203,1347l4256,1347e" filled="false" stroked="true" strokeweight=".48pt" strokecolor="#000000">
                <v:path arrowok="t"/>
              </v:shape>
            </v:group>
            <v:group style="position:absolute;left:4266;top:1347;width:1052;height:2" coordorigin="4266,1347" coordsize="1052,2">
              <v:shape style="position:absolute;left:4266;top:1347;width:1052;height:2" coordorigin="4266,1347" coordsize="1052,0" path="m4266,1347l5317,1347e" filled="false" stroked="true" strokeweight=".48pt" strokecolor="#000000">
                <v:path arrowok="t"/>
              </v:shape>
            </v:group>
            <v:group style="position:absolute;left:5327;top:1347;width:1054;height:2" coordorigin="5327,1347" coordsize="1054,2">
              <v:shape style="position:absolute;left:5327;top:1347;width:1054;height:2" coordorigin="5327,1347" coordsize="1054,0" path="m5327,1347l6381,1347e" filled="false" stroked="true" strokeweight=".48pt" strokecolor="#000000">
                <v:path arrowok="t"/>
              </v:shape>
            </v:group>
            <v:group style="position:absolute;left:6390;top:1347;width:1054;height:2" coordorigin="6390,1347" coordsize="1054,2">
              <v:shape style="position:absolute;left:6390;top:1347;width:1054;height:2" coordorigin="6390,1347" coordsize="1054,0" path="m6390,1347l7444,1347e" filled="false" stroked="true" strokeweight=".48pt" strokecolor="#000000">
                <v:path arrowok="t"/>
              </v:shape>
            </v:group>
            <v:group style="position:absolute;left:7453;top:1347;width:1055;height:2" coordorigin="7453,1347" coordsize="1055,2">
              <v:shape style="position:absolute;left:7453;top:1347;width:1055;height:2" coordorigin="7453,1347" coordsize="1055,0" path="m7453,1347l8507,1347e" filled="false" stroked="true" strokeweight=".48pt" strokecolor="#000000">
                <v:path arrowok="t"/>
              </v:shape>
            </v:group>
            <v:group style="position:absolute;left:8517;top:1347;width:1054;height:2" coordorigin="8517,1347" coordsize="1054,2">
              <v:shape style="position:absolute;left:8517;top:1347;width:1054;height:2" coordorigin="8517,1347" coordsize="1054,0" path="m8517,1347l9571,1347e" filled="false" stroked="true" strokeweight=".48pt" strokecolor="#000000">
                <v:path arrowok="t"/>
              </v:shape>
            </v:group>
            <v:group style="position:absolute;left:1076;top:2691;width:1054;height:1328" coordorigin="1076,2691" coordsize="1054,1328">
              <v:shape style="position:absolute;left:1076;top:2691;width:1054;height:1328" coordorigin="1076,2691" coordsize="1054,1328" path="m1076,4019l2129,4019,2129,2691,1076,2691,1076,4019xe" filled="true" fillcolor="#ffffff" stroked="false">
                <v:path arrowok="t"/>
                <v:fill type="solid"/>
              </v:shape>
            </v:group>
            <v:group style="position:absolute;left:1100;top:3003;width:1006;height:353" coordorigin="1100,3003" coordsize="1006,353">
              <v:shape style="position:absolute;left:1100;top:3003;width:1006;height:353" coordorigin="1100,3003" coordsize="1006,353" path="m1100,3356l2105,3356,2105,3003,1100,3003,1100,3356xe" filled="true" fillcolor="#ffffff" stroked="false">
                <v:path arrowok="t"/>
                <v:fill type="solid"/>
              </v:shape>
            </v:group>
            <v:group style="position:absolute;left:1100;top:3356;width:1006;height:351" coordorigin="1100,3356" coordsize="1006,351">
              <v:shape style="position:absolute;left:1100;top:3356;width:1006;height:351" coordorigin="1100,3356" coordsize="1006,351" path="m1100,3707l2105,3707,2105,3356,1100,3356,1100,3707xe" filled="true" fillcolor="#ffffff" stroked="false">
                <v:path arrowok="t"/>
                <v:fill type="solid"/>
              </v:shape>
            </v:group>
            <v:group style="position:absolute;left:4266;top:2691;width:1055;height:1328" coordorigin="4266,2691" coordsize="1055,1328">
              <v:shape style="position:absolute;left:4266;top:2691;width:1055;height:1328" coordorigin="4266,2691" coordsize="1055,1328" path="m4266,4019l5320,4019,5320,2691,4266,2691,4266,4019xe" filled="true" fillcolor="#ffffff" stroked="false">
                <v:path arrowok="t"/>
                <v:fill type="solid"/>
              </v:shape>
            </v:group>
            <v:group style="position:absolute;left:4290;top:3159;width:1007;height:392" coordorigin="4290,3159" coordsize="1007,392">
              <v:shape style="position:absolute;left:4290;top:3159;width:1007;height:392" coordorigin="4290,3159" coordsize="1007,392" path="m4290,3551l5296,3551,5296,3159,4290,3159,4290,3551xe" filled="true" fillcolor="#ffffff" stroked="false">
                <v:path arrowok="t"/>
                <v:fill type="solid"/>
              </v:shape>
            </v:group>
            <v:group style="position:absolute;left:10;top:2686;width:1057;height:2" coordorigin="10,2686" coordsize="1057,2">
              <v:shape style="position:absolute;left:10;top:2686;width:1057;height:2" coordorigin="10,2686" coordsize="1057,0" path="m10,2686l1066,2686e" filled="false" stroked="true" strokeweight=".48pt" strokecolor="#000000">
                <v:path arrowok="t"/>
              </v:shape>
            </v:group>
            <v:group style="position:absolute;left:1076;top:2686;width:1054;height:2" coordorigin="1076,2686" coordsize="1054,2">
              <v:shape style="position:absolute;left:1076;top:2686;width:1054;height:2" coordorigin="1076,2686" coordsize="1054,0" path="m1076,2686l2129,2686e" filled="false" stroked="true" strokeweight=".48pt" strokecolor="#000000">
                <v:path arrowok="t"/>
              </v:shape>
            </v:group>
            <v:group style="position:absolute;left:2139;top:2686;width:1055;height:2" coordorigin="2139,2686" coordsize="1055,2">
              <v:shape style="position:absolute;left:2139;top:2686;width:1055;height:2" coordorigin="2139,2686" coordsize="1055,0" path="m2139,2686l3193,2686e" filled="false" stroked="true" strokeweight=".48pt" strokecolor="#000000">
                <v:path arrowok="t"/>
              </v:shape>
            </v:group>
            <v:group style="position:absolute;left:3203;top:2686;width:1054;height:2" coordorigin="3203,2686" coordsize="1054,2">
              <v:shape style="position:absolute;left:3203;top:2686;width:1054;height:2" coordorigin="3203,2686" coordsize="1054,0" path="m3203,2686l4256,2686e" filled="false" stroked="true" strokeweight=".48pt" strokecolor="#000000">
                <v:path arrowok="t"/>
              </v:shape>
            </v:group>
            <v:group style="position:absolute;left:4266;top:2686;width:1052;height:2" coordorigin="4266,2686" coordsize="1052,2">
              <v:shape style="position:absolute;left:4266;top:2686;width:1052;height:2" coordorigin="4266,2686" coordsize="1052,0" path="m4266,2686l5317,2686e" filled="false" stroked="true" strokeweight=".48pt" strokecolor="#000000">
                <v:path arrowok="t"/>
              </v:shape>
            </v:group>
            <v:group style="position:absolute;left:5327;top:2686;width:1054;height:2" coordorigin="5327,2686" coordsize="1054,2">
              <v:shape style="position:absolute;left:5327;top:2686;width:1054;height:2" coordorigin="5327,2686" coordsize="1054,0" path="m5327,2686l6381,2686e" filled="false" stroked="true" strokeweight=".48pt" strokecolor="#000000">
                <v:path arrowok="t"/>
              </v:shape>
            </v:group>
            <v:group style="position:absolute;left:6390;top:2686;width:1054;height:2" coordorigin="6390,2686" coordsize="1054,2">
              <v:shape style="position:absolute;left:6390;top:2686;width:1054;height:2" coordorigin="6390,2686" coordsize="1054,0" path="m6390,2686l7444,2686e" filled="false" stroked="true" strokeweight=".48pt" strokecolor="#000000">
                <v:path arrowok="t"/>
              </v:shape>
            </v:group>
            <v:group style="position:absolute;left:7453;top:2686;width:1055;height:2" coordorigin="7453,2686" coordsize="1055,2">
              <v:shape style="position:absolute;left:7453;top:2686;width:1055;height:2" coordorigin="7453,2686" coordsize="1055,0" path="m7453,2686l8507,2686e" filled="false" stroked="true" strokeweight=".48pt" strokecolor="#000000">
                <v:path arrowok="t"/>
              </v:shape>
            </v:group>
            <v:group style="position:absolute;left:8517;top:2686;width:1054;height:2" coordorigin="8517,2686" coordsize="1054,2">
              <v:shape style="position:absolute;left:8517;top:2686;width:1054;height:2" coordorigin="8517,2686" coordsize="1054,0" path="m8517,2686l9571,2686e" filled="false" stroked="true" strokeweight=".48pt" strokecolor="#000000">
                <v:path arrowok="t"/>
              </v:shape>
            </v:group>
            <v:group style="position:absolute;left:4266;top:4031;width:1055;height:1328" coordorigin="4266,4031" coordsize="1055,1328">
              <v:shape style="position:absolute;left:4266;top:4031;width:1055;height:1328" coordorigin="4266,4031" coordsize="1055,1328" path="m4266,5358l5320,5358,5320,4031,4266,4031,4266,5358xe" filled="true" fillcolor="#ffffff" stroked="false">
                <v:path arrowok="t"/>
                <v:fill type="solid"/>
              </v:shape>
            </v:group>
            <v:group style="position:absolute;left:4290;top:4499;width:1007;height:392" coordorigin="4290,4499" coordsize="1007,392">
              <v:shape style="position:absolute;left:4290;top:4499;width:1007;height:392" coordorigin="4290,4499" coordsize="1007,392" path="m4290,4890l5296,4890,5296,4499,4290,4499,4290,4890xe" filled="true" fillcolor="#ffffff" stroked="false">
                <v:path arrowok="t"/>
                <v:fill type="solid"/>
              </v:shape>
            </v:group>
            <v:group style="position:absolute;left:10;top:4023;width:1057;height:2" coordorigin="10,4023" coordsize="1057,2">
              <v:shape style="position:absolute;left:10;top:4023;width:1057;height:2" coordorigin="10,4023" coordsize="1057,0" path="m10,4023l1066,4023e" filled="false" stroked="true" strokeweight=".48001pt" strokecolor="#000000">
                <v:path arrowok="t"/>
              </v:shape>
            </v:group>
            <v:group style="position:absolute;left:1076;top:4023;width:1054;height:2" coordorigin="1076,4023" coordsize="1054,2">
              <v:shape style="position:absolute;left:1076;top:4023;width:1054;height:2" coordorigin="1076,4023" coordsize="1054,0" path="m1076,4023l2129,4023e" filled="false" stroked="true" strokeweight=".48001pt" strokecolor="#000000">
                <v:path arrowok="t"/>
              </v:shape>
            </v:group>
            <v:group style="position:absolute;left:2139;top:4023;width:1055;height:2" coordorigin="2139,4023" coordsize="1055,2">
              <v:shape style="position:absolute;left:2139;top:4023;width:1055;height:2" coordorigin="2139,4023" coordsize="1055,0" path="m2139,4023l3193,4023e" filled="false" stroked="true" strokeweight=".48001pt" strokecolor="#000000">
                <v:path arrowok="t"/>
              </v:shape>
            </v:group>
            <v:group style="position:absolute;left:3203;top:4023;width:1054;height:2" coordorigin="3203,4023" coordsize="1054,2">
              <v:shape style="position:absolute;left:3203;top:4023;width:1054;height:2" coordorigin="3203,4023" coordsize="1054,0" path="m3203,4023l4256,4023e" filled="false" stroked="true" strokeweight=".48001pt" strokecolor="#000000">
                <v:path arrowok="t"/>
              </v:shape>
            </v:group>
            <v:group style="position:absolute;left:4266;top:4023;width:1052;height:2" coordorigin="4266,4023" coordsize="1052,2">
              <v:shape style="position:absolute;left:4266;top:4023;width:1052;height:2" coordorigin="4266,4023" coordsize="1052,0" path="m4266,4023l5317,4023e" filled="false" stroked="true" strokeweight=".48001pt" strokecolor="#000000">
                <v:path arrowok="t"/>
              </v:shape>
            </v:group>
            <v:group style="position:absolute;left:5327;top:4023;width:1054;height:2" coordorigin="5327,4023" coordsize="1054,2">
              <v:shape style="position:absolute;left:5327;top:4023;width:1054;height:2" coordorigin="5327,4023" coordsize="1054,0" path="m5327,4023l6381,4023e" filled="false" stroked="true" strokeweight=".48001pt" strokecolor="#000000">
                <v:path arrowok="t"/>
              </v:shape>
            </v:group>
            <v:group style="position:absolute;left:6390;top:4023;width:1054;height:2" coordorigin="6390,4023" coordsize="1054,2">
              <v:shape style="position:absolute;left:6390;top:4023;width:1054;height:2" coordorigin="6390,4023" coordsize="1054,0" path="m6390,4023l7444,4023e" filled="false" stroked="true" strokeweight=".48001pt" strokecolor="#000000">
                <v:path arrowok="t"/>
              </v:shape>
            </v:group>
            <v:group style="position:absolute;left:7453;top:4023;width:1055;height:2" coordorigin="7453,4023" coordsize="1055,2">
              <v:shape style="position:absolute;left:7453;top:4023;width:1055;height:2" coordorigin="7453,4023" coordsize="1055,0" path="m7453,4023l8507,4023e" filled="false" stroked="true" strokeweight=".48001pt" strokecolor="#000000">
                <v:path arrowok="t"/>
              </v:shape>
            </v:group>
            <v:group style="position:absolute;left:8517;top:4023;width:1054;height:2" coordorigin="8517,4023" coordsize="1054,2">
              <v:shape style="position:absolute;left:8517;top:4023;width:1054;height:2" coordorigin="8517,4023" coordsize="1054,0" path="m8517,4023l9571,4023e" filled="false" stroked="true" strokeweight=".48001pt" strokecolor="#000000">
                <v:path arrowok="t"/>
              </v:shape>
            </v:group>
            <v:group style="position:absolute;left:4266;top:5367;width:1055;height:1328" coordorigin="4266,5367" coordsize="1055,1328">
              <v:shape style="position:absolute;left:4266;top:5367;width:1055;height:1328" coordorigin="4266,5367" coordsize="1055,1328" path="m4266,6695l5320,6695,5320,5367,4266,5367,4266,6695xe" filled="true" fillcolor="#ffffff" stroked="false">
                <v:path arrowok="t"/>
                <v:fill type="solid"/>
              </v:shape>
            </v:group>
            <v:group style="position:absolute;left:4290;top:5835;width:1007;height:392" coordorigin="4290,5835" coordsize="1007,392">
              <v:shape style="position:absolute;left:4290;top:5835;width:1007;height:392" coordorigin="4290,5835" coordsize="1007,392" path="m4290,6227l5296,6227,5296,5835,4290,5835,4290,6227xe" filled="true" fillcolor="#ffffff" stroked="false">
                <v:path arrowok="t"/>
                <v:fill type="solid"/>
              </v:shape>
            </v:group>
            <v:group style="position:absolute;left:10;top:5363;width:1057;height:2" coordorigin="10,5363" coordsize="1057,2">
              <v:shape style="position:absolute;left:10;top:5363;width:1057;height:2" coordorigin="10,5363" coordsize="1057,0" path="m10,5363l1066,5363e" filled="false" stroked="true" strokeweight=".47998pt" strokecolor="#000000">
                <v:path arrowok="t"/>
              </v:shape>
            </v:group>
            <v:group style="position:absolute;left:1076;top:5363;width:1054;height:2" coordorigin="1076,5363" coordsize="1054,2">
              <v:shape style="position:absolute;left:1076;top:5363;width:1054;height:2" coordorigin="1076,5363" coordsize="1054,0" path="m1076,5363l2129,5363e" filled="false" stroked="true" strokeweight=".47998pt" strokecolor="#000000">
                <v:path arrowok="t"/>
              </v:shape>
            </v:group>
            <v:group style="position:absolute;left:2139;top:5363;width:1055;height:2" coordorigin="2139,5363" coordsize="1055,2">
              <v:shape style="position:absolute;left:2139;top:5363;width:1055;height:2" coordorigin="2139,5363" coordsize="1055,0" path="m2139,5363l3193,5363e" filled="false" stroked="true" strokeweight=".47998pt" strokecolor="#000000">
                <v:path arrowok="t"/>
              </v:shape>
            </v:group>
            <v:group style="position:absolute;left:3203;top:5363;width:1054;height:2" coordorigin="3203,5363" coordsize="1054,2">
              <v:shape style="position:absolute;left:3203;top:5363;width:1054;height:2" coordorigin="3203,5363" coordsize="1054,0" path="m3203,5363l4256,5363e" filled="false" stroked="true" strokeweight=".47998pt" strokecolor="#000000">
                <v:path arrowok="t"/>
              </v:shape>
            </v:group>
            <v:group style="position:absolute;left:4266;top:5363;width:1052;height:2" coordorigin="4266,5363" coordsize="1052,2">
              <v:shape style="position:absolute;left:4266;top:5363;width:1052;height:2" coordorigin="4266,5363" coordsize="1052,0" path="m4266,5363l5317,5363e" filled="false" stroked="true" strokeweight=".47998pt" strokecolor="#000000">
                <v:path arrowok="t"/>
              </v:shape>
            </v:group>
            <v:group style="position:absolute;left:5327;top:5363;width:1054;height:2" coordorigin="5327,5363" coordsize="1054,2">
              <v:shape style="position:absolute;left:5327;top:5363;width:1054;height:2" coordorigin="5327,5363" coordsize="1054,0" path="m5327,5363l6381,5363e" filled="false" stroked="true" strokeweight=".47998pt" strokecolor="#000000">
                <v:path arrowok="t"/>
              </v:shape>
            </v:group>
            <v:group style="position:absolute;left:6390;top:5363;width:1054;height:2" coordorigin="6390,5363" coordsize="1054,2">
              <v:shape style="position:absolute;left:6390;top:5363;width:1054;height:2" coordorigin="6390,5363" coordsize="1054,0" path="m6390,5363l7444,5363e" filled="false" stroked="true" strokeweight=".47998pt" strokecolor="#000000">
                <v:path arrowok="t"/>
              </v:shape>
            </v:group>
            <v:group style="position:absolute;left:7453;top:5363;width:1055;height:2" coordorigin="7453,5363" coordsize="1055,2">
              <v:shape style="position:absolute;left:7453;top:5363;width:1055;height:2" coordorigin="7453,5363" coordsize="1055,0" path="m7453,5363l8507,5363e" filled="false" stroked="true" strokeweight=".47998pt" strokecolor="#000000">
                <v:path arrowok="t"/>
              </v:shape>
            </v:group>
            <v:group style="position:absolute;left:8517;top:5363;width:1054;height:2" coordorigin="8517,5363" coordsize="1054,2">
              <v:shape style="position:absolute;left:8517;top:5363;width:1054;height:2" coordorigin="8517,5363" coordsize="1054,0" path="m8517,5363l9571,5363e" filled="false" stroked="true" strokeweight=".47998pt" strokecolor="#000000">
                <v:path arrowok="t"/>
              </v:shape>
            </v:group>
            <v:group style="position:absolute;left:4266;top:6707;width:1055;height:1328" coordorigin="4266,6707" coordsize="1055,1328">
              <v:shape style="position:absolute;left:4266;top:6707;width:1055;height:1328" coordorigin="4266,6707" coordsize="1055,1328" path="m4266,8034l5320,8034,5320,6707,4266,6707,4266,8034xe" filled="true" fillcolor="#ffffff" stroked="false">
                <v:path arrowok="t"/>
                <v:fill type="solid"/>
              </v:shape>
            </v:group>
            <v:group style="position:absolute;left:4290;top:7175;width:1007;height:392" coordorigin="4290,7175" coordsize="1007,392">
              <v:shape style="position:absolute;left:4290;top:7175;width:1007;height:392" coordorigin="4290,7175" coordsize="1007,392" path="m4290,7566l5296,7566,5296,7175,4290,7175,4290,7566xe" filled="true" fillcolor="#ffffff" stroked="false">
                <v:path arrowok="t"/>
                <v:fill type="solid"/>
              </v:shape>
            </v:group>
            <v:group style="position:absolute;left:10;top:6700;width:1057;height:2" coordorigin="10,6700" coordsize="1057,2">
              <v:shape style="position:absolute;left:10;top:6700;width:1057;height:2" coordorigin="10,6700" coordsize="1057,0" path="m10,6700l1066,6700e" filled="false" stroked="true" strokeweight=".48001pt" strokecolor="#000000">
                <v:path arrowok="t"/>
              </v:shape>
            </v:group>
            <v:group style="position:absolute;left:1076;top:6700;width:1054;height:2" coordorigin="1076,6700" coordsize="1054,2">
              <v:shape style="position:absolute;left:1076;top:6700;width:1054;height:2" coordorigin="1076,6700" coordsize="1054,0" path="m1076,6700l2129,6700e" filled="false" stroked="true" strokeweight=".48001pt" strokecolor="#000000">
                <v:path arrowok="t"/>
              </v:shape>
            </v:group>
            <v:group style="position:absolute;left:2139;top:6700;width:1055;height:2" coordorigin="2139,6700" coordsize="1055,2">
              <v:shape style="position:absolute;left:2139;top:6700;width:1055;height:2" coordorigin="2139,6700" coordsize="1055,0" path="m2139,6700l3193,6700e" filled="false" stroked="true" strokeweight=".48001pt" strokecolor="#000000">
                <v:path arrowok="t"/>
              </v:shape>
            </v:group>
            <v:group style="position:absolute;left:3203;top:6700;width:1054;height:2" coordorigin="3203,6700" coordsize="1054,2">
              <v:shape style="position:absolute;left:3203;top:6700;width:1054;height:2" coordorigin="3203,6700" coordsize="1054,0" path="m3203,6700l4256,6700e" filled="false" stroked="true" strokeweight=".48001pt" strokecolor="#000000">
                <v:path arrowok="t"/>
              </v:shape>
            </v:group>
            <v:group style="position:absolute;left:4266;top:6700;width:1052;height:2" coordorigin="4266,6700" coordsize="1052,2">
              <v:shape style="position:absolute;left:4266;top:6700;width:1052;height:2" coordorigin="4266,6700" coordsize="1052,0" path="m4266,6700l5317,6700e" filled="false" stroked="true" strokeweight=".48001pt" strokecolor="#000000">
                <v:path arrowok="t"/>
              </v:shape>
            </v:group>
            <v:group style="position:absolute;left:5327;top:6700;width:1054;height:2" coordorigin="5327,6700" coordsize="1054,2">
              <v:shape style="position:absolute;left:5327;top:6700;width:1054;height:2" coordorigin="5327,6700" coordsize="1054,0" path="m5327,6700l6381,6700e" filled="false" stroked="true" strokeweight=".48001pt" strokecolor="#000000">
                <v:path arrowok="t"/>
              </v:shape>
            </v:group>
            <v:group style="position:absolute;left:6390;top:6700;width:1054;height:2" coordorigin="6390,6700" coordsize="1054,2">
              <v:shape style="position:absolute;left:6390;top:6700;width:1054;height:2" coordorigin="6390,6700" coordsize="1054,0" path="m6390,6700l7444,6700e" filled="false" stroked="true" strokeweight=".48001pt" strokecolor="#000000">
                <v:path arrowok="t"/>
              </v:shape>
            </v:group>
            <v:group style="position:absolute;left:7453;top:6700;width:1055;height:2" coordorigin="7453,6700" coordsize="1055,2">
              <v:shape style="position:absolute;left:7453;top:6700;width:1055;height:2" coordorigin="7453,6700" coordsize="1055,0" path="m7453,6700l8507,6700e" filled="false" stroked="true" strokeweight=".48001pt" strokecolor="#000000">
                <v:path arrowok="t"/>
              </v:shape>
            </v:group>
            <v:group style="position:absolute;left:8517;top:6700;width:1054;height:2" coordorigin="8517,6700" coordsize="1054,2">
              <v:shape style="position:absolute;left:8517;top:6700;width:1054;height:2" coordorigin="8517,6700" coordsize="1054,0" path="m8517,6700l9571,6700e" filled="false" stroked="true" strokeweight=".48001pt" strokecolor="#000000">
                <v:path arrowok="t"/>
              </v:shape>
            </v:group>
            <v:group style="position:absolute;left:4266;top:8044;width:1055;height:1328" coordorigin="4266,8044" coordsize="1055,1328">
              <v:shape style="position:absolute;left:4266;top:8044;width:1055;height:1328" coordorigin="4266,8044" coordsize="1055,1328" path="m4266,9371l5320,9371,5320,8044,4266,8044,4266,9371xe" filled="true" fillcolor="#ffffff" stroked="false">
                <v:path arrowok="t"/>
                <v:fill type="solid"/>
              </v:shape>
            </v:group>
            <v:group style="position:absolute;left:4290;top:8512;width:1007;height:392" coordorigin="4290,8512" coordsize="1007,392">
              <v:shape style="position:absolute;left:4290;top:8512;width:1007;height:392" coordorigin="4290,8512" coordsize="1007,392" path="m4290,8903l5296,8903,5296,8512,4290,8512,4290,8903xe" filled="true" fillcolor="#ffffff" stroked="false">
                <v:path arrowok="t"/>
                <v:fill type="solid"/>
              </v:shape>
            </v:group>
            <v:group style="position:absolute;left:10;top:8039;width:1057;height:2" coordorigin="10,8039" coordsize="1057,2">
              <v:shape style="position:absolute;left:10;top:8039;width:1057;height:2" coordorigin="10,8039" coordsize="1057,0" path="m10,8039l1066,8039e" filled="false" stroked="true" strokeweight=".47998pt" strokecolor="#000000">
                <v:path arrowok="t"/>
              </v:shape>
            </v:group>
            <v:group style="position:absolute;left:1076;top:8039;width:1054;height:2" coordorigin="1076,8039" coordsize="1054,2">
              <v:shape style="position:absolute;left:1076;top:8039;width:1054;height:2" coordorigin="1076,8039" coordsize="1054,0" path="m1076,8039l2129,8039e" filled="false" stroked="true" strokeweight=".47998pt" strokecolor="#000000">
                <v:path arrowok="t"/>
              </v:shape>
            </v:group>
            <v:group style="position:absolute;left:2139;top:8039;width:1055;height:2" coordorigin="2139,8039" coordsize="1055,2">
              <v:shape style="position:absolute;left:2139;top:8039;width:1055;height:2" coordorigin="2139,8039" coordsize="1055,0" path="m2139,8039l3193,8039e" filled="false" stroked="true" strokeweight=".47998pt" strokecolor="#000000">
                <v:path arrowok="t"/>
              </v:shape>
            </v:group>
            <v:group style="position:absolute;left:3203;top:8039;width:1054;height:2" coordorigin="3203,8039" coordsize="1054,2">
              <v:shape style="position:absolute;left:3203;top:8039;width:1054;height:2" coordorigin="3203,8039" coordsize="1054,0" path="m3203,8039l4256,8039e" filled="false" stroked="true" strokeweight=".47998pt" strokecolor="#000000">
                <v:path arrowok="t"/>
              </v:shape>
            </v:group>
            <v:group style="position:absolute;left:4266;top:8039;width:1052;height:2" coordorigin="4266,8039" coordsize="1052,2">
              <v:shape style="position:absolute;left:4266;top:8039;width:1052;height:2" coordorigin="4266,8039" coordsize="1052,0" path="m4266,8039l5317,8039e" filled="false" stroked="true" strokeweight=".47998pt" strokecolor="#000000">
                <v:path arrowok="t"/>
              </v:shape>
            </v:group>
            <v:group style="position:absolute;left:5327;top:8039;width:1054;height:2" coordorigin="5327,8039" coordsize="1054,2">
              <v:shape style="position:absolute;left:5327;top:8039;width:1054;height:2" coordorigin="5327,8039" coordsize="1054,0" path="m5327,8039l6381,8039e" filled="false" stroked="true" strokeweight=".47998pt" strokecolor="#000000">
                <v:path arrowok="t"/>
              </v:shape>
            </v:group>
            <v:group style="position:absolute;left:6390;top:8039;width:1054;height:2" coordorigin="6390,8039" coordsize="1054,2">
              <v:shape style="position:absolute;left:6390;top:8039;width:1054;height:2" coordorigin="6390,8039" coordsize="1054,0" path="m6390,8039l7444,8039e" filled="false" stroked="true" strokeweight=".47998pt" strokecolor="#000000">
                <v:path arrowok="t"/>
              </v:shape>
            </v:group>
            <v:group style="position:absolute;left:7453;top:8039;width:1055;height:2" coordorigin="7453,8039" coordsize="1055,2">
              <v:shape style="position:absolute;left:7453;top:8039;width:1055;height:2" coordorigin="7453,8039" coordsize="1055,0" path="m7453,8039l8507,8039e" filled="false" stroked="true" strokeweight=".47998pt" strokecolor="#000000">
                <v:path arrowok="t"/>
              </v:shape>
            </v:group>
            <v:group style="position:absolute;left:8517;top:8039;width:1054;height:2" coordorigin="8517,8039" coordsize="1054,2">
              <v:shape style="position:absolute;left:8517;top:8039;width:1054;height:2" coordorigin="8517,8039" coordsize="1054,0" path="m8517,8039l9571,8039e" filled="false" stroked="true" strokeweight=".47998pt" strokecolor="#000000">
                <v:path arrowok="t"/>
              </v:shape>
            </v:group>
            <v:group style="position:absolute;left:12;top:9383;width:1055;height:704" coordorigin="12,9383" coordsize="1055,704">
              <v:shape style="position:absolute;left:12;top:9383;width:1055;height:704" coordorigin="12,9383" coordsize="1055,704" path="m12,10087l1066,10087,1066,9383,12,9383,12,10087xe" filled="true" fillcolor="#d2d2d2" stroked="false">
                <v:path arrowok="t"/>
                <v:fill type="solid"/>
              </v:shape>
            </v:group>
            <v:group style="position:absolute;left:34;top:9539;width:1011;height:392" coordorigin="34,9539" coordsize="1011,392">
              <v:shape style="position:absolute;left:34;top:9539;width:1011;height:392" coordorigin="34,9539" coordsize="1011,392" path="m34,9931l1044,9931,1044,9539,34,9539,34,9931xe" filled="true" fillcolor="#d2d2d2" stroked="false">
                <v:path arrowok="t"/>
                <v:fill type="solid"/>
              </v:shape>
            </v:group>
            <v:group style="position:absolute;left:1076;top:9383;width:1054;height:704" coordorigin="1076,9383" coordsize="1054,704">
              <v:shape style="position:absolute;left:1076;top:9383;width:1054;height:704" coordorigin="1076,9383" coordsize="1054,704" path="m1076,10087l2129,10087,2129,9383,1076,9383,1076,10087xe" filled="true" fillcolor="#d2d2d2" stroked="false">
                <v:path arrowok="t"/>
                <v:fill type="solid"/>
              </v:shape>
            </v:group>
            <v:group style="position:absolute;left:1100;top:9539;width:1006;height:392" coordorigin="1100,9539" coordsize="1006,392">
              <v:shape style="position:absolute;left:1100;top:9539;width:1006;height:392" coordorigin="1100,9539" coordsize="1006,392" path="m1100,9931l2105,9931,2105,9539,1100,9539,1100,9931xe" filled="true" fillcolor="#d2d2d2" stroked="false">
                <v:path arrowok="t"/>
                <v:fill type="solid"/>
              </v:shape>
            </v:group>
            <v:group style="position:absolute;left:2139;top:9383;width:1055;height:704" coordorigin="2139,9383" coordsize="1055,704">
              <v:shape style="position:absolute;left:2139;top:9383;width:1055;height:704" coordorigin="2139,9383" coordsize="1055,704" path="m2139,10087l3193,10087,3193,9383,2139,9383,2139,10087xe" filled="true" fillcolor="#d2d2d2" stroked="false">
                <v:path arrowok="t"/>
                <v:fill type="solid"/>
              </v:shape>
            </v:group>
            <v:group style="position:absolute;left:2163;top:9539;width:1007;height:392" coordorigin="2163,9539" coordsize="1007,392">
              <v:shape style="position:absolute;left:2163;top:9539;width:1007;height:392" coordorigin="2163,9539" coordsize="1007,392" path="m2163,9931l3169,9931,3169,9539,2163,9539,2163,9931xe" filled="true" fillcolor="#d2d2d2" stroked="false">
                <v:path arrowok="t"/>
                <v:fill type="solid"/>
              </v:shape>
            </v:group>
            <v:group style="position:absolute;left:3203;top:9383;width:1054;height:704" coordorigin="3203,9383" coordsize="1054,704">
              <v:shape style="position:absolute;left:3203;top:9383;width:1054;height:704" coordorigin="3203,9383" coordsize="1054,704" path="m3203,10087l4256,10087,4256,9383,3203,9383,3203,10087xe" filled="true" fillcolor="#d2d2d2" stroked="false">
                <v:path arrowok="t"/>
                <v:fill type="solid"/>
              </v:shape>
            </v:group>
            <v:group style="position:absolute;left:3227;top:9539;width:1006;height:392" coordorigin="3227,9539" coordsize="1006,392">
              <v:shape style="position:absolute;left:3227;top:9539;width:1006;height:392" coordorigin="3227,9539" coordsize="1006,392" path="m3227,9931l4232,9931,4232,9539,3227,9539,3227,9931xe" filled="true" fillcolor="#d2d2d2" stroked="false">
                <v:path arrowok="t"/>
                <v:fill type="solid"/>
              </v:shape>
            </v:group>
            <v:group style="position:absolute;left:4266;top:9383;width:1055;height:704" coordorigin="4266,9383" coordsize="1055,704">
              <v:shape style="position:absolute;left:4266;top:9383;width:1055;height:704" coordorigin="4266,9383" coordsize="1055,704" path="m4266,10087l5320,10087,5320,9383,4266,9383,4266,10087xe" filled="true" fillcolor="#d2d2d2" stroked="false">
                <v:path arrowok="t"/>
                <v:fill type="solid"/>
              </v:shape>
            </v:group>
            <v:group style="position:absolute;left:4290;top:9539;width:1007;height:392" coordorigin="4290,9539" coordsize="1007,392">
              <v:shape style="position:absolute;left:4290;top:9539;width:1007;height:392" coordorigin="4290,9539" coordsize="1007,392" path="m4290,9931l5296,9931,5296,9539,4290,9539,4290,9931xe" filled="true" fillcolor="#d2d2d2" stroked="false">
                <v:path arrowok="t"/>
                <v:fill type="solid"/>
              </v:shape>
            </v:group>
            <v:group style="position:absolute;left:5329;top:9383;width:1054;height:704" coordorigin="5329,9383" coordsize="1054,704">
              <v:shape style="position:absolute;left:5329;top:9383;width:1054;height:704" coordorigin="5329,9383" coordsize="1054,704" path="m5329,10087l6383,10087,6383,9383,5329,9383,5329,10087xe" filled="true" fillcolor="#d2d2d2" stroked="false">
                <v:path arrowok="t"/>
                <v:fill type="solid"/>
              </v:shape>
            </v:group>
            <v:group style="position:absolute;left:5353;top:9539;width:1006;height:392" coordorigin="5353,9539" coordsize="1006,392">
              <v:shape style="position:absolute;left:5353;top:9539;width:1006;height:392" coordorigin="5353,9539" coordsize="1006,392" path="m5353,9931l6359,9931,6359,9539,5353,9539,5353,9931xe" filled="true" fillcolor="#d2d2d2" stroked="false">
                <v:path arrowok="t"/>
                <v:fill type="solid"/>
              </v:shape>
            </v:group>
            <v:group style="position:absolute;left:8520;top:9383;width:1052;height:704" coordorigin="8520,9383" coordsize="1052,704">
              <v:shape style="position:absolute;left:8520;top:9383;width:1052;height:704" coordorigin="8520,9383" coordsize="1052,704" path="m8520,10087l9571,10087,9571,9383,8520,9383,8520,10087xe" filled="true" fillcolor="#d2d2d2" stroked="false">
                <v:path arrowok="t"/>
                <v:fill type="solid"/>
              </v:shape>
            </v:group>
            <v:group style="position:absolute;left:8541;top:9539;width:1008;height:392" coordorigin="8541,9539" coordsize="1008,392">
              <v:shape style="position:absolute;left:8541;top:9539;width:1008;height:392" coordorigin="8541,9539" coordsize="1008,392" path="m8541,9931l9549,9931,9549,9539,8541,9539,8541,9931xe" filled="true" fillcolor="#d2d2d2" stroked="false">
                <v:path arrowok="t"/>
                <v:fill type="solid"/>
              </v:shape>
            </v:group>
            <v:group style="position:absolute;left:10;top:9376;width:1057;height:2" coordorigin="10,9376" coordsize="1057,2">
              <v:shape style="position:absolute;left:10;top:9376;width:1057;height:2" coordorigin="10,9376" coordsize="1057,0" path="m10,9376l1066,9376e" filled="false" stroked="true" strokeweight=".47998pt" strokecolor="#000000">
                <v:path arrowok="t"/>
              </v:shape>
            </v:group>
            <v:group style="position:absolute;left:1076;top:9376;width:1054;height:2" coordorigin="1076,9376" coordsize="1054,2">
              <v:shape style="position:absolute;left:1076;top:9376;width:1054;height:2" coordorigin="1076,9376" coordsize="1054,0" path="m1076,9376l2129,9376e" filled="false" stroked="true" strokeweight=".47998pt" strokecolor="#000000">
                <v:path arrowok="t"/>
              </v:shape>
            </v:group>
            <v:group style="position:absolute;left:2139;top:9376;width:1055;height:2" coordorigin="2139,9376" coordsize="1055,2">
              <v:shape style="position:absolute;left:2139;top:9376;width:1055;height:2" coordorigin="2139,9376" coordsize="1055,0" path="m2139,9376l3193,9376e" filled="false" stroked="true" strokeweight=".47998pt" strokecolor="#000000">
                <v:path arrowok="t"/>
              </v:shape>
            </v:group>
            <v:group style="position:absolute;left:3203;top:9376;width:1054;height:2" coordorigin="3203,9376" coordsize="1054,2">
              <v:shape style="position:absolute;left:3203;top:9376;width:1054;height:2" coordorigin="3203,9376" coordsize="1054,0" path="m3203,9376l4256,9376e" filled="false" stroked="true" strokeweight=".47998pt" strokecolor="#000000">
                <v:path arrowok="t"/>
              </v:shape>
            </v:group>
            <v:group style="position:absolute;left:4266;top:9376;width:1052;height:2" coordorigin="4266,9376" coordsize="1052,2">
              <v:shape style="position:absolute;left:4266;top:9376;width:1052;height:2" coordorigin="4266,9376" coordsize="1052,0" path="m4266,9376l5317,9376e" filled="false" stroked="true" strokeweight=".47998pt" strokecolor="#000000">
                <v:path arrowok="t"/>
              </v:shape>
            </v:group>
            <v:group style="position:absolute;left:5327;top:9376;width:1054;height:2" coordorigin="5327,9376" coordsize="1054,2">
              <v:shape style="position:absolute;left:5327;top:9376;width:1054;height:2" coordorigin="5327,9376" coordsize="1054,0" path="m5327,9376l6381,9376e" filled="false" stroked="true" strokeweight=".47998pt" strokecolor="#000000">
                <v:path arrowok="t"/>
              </v:shape>
            </v:group>
            <v:group style="position:absolute;left:6390;top:9376;width:1054;height:2" coordorigin="6390,9376" coordsize="1054,2">
              <v:shape style="position:absolute;left:6390;top:9376;width:1054;height:2" coordorigin="6390,9376" coordsize="1054,0" path="m6390,9376l7444,9376e" filled="false" stroked="true" strokeweight=".47998pt" strokecolor="#000000">
                <v:path arrowok="t"/>
              </v:shape>
            </v:group>
            <v:group style="position:absolute;left:7453;top:9376;width:1055;height:2" coordorigin="7453,9376" coordsize="1055,2">
              <v:shape style="position:absolute;left:7453;top:9376;width:1055;height:2" coordorigin="7453,9376" coordsize="1055,0" path="m7453,9376l8507,9376e" filled="false" stroked="true" strokeweight=".47998pt" strokecolor="#000000">
                <v:path arrowok="t"/>
              </v:shape>
            </v:group>
            <v:group style="position:absolute;left:8517;top:9376;width:1054;height:2" coordorigin="8517,9376" coordsize="1054,2">
              <v:shape style="position:absolute;left:8517;top:9376;width:1054;height:2" coordorigin="8517,9376" coordsize="1054,0" path="m8517,9376l9571,9376e" filled="false" stroked="true" strokeweight=".47998pt" strokecolor="#000000">
                <v:path arrowok="t"/>
              </v:shape>
            </v:group>
            <v:group style="position:absolute;left:5;top:5;width:2;height:10092" coordorigin="5,5" coordsize="2,10092">
              <v:shape style="position:absolute;left:5;top:5;width:2;height:10092" coordorigin="5,5" coordsize="0,10092" path="m5,5l5,10096e" filled="false" stroked="true" strokeweight=".48pt" strokecolor="#000000">
                <v:path arrowok="t"/>
              </v:shape>
            </v:group>
            <v:group style="position:absolute;left:10;top:10092;width:1057;height:2" coordorigin="10,10092" coordsize="1057,2">
              <v:shape style="position:absolute;left:10;top:10092;width:1057;height:2" coordorigin="10,10092" coordsize="1057,0" path="m10,10092l1066,10092e" filled="false" stroked="true" strokeweight=".47998pt" strokecolor="#000000">
                <v:path arrowok="t"/>
              </v:shape>
            </v:group>
            <v:group style="position:absolute;left:1071;top:5;width:2;height:10092" coordorigin="1071,5" coordsize="2,10092">
              <v:shape style="position:absolute;left:1071;top:5;width:2;height:10092" coordorigin="1071,5" coordsize="0,10092" path="m1071,5l1071,10096e" filled="false" stroked="true" strokeweight=".48pt" strokecolor="#000000">
                <v:path arrowok="t"/>
              </v:shape>
            </v:group>
            <v:group style="position:absolute;left:1076;top:10092;width:1054;height:2" coordorigin="1076,10092" coordsize="1054,2">
              <v:shape style="position:absolute;left:1076;top:10092;width:1054;height:2" coordorigin="1076,10092" coordsize="1054,0" path="m1076,10092l2129,10092e" filled="false" stroked="true" strokeweight=".47998pt" strokecolor="#000000">
                <v:path arrowok="t"/>
              </v:shape>
            </v:group>
            <v:group style="position:absolute;left:2134;top:5;width:2;height:10092" coordorigin="2134,5" coordsize="2,10092">
              <v:shape style="position:absolute;left:2134;top:5;width:2;height:10092" coordorigin="2134,5" coordsize="0,10092" path="m2134,5l2134,10096e" filled="false" stroked="true" strokeweight=".48pt" strokecolor="#000000">
                <v:path arrowok="t"/>
              </v:shape>
            </v:group>
            <v:group style="position:absolute;left:2139;top:10092;width:1055;height:2" coordorigin="2139,10092" coordsize="1055,2">
              <v:shape style="position:absolute;left:2139;top:10092;width:1055;height:2" coordorigin="2139,10092" coordsize="1055,0" path="m2139,10092l3193,10092e" filled="false" stroked="true" strokeweight=".47998pt" strokecolor="#000000">
                <v:path arrowok="t"/>
              </v:shape>
            </v:group>
            <v:group style="position:absolute;left:3198;top:5;width:2;height:10092" coordorigin="3198,5" coordsize="2,10092">
              <v:shape style="position:absolute;left:3198;top:5;width:2;height:10092" coordorigin="3198,5" coordsize="0,10092" path="m3198,5l3198,10096e" filled="false" stroked="true" strokeweight=".48pt" strokecolor="#000000">
                <v:path arrowok="t"/>
              </v:shape>
            </v:group>
            <v:group style="position:absolute;left:3203;top:10092;width:1054;height:2" coordorigin="3203,10092" coordsize="1054,2">
              <v:shape style="position:absolute;left:3203;top:10092;width:1054;height:2" coordorigin="3203,10092" coordsize="1054,0" path="m3203,10092l4256,10092e" filled="false" stroked="true" strokeweight=".47998pt" strokecolor="#000000">
                <v:path arrowok="t"/>
              </v:shape>
            </v:group>
            <v:group style="position:absolute;left:4261;top:5;width:2;height:10092" coordorigin="4261,5" coordsize="2,10092">
              <v:shape style="position:absolute;left:4261;top:5;width:2;height:10092" coordorigin="4261,5" coordsize="0,10092" path="m4261,5l4261,10096e" filled="false" stroked="true" strokeweight=".47998pt" strokecolor="#000000">
                <v:path arrowok="t"/>
              </v:shape>
            </v:group>
            <v:group style="position:absolute;left:4266;top:10092;width:1052;height:2" coordorigin="4266,10092" coordsize="1052,2">
              <v:shape style="position:absolute;left:4266;top:10092;width:1052;height:2" coordorigin="4266,10092" coordsize="1052,0" path="m4266,10092l5317,10092e" filled="false" stroked="true" strokeweight=".47998pt" strokecolor="#000000">
                <v:path arrowok="t"/>
              </v:shape>
            </v:group>
            <v:group style="position:absolute;left:5322;top:5;width:2;height:10092" coordorigin="5322,5" coordsize="2,10092">
              <v:shape style="position:absolute;left:5322;top:5;width:2;height:10092" coordorigin="5322,5" coordsize="0,10092" path="m5322,5l5322,10096e" filled="false" stroked="true" strokeweight=".48001pt" strokecolor="#000000">
                <v:path arrowok="t"/>
              </v:shape>
            </v:group>
            <v:group style="position:absolute;left:5327;top:10092;width:1054;height:2" coordorigin="5327,10092" coordsize="1054,2">
              <v:shape style="position:absolute;left:5327;top:10092;width:1054;height:2" coordorigin="5327,10092" coordsize="1054,0" path="m5327,10092l6381,10092e" filled="false" stroked="true" strokeweight=".47998pt" strokecolor="#000000">
                <v:path arrowok="t"/>
              </v:shape>
            </v:group>
            <v:group style="position:absolute;left:6385;top:5;width:2;height:10092" coordorigin="6385,5" coordsize="2,10092">
              <v:shape style="position:absolute;left:6385;top:5;width:2;height:10092" coordorigin="6385,5" coordsize="0,10092" path="m6385,5l6385,10096e" filled="false" stroked="true" strokeweight=".48001pt" strokecolor="#000000">
                <v:path arrowok="t"/>
              </v:shape>
            </v:group>
            <v:group style="position:absolute;left:6390;top:10092;width:1054;height:2" coordorigin="6390,10092" coordsize="1054,2">
              <v:shape style="position:absolute;left:6390;top:10092;width:1054;height:2" coordorigin="6390,10092" coordsize="1054,0" path="m6390,10092l7444,10092e" filled="false" stroked="true" strokeweight=".47998pt" strokecolor="#000000">
                <v:path arrowok="t"/>
              </v:shape>
            </v:group>
            <v:group style="position:absolute;left:7449;top:5;width:2;height:10092" coordorigin="7449,5" coordsize="2,10092">
              <v:shape style="position:absolute;left:7449;top:5;width:2;height:10092" coordorigin="7449,5" coordsize="0,10092" path="m7449,5l7449,10096e" filled="false" stroked="true" strokeweight=".47998pt" strokecolor="#000000">
                <v:path arrowok="t"/>
              </v:shape>
            </v:group>
            <v:group style="position:absolute;left:7453;top:10092;width:1055;height:2" coordorigin="7453,10092" coordsize="1055,2">
              <v:shape style="position:absolute;left:7453;top:10092;width:1055;height:2" coordorigin="7453,10092" coordsize="1055,0" path="m7453,10092l8507,10092e" filled="false" stroked="true" strokeweight=".47998pt" strokecolor="#000000">
                <v:path arrowok="t"/>
              </v:shape>
            </v:group>
            <v:group style="position:absolute;left:8512;top:5;width:2;height:10092" coordorigin="8512,5" coordsize="2,10092">
              <v:shape style="position:absolute;left:8512;top:5;width:2;height:10092" coordorigin="8512,5" coordsize="0,10092" path="m8512,5l8512,10096e" filled="false" stroked="true" strokeweight=".48001pt" strokecolor="#000000">
                <v:path arrowok="t"/>
              </v:shape>
            </v:group>
            <v:group style="position:absolute;left:8517;top:10092;width:1054;height:2" coordorigin="8517,10092" coordsize="1054,2">
              <v:shape style="position:absolute;left:8517;top:10092;width:1054;height:2" coordorigin="8517,10092" coordsize="1054,0" path="m8517,10092l9571,10092e" filled="false" stroked="true" strokeweight=".47998pt" strokecolor="#000000">
                <v:path arrowok="t"/>
              </v:shape>
            </v:group>
            <v:group style="position:absolute;left:9576;top:5;width:2;height:10092" coordorigin="9576,5" coordsize="2,10092">
              <v:shape style="position:absolute;left:9576;top:5;width:2;height:10092" coordorigin="9576,5" coordsize="0,10092" path="m9576,5l9576,10096e" filled="false" stroked="true" strokeweight=".47998pt" strokecolor="#000000">
                <v:path arrowok="t"/>
              </v:shape>
              <v:shape style="position:absolute;left:34;top:431;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纳税积极奖</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励补助</w:t>
                      </w:r>
                    </w:p>
                  </w:txbxContent>
                </v:textbox>
                <w10:wrap type="none"/>
              </v:shape>
              <v:shape style="position:absolute;left:1100;top:275;width:900;height:80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上海市闵行</w:t>
                      </w:r>
                    </w:p>
                    <w:p>
                      <w:pPr>
                        <w:spacing w:line="310" w:lineRule="atLeast" w:before="2"/>
                        <w:ind w:left="0" w:right="0" w:firstLine="0"/>
                        <w:jc w:val="left"/>
                        <w:rPr>
                          <w:rFonts w:ascii="宋体" w:hAnsi="宋体" w:cs="宋体" w:eastAsia="宋体" w:hint="default"/>
                          <w:sz w:val="18"/>
                          <w:szCs w:val="18"/>
                        </w:rPr>
                      </w:pPr>
                      <w:r>
                        <w:rPr>
                          <w:rFonts w:ascii="宋体" w:hAnsi="宋体" w:cs="宋体" w:eastAsia="宋体" w:hint="default"/>
                          <w:sz w:val="18"/>
                          <w:szCs w:val="18"/>
                        </w:rPr>
                        <w:t>区财政局非 税收入专户</w:t>
                      </w:r>
                    </w:p>
                  </w:txbxContent>
                </v:textbox>
                <w10:wrap type="none"/>
              </v:shape>
              <v:shape style="position:absolute;left:3227;top:119;width:108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因研究开发、</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技术更新及</w:t>
                      </w:r>
                    </w:p>
                  </w:txbxContent>
                </v:textbox>
                <w10:wrap type="none"/>
              </v:shape>
              <v:shape style="position:absolute;left:2163;top:587;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4290;top:58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5353;top:58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6611;top:597;width:81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100,000.00</w:t>
                      </w:r>
                    </w:p>
                  </w:txbxContent>
                </v:textbox>
                <w10:wrap type="none"/>
              </v:shape>
              <v:shape style="position:absolute;left:8541;top:587;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与收益相关</w:t>
                      </w:r>
                    </w:p>
                  </w:txbxContent>
                </v:textbox>
                <w10:wrap type="none"/>
              </v:shape>
              <v:shape style="position:absolute;left:3227;top:743;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的补助</w:t>
                      </w:r>
                    </w:p>
                  </w:txbxContent>
                </v:textbox>
                <w10:wrap type="none"/>
              </v:shape>
              <v:shape style="position:absolute;left:34;top:1771;width:900;height:49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技术研发项</w:t>
                      </w:r>
                    </w:p>
                    <w:p>
                      <w:pPr>
                        <w:spacing w:before="74"/>
                        <w:ind w:left="0" w:right="0" w:firstLine="0"/>
                        <w:jc w:val="left"/>
                        <w:rPr>
                          <w:rFonts w:ascii="宋体" w:hAnsi="宋体" w:cs="宋体" w:eastAsia="宋体" w:hint="default"/>
                          <w:sz w:val="18"/>
                          <w:szCs w:val="18"/>
                        </w:rPr>
                      </w:pPr>
                      <w:r>
                        <w:rPr>
                          <w:rFonts w:ascii="宋体" w:hAnsi="宋体" w:cs="宋体" w:eastAsia="宋体" w:hint="default"/>
                          <w:sz w:val="18"/>
                          <w:szCs w:val="18"/>
                        </w:rPr>
                        <w:t>目补助</w:t>
                      </w:r>
                    </w:p>
                  </w:txbxContent>
                </v:textbox>
                <w10:wrap type="none"/>
              </v:shape>
              <v:shape style="position:absolute;left:1100;top:1615;width:900;height:80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上海市闵行</w:t>
                      </w:r>
                    </w:p>
                    <w:p>
                      <w:pPr>
                        <w:spacing w:line="312" w:lineRule="exact" w:before="34"/>
                        <w:ind w:left="0" w:right="0" w:firstLine="0"/>
                        <w:jc w:val="left"/>
                        <w:rPr>
                          <w:rFonts w:ascii="宋体" w:hAnsi="宋体" w:cs="宋体" w:eastAsia="宋体" w:hint="default"/>
                          <w:sz w:val="18"/>
                          <w:szCs w:val="18"/>
                        </w:rPr>
                      </w:pPr>
                      <w:r>
                        <w:rPr>
                          <w:rFonts w:ascii="宋体" w:hAnsi="宋体" w:cs="宋体" w:eastAsia="宋体" w:hint="default"/>
                          <w:sz w:val="18"/>
                          <w:szCs w:val="18"/>
                        </w:rPr>
                        <w:t>区科技创新 服务中心</w:t>
                      </w:r>
                    </w:p>
                  </w:txbxContent>
                </v:textbox>
                <w10:wrap type="none"/>
              </v:shape>
              <v:shape style="position:absolute;left:3227;top:1459;width:1080;height:49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因研究开发、</w:t>
                      </w:r>
                    </w:p>
                    <w:p>
                      <w:pPr>
                        <w:spacing w:before="74"/>
                        <w:ind w:left="0" w:right="0" w:firstLine="0"/>
                        <w:jc w:val="left"/>
                        <w:rPr>
                          <w:rFonts w:ascii="宋体" w:hAnsi="宋体" w:cs="宋体" w:eastAsia="宋体" w:hint="default"/>
                          <w:sz w:val="18"/>
                          <w:szCs w:val="18"/>
                        </w:rPr>
                      </w:pPr>
                      <w:r>
                        <w:rPr>
                          <w:rFonts w:ascii="宋体" w:hAnsi="宋体" w:cs="宋体" w:eastAsia="宋体" w:hint="default"/>
                          <w:sz w:val="18"/>
                          <w:szCs w:val="18"/>
                        </w:rPr>
                        <w:t>技术更新及</w:t>
                      </w:r>
                    </w:p>
                  </w:txbxContent>
                </v:textbox>
                <w10:wrap type="none"/>
              </v:shape>
              <v:shape style="position:absolute;left:2163;top:1927;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4290;top:192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5353;top:192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6702;top:1936;width:72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90,000.00</w:t>
                      </w:r>
                    </w:p>
                  </w:txbxContent>
                </v:textbox>
                <w10:wrap type="none"/>
              </v:shape>
              <v:shape style="position:absolute;left:8541;top:1927;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与收益相关</w:t>
                      </w:r>
                    </w:p>
                  </w:txbxContent>
                </v:textbox>
                <w10:wrap type="none"/>
              </v:shape>
              <v:shape style="position:absolute;left:3227;top:2080;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的补助</w:t>
                      </w:r>
                    </w:p>
                  </w:txbxContent>
                </v:textbox>
                <w10:wrap type="none"/>
              </v:shape>
              <v:shape style="position:absolute;left:34;top:2951;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产学研合作</w:t>
                      </w:r>
                    </w:p>
                  </w:txbxContent>
                </v:textbox>
                <w10:wrap type="none"/>
              </v:shape>
              <v:shape style="position:absolute;left:1100;top:3107;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浦口区科技</w:t>
                      </w:r>
                    </w:p>
                  </w:txbxContent>
                </v:textbox>
                <w10:wrap type="none"/>
              </v:shape>
              <v:shape style="position:absolute;left:3227;top:2795;width:108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因研究开发、</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技术更新及</w:t>
                      </w:r>
                    </w:p>
                  </w:txbxContent>
                </v:textbox>
                <w10:wrap type="none"/>
              </v:shape>
              <v:shape style="position:absolute;left:34;top:3264;width:5500;height:180" type="#_x0000_t202" filled="false" stroked="false">
                <v:textbox inset="0,0,0,0">
                  <w:txbxContent>
                    <w:p>
                      <w:pPr>
                        <w:tabs>
                          <w:tab w:pos="2129" w:val="left" w:leader="none"/>
                          <w:tab w:pos="4256" w:val="left" w:leader="none"/>
                          <w:tab w:pos="5319"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（校企联盟）</w:t>
                        <w:tab/>
                        <w:t>补助</w:t>
                        <w:tab/>
                        <w:t>是</w:t>
                        <w:tab/>
                        <w:t>否</w:t>
                      </w:r>
                    </w:p>
                  </w:txbxContent>
                </v:textbox>
                <w10:wrap type="none"/>
              </v:shape>
              <v:shape style="position:absolute;left:6702;top:3274;width:72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30,000.00</w:t>
                      </w:r>
                    </w:p>
                  </w:txbxContent>
                </v:textbox>
                <w10:wrap type="none"/>
              </v:shape>
              <v:shape style="position:absolute;left:8541;top:3264;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与收益相关</w:t>
                      </w:r>
                    </w:p>
                  </w:txbxContent>
                </v:textbox>
                <w10:wrap type="none"/>
              </v:shape>
              <v:shape style="position:absolute;left:1100;top:3420;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局</w:t>
                      </w:r>
                    </w:p>
                  </w:txbxContent>
                </v:textbox>
                <w10:wrap type="none"/>
              </v:shape>
              <v:shape style="position:absolute;left:34;top:357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项目补贴</w:t>
                      </w:r>
                    </w:p>
                  </w:txbxContent>
                </v:textbox>
                <w10:wrap type="none"/>
              </v:shape>
              <v:shape style="position:absolute;left:3227;top:3420;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的补助</w:t>
                      </w:r>
                    </w:p>
                  </w:txbxContent>
                </v:textbox>
                <w10:wrap type="none"/>
              </v:shape>
              <v:shape style="position:absolute;left:34;top:4603;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中介补贴款</w:t>
                      </w:r>
                    </w:p>
                  </w:txbxContent>
                </v:textbox>
                <w10:wrap type="none"/>
              </v:shape>
              <v:shape style="position:absolute;left:1100;top:4447;width:900;height:49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中关村企业</w:t>
                      </w:r>
                    </w:p>
                    <w:p>
                      <w:pPr>
                        <w:spacing w:before="74"/>
                        <w:ind w:left="0" w:right="0" w:firstLine="0"/>
                        <w:jc w:val="left"/>
                        <w:rPr>
                          <w:rFonts w:ascii="宋体" w:hAnsi="宋体" w:cs="宋体" w:eastAsia="宋体" w:hint="default"/>
                          <w:sz w:val="18"/>
                          <w:szCs w:val="18"/>
                        </w:rPr>
                      </w:pPr>
                      <w:r>
                        <w:rPr>
                          <w:rFonts w:ascii="宋体" w:hAnsi="宋体" w:cs="宋体" w:eastAsia="宋体" w:hint="default"/>
                          <w:sz w:val="18"/>
                          <w:szCs w:val="18"/>
                        </w:rPr>
                        <w:t>信用促进会</w:t>
                      </w:r>
                    </w:p>
                  </w:txbxContent>
                </v:textbox>
                <w10:wrap type="none"/>
              </v:shape>
              <v:shape style="position:absolute;left:3227;top:4135;width:1080;height:49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因研究开发、</w:t>
                      </w:r>
                    </w:p>
                    <w:p>
                      <w:pPr>
                        <w:spacing w:before="74"/>
                        <w:ind w:left="0" w:right="0" w:firstLine="0"/>
                        <w:jc w:val="left"/>
                        <w:rPr>
                          <w:rFonts w:ascii="宋体" w:hAnsi="宋体" w:cs="宋体" w:eastAsia="宋体" w:hint="default"/>
                          <w:sz w:val="18"/>
                          <w:szCs w:val="18"/>
                        </w:rPr>
                      </w:pPr>
                      <w:r>
                        <w:rPr>
                          <w:rFonts w:ascii="宋体" w:hAnsi="宋体" w:cs="宋体" w:eastAsia="宋体" w:hint="default"/>
                          <w:sz w:val="18"/>
                          <w:szCs w:val="18"/>
                        </w:rPr>
                        <w:t>技术更新及</w:t>
                      </w:r>
                    </w:p>
                  </w:txbxContent>
                </v:textbox>
                <w10:wrap type="none"/>
              </v:shape>
              <v:shape style="position:absolute;left:2163;top:460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4290;top:4603;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5353;top:4603;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6702;top:4603;width:2739;height:190" type="#_x0000_t202" filled="false" stroked="false">
                <v:textbox inset="0,0,0,0">
                  <w:txbxContent>
                    <w:p>
                      <w:pPr>
                        <w:tabs>
                          <w:tab w:pos="1063" w:val="left" w:leader="none"/>
                        </w:tabs>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20,000.00</w:t>
                        <w:tab/>
                        <w:t>51,000.00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与收益相关</w:t>
                      </w:r>
                    </w:p>
                  </w:txbxContent>
                </v:textbox>
                <w10:wrap type="none"/>
              </v:shape>
              <v:shape style="position:absolute;left:3227;top:4757;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的补助</w:t>
                      </w:r>
                    </w:p>
                  </w:txbxContent>
                </v:textbox>
                <w10:wrap type="none"/>
              </v:shape>
              <v:shape style="position:absolute;left:3227;top:5472;width:108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因研究开发、</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技术更新及</w:t>
                      </w:r>
                    </w:p>
                  </w:txbxContent>
                </v:textbox>
                <w10:wrap type="none"/>
              </v:shape>
              <v:shape style="position:absolute;left:34;top:5940;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专利资助</w:t>
                      </w:r>
                    </w:p>
                  </w:txbxContent>
                </v:textbox>
                <w10:wrap type="none"/>
              </v:shape>
              <v:shape style="position:absolute;left:1100;top:5784;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江苏省知识</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产权局</w:t>
                      </w:r>
                    </w:p>
                  </w:txbxContent>
                </v:textbox>
                <w10:wrap type="none"/>
              </v:shape>
              <v:shape style="position:absolute;left:2163;top:594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4290;top:5940;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5353;top:5940;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6791;top:5950;width:63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5,700.00</w:t>
                      </w:r>
                    </w:p>
                  </w:txbxContent>
                </v:textbox>
                <w10:wrap type="none"/>
              </v:shape>
              <v:shape style="position:absolute;left:8541;top:5940;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与收益相关</w:t>
                      </w:r>
                    </w:p>
                  </w:txbxContent>
                </v:textbox>
                <w10:wrap type="none"/>
              </v:shape>
              <v:shape style="position:absolute;left:3227;top:6096;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的补助</w:t>
                      </w:r>
                    </w:p>
                  </w:txbxContent>
                </v:textbox>
                <w10:wrap type="none"/>
              </v:shape>
              <v:shape style="position:absolute;left:34;top:7124;width:900;height:49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授权专利补</w:t>
                      </w:r>
                    </w:p>
                    <w:p>
                      <w:pPr>
                        <w:spacing w:before="74"/>
                        <w:ind w:left="0" w:right="0" w:firstLine="0"/>
                        <w:jc w:val="left"/>
                        <w:rPr>
                          <w:rFonts w:ascii="宋体" w:hAnsi="宋体" w:cs="宋体" w:eastAsia="宋体" w:hint="default"/>
                          <w:sz w:val="18"/>
                          <w:szCs w:val="18"/>
                        </w:rPr>
                      </w:pPr>
                      <w:r>
                        <w:rPr>
                          <w:rFonts w:ascii="宋体" w:hAnsi="宋体" w:cs="宋体" w:eastAsia="宋体" w:hint="default"/>
                          <w:sz w:val="18"/>
                          <w:szCs w:val="18"/>
                        </w:rPr>
                        <w:t>助资金</w:t>
                      </w:r>
                    </w:p>
                  </w:txbxContent>
                </v:textbox>
                <w10:wrap type="none"/>
              </v:shape>
              <v:shape style="position:absolute;left:1100;top:7124;width:900;height:49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北京知识产</w:t>
                      </w:r>
                    </w:p>
                    <w:p>
                      <w:pPr>
                        <w:spacing w:before="74"/>
                        <w:ind w:left="0" w:right="0" w:firstLine="0"/>
                        <w:jc w:val="left"/>
                        <w:rPr>
                          <w:rFonts w:ascii="宋体" w:hAnsi="宋体" w:cs="宋体" w:eastAsia="宋体" w:hint="default"/>
                          <w:sz w:val="18"/>
                          <w:szCs w:val="18"/>
                        </w:rPr>
                      </w:pPr>
                      <w:r>
                        <w:rPr>
                          <w:rFonts w:ascii="宋体" w:hAnsi="宋体" w:cs="宋体" w:eastAsia="宋体" w:hint="default"/>
                          <w:sz w:val="18"/>
                          <w:szCs w:val="18"/>
                        </w:rPr>
                        <w:t>权局</w:t>
                      </w:r>
                    </w:p>
                  </w:txbxContent>
                </v:textbox>
                <w10:wrap type="none"/>
              </v:shape>
              <v:shape style="position:absolute;left:3227;top:6812;width:1080;height:49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因研究开发、</w:t>
                      </w:r>
                    </w:p>
                    <w:p>
                      <w:pPr>
                        <w:spacing w:before="74"/>
                        <w:ind w:left="0" w:right="0" w:firstLine="0"/>
                        <w:jc w:val="left"/>
                        <w:rPr>
                          <w:rFonts w:ascii="宋体" w:hAnsi="宋体" w:cs="宋体" w:eastAsia="宋体" w:hint="default"/>
                          <w:sz w:val="18"/>
                          <w:szCs w:val="18"/>
                        </w:rPr>
                      </w:pPr>
                      <w:r>
                        <w:rPr>
                          <w:rFonts w:ascii="宋体" w:hAnsi="宋体" w:cs="宋体" w:eastAsia="宋体" w:hint="default"/>
                          <w:sz w:val="18"/>
                          <w:szCs w:val="18"/>
                        </w:rPr>
                        <w:t>技术更新及</w:t>
                      </w:r>
                    </w:p>
                  </w:txbxContent>
                </v:textbox>
                <w10:wrap type="none"/>
              </v:shape>
              <v:shape style="position:absolute;left:2163;top:728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4290;top:7280;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5353;top:7280;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6928;top:7289;width:49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300.00</w:t>
                      </w:r>
                    </w:p>
                  </w:txbxContent>
                </v:textbox>
                <w10:wrap type="none"/>
              </v:shape>
              <v:shape style="position:absolute;left:8541;top:7280;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与收益相关</w:t>
                      </w:r>
                    </w:p>
                  </w:txbxContent>
                </v:textbox>
                <w10:wrap type="none"/>
              </v:shape>
              <v:shape style="position:absolute;left:3227;top:7433;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的补助</w:t>
                      </w:r>
                    </w:p>
                  </w:txbxContent>
                </v:textbox>
                <w10:wrap type="none"/>
              </v:shape>
              <v:shape style="position:absolute;left:34;top:8460;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科技创新支</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出补助</w:t>
                      </w:r>
                    </w:p>
                  </w:txbxContent>
                </v:textbox>
                <w10:wrap type="none"/>
              </v:shape>
              <v:shape style="position:absolute;left:1100;top:8460;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浦口区科技</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局</w:t>
                      </w:r>
                    </w:p>
                  </w:txbxContent>
                </v:textbox>
                <w10:wrap type="none"/>
              </v:shape>
              <v:shape style="position:absolute;left:3227;top:8148;width:108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因研究开发、</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技术更新及</w:t>
                      </w:r>
                    </w:p>
                  </w:txbxContent>
                </v:textbox>
                <w10:wrap type="none"/>
              </v:shape>
              <v:shape style="position:absolute;left:2163;top:8616;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4290;top:8616;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5353;top:8616;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6611;top:8626;width:81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100,000.00</w:t>
                      </w:r>
                    </w:p>
                  </w:txbxContent>
                </v:textbox>
                <w10:wrap type="none"/>
              </v:shape>
              <v:shape style="position:absolute;left:8541;top:8616;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与收益相关</w:t>
                      </w:r>
                    </w:p>
                  </w:txbxContent>
                </v:textbox>
                <w10:wrap type="none"/>
              </v:shape>
              <v:shape style="position:absolute;left:3227;top:8772;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的补助</w:t>
                      </w:r>
                    </w:p>
                  </w:txbxContent>
                </v:textbox>
                <w10:wrap type="none"/>
              </v:shape>
              <v:shape style="position:absolute;left:34;top:9644;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1544;top:9653;width:1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shape style="position:absolute;left:2607;top:9653;width:1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shape style="position:absolute;left:3671;top:9653;width:1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shape style="position:absolute;left:4734;top:9653;width:1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shape style="position:absolute;left:5797;top:9653;width:1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shape style="position:absolute;left:6477;top:9497;width:946;height:491" type="#_x0000_t202" filled="false" stroked="false">
                <v:textbox inset="0,0,0,0">
                  <w:txbxContent>
                    <w:p>
                      <w:pPr>
                        <w:spacing w:line="184" w:lineRule="exact" w:before="0"/>
                        <w:ind w:left="0" w:right="0" w:firstLine="0"/>
                        <w:jc w:val="right"/>
                        <w:rPr>
                          <w:rFonts w:ascii="Times New Roman" w:hAnsi="Times New Roman" w:cs="Times New Roman" w:eastAsia="Times New Roman" w:hint="default"/>
                          <w:sz w:val="18"/>
                          <w:szCs w:val="18"/>
                        </w:rPr>
                      </w:pPr>
                      <w:r>
                        <w:rPr>
                          <w:rFonts w:ascii="Times New Roman"/>
                          <w:spacing w:val="-1"/>
                          <w:sz w:val="18"/>
                        </w:rPr>
                        <w:t>22,256,939.4</w:t>
                      </w:r>
                    </w:p>
                    <w:p>
                      <w:pPr>
                        <w:spacing w:line="203" w:lineRule="exact" w:before="103"/>
                        <w:ind w:left="0" w:right="1" w:firstLine="0"/>
                        <w:jc w:val="right"/>
                        <w:rPr>
                          <w:rFonts w:ascii="Times New Roman" w:hAnsi="Times New Roman" w:cs="Times New Roman" w:eastAsia="Times New Roman" w:hint="default"/>
                          <w:sz w:val="18"/>
                          <w:szCs w:val="18"/>
                        </w:rPr>
                      </w:pPr>
                      <w:r>
                        <w:rPr>
                          <w:rFonts w:ascii="Times New Roman"/>
                          <w:sz w:val="18"/>
                        </w:rPr>
                        <w:t>8</w:t>
                      </w:r>
                    </w:p>
                  </w:txbxContent>
                </v:textbox>
                <w10:wrap type="none"/>
              </v:shape>
              <v:shape style="position:absolute;left:7540;top:9497;width:946;height:491" type="#_x0000_t202" filled="false" stroked="false">
                <v:textbox inset="0,0,0,0">
                  <w:txbxContent>
                    <w:p>
                      <w:pPr>
                        <w:spacing w:line="184" w:lineRule="exact" w:before="0"/>
                        <w:ind w:left="0" w:right="0" w:firstLine="0"/>
                        <w:jc w:val="right"/>
                        <w:rPr>
                          <w:rFonts w:ascii="Times New Roman" w:hAnsi="Times New Roman" w:cs="Times New Roman" w:eastAsia="Times New Roman" w:hint="default"/>
                          <w:sz w:val="18"/>
                          <w:szCs w:val="18"/>
                        </w:rPr>
                      </w:pPr>
                      <w:r>
                        <w:rPr>
                          <w:rFonts w:ascii="Times New Roman"/>
                          <w:spacing w:val="-1"/>
                          <w:sz w:val="18"/>
                        </w:rPr>
                        <w:t>15,762,216.4</w:t>
                      </w:r>
                    </w:p>
                    <w:p>
                      <w:pPr>
                        <w:spacing w:line="203" w:lineRule="exact" w:before="103"/>
                        <w:ind w:left="0" w:right="0" w:firstLine="0"/>
                        <w:jc w:val="right"/>
                        <w:rPr>
                          <w:rFonts w:ascii="Times New Roman" w:hAnsi="Times New Roman" w:cs="Times New Roman" w:eastAsia="Times New Roman" w:hint="default"/>
                          <w:sz w:val="18"/>
                          <w:szCs w:val="18"/>
                        </w:rPr>
                      </w:pPr>
                      <w:r>
                        <w:rPr>
                          <w:rFonts w:ascii="Times New Roman"/>
                          <w:sz w:val="18"/>
                        </w:rPr>
                        <w:t>5</w:t>
                      </w:r>
                    </w:p>
                  </w:txbxContent>
                </v:textbox>
                <w10:wrap type="none"/>
              </v:shape>
              <v:shape style="position:absolute;left:8985;top:9653;width:1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group>
          </v:group>
        </w:pict>
      </w:r>
      <w:r>
        <w:rPr>
          <w:rFonts w:ascii="宋体" w:hAnsi="宋体" w:cs="宋体" w:eastAsia="宋体" w:hint="default"/>
          <w:position w:val="-201"/>
          <w:sz w:val="20"/>
          <w:szCs w:val="20"/>
        </w:rPr>
      </w:r>
    </w:p>
    <w:p>
      <w:pPr>
        <w:pStyle w:val="BodyText"/>
        <w:spacing w:line="240" w:lineRule="auto" w:before="44"/>
        <w:ind w:right="0"/>
        <w:jc w:val="left"/>
      </w:pPr>
      <w:r>
        <w:rPr/>
        <w:t>其他说明：</w:t>
      </w:r>
    </w:p>
    <w:p>
      <w:pPr>
        <w:pStyle w:val="BodyText"/>
        <w:spacing w:line="316" w:lineRule="auto" w:before="115"/>
        <w:ind w:right="0" w:firstLine="360"/>
        <w:jc w:val="left"/>
      </w:pPr>
      <w:r>
        <w:rPr>
          <w:spacing w:val="-2"/>
        </w:rPr>
        <w:t>注：根据财政部以财会</w:t>
      </w:r>
      <w:r>
        <w:rPr>
          <w:rFonts w:ascii="宋体" w:hAnsi="宋体" w:cs="宋体" w:eastAsia="宋体" w:hint="default"/>
          <w:spacing w:val="-2"/>
        </w:rPr>
        <w:t>[2017]15</w:t>
      </w:r>
      <w:r>
        <w:rPr>
          <w:spacing w:val="-2"/>
        </w:rPr>
        <w:t>号发布的《企业会计准则第</w:t>
      </w:r>
      <w:r>
        <w:rPr>
          <w:rFonts w:ascii="宋体" w:hAnsi="宋体" w:cs="宋体" w:eastAsia="宋体" w:hint="default"/>
          <w:spacing w:val="-2"/>
        </w:rPr>
        <w:t>16</w:t>
      </w:r>
      <w:r>
        <w:rPr>
          <w:spacing w:val="-2"/>
        </w:rPr>
        <w:t>号——政府补助（</w:t>
      </w:r>
      <w:r>
        <w:rPr>
          <w:rFonts w:ascii="宋体" w:hAnsi="宋体" w:cs="宋体" w:eastAsia="宋体" w:hint="default"/>
          <w:spacing w:val="-2"/>
        </w:rPr>
        <w:t>2017</w:t>
      </w:r>
      <w:r>
        <w:rPr>
          <w:spacing w:val="-2"/>
        </w:rPr>
        <w:t>年修订）》，对</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日起发</w:t>
      </w:r>
      <w:r>
        <w:rPr/>
        <w:t> 生的与企业日常活动相关的政府补助计入“其他收益”科目中。</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47</w:t>
      </w:r>
      <w:r>
        <w:rPr/>
        <w:t>、营业外支出</w:t>
      </w:r>
      <w:r>
        <w:rPr>
          <w:b w:val="0"/>
          <w:bCs w:val="0"/>
        </w:rPr>
      </w:r>
    </w:p>
    <w:p>
      <w:pPr>
        <w:spacing w:line="240" w:lineRule="auto" w:before="0"/>
        <w:rPr>
          <w:rFonts w:ascii="Microsoft JhengHei" w:hAnsi="Microsoft JhengHei" w:cs="Microsoft JhengHei" w:eastAsia="Microsoft JhengHei" w:hint="default"/>
          <w:b/>
          <w:bCs/>
          <w:sz w:val="22"/>
          <w:szCs w:val="22"/>
        </w:rPr>
      </w:pPr>
    </w:p>
    <w:p>
      <w:pPr>
        <w:spacing w:line="240" w:lineRule="auto" w:before="10"/>
        <w:rPr>
          <w:rFonts w:ascii="Microsoft JhengHei" w:hAnsi="Microsoft JhengHei" w:cs="Microsoft JhengHei" w:eastAsia="Microsoft JhengHei" w:hint="default"/>
          <w:b/>
          <w:bCs/>
          <w:sz w:val="17"/>
          <w:szCs w:val="17"/>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2418"/>
        <w:gridCol w:w="2429"/>
        <w:gridCol w:w="2424"/>
        <w:gridCol w:w="2425"/>
      </w:tblGrid>
      <w:tr>
        <w:trPr>
          <w:trHeight w:val="403" w:hRule="exact"/>
        </w:trPr>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4"/>
              <w:jc w:val="righ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1" w:hRule="exact"/>
        </w:trPr>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15,068.68</w:t>
            </w:r>
          </w:p>
        </w:tc>
        <w:tc>
          <w:tcPr>
            <w:tcW w:w="2424"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15,068.68</w:t>
            </w:r>
          </w:p>
        </w:tc>
      </w:tr>
      <w:tr>
        <w:trPr>
          <w:trHeight w:val="403" w:hRule="exact"/>
        </w:trPr>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205,000.00</w:t>
            </w:r>
          </w:p>
        </w:tc>
        <w:tc>
          <w:tcPr>
            <w:tcW w:w="2424"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33" w:top="1060" w:bottom="1320" w:left="980" w:right="980"/>
        </w:sectPr>
      </w:pPr>
    </w:p>
    <w:p>
      <w:pPr>
        <w:spacing w:line="240" w:lineRule="auto" w:before="6"/>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2420"/>
        <w:gridCol w:w="2429"/>
        <w:gridCol w:w="2424"/>
        <w:gridCol w:w="2425"/>
      </w:tblGrid>
      <w:tr>
        <w:trPr>
          <w:trHeight w:val="401"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566,703.74</w:t>
            </w:r>
          </w:p>
        </w:tc>
        <w:tc>
          <w:tcPr>
            <w:tcW w:w="2424"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566,703.74</w:t>
            </w:r>
          </w:p>
        </w:tc>
      </w:tr>
      <w:tr>
        <w:trPr>
          <w:trHeight w:val="403" w:hRule="exact"/>
        </w:trPr>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786,772.42</w:t>
            </w:r>
          </w:p>
        </w:tc>
        <w:tc>
          <w:tcPr>
            <w:tcW w:w="2424"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786,772.42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48</w:t>
      </w:r>
      <w:r>
        <w:rPr/>
        <w:t>、所得税费用</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231"/>
        <w:gridCol w:w="3236"/>
        <w:gridCol w:w="3231"/>
      </w:tblGrid>
      <w:tr>
        <w:trPr>
          <w:trHeight w:val="401"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18,614,826.35</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11,252,406.48</w:t>
            </w:r>
          </w:p>
        </w:tc>
      </w:tr>
      <w:tr>
        <w:trPr>
          <w:trHeight w:val="401"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-11,160,515.57</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-5,228,420.10</w:t>
            </w:r>
          </w:p>
        </w:tc>
      </w:tr>
      <w:tr>
        <w:trPr>
          <w:trHeight w:val="403"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7,454,310.78</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6,023,986.38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4842"/>
        <w:gridCol w:w="4856"/>
      </w:tblGrid>
      <w:tr>
        <w:trPr>
          <w:trHeight w:val="398" w:hRule="exact"/>
        </w:trPr>
        <w:tc>
          <w:tcPr>
            <w:tcW w:w="4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6" w:hRule="exact"/>
        </w:trPr>
        <w:tc>
          <w:tcPr>
            <w:tcW w:w="4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97,798,416.57</w:t>
            </w:r>
          </w:p>
        </w:tc>
      </w:tr>
      <w:tr>
        <w:trPr>
          <w:trHeight w:val="404" w:hRule="exact"/>
        </w:trPr>
        <w:tc>
          <w:tcPr>
            <w:tcW w:w="4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14,669,762.49</w:t>
            </w:r>
          </w:p>
        </w:tc>
      </w:tr>
      <w:tr>
        <w:trPr>
          <w:trHeight w:val="401" w:hRule="exact"/>
        </w:trPr>
        <w:tc>
          <w:tcPr>
            <w:tcW w:w="4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-1,723,121.79</w:t>
            </w:r>
          </w:p>
        </w:tc>
      </w:tr>
      <w:tr>
        <w:trPr>
          <w:trHeight w:val="403" w:hRule="exact"/>
        </w:trPr>
        <w:tc>
          <w:tcPr>
            <w:tcW w:w="4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-4,926,666.42</w:t>
            </w:r>
          </w:p>
        </w:tc>
      </w:tr>
      <w:tr>
        <w:trPr>
          <w:trHeight w:val="401" w:hRule="exact"/>
        </w:trPr>
        <w:tc>
          <w:tcPr>
            <w:tcW w:w="4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-2,595,976.88</w:t>
            </w:r>
          </w:p>
        </w:tc>
      </w:tr>
      <w:tr>
        <w:trPr>
          <w:trHeight w:val="403" w:hRule="exact"/>
        </w:trPr>
        <w:tc>
          <w:tcPr>
            <w:tcW w:w="4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3,289,184.47</w:t>
            </w:r>
          </w:p>
        </w:tc>
      </w:tr>
      <w:tr>
        <w:trPr>
          <w:trHeight w:val="401" w:hRule="exact"/>
        </w:trPr>
        <w:tc>
          <w:tcPr>
            <w:tcW w:w="4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-664,084.38</w:t>
            </w:r>
          </w:p>
        </w:tc>
      </w:tr>
      <w:tr>
        <w:trPr>
          <w:trHeight w:val="715" w:hRule="exact"/>
        </w:trPr>
        <w:tc>
          <w:tcPr>
            <w:tcW w:w="4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6"/>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1,122,807.70</w:t>
            </w:r>
          </w:p>
        </w:tc>
      </w:tr>
      <w:tr>
        <w:trPr>
          <w:trHeight w:val="401" w:hRule="exact"/>
        </w:trPr>
        <w:tc>
          <w:tcPr>
            <w:tcW w:w="4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税率调整导致年初递延所得税资产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881,255.41</w:t>
            </w:r>
          </w:p>
        </w:tc>
      </w:tr>
      <w:tr>
        <w:trPr>
          <w:trHeight w:val="403" w:hRule="exact"/>
        </w:trPr>
        <w:tc>
          <w:tcPr>
            <w:tcW w:w="4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加计扣除</w:t>
            </w:r>
          </w:p>
        </w:tc>
        <w:tc>
          <w:tcPr>
            <w:tcW w:w="4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-2,598,849.82</w:t>
            </w:r>
          </w:p>
        </w:tc>
      </w:tr>
      <w:tr>
        <w:trPr>
          <w:trHeight w:val="401" w:hRule="exact"/>
        </w:trPr>
        <w:tc>
          <w:tcPr>
            <w:tcW w:w="4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7,454,310.78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49</w:t>
      </w:r>
      <w:r>
        <w:rPr/>
        <w:t>、其他综合收益</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详见附注七、</w:t>
      </w:r>
      <w:r>
        <w:rPr>
          <w:rFonts w:ascii="Times New Roman" w:hAnsi="Times New Roman" w:cs="Times New Roman" w:eastAsia="Times New Roman" w:hint="default"/>
        </w:rPr>
        <w:t>34</w:t>
      </w:r>
      <w:r>
        <w:rPr/>
        <w:t>。</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50</w:t>
      </w:r>
      <w:r>
        <w:rPr/>
        <w:t>、现金流量表项目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1133" w:top="1060" w:bottom="1320" w:left="980" w:right="980"/>
        </w:sectPr>
      </w:pPr>
    </w:p>
    <w:p>
      <w:pPr>
        <w:spacing w:line="240" w:lineRule="auto" w:before="6"/>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3229"/>
        <w:gridCol w:w="3238"/>
        <w:gridCol w:w="3231"/>
      </w:tblGrid>
      <w:tr>
        <w:trPr>
          <w:trHeight w:val="401" w:hRule="exact"/>
        </w:trPr>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收到往来资金</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7,613,585.52</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5,423,630.17</w:t>
            </w:r>
          </w:p>
        </w:tc>
      </w:tr>
      <w:tr>
        <w:trPr>
          <w:trHeight w:val="40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收到政府补助</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1,551,628.84</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2,326,038.14</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收到利息收入</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2,499,126.65</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6,065,037.32</w:t>
            </w:r>
          </w:p>
        </w:tc>
      </w:tr>
      <w:tr>
        <w:trPr>
          <w:trHeight w:val="40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6,195.00</w:t>
            </w:r>
          </w:p>
        </w:tc>
        <w:tc>
          <w:tcPr>
            <w:tcW w:w="32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11,670,536.01</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13,814,705.63</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231"/>
        <w:gridCol w:w="3236"/>
        <w:gridCol w:w="3231"/>
      </w:tblGrid>
      <w:tr>
        <w:trPr>
          <w:trHeight w:val="403"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支付往来资金</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18,273,734.37</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12,075,350.09</w:t>
            </w:r>
          </w:p>
        </w:tc>
      </w:tr>
      <w:tr>
        <w:trPr>
          <w:trHeight w:val="7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4"/>
                <w:sz w:val="18"/>
                <w:szCs w:val="18"/>
              </w:rPr>
              <w:t>支付办公、差旅、房租、招待等营业费用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及管理费用</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105,950,475.28</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76,613,451.13</w:t>
            </w:r>
          </w:p>
        </w:tc>
      </w:tr>
      <w:tr>
        <w:trPr>
          <w:trHeight w:val="401"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支付银行手续费</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119,340.98</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82,798.67</w:t>
            </w:r>
          </w:p>
        </w:tc>
      </w:tr>
      <w:tr>
        <w:trPr>
          <w:trHeight w:val="403"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205,000.00</w:t>
            </w:r>
          </w:p>
        </w:tc>
        <w:tc>
          <w:tcPr>
            <w:tcW w:w="32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124,548,550.63</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88,771,599.89</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）收到的其他与筹资活动有关的现金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231"/>
        <w:gridCol w:w="3236"/>
        <w:gridCol w:w="3231"/>
      </w:tblGrid>
      <w:tr>
        <w:trPr>
          <w:trHeight w:val="402"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7,510,000.00</w:t>
            </w:r>
          </w:p>
        </w:tc>
      </w:tr>
      <w:tr>
        <w:trPr>
          <w:trHeight w:val="403"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7,510,000.00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231"/>
        <w:gridCol w:w="3236"/>
        <w:gridCol w:w="3231"/>
      </w:tblGrid>
      <w:tr>
        <w:trPr>
          <w:trHeight w:val="401"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发行费用</w:t>
            </w:r>
          </w:p>
        </w:tc>
        <w:tc>
          <w:tcPr>
            <w:tcW w:w="3236" w:type="dxa"/>
            <w:tcBorders>
              <w:top w:val="single" w:sz="4" w:space="0" w:color="000000"/>
              <w:left w:val="single" w:sz="4" w:space="0" w:color="000000"/>
              <w:bottom w:val="single" w:sz="4" w:space="0" w:color="000000"/>
              <w:right w:val="single" w:sz="4" w:space="0" w:color="000000"/>
            </w:tcBorders>
          </w:tcPr>
          <w:p>
            <w:pP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2,580,000.00</w:t>
            </w:r>
          </w:p>
        </w:tc>
      </w:tr>
      <w:tr>
        <w:trPr>
          <w:trHeight w:val="403"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6" w:type="dxa"/>
            <w:tcBorders>
              <w:top w:val="single" w:sz="4" w:space="0" w:color="000000"/>
              <w:left w:val="single" w:sz="4" w:space="0" w:color="000000"/>
              <w:bottom w:val="single" w:sz="4" w:space="0" w:color="000000"/>
              <w:right w:val="single" w:sz="4" w:space="0" w:color="000000"/>
            </w:tcBorders>
          </w:tcPr>
          <w:p>
            <w:pP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2,580,000.00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51</w:t>
      </w:r>
      <w:r>
        <w:rPr/>
        <w:t>、现金流量表补充资料</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after="0" w:line="240" w:lineRule="auto"/>
        <w:jc w:val="right"/>
        <w:sectPr>
          <w:footerReference w:type="default" r:id="rId24"/>
          <w:pgSz w:w="11910" w:h="16840"/>
          <w:pgMar w:footer="1133" w:header="745" w:top="1060" w:bottom="1320" w:left="980" w:right="980"/>
          <w:pgNumType w:start="155"/>
        </w:sectPr>
      </w:pPr>
    </w:p>
    <w:p>
      <w:pPr>
        <w:spacing w:line="240" w:lineRule="auto" w:before="6"/>
        <w:rPr>
          <w:rFonts w:ascii="宋体" w:hAnsi="宋体" w:cs="宋体" w:eastAsia="宋体" w:hint="default"/>
          <w:sz w:val="28"/>
          <w:szCs w:val="28"/>
        </w:rPr>
      </w:pPr>
      <w:r>
        <w:rPr/>
        <w:pict>
          <v:group style="position:absolute;margin-left:224.210007pt;margin-top:324.889984pt;width:154.5pt;height:39.6pt;mso-position-horizontal-relative:page;mso-position-vertical-relative:page;z-index:-793360" coordorigin="4484,6498" coordsize="3090,792">
            <v:group style="position:absolute;left:7549;top:6498;width:24;height:392" coordorigin="7549,6498" coordsize="24,392">
              <v:shape style="position:absolute;left:7549;top:6498;width:24;height:392" coordorigin="7549,6498" coordsize="24,392" path="m7549,6889l7573,6889,7573,6498,7549,6498,7549,6889xe" filled="true" fillcolor="#ffffff" stroked="false">
                <v:path arrowok="t"/>
                <v:fill type="solid"/>
              </v:shape>
            </v:group>
            <v:group style="position:absolute;left:4484;top:6498;width:22;height:392" coordorigin="4484,6498" coordsize="22,392">
              <v:shape style="position:absolute;left:4484;top:6498;width:22;height:392" coordorigin="4484,6498" coordsize="22,392" path="m4484,6889l4506,6889,4506,6498,4484,6498,4484,6889xe" filled="true" fillcolor="#ffffff" stroked="false">
                <v:path arrowok="t"/>
                <v:fill type="solid"/>
              </v:shape>
            </v:group>
            <v:group style="position:absolute;left:4506;top:6498;width:3044;height:392" coordorigin="4506,6498" coordsize="3044,392">
              <v:shape style="position:absolute;left:4506;top:6498;width:3044;height:392" coordorigin="4506,6498" coordsize="3044,392" path="m4506,6889l7549,6889,7549,6498,4506,6498,4506,6889xe" filled="true" fillcolor="#ffffff" stroked="false">
                <v:path arrowok="t"/>
                <v:fill type="solid"/>
              </v:shape>
            </v:group>
            <v:group style="position:absolute;left:7549;top:6899;width:24;height:392" coordorigin="7549,6899" coordsize="24,392">
              <v:shape style="position:absolute;left:7549;top:6899;width:24;height:392" coordorigin="7549,6899" coordsize="24,392" path="m7549,7290l7573,7290,7573,6899,7549,6899,7549,7290xe" filled="true" fillcolor="#ffffff" stroked="false">
                <v:path arrowok="t"/>
                <v:fill type="solid"/>
              </v:shape>
            </v:group>
            <v:group style="position:absolute;left:4484;top:6899;width:22;height:392" coordorigin="4484,6899" coordsize="22,392">
              <v:shape style="position:absolute;left:4484;top:6899;width:22;height:392" coordorigin="4484,6899" coordsize="22,392" path="m4484,7290l4506,7290,4506,6899,4484,6899,4484,7290xe" filled="true" fillcolor="#ffffff" stroked="false">
                <v:path arrowok="t"/>
                <v:fill type="solid"/>
              </v:shape>
            </v:group>
            <v:group style="position:absolute;left:4506;top:6899;width:3044;height:392" coordorigin="4506,6899" coordsize="3044,392">
              <v:shape style="position:absolute;left:4506;top:6899;width:3044;height:392" coordorigin="4506,6899" coordsize="3044,392" path="m4506,7290l7549,7290,7549,6899,4506,6899,4506,7290xe" filled="true" fillcolor="#ffffff" stroked="false">
                <v:path arrowok="t"/>
                <v:fill type="solid"/>
              </v:shape>
            </v:group>
            <w10:wrap type="none"/>
          </v:group>
        </w:pict>
      </w:r>
    </w:p>
    <w:tbl>
      <w:tblPr>
        <w:tblW w:w="0" w:type="auto"/>
        <w:jc w:val="left"/>
        <w:tblInd w:w="119" w:type="dxa"/>
        <w:tblLayout w:type="fixed"/>
        <w:tblCellMar>
          <w:top w:w="0" w:type="dxa"/>
          <w:left w:w="0" w:type="dxa"/>
          <w:bottom w:w="0" w:type="dxa"/>
          <w:right w:w="0" w:type="dxa"/>
        </w:tblCellMar>
        <w:tblLook w:val="01E0"/>
      </w:tblPr>
      <w:tblGrid>
        <w:gridCol w:w="3373"/>
        <w:gridCol w:w="3099"/>
        <w:gridCol w:w="3226"/>
      </w:tblGrid>
      <w:tr>
        <w:trPr>
          <w:trHeight w:val="402" w:hRule="exact"/>
        </w:trPr>
        <w:tc>
          <w:tcPr>
            <w:tcW w:w="3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3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90,344,105.79</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80,235,854.28</w:t>
            </w:r>
          </w:p>
        </w:tc>
      </w:tr>
      <w:tr>
        <w:trPr>
          <w:trHeight w:val="403" w:hRule="exact"/>
        </w:trPr>
        <w:tc>
          <w:tcPr>
            <w:tcW w:w="3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54,967,847.24</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32,437,553.62</w:t>
            </w:r>
          </w:p>
        </w:tc>
      </w:tr>
      <w:tr>
        <w:trPr>
          <w:trHeight w:val="713" w:hRule="exact"/>
        </w:trPr>
        <w:tc>
          <w:tcPr>
            <w:tcW w:w="3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7"/>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10,528,122.92</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8,641,794.32</w:t>
            </w:r>
          </w:p>
        </w:tc>
      </w:tr>
      <w:tr>
        <w:trPr>
          <w:trHeight w:val="403" w:hRule="exact"/>
        </w:trPr>
        <w:tc>
          <w:tcPr>
            <w:tcW w:w="3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6,093,663.12</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4,216,095.06</w:t>
            </w:r>
          </w:p>
        </w:tc>
      </w:tr>
      <w:tr>
        <w:trPr>
          <w:trHeight w:val="401" w:hRule="exact"/>
        </w:trPr>
        <w:tc>
          <w:tcPr>
            <w:tcW w:w="3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1,712,952.54</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1,459,752.00</w:t>
            </w:r>
          </w:p>
        </w:tc>
      </w:tr>
      <w:tr>
        <w:trPr>
          <w:trHeight w:val="716" w:hRule="exact"/>
        </w:trPr>
        <w:tc>
          <w:tcPr>
            <w:tcW w:w="3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97"/>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-138,058.94</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-17,277.35</w:t>
            </w:r>
          </w:p>
        </w:tc>
      </w:tr>
      <w:tr>
        <w:trPr>
          <w:trHeight w:val="401" w:hRule="exact"/>
        </w:trPr>
        <w:tc>
          <w:tcPr>
            <w:tcW w:w="3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15,068.68</w:t>
            </w:r>
          </w:p>
        </w:tc>
        <w:tc>
          <w:tcPr>
            <w:tcW w:w="32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1,132,322.63</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-121,293.42</w:t>
            </w:r>
          </w:p>
        </w:tc>
      </w:tr>
      <w:tr>
        <w:trPr>
          <w:trHeight w:val="401" w:hRule="exact"/>
        </w:trPr>
        <w:tc>
          <w:tcPr>
            <w:tcW w:w="3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-22,873,350.49</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2,084,487.06</w:t>
            </w:r>
          </w:p>
        </w:tc>
      </w:tr>
      <w:tr>
        <w:trPr>
          <w:trHeight w:val="403" w:hRule="exact"/>
        </w:trPr>
        <w:tc>
          <w:tcPr>
            <w:tcW w:w="3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tabs>
                <w:tab w:pos="1980" w:val="left" w:leader="none"/>
              </w:tabs>
              <w:spacing w:line="240" w:lineRule="auto" w:before="51"/>
              <w:ind w:left="-130"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-11,004,515.57</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-5,072,420.10</w:t>
            </w:r>
          </w:p>
        </w:tc>
      </w:tr>
      <w:tr>
        <w:trPr>
          <w:trHeight w:val="401" w:hRule="exact"/>
        </w:trPr>
        <w:tc>
          <w:tcPr>
            <w:tcW w:w="3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tabs>
                <w:tab w:pos="2196" w:val="left" w:leader="none"/>
              </w:tabs>
              <w:spacing w:line="240" w:lineRule="auto" w:before="49"/>
              <w:ind w:left="-130"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-156,000.00</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-156,000.00</w:t>
            </w:r>
          </w:p>
        </w:tc>
      </w:tr>
      <w:tr>
        <w:trPr>
          <w:trHeight w:val="403" w:hRule="exact"/>
        </w:trPr>
        <w:tc>
          <w:tcPr>
            <w:tcW w:w="3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-35,497,199.47</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-24,129,197.53</w:t>
            </w:r>
          </w:p>
        </w:tc>
      </w:tr>
      <w:tr>
        <w:trPr>
          <w:trHeight w:val="713" w:hRule="exact"/>
        </w:trPr>
        <w:tc>
          <w:tcPr>
            <w:tcW w:w="3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-294,824,188.61</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-154,722,563.72</w:t>
            </w:r>
          </w:p>
        </w:tc>
      </w:tr>
      <w:tr>
        <w:trPr>
          <w:trHeight w:val="715" w:hRule="exact"/>
        </w:trPr>
        <w:tc>
          <w:tcPr>
            <w:tcW w:w="3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19"/>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111,483,903.96</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34,822,260.48</w:t>
            </w:r>
          </w:p>
        </w:tc>
      </w:tr>
      <w:tr>
        <w:trPr>
          <w:trHeight w:val="401" w:hRule="exact"/>
        </w:trPr>
        <w:tc>
          <w:tcPr>
            <w:tcW w:w="3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99" w:type="dxa"/>
            <w:tcBorders>
              <w:top w:val="single" w:sz="4" w:space="0" w:color="000000"/>
              <w:left w:val="single" w:sz="4" w:space="0" w:color="000000"/>
              <w:bottom w:val="single" w:sz="4" w:space="0" w:color="000000"/>
              <w:right w:val="single" w:sz="4" w:space="0" w:color="000000"/>
            </w:tcBorders>
          </w:tcPr>
          <w:p>
            <w:pPr/>
          </w:p>
        </w:tc>
        <w:tc>
          <w:tcPr>
            <w:tcW w:w="32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-88,215,326.20</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-20,320,955.30</w:t>
            </w:r>
          </w:p>
        </w:tc>
      </w:tr>
      <w:tr>
        <w:trPr>
          <w:trHeight w:val="161" w:hRule="exact"/>
        </w:trPr>
        <w:tc>
          <w:tcPr>
            <w:tcW w:w="337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24" w:right="18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22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73" w:type="dxa"/>
            <w:vMerge/>
            <w:tcBorders>
              <w:left w:val="single" w:sz="4" w:space="0" w:color="000000"/>
              <w:right w:val="single" w:sz="4" w:space="0" w:color="000000"/>
            </w:tcBorders>
            <w:shd w:val="clear" w:color="auto" w:fill="D2D2D2"/>
          </w:tcPr>
          <w:p>
            <w:pPr/>
          </w:p>
        </w:tc>
        <w:tc>
          <w:tcPr>
            <w:tcW w:w="30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32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73" w:type="dxa"/>
            <w:vMerge/>
            <w:tcBorders>
              <w:left w:val="single" w:sz="4" w:space="0" w:color="000000"/>
              <w:bottom w:val="single" w:sz="4" w:space="0" w:color="000000"/>
              <w:right w:val="single" w:sz="4" w:space="0" w:color="000000"/>
            </w:tcBorders>
            <w:shd w:val="clear" w:color="auto" w:fill="D2D2D2"/>
          </w:tcPr>
          <w:p>
            <w:pPr/>
          </w:p>
        </w:tc>
        <w:tc>
          <w:tcPr>
            <w:tcW w:w="3099" w:type="dxa"/>
            <w:tcBorders>
              <w:top w:val="nil" w:sz="6" w:space="0" w:color="auto"/>
              <w:left w:val="single" w:sz="4" w:space="0" w:color="000000"/>
              <w:bottom w:val="single" w:sz="4" w:space="0" w:color="000000"/>
              <w:right w:val="single" w:sz="4" w:space="0" w:color="000000"/>
            </w:tcBorders>
            <w:shd w:val="clear" w:color="auto" w:fill="D2D2D2"/>
          </w:tcPr>
          <w:p>
            <w:pPr/>
          </w:p>
        </w:tc>
        <w:tc>
          <w:tcPr>
            <w:tcW w:w="322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3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1,037,421,625.20</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1,356,015,028.14</w:t>
            </w:r>
          </w:p>
        </w:tc>
      </w:tr>
      <w:tr>
        <w:trPr>
          <w:trHeight w:val="403" w:hRule="exact"/>
        </w:trPr>
        <w:tc>
          <w:tcPr>
            <w:tcW w:w="3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1,356,015,028.14</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218,529,314.29</w:t>
            </w:r>
          </w:p>
        </w:tc>
      </w:tr>
      <w:tr>
        <w:trPr>
          <w:trHeight w:val="403" w:hRule="exact"/>
        </w:trPr>
        <w:tc>
          <w:tcPr>
            <w:tcW w:w="3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-318,593,402.94</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1,137,485,713.85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373"/>
        <w:gridCol w:w="3099"/>
        <w:gridCol w:w="3226"/>
      </w:tblGrid>
      <w:tr>
        <w:trPr>
          <w:trHeight w:val="404" w:hRule="exact"/>
        </w:trPr>
        <w:tc>
          <w:tcPr>
            <w:tcW w:w="3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7" w:right="0"/>
              <w:jc w:val="left"/>
              <w:rPr>
                <w:rFonts w:ascii="Times New Roman" w:hAnsi="Times New Roman" w:cs="Times New Roman" w:eastAsia="Times New Roman" w:hint="default"/>
                <w:sz w:val="18"/>
                <w:szCs w:val="18"/>
              </w:rPr>
            </w:pPr>
            <w:r>
              <w:rPr>
                <w:rFonts w:ascii="Times New Roman"/>
                <w:sz w:val="18"/>
              </w:rPr>
              <w:t>1,037,421,625.20</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2" w:right="0"/>
              <w:jc w:val="left"/>
              <w:rPr>
                <w:rFonts w:ascii="Times New Roman" w:hAnsi="Times New Roman" w:cs="Times New Roman" w:eastAsia="Times New Roman" w:hint="default"/>
                <w:sz w:val="18"/>
                <w:szCs w:val="18"/>
              </w:rPr>
            </w:pPr>
            <w:r>
              <w:rPr>
                <w:rFonts w:ascii="Times New Roman"/>
                <w:sz w:val="18"/>
              </w:rPr>
              <w:t>1,356,015,028.14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133" w:top="1060" w:bottom="1320" w:left="980" w:right="980"/>
        </w:sectPr>
      </w:pPr>
    </w:p>
    <w:p>
      <w:pPr>
        <w:spacing w:line="240" w:lineRule="auto" w:before="6"/>
        <w:rPr>
          <w:rFonts w:ascii="宋体" w:hAnsi="宋体" w:cs="宋体" w:eastAsia="宋体" w:hint="default"/>
          <w:sz w:val="28"/>
          <w:szCs w:val="28"/>
        </w:rPr>
      </w:pPr>
    </w:p>
    <w:tbl>
      <w:tblPr>
        <w:tblW w:w="0" w:type="auto"/>
        <w:jc w:val="left"/>
        <w:tblInd w:w="120" w:type="dxa"/>
        <w:tblLayout w:type="fixed"/>
        <w:tblCellMar>
          <w:top w:w="0" w:type="dxa"/>
          <w:left w:w="0" w:type="dxa"/>
          <w:bottom w:w="0" w:type="dxa"/>
          <w:right w:w="0" w:type="dxa"/>
        </w:tblCellMar>
        <w:tblLook w:val="01E0"/>
      </w:tblPr>
      <w:tblGrid>
        <w:gridCol w:w="3372"/>
        <w:gridCol w:w="3099"/>
        <w:gridCol w:w="3226"/>
      </w:tblGrid>
      <w:tr>
        <w:trPr>
          <w:trHeight w:val="401" w:hRule="exact"/>
        </w:trPr>
        <w:tc>
          <w:tcPr>
            <w:tcW w:w="3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94,224.06</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100,127.79</w:t>
            </w:r>
          </w:p>
        </w:tc>
      </w:tr>
      <w:tr>
        <w:trPr>
          <w:trHeight w:val="403" w:hRule="exact"/>
        </w:trPr>
        <w:tc>
          <w:tcPr>
            <w:tcW w:w="3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1,037,327,401.14</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1,355,914,900.35</w:t>
            </w:r>
          </w:p>
        </w:tc>
      </w:tr>
      <w:tr>
        <w:trPr>
          <w:trHeight w:val="403" w:hRule="exact"/>
        </w:trPr>
        <w:tc>
          <w:tcPr>
            <w:tcW w:w="3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1,037,421,625.20</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1,356,015,028.14</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52</w:t>
      </w:r>
      <w:r>
        <w:rPr/>
        <w:t>、所有权或使用权受到限制的资产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373"/>
        <w:gridCol w:w="3099"/>
        <w:gridCol w:w="3226"/>
      </w:tblGrid>
      <w:tr>
        <w:trPr>
          <w:trHeight w:val="401" w:hRule="exact"/>
        </w:trPr>
        <w:tc>
          <w:tcPr>
            <w:tcW w:w="3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47"/>
              <w:jc w:val="right"/>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10,776,318.00</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10"/>
              <w:jc w:val="right"/>
              <w:rPr>
                <w:rFonts w:ascii="宋体" w:hAnsi="宋体" w:cs="宋体" w:eastAsia="宋体" w:hint="default"/>
                <w:sz w:val="18"/>
                <w:szCs w:val="18"/>
              </w:rPr>
            </w:pPr>
            <w:r>
              <w:rPr>
                <w:rFonts w:ascii="宋体" w:hAnsi="宋体" w:cs="宋体" w:eastAsia="宋体" w:hint="default"/>
                <w:sz w:val="18"/>
                <w:szCs w:val="18"/>
              </w:rPr>
              <w:t>保函保证金、票据保证金</w:t>
            </w:r>
          </w:p>
        </w:tc>
      </w:tr>
      <w:tr>
        <w:trPr>
          <w:trHeight w:val="404" w:hRule="exact"/>
        </w:trPr>
        <w:tc>
          <w:tcPr>
            <w:tcW w:w="3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10,776,318.00</w:t>
            </w:r>
          </w:p>
        </w:tc>
        <w:tc>
          <w:tcPr>
            <w:tcW w:w="3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53</w:t>
      </w:r>
      <w:r>
        <w:rPr/>
        <w:t>、外币货币性项目</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528"/>
        <w:gridCol w:w="2324"/>
        <w:gridCol w:w="2422"/>
        <w:gridCol w:w="2425"/>
      </w:tblGrid>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7"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马币</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687,039.31</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1.6071</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1,104,140.88</w:t>
            </w:r>
          </w:p>
        </w:tc>
      </w:tr>
      <w:tr>
        <w:trPr>
          <w:trHeight w:val="40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其中：马币</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65,964.80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1.6071</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106,012.03</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其中：马币</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74.05</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1.6071</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119.01</w:t>
            </w:r>
          </w:p>
        </w:tc>
      </w:tr>
    </w:tbl>
    <w:p>
      <w:pPr>
        <w:spacing w:line="240" w:lineRule="auto" w:before="3"/>
        <w:rPr>
          <w:rFonts w:ascii="宋体" w:hAnsi="宋体" w:cs="宋体" w:eastAsia="宋体" w:hint="default"/>
          <w:sz w:val="19"/>
          <w:szCs w:val="19"/>
        </w:rPr>
      </w:pPr>
    </w:p>
    <w:p>
      <w:pPr>
        <w:pStyle w:val="Heading3"/>
        <w:spacing w:line="314" w:lineRule="exact" w:before="30"/>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26"/>
        </w:rPr>
        <w:t> </w:t>
      </w:r>
      <w:r>
        <w:rPr>
          <w:spacing w:val="26"/>
        </w:rPr>
      </w:r>
      <w:r>
        <w:rPr/>
        <w:t>依据，记账本位币发生变化的还应披露原因。</w:t>
      </w:r>
      <w:r>
        <w:rPr>
          <w:b w:val="0"/>
          <w:bCs w:val="0"/>
        </w:rPr>
      </w:r>
    </w:p>
    <w:p>
      <w:pPr>
        <w:spacing w:line="240" w:lineRule="auto" w:before="14"/>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r>
        <w:rPr/>
        <w:t>八、合并范围的变更</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）购买日之前持有的股权按照公允价值重新计量产生的利得或损失</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、处置子公司</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是否存在单次处置对子公司投资即丧失控制权的情形</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1133" w:top="1060" w:bottom="132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0"/>
        <w:jc w:val="both"/>
      </w:pPr>
      <w:r>
        <w:rPr/>
        <w:t>是否存在通过多次交易分步处置对子公司投资且在本期丧失控制权的情形</w:t>
      </w:r>
    </w:p>
    <w:p>
      <w:pPr>
        <w:pStyle w:val="BodyText"/>
        <w:spacing w:line="240" w:lineRule="auto" w:before="117"/>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1"/>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3</w:t>
      </w:r>
      <w:r>
        <w:rPr/>
        <w:t>、其他原因的合并范围变动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00" w:lineRule="auto" w:before="0"/>
        <w:ind w:left="513" w:right="2934" w:hanging="361"/>
        <w:jc w:val="left"/>
        <w:rPr>
          <w:rFonts w:ascii="Microsoft JhengHei" w:hAnsi="Microsoft JhengHei" w:cs="Microsoft JhengHei" w:eastAsia="Microsoft JhengHei" w:hint="default"/>
          <w:sz w:val="18"/>
          <w:szCs w:val="18"/>
        </w:rPr>
      </w:pPr>
      <w:r>
        <w:rPr>
          <w:rFonts w:ascii="宋体" w:hAnsi="宋体" w:cs="宋体" w:eastAsia="宋体" w:hint="default"/>
          <w:sz w:val="18"/>
          <w:szCs w:val="18"/>
        </w:rPr>
        <w:t>说明其他原因导致的合并范围变动（如，新设子公司、清算子公司等）及其相关情况： </w:t>
      </w: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、人工智能产业技术创新联盟（北京）科技有限公司</w:t>
      </w:r>
      <w:r>
        <w:rPr>
          <w:rFonts w:ascii="Microsoft JhengHei" w:hAnsi="Microsoft JhengHei" w:cs="Microsoft JhengHei" w:eastAsia="Microsoft JhengHei" w:hint="default"/>
          <w:sz w:val="18"/>
          <w:szCs w:val="18"/>
        </w:rPr>
      </w:r>
    </w:p>
    <w:p>
      <w:pPr>
        <w:pStyle w:val="BodyText"/>
        <w:spacing w:line="232" w:lineRule="exact"/>
        <w:ind w:left="513" w:right="0"/>
        <w:jc w:val="left"/>
      </w:pP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26</w:t>
      </w:r>
      <w:r>
        <w:rPr/>
        <w:t>日，本公司与北京柒玖投资公司、北京盛水泉科技有限责任公司共同投资设立人工智能产业技术创新联盟</w:t>
      </w:r>
    </w:p>
    <w:p>
      <w:pPr>
        <w:pStyle w:val="BodyText"/>
        <w:spacing w:line="319" w:lineRule="auto" w:before="76"/>
        <w:ind w:right="150"/>
        <w:jc w:val="both"/>
      </w:pPr>
      <w:r>
        <w:rPr/>
        <w:t>（北京）科技有限公司，注册资本为人民币</w:t>
      </w:r>
      <w:r>
        <w:rPr>
          <w:rFonts w:ascii="宋体" w:hAnsi="宋体" w:cs="宋体" w:eastAsia="宋体" w:hint="default"/>
        </w:rPr>
        <w:t>500.00</w:t>
      </w:r>
      <w:r>
        <w:rPr/>
        <w:t>万元，本公司出资</w:t>
      </w:r>
      <w:r>
        <w:rPr>
          <w:rFonts w:ascii="宋体" w:hAnsi="宋体" w:cs="宋体" w:eastAsia="宋体" w:hint="default"/>
        </w:rPr>
        <w:t>400.00</w:t>
      </w:r>
      <w:r>
        <w:rPr/>
        <w:t>万，持股</w:t>
      </w:r>
      <w:r>
        <w:rPr>
          <w:rFonts w:ascii="宋体" w:hAnsi="宋体" w:cs="宋体" w:eastAsia="宋体" w:hint="default"/>
        </w:rPr>
        <w:t>80.00%</w:t>
      </w:r>
      <w:r>
        <w:rPr/>
        <w:t>，北京柒玖投资公司出资</w:t>
      </w:r>
      <w:r>
        <w:rPr>
          <w:rFonts w:ascii="宋体" w:hAnsi="宋体" w:cs="宋体" w:eastAsia="宋体" w:hint="default"/>
        </w:rPr>
        <w:t>50.00 </w:t>
      </w:r>
      <w:r>
        <w:rPr/>
        <w:t>万元，持股</w:t>
      </w:r>
      <w:r>
        <w:rPr>
          <w:rFonts w:ascii="宋体" w:hAnsi="宋体" w:cs="宋体" w:eastAsia="宋体" w:hint="default"/>
        </w:rPr>
        <w:t>10.00%</w:t>
      </w:r>
      <w:r>
        <w:rPr/>
        <w:t>，北京盛水泉科技有限责任公司出资</w:t>
      </w:r>
      <w:r>
        <w:rPr>
          <w:rFonts w:ascii="宋体" w:hAnsi="宋体" w:cs="宋体" w:eastAsia="宋体" w:hint="default"/>
        </w:rPr>
        <w:t>50.00</w:t>
      </w:r>
      <w:r>
        <w:rPr/>
        <w:t>万元，持股</w:t>
      </w:r>
      <w:r>
        <w:rPr>
          <w:rFonts w:ascii="宋体" w:hAnsi="宋体" w:cs="宋体" w:eastAsia="宋体" w:hint="default"/>
        </w:rPr>
        <w:t>10.00%</w:t>
      </w:r>
      <w:r>
        <w:rPr/>
        <w:t>。法定代表人杨华，注册地为北京市海淀区 </w:t>
      </w:r>
      <w:r>
        <w:rPr>
          <w:spacing w:val="-2"/>
        </w:rPr>
        <w:t>中关村东路</w:t>
      </w:r>
      <w:r>
        <w:rPr>
          <w:rFonts w:ascii="宋体" w:hAnsi="宋体" w:cs="宋体" w:eastAsia="宋体" w:hint="default"/>
          <w:spacing w:val="-2"/>
        </w:rPr>
        <w:t>1</w:t>
      </w:r>
      <w:r>
        <w:rPr>
          <w:spacing w:val="-2"/>
        </w:rPr>
        <w:t>号院</w:t>
      </w:r>
      <w:r>
        <w:rPr>
          <w:rFonts w:ascii="宋体" w:hAnsi="宋体" w:cs="宋体" w:eastAsia="宋体" w:hint="default"/>
          <w:spacing w:val="-2"/>
        </w:rPr>
        <w:t>3</w:t>
      </w:r>
      <w:r>
        <w:rPr>
          <w:spacing w:val="-2"/>
        </w:rPr>
        <w:t>号楼</w:t>
      </w:r>
      <w:r>
        <w:rPr>
          <w:rFonts w:ascii="宋体" w:hAnsi="宋体" w:cs="宋体" w:eastAsia="宋体" w:hint="default"/>
          <w:spacing w:val="-2"/>
        </w:rPr>
        <w:t>5</w:t>
      </w:r>
      <w:r>
        <w:rPr>
          <w:spacing w:val="-2"/>
        </w:rPr>
        <w:t>层</w:t>
      </w:r>
      <w:r>
        <w:rPr>
          <w:rFonts w:ascii="宋体" w:hAnsi="宋体" w:cs="宋体" w:eastAsia="宋体" w:hint="default"/>
          <w:spacing w:val="-2"/>
        </w:rPr>
        <w:t>504</w:t>
      </w:r>
      <w:r>
        <w:rPr>
          <w:spacing w:val="-2"/>
        </w:rPr>
        <w:t>房间，经营范围为技术开发、技术推广、技术转让、技术服务、技术咨询；软件开发。（企业</w:t>
      </w:r>
      <w:r>
        <w:rPr>
          <w:spacing w:val="-62"/>
        </w:rPr>
        <w:t> </w:t>
      </w:r>
      <w:r>
        <w:rPr>
          <w:spacing w:val="-62"/>
        </w:rPr>
      </w:r>
      <w:r>
        <w:rPr>
          <w:spacing w:val="-2"/>
        </w:rPr>
        <w:t>依法自主选择经营项目，开展经营活动；依法须经批准的项目，经相关部门批准后依批准的内容开展经营活动；不得从事本</w:t>
      </w:r>
      <w:r>
        <w:rPr>
          <w:spacing w:val="-65"/>
        </w:rPr>
        <w:t> </w:t>
      </w:r>
      <w:r>
        <w:rPr>
          <w:spacing w:val="-65"/>
        </w:rPr>
      </w:r>
      <w:r>
        <w:rPr/>
        <w:t>市产业政策禁止和限制类项目的经营活动。）</w:t>
      </w:r>
    </w:p>
    <w:p>
      <w:pPr>
        <w:pStyle w:val="Heading4"/>
        <w:spacing w:line="273" w:lineRule="exact"/>
        <w:ind w:right="0"/>
        <w:jc w:val="left"/>
        <w:rPr>
          <w:b w:val="0"/>
          <w:bCs w:val="0"/>
        </w:rPr>
      </w:pPr>
      <w:r>
        <w:rPr>
          <w:rFonts w:ascii="Times New Roman" w:hAnsi="Times New Roman" w:cs="Times New Roman" w:eastAsia="Times New Roman" w:hint="default"/>
        </w:rPr>
        <w:t>2</w:t>
      </w:r>
      <w:r>
        <w:rPr/>
        <w:t>、北京北信源信息安全技术有限公司</w:t>
      </w:r>
      <w:r>
        <w:rPr>
          <w:b w:val="0"/>
          <w:bCs w:val="0"/>
        </w:rPr>
      </w:r>
    </w:p>
    <w:p>
      <w:pPr>
        <w:pStyle w:val="BodyText"/>
        <w:spacing w:line="316" w:lineRule="auto" w:before="56"/>
        <w:ind w:right="150" w:firstLine="360"/>
        <w:jc w:val="both"/>
      </w:pPr>
      <w:r>
        <w:rPr>
          <w:rFonts w:ascii="宋体" w:hAnsi="宋体" w:cs="宋体" w:eastAsia="宋体" w:hint="default"/>
          <w:spacing w:val="-2"/>
        </w:rPr>
        <w:t>2017</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w:t>
      </w:r>
      <w:r>
        <w:rPr>
          <w:spacing w:val="-2"/>
        </w:rPr>
        <w:t>日，经本公司第三届董事会第三次临时会议审议通过《关于对外投资暨设立全资子公司的议案》，设立北京</w:t>
      </w:r>
      <w:r>
        <w:rPr/>
        <w:t> </w:t>
      </w:r>
      <w:r>
        <w:rPr>
          <w:spacing w:val="-2"/>
        </w:rPr>
        <w:t>北信源信息安全技术有限公司，注册资本为人民币</w:t>
      </w:r>
      <w:r>
        <w:rPr>
          <w:rFonts w:ascii="宋体" w:hAnsi="宋体" w:cs="宋体" w:eastAsia="宋体" w:hint="default"/>
          <w:spacing w:val="-2"/>
        </w:rPr>
        <w:t>3,000</w:t>
      </w:r>
      <w:r>
        <w:rPr>
          <w:spacing w:val="-2"/>
        </w:rPr>
        <w:t>万元，本公司持股</w:t>
      </w:r>
      <w:r>
        <w:rPr>
          <w:rFonts w:ascii="宋体" w:hAnsi="宋体" w:cs="宋体" w:eastAsia="宋体" w:hint="default"/>
          <w:spacing w:val="-2"/>
        </w:rPr>
        <w:t>100.00%</w:t>
      </w:r>
      <w:r>
        <w:rPr>
          <w:spacing w:val="-2"/>
        </w:rPr>
        <w:t>。法定代表人为杨维，注册地为北京市海</w:t>
      </w:r>
      <w:r>
        <w:rPr>
          <w:spacing w:val="-58"/>
        </w:rPr>
        <w:t> </w:t>
      </w:r>
      <w:r>
        <w:rPr>
          <w:spacing w:val="-58"/>
        </w:rPr>
      </w:r>
      <w:r>
        <w:rPr>
          <w:spacing w:val="-2"/>
        </w:rPr>
        <w:t>淀区闵庄路</w:t>
      </w:r>
      <w:r>
        <w:rPr>
          <w:rFonts w:ascii="宋体" w:hAnsi="宋体" w:cs="宋体" w:eastAsia="宋体" w:hint="default"/>
          <w:spacing w:val="-2"/>
        </w:rPr>
        <w:t>3</w:t>
      </w:r>
      <w:r>
        <w:rPr>
          <w:spacing w:val="-2"/>
        </w:rPr>
        <w:t>号</w:t>
      </w:r>
      <w:r>
        <w:rPr>
          <w:rFonts w:ascii="宋体" w:hAnsi="宋体" w:cs="宋体" w:eastAsia="宋体" w:hint="default"/>
          <w:spacing w:val="-2"/>
        </w:rPr>
        <w:t>103</w:t>
      </w:r>
      <w:r>
        <w:rPr>
          <w:spacing w:val="-2"/>
        </w:rPr>
        <w:t>幢</w:t>
      </w:r>
      <w:r>
        <w:rPr>
          <w:rFonts w:ascii="宋体" w:hAnsi="宋体" w:cs="宋体" w:eastAsia="宋体" w:hint="default"/>
          <w:spacing w:val="-2"/>
        </w:rPr>
        <w:t>3</w:t>
      </w:r>
      <w:r>
        <w:rPr>
          <w:spacing w:val="-2"/>
        </w:rPr>
        <w:t>层</w:t>
      </w:r>
      <w:r>
        <w:rPr>
          <w:rFonts w:ascii="宋体" w:hAnsi="宋体" w:cs="宋体" w:eastAsia="宋体" w:hint="default"/>
          <w:spacing w:val="-2"/>
        </w:rPr>
        <w:t>301</w:t>
      </w:r>
      <w:r>
        <w:rPr>
          <w:spacing w:val="-2"/>
        </w:rPr>
        <w:t>，经营范围为技术开发、技术咨询、技术服务、技术转让、计算机系统服务；数据处理（数据处</w:t>
      </w:r>
      <w:r>
        <w:rPr>
          <w:spacing w:val="-66"/>
        </w:rPr>
        <w:t> </w:t>
      </w:r>
      <w:r>
        <w:rPr>
          <w:spacing w:val="-66"/>
        </w:rPr>
      </w:r>
      <w:r>
        <w:rPr>
          <w:spacing w:val="-2"/>
        </w:rPr>
        <w:t>理中的银行卡中心、</w:t>
      </w:r>
      <w:r>
        <w:rPr>
          <w:rFonts w:ascii="宋体" w:hAnsi="宋体" w:cs="宋体" w:eastAsia="宋体" w:hint="default"/>
          <w:spacing w:val="-2"/>
        </w:rPr>
        <w:t>PUE</w:t>
      </w:r>
      <w:r>
        <w:rPr>
          <w:spacing w:val="-2"/>
        </w:rPr>
        <w:t>值在</w:t>
      </w:r>
      <w:r>
        <w:rPr>
          <w:rFonts w:ascii="宋体" w:hAnsi="宋体" w:cs="宋体" w:eastAsia="宋体" w:hint="default"/>
          <w:spacing w:val="-2"/>
        </w:rPr>
        <w:t>1.5</w:t>
      </w:r>
      <w:r>
        <w:rPr>
          <w:spacing w:val="-2"/>
        </w:rPr>
        <w:t>以上的云计算数据中心除外）；基础软件服务；应用软件服务；销售计算机、软件及辅助设</w:t>
      </w:r>
      <w:r>
        <w:rPr>
          <w:spacing w:val="-61"/>
        </w:rPr>
        <w:t> </w:t>
      </w:r>
      <w:r>
        <w:rPr>
          <w:spacing w:val="-61"/>
        </w:rPr>
      </w:r>
      <w:r>
        <w:rPr>
          <w:spacing w:val="-2"/>
        </w:rPr>
        <w:t>备、电子产品、通讯设备；计算机技术培训（不得面向全国招生）。（企业依法自主选择经营项目，开展经营活动；依法须</w:t>
      </w:r>
      <w:r>
        <w:rPr>
          <w:spacing w:val="-68"/>
        </w:rPr>
        <w:t> </w:t>
      </w:r>
      <w:r>
        <w:rPr>
          <w:spacing w:val="-68"/>
        </w:rPr>
      </w:r>
      <w:r>
        <w:rPr/>
        <w:t>经批准的项目，经相关部门批准后依批准的内容开展经营活动；不得从事本市产业政策禁止和限制类项目的经营活动。）</w:t>
      </w:r>
    </w:p>
    <w:p>
      <w:pPr>
        <w:pStyle w:val="Heading4"/>
        <w:spacing w:line="275" w:lineRule="exact"/>
        <w:ind w:right="0"/>
        <w:jc w:val="left"/>
        <w:rPr>
          <w:b w:val="0"/>
          <w:bCs w:val="0"/>
        </w:rPr>
      </w:pPr>
      <w:r>
        <w:rPr>
          <w:rFonts w:ascii="Times New Roman" w:hAnsi="Times New Roman" w:cs="Times New Roman" w:eastAsia="Times New Roman" w:hint="default"/>
        </w:rPr>
        <w:t>3</w:t>
      </w:r>
      <w:r>
        <w:rPr/>
        <w:t>、北信源国际有限公司</w:t>
      </w:r>
      <w:r>
        <w:rPr>
          <w:b w:val="0"/>
          <w:bCs w:val="0"/>
        </w:rPr>
      </w:r>
    </w:p>
    <w:p>
      <w:pPr>
        <w:pStyle w:val="BodyText"/>
        <w:spacing w:line="316" w:lineRule="auto" w:before="56"/>
        <w:ind w:right="152" w:firstLine="360"/>
        <w:jc w:val="both"/>
      </w:pP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19</w:t>
      </w:r>
      <w:r>
        <w:rPr/>
        <w:t>日，经本公司第三届董事会第五次临时会议审议通过《关于拟在香港设立全资子公司的议案》，设立北信 </w:t>
      </w:r>
      <w:r>
        <w:rPr>
          <w:spacing w:val="-2"/>
        </w:rPr>
        <w:t>源国际有限公司，</w:t>
      </w:r>
      <w:r>
        <w:rPr>
          <w:rFonts w:ascii="宋体" w:hAnsi="宋体" w:cs="宋体" w:eastAsia="宋体" w:hint="default"/>
          <w:spacing w:val="-2"/>
        </w:rPr>
        <w:t>2017</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10</w:t>
      </w:r>
      <w:r>
        <w:rPr>
          <w:spacing w:val="-2"/>
        </w:rPr>
        <w:t>日取得由香港特别行政区公司注册处处长钟丽玲签发的公司注册证明书。本年该子公司未开</w:t>
      </w:r>
      <w:r>
        <w:rPr>
          <w:spacing w:val="-60"/>
        </w:rPr>
        <w:t> </w:t>
      </w:r>
      <w:r>
        <w:rPr>
          <w:spacing w:val="-60"/>
        </w:rPr>
      </w:r>
      <w:r>
        <w:rPr/>
        <w:t>展经营业务。</w:t>
      </w:r>
    </w:p>
    <w:p>
      <w:pPr>
        <w:spacing w:line="240" w:lineRule="auto" w:before="0"/>
        <w:rPr>
          <w:rFonts w:ascii="宋体" w:hAnsi="宋体" w:cs="宋体" w:eastAsia="宋体" w:hint="default"/>
          <w:sz w:val="15"/>
          <w:szCs w:val="15"/>
        </w:rPr>
      </w:pPr>
    </w:p>
    <w:p>
      <w:pPr>
        <w:pStyle w:val="Heading2"/>
        <w:spacing w:line="240" w:lineRule="auto"/>
        <w:ind w:right="0"/>
        <w:jc w:val="both"/>
        <w:rPr>
          <w:b w:val="0"/>
          <w:bCs w:val="0"/>
        </w:rPr>
      </w:pPr>
      <w:r>
        <w:rPr/>
        <w:t>九、在其他主体中的权益</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4"/>
        <w:rPr>
          <w:rFonts w:ascii="Microsoft JhengHei" w:hAnsi="Microsoft JhengHei" w:cs="Microsoft JhengHei" w:eastAsia="Microsoft JhengHei" w:hint="default"/>
          <w:b/>
          <w:bCs/>
          <w:sz w:val="18"/>
          <w:szCs w:val="18"/>
        </w:rPr>
      </w:pPr>
    </w:p>
    <w:tbl>
      <w:tblPr>
        <w:tblW w:w="0" w:type="auto"/>
        <w:jc w:val="left"/>
        <w:tblInd w:w="119" w:type="dxa"/>
        <w:tblLayout w:type="fixed"/>
        <w:tblCellMar>
          <w:top w:w="0" w:type="dxa"/>
          <w:left w:w="0" w:type="dxa"/>
          <w:bottom w:w="0" w:type="dxa"/>
          <w:right w:w="0" w:type="dxa"/>
        </w:tblCellMar>
        <w:tblLook w:val="01E0"/>
      </w:tblPr>
      <w:tblGrid>
        <w:gridCol w:w="1390"/>
        <w:gridCol w:w="1385"/>
        <w:gridCol w:w="1385"/>
        <w:gridCol w:w="1385"/>
        <w:gridCol w:w="1382"/>
        <w:gridCol w:w="1385"/>
        <w:gridCol w:w="1385"/>
      </w:tblGrid>
      <w:tr>
        <w:trPr>
          <w:trHeight w:val="403" w:hRule="exact"/>
        </w:trPr>
        <w:tc>
          <w:tcPr>
            <w:tcW w:w="1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90"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85"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4"/>
              <w:jc w:val="left"/>
              <w:rPr>
                <w:rFonts w:ascii="宋体" w:hAnsi="宋体" w:cs="宋体" w:eastAsia="宋体" w:hint="default"/>
                <w:sz w:val="18"/>
                <w:szCs w:val="18"/>
              </w:rPr>
            </w:pPr>
            <w:r>
              <w:rPr>
                <w:rFonts w:ascii="宋体" w:hAnsi="宋体" w:cs="宋体" w:eastAsia="宋体" w:hint="default"/>
                <w:sz w:val="18"/>
                <w:szCs w:val="18"/>
              </w:rPr>
              <w:t>上海北信源信息 技术有限公司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江苏神州信源系 统工程有限公司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4"/>
              <w:jc w:val="both"/>
              <w:rPr>
                <w:rFonts w:ascii="宋体" w:hAnsi="宋体" w:cs="宋体" w:eastAsia="宋体" w:hint="default"/>
                <w:sz w:val="18"/>
                <w:szCs w:val="18"/>
              </w:rPr>
            </w:pPr>
            <w:r>
              <w:rPr>
                <w:rFonts w:ascii="宋体" w:hAnsi="宋体" w:cs="宋体" w:eastAsia="宋体" w:hint="default"/>
                <w:sz w:val="18"/>
                <w:szCs w:val="18"/>
              </w:rPr>
              <w:t>北信源（马来西 亚）信息技术公 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93"/>
              <w:jc w:val="left"/>
              <w:rPr>
                <w:rFonts w:ascii="宋体" w:hAnsi="宋体" w:cs="宋体" w:eastAsia="宋体" w:hint="default"/>
                <w:sz w:val="18"/>
                <w:szCs w:val="18"/>
              </w:rPr>
            </w:pPr>
            <w:r>
              <w:rPr>
                <w:rFonts w:ascii="宋体" w:hAnsi="宋体" w:cs="宋体" w:eastAsia="宋体" w:hint="default"/>
                <w:sz w:val="18"/>
                <w:szCs w:val="18"/>
              </w:rPr>
              <w:t>北京中软华泰信 息技术有限责任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after="0" w:line="316" w:lineRule="auto"/>
        <w:jc w:val="left"/>
        <w:rPr>
          <w:rFonts w:ascii="宋体" w:hAnsi="宋体" w:cs="宋体" w:eastAsia="宋体" w:hint="default"/>
          <w:sz w:val="18"/>
          <w:szCs w:val="18"/>
        </w:rPr>
        <w:sectPr>
          <w:pgSz w:w="11910" w:h="16840"/>
          <w:pgMar w:header="745" w:footer="1133" w:top="1060" w:bottom="1320" w:left="980" w:right="98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19" w:type="dxa"/>
        <w:tblLayout w:type="fixed"/>
        <w:tblCellMar>
          <w:top w:w="0" w:type="dxa"/>
          <w:left w:w="0" w:type="dxa"/>
          <w:bottom w:w="0" w:type="dxa"/>
          <w:right w:w="0" w:type="dxa"/>
        </w:tblCellMar>
        <w:tblLook w:val="01E0"/>
      </w:tblPr>
      <w:tblGrid>
        <w:gridCol w:w="1390"/>
        <w:gridCol w:w="1385"/>
        <w:gridCol w:w="1385"/>
        <w:gridCol w:w="1385"/>
        <w:gridCol w:w="1382"/>
        <w:gridCol w:w="1385"/>
        <w:gridCol w:w="1385"/>
      </w:tblGrid>
      <w:tr>
        <w:trPr>
          <w:trHeight w:val="363"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北京信源匡恩工 控安全科技有限 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55.00%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9"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人工智能产业技 术创新联盟（北 京）科技有限公 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5"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北京北信源信息 安全技术有限公 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339"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316" w:lineRule="auto"/>
              <w:ind w:left="24" w:right="94"/>
              <w:jc w:val="left"/>
              <w:rPr>
                <w:rFonts w:ascii="宋体" w:hAnsi="宋体" w:cs="宋体" w:eastAsia="宋体" w:hint="default"/>
                <w:sz w:val="18"/>
                <w:szCs w:val="18"/>
              </w:rPr>
            </w:pPr>
            <w:r>
              <w:rPr>
                <w:rFonts w:ascii="宋体" w:hAnsi="宋体" w:cs="宋体" w:eastAsia="宋体" w:hint="default"/>
                <w:sz w:val="18"/>
                <w:szCs w:val="18"/>
              </w:rPr>
              <w:t>北信源国际有限 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both"/>
              <w:rPr>
                <w:rFonts w:ascii="宋体" w:hAnsi="宋体" w:cs="宋体" w:eastAsia="宋体" w:hint="default"/>
                <w:sz w:val="18"/>
                <w:szCs w:val="18"/>
              </w:rPr>
            </w:pPr>
            <w:r>
              <w:rPr>
                <w:rFonts w:ascii="宋体" w:hAnsi="宋体" w:cs="宋体" w:eastAsia="宋体" w:hint="default"/>
                <w:sz w:val="18"/>
                <w:szCs w:val="18"/>
              </w:rPr>
              <w:t>海外市场开发、 产品销售、进出 口贸易、投资及 技术研发等</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3"/>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北京辰信领创信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嘉兴北源投资合 伙企业（有限合 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实业投资、投资 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49"/>
        <w:ind w:right="0"/>
        <w:jc w:val="left"/>
      </w:pPr>
      <w:r>
        <w:rPr/>
        <w:t>在合营企业或联营企业的持股比例不同于表决权比例的说明：</w:t>
      </w:r>
    </w:p>
    <w:p>
      <w:pPr>
        <w:pStyle w:val="BodyText"/>
        <w:spacing w:line="240" w:lineRule="auto" w:before="115"/>
        <w:ind w:right="0"/>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412"/>
        <w:gridCol w:w="2425"/>
        <w:gridCol w:w="2424"/>
        <w:gridCol w:w="2425"/>
      </w:tblGrid>
      <w:tr>
        <w:trPr>
          <w:trHeight w:val="403" w:hRule="exact"/>
        </w:trPr>
        <w:tc>
          <w:tcPr>
            <w:tcW w:w="2412" w:type="dxa"/>
            <w:tcBorders>
              <w:top w:val="single" w:sz="4" w:space="0" w:color="000000"/>
              <w:left w:val="single" w:sz="13" w:space="0" w:color="FFFFFF"/>
              <w:bottom w:val="single" w:sz="4" w:space="0" w:color="000000"/>
              <w:right w:val="single" w:sz="4" w:space="0" w:color="000000"/>
            </w:tcBorders>
            <w:shd w:val="clear" w:color="auto" w:fill="D2D2D2"/>
          </w:tcPr>
          <w:p>
            <w:pPr/>
          </w:p>
        </w:tc>
        <w:tc>
          <w:tcPr>
            <w:tcW w:w="4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2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1" w:hRule="exact"/>
        </w:trPr>
        <w:tc>
          <w:tcPr>
            <w:tcW w:w="2412" w:type="dxa"/>
            <w:tcBorders>
              <w:top w:val="single" w:sz="4" w:space="0" w:color="000000"/>
              <w:left w:val="single" w:sz="13" w:space="0" w:color="FFFFFF"/>
              <w:bottom w:val="nil" w:sz="6" w:space="0" w:color="auto"/>
              <w:right w:val="single" w:sz="4" w:space="0" w:color="000000"/>
            </w:tcBorders>
            <w:shd w:val="clear" w:color="auto" w:fill="D2D2D2"/>
          </w:tcPr>
          <w:p>
            <w:pPr/>
          </w:p>
        </w:tc>
        <w:tc>
          <w:tcPr>
            <w:tcW w:w="2425"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49"/>
              <w:ind w:left="1116" w:right="38" w:hanging="1081"/>
              <w:jc w:val="left"/>
              <w:rPr>
                <w:rFonts w:ascii="宋体" w:hAnsi="宋体" w:cs="宋体" w:eastAsia="宋体" w:hint="default"/>
                <w:sz w:val="18"/>
                <w:szCs w:val="18"/>
              </w:rPr>
            </w:pPr>
            <w:r>
              <w:rPr>
                <w:rFonts w:ascii="宋体" w:hAnsi="宋体" w:cs="宋体" w:eastAsia="宋体" w:hint="default"/>
                <w:sz w:val="18"/>
                <w:szCs w:val="18"/>
              </w:rPr>
              <w:t>北京辰信领创信息技术有限公 司</w:t>
            </w:r>
          </w:p>
        </w:tc>
        <w:tc>
          <w:tcPr>
            <w:tcW w:w="2424"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49"/>
              <w:ind w:left="938" w:right="34" w:hanging="901"/>
              <w:jc w:val="left"/>
              <w:rPr>
                <w:rFonts w:ascii="宋体" w:hAnsi="宋体" w:cs="宋体" w:eastAsia="宋体" w:hint="default"/>
                <w:sz w:val="18"/>
                <w:szCs w:val="18"/>
              </w:rPr>
            </w:pPr>
            <w:r>
              <w:rPr>
                <w:rFonts w:ascii="宋体" w:hAnsi="宋体" w:cs="宋体" w:eastAsia="宋体" w:hint="default"/>
                <w:sz w:val="18"/>
                <w:szCs w:val="18"/>
              </w:rPr>
              <w:t>嘉兴北源投资合伙企业（有限 合伙）</w:t>
            </w:r>
          </w:p>
        </w:tc>
        <w:tc>
          <w:tcPr>
            <w:tcW w:w="2425"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49"/>
              <w:ind w:left="1118" w:right="34" w:hanging="1081"/>
              <w:jc w:val="left"/>
              <w:rPr>
                <w:rFonts w:ascii="宋体" w:hAnsi="宋体" w:cs="宋体" w:eastAsia="宋体" w:hint="default"/>
                <w:sz w:val="18"/>
                <w:szCs w:val="18"/>
              </w:rPr>
            </w:pPr>
            <w:r>
              <w:rPr>
                <w:rFonts w:ascii="宋体" w:hAnsi="宋体" w:cs="宋体" w:eastAsia="宋体" w:hint="default"/>
                <w:sz w:val="18"/>
                <w:szCs w:val="18"/>
              </w:rPr>
              <w:t>北京辰信领创信息技术有限公 司</w:t>
            </w:r>
          </w:p>
        </w:tc>
      </w:tr>
      <w:tr>
        <w:trPr>
          <w:trHeight w:val="391" w:hRule="exact"/>
        </w:trPr>
        <w:tc>
          <w:tcPr>
            <w:tcW w:w="2412" w:type="dxa"/>
            <w:tcBorders>
              <w:top w:val="nil" w:sz="6" w:space="0" w:color="auto"/>
              <w:left w:val="single" w:sz="13" w:space="0" w:color="FFFFFF"/>
              <w:bottom w:val="nil" w:sz="6" w:space="0" w:color="auto"/>
              <w:right w:val="single" w:sz="4" w:space="0" w:color="000000"/>
            </w:tcBorders>
            <w:shd w:val="clear" w:color="auto" w:fill="D2D2D2"/>
          </w:tcPr>
          <w:p>
            <w:pPr/>
          </w:p>
        </w:tc>
        <w:tc>
          <w:tcPr>
            <w:tcW w:w="2425" w:type="dxa"/>
            <w:vMerge/>
            <w:tcBorders>
              <w:left w:val="single" w:sz="4" w:space="0" w:color="000000"/>
              <w:right w:val="single" w:sz="4" w:space="0" w:color="000000"/>
            </w:tcBorders>
            <w:shd w:val="clear" w:color="auto" w:fill="E0FFFF"/>
          </w:tcPr>
          <w:p>
            <w:pPr/>
          </w:p>
        </w:tc>
        <w:tc>
          <w:tcPr>
            <w:tcW w:w="2424" w:type="dxa"/>
            <w:vMerge/>
            <w:tcBorders>
              <w:left w:val="single" w:sz="4" w:space="0" w:color="000000"/>
              <w:right w:val="single" w:sz="4" w:space="0" w:color="000000"/>
            </w:tcBorders>
            <w:shd w:val="clear" w:color="auto" w:fill="E0FFFF"/>
          </w:tcPr>
          <w:p>
            <w:pPr/>
          </w:p>
        </w:tc>
        <w:tc>
          <w:tcPr>
            <w:tcW w:w="2425" w:type="dxa"/>
            <w:vMerge/>
            <w:tcBorders>
              <w:left w:val="single" w:sz="4" w:space="0" w:color="000000"/>
              <w:right w:val="single" w:sz="4" w:space="0" w:color="000000"/>
            </w:tcBorders>
            <w:shd w:val="clear" w:color="auto" w:fill="E0FFFF"/>
          </w:tcPr>
          <w:p>
            <w:pPr/>
          </w:p>
        </w:tc>
      </w:tr>
      <w:tr>
        <w:trPr>
          <w:trHeight w:val="161" w:hRule="exact"/>
        </w:trPr>
        <w:tc>
          <w:tcPr>
            <w:tcW w:w="2412" w:type="dxa"/>
            <w:tcBorders>
              <w:top w:val="nil" w:sz="6" w:space="0" w:color="auto"/>
              <w:left w:val="single" w:sz="13" w:space="0" w:color="FFFFFF"/>
              <w:bottom w:val="single" w:sz="4" w:space="0" w:color="000000"/>
              <w:right w:val="single" w:sz="4" w:space="0" w:color="000000"/>
            </w:tcBorders>
            <w:shd w:val="clear" w:color="auto" w:fill="D2D2D2"/>
          </w:tcPr>
          <w:p>
            <w:pPr/>
          </w:p>
        </w:tc>
        <w:tc>
          <w:tcPr>
            <w:tcW w:w="2425" w:type="dxa"/>
            <w:vMerge/>
            <w:tcBorders>
              <w:left w:val="single" w:sz="4" w:space="0" w:color="000000"/>
              <w:bottom w:val="single" w:sz="4" w:space="0" w:color="000000"/>
              <w:right w:val="single" w:sz="4" w:space="0" w:color="000000"/>
            </w:tcBorders>
            <w:shd w:val="clear" w:color="auto" w:fill="E0FFFF"/>
          </w:tcPr>
          <w:p>
            <w:pPr/>
          </w:p>
        </w:tc>
        <w:tc>
          <w:tcPr>
            <w:tcW w:w="2424" w:type="dxa"/>
            <w:vMerge/>
            <w:tcBorders>
              <w:left w:val="single" w:sz="4" w:space="0" w:color="000000"/>
              <w:bottom w:val="single" w:sz="4" w:space="0" w:color="000000"/>
              <w:right w:val="single" w:sz="4" w:space="0" w:color="000000"/>
            </w:tcBorders>
            <w:shd w:val="clear" w:color="auto" w:fill="E0FFFF"/>
          </w:tcPr>
          <w:p>
            <w:pPr/>
          </w:p>
        </w:tc>
        <w:tc>
          <w:tcPr>
            <w:tcW w:w="2425" w:type="dxa"/>
            <w:vMerge/>
            <w:tcBorders>
              <w:left w:val="single" w:sz="4" w:space="0" w:color="000000"/>
              <w:bottom w:val="single" w:sz="4" w:space="0" w:color="000000"/>
              <w:right w:val="single" w:sz="4" w:space="0" w:color="000000"/>
            </w:tcBorders>
            <w:shd w:val="clear" w:color="auto" w:fill="E0FFFF"/>
          </w:tcPr>
          <w:p>
            <w:pPr/>
          </w:p>
        </w:tc>
      </w:tr>
      <w:tr>
        <w:trPr>
          <w:trHeight w:val="403" w:hRule="exact"/>
        </w:trPr>
        <w:tc>
          <w:tcPr>
            <w:tcW w:w="2412" w:type="dxa"/>
            <w:tcBorders>
              <w:top w:val="single" w:sz="4" w:space="0" w:color="000000"/>
              <w:left w:val="single" w:sz="13" w:space="0" w:color="FFFFFF"/>
              <w:bottom w:val="single" w:sz="4" w:space="0" w:color="000000"/>
              <w:right w:val="single" w:sz="4" w:space="0" w:color="000000"/>
            </w:tcBorders>
            <w:shd w:val="clear" w:color="auto" w:fill="D2D2D2"/>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27,275,615.00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8,227,301.53</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39,186,424.95</w:t>
            </w:r>
          </w:p>
        </w:tc>
      </w:tr>
      <w:tr>
        <w:trPr>
          <w:trHeight w:val="401" w:hRule="exact"/>
        </w:trPr>
        <w:tc>
          <w:tcPr>
            <w:tcW w:w="2412" w:type="dxa"/>
            <w:tcBorders>
              <w:top w:val="single" w:sz="4" w:space="0" w:color="000000"/>
              <w:left w:val="single" w:sz="13" w:space="0" w:color="FFFFFF"/>
              <w:bottom w:val="single" w:sz="4" w:space="0" w:color="000000"/>
              <w:right w:val="single" w:sz="4" w:space="0" w:color="000000"/>
            </w:tcBorders>
            <w:shd w:val="clear" w:color="auto" w:fill="D2D2D2"/>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22,780,374.66</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15,650,000.00</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31,652,703.93</w:t>
            </w:r>
          </w:p>
        </w:tc>
      </w:tr>
      <w:tr>
        <w:trPr>
          <w:trHeight w:val="403" w:hRule="exact"/>
        </w:trPr>
        <w:tc>
          <w:tcPr>
            <w:tcW w:w="2412" w:type="dxa"/>
            <w:tcBorders>
              <w:top w:val="single" w:sz="4" w:space="0" w:color="000000"/>
              <w:left w:val="single" w:sz="13" w:space="0" w:color="FFFFFF"/>
              <w:bottom w:val="single" w:sz="4" w:space="0" w:color="000000"/>
              <w:right w:val="single" w:sz="4" w:space="0" w:color="000000"/>
            </w:tcBorders>
            <w:shd w:val="clear" w:color="auto" w:fill="D2D2D2"/>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50,055,989.66</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23,877,301.53</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70,839,128.88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33" w:top="1060" w:bottom="1320" w:left="980" w:right="980"/>
        </w:sectPr>
      </w:pPr>
    </w:p>
    <w:p>
      <w:pPr>
        <w:spacing w:line="240" w:lineRule="auto" w:before="6"/>
        <w:rPr>
          <w:rFonts w:ascii="宋体" w:hAnsi="宋体" w:cs="宋体" w:eastAsia="宋体" w:hint="default"/>
          <w:sz w:val="28"/>
          <w:szCs w:val="28"/>
        </w:rPr>
      </w:pPr>
    </w:p>
    <w:tbl>
      <w:tblPr>
        <w:tblW w:w="0" w:type="auto"/>
        <w:jc w:val="left"/>
        <w:tblInd w:w="120" w:type="dxa"/>
        <w:tblLayout w:type="fixed"/>
        <w:tblCellMar>
          <w:top w:w="0" w:type="dxa"/>
          <w:left w:w="0" w:type="dxa"/>
          <w:bottom w:w="0" w:type="dxa"/>
          <w:right w:w="0" w:type="dxa"/>
        </w:tblCellMar>
        <w:tblLook w:val="01E0"/>
      </w:tblPr>
      <w:tblGrid>
        <w:gridCol w:w="2423"/>
        <w:gridCol w:w="2425"/>
        <w:gridCol w:w="2424"/>
        <w:gridCol w:w="2425"/>
      </w:tblGrid>
      <w:tr>
        <w:trPr>
          <w:trHeight w:val="401"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2,659,610.03</w:t>
            </w:r>
          </w:p>
        </w:tc>
        <w:tc>
          <w:tcPr>
            <w:tcW w:w="2424"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1,847,044.73</w:t>
            </w:r>
          </w:p>
        </w:tc>
      </w:tr>
      <w:tr>
        <w:trPr>
          <w:trHeight w:val="403"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1,585,000.00</w:t>
            </w:r>
          </w:p>
        </w:tc>
        <w:tc>
          <w:tcPr>
            <w:tcW w:w="2424"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4,244,610.03</w:t>
            </w:r>
          </w:p>
        </w:tc>
        <w:tc>
          <w:tcPr>
            <w:tcW w:w="2424"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1,847,044.73</w:t>
            </w:r>
          </w:p>
        </w:tc>
      </w:tr>
      <w:tr>
        <w:trPr>
          <w:trHeight w:val="403"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45,811,379.63</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23,877,301.53</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68,992,084.15</w:t>
            </w:r>
          </w:p>
        </w:tc>
      </w:tr>
      <w:tr>
        <w:trPr>
          <w:trHeight w:val="401"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11,223,788.01</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19,101,841.22</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16,903,060.62</w:t>
            </w:r>
          </w:p>
        </w:tc>
      </w:tr>
      <w:tr>
        <w:trPr>
          <w:trHeight w:val="403"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2425"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22,328.50</w:t>
            </w:r>
          </w:p>
        </w:tc>
      </w:tr>
      <w:tr>
        <w:trPr>
          <w:trHeight w:val="713"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8"/>
              <w:jc w:val="left"/>
              <w:rPr>
                <w:rFonts w:ascii="宋体" w:hAnsi="宋体" w:cs="宋体" w:eastAsia="宋体" w:hint="default"/>
                <w:sz w:val="18"/>
                <w:szCs w:val="18"/>
              </w:rPr>
            </w:pPr>
            <w:r>
              <w:rPr>
                <w:rFonts w:ascii="宋体" w:hAnsi="宋体" w:cs="宋体" w:eastAsia="宋体" w:hint="default"/>
                <w:sz w:val="18"/>
                <w:szCs w:val="18"/>
              </w:rPr>
              <w:t>对联营企业权益投资的账面价 值</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11,223,788.01</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19,101,841.22</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17,370,732.11</w:t>
            </w:r>
          </w:p>
        </w:tc>
      </w:tr>
      <w:tr>
        <w:trPr>
          <w:trHeight w:val="404"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3,053,766.00</w:t>
            </w:r>
          </w:p>
        </w:tc>
        <w:tc>
          <w:tcPr>
            <w:tcW w:w="2424"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868,404.02</w:t>
            </w:r>
          </w:p>
        </w:tc>
      </w:tr>
      <w:tr>
        <w:trPr>
          <w:trHeight w:val="401"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-25,180,704.52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-2,122,698.47</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-9,007,915.85</w:t>
            </w:r>
          </w:p>
        </w:tc>
      </w:tr>
      <w:tr>
        <w:trPr>
          <w:trHeight w:val="403"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-25,180,704.52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-2,122,698.47</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-9,007,915.85</w:t>
            </w:r>
          </w:p>
        </w:tc>
      </w:tr>
    </w:tbl>
    <w:p>
      <w:pPr>
        <w:pStyle w:val="BodyText"/>
        <w:spacing w:line="240" w:lineRule="auto" w:before="49"/>
        <w:ind w:right="94"/>
        <w:jc w:val="left"/>
      </w:pPr>
      <w:r>
        <w:rPr/>
        <w:t>其他说明</w:t>
      </w:r>
    </w:p>
    <w:p>
      <w:pPr>
        <w:spacing w:line="240" w:lineRule="auto" w:before="3"/>
        <w:rPr>
          <w:rFonts w:ascii="宋体" w:hAnsi="宋体" w:cs="宋体" w:eastAsia="宋体" w:hint="default"/>
          <w:sz w:val="19"/>
          <w:szCs w:val="19"/>
        </w:rPr>
      </w:pPr>
    </w:p>
    <w:p>
      <w:pPr>
        <w:pStyle w:val="Heading2"/>
        <w:spacing w:line="240" w:lineRule="auto"/>
        <w:ind w:right="94"/>
        <w:jc w:val="left"/>
        <w:rPr>
          <w:b w:val="0"/>
          <w:bCs w:val="0"/>
        </w:rPr>
      </w:pPr>
      <w:r>
        <w:rPr/>
        <w:t>十、与金融工具相关的风险</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09" w:lineRule="auto"/>
        <w:ind w:right="193" w:firstLine="300"/>
        <w:jc w:val="both"/>
      </w:pPr>
      <w:r>
        <w:rPr>
          <w:spacing w:val="-2"/>
        </w:rPr>
        <w:t>本公司的主要金融工具包括</w:t>
      </w:r>
      <w:r>
        <w:rPr>
          <w:rFonts w:ascii="Times New Roman" w:hAnsi="Times New Roman" w:cs="Times New Roman" w:eastAsia="Times New Roman" w:hint="default"/>
          <w:spacing w:val="-2"/>
        </w:rPr>
        <w:t>:</w:t>
      </w:r>
      <w:r>
        <w:rPr>
          <w:spacing w:val="-2"/>
        </w:rPr>
        <w:t>股权投资、应收账款、应付账款等，各项金融工具的详细情况说明见本附注七相关项目。与</w:t>
      </w:r>
      <w:r>
        <w:rPr/>
        <w:t> </w:t>
      </w:r>
      <w:r>
        <w:rPr>
          <w:spacing w:val="-2"/>
        </w:rPr>
        <w:t>这些金融工具有关的风险，以及本公司为降低这些风险所采取的风险管理政策如下所述。本公司管理层对这些风险敞口进行</w:t>
      </w:r>
      <w:r>
        <w:rPr>
          <w:spacing w:val="-64"/>
        </w:rPr>
        <w:t> </w:t>
      </w:r>
      <w:r>
        <w:rPr>
          <w:spacing w:val="-64"/>
        </w:rPr>
      </w:r>
      <w:r>
        <w:rPr/>
        <w:t>管理和监控以确保将上述风险控制在限定的范围之内。</w:t>
      </w:r>
    </w:p>
    <w:p>
      <w:pPr>
        <w:pStyle w:val="Heading4"/>
        <w:spacing w:line="281" w:lineRule="exact"/>
        <w:ind w:left="453" w:right="94"/>
        <w:jc w:val="left"/>
        <w:rPr>
          <w:b w:val="0"/>
          <w:bCs w:val="0"/>
        </w:rPr>
      </w:pPr>
      <w:r>
        <w:rPr>
          <w:rFonts w:ascii="Times New Roman" w:hAnsi="Times New Roman" w:cs="Times New Roman" w:eastAsia="Times New Roman" w:hint="default"/>
        </w:rPr>
        <w:t>1</w:t>
      </w:r>
      <w:r>
        <w:rPr/>
        <w:t>、市场风险</w:t>
      </w:r>
      <w:r>
        <w:rPr>
          <w:b w:val="0"/>
          <w:bCs w:val="0"/>
        </w:rPr>
      </w:r>
    </w:p>
    <w:p>
      <w:pPr>
        <w:pStyle w:val="BodyText"/>
        <w:spacing w:line="316" w:lineRule="auto" w:before="56"/>
        <w:ind w:left="453" w:right="153"/>
        <w:jc w:val="left"/>
      </w:pPr>
      <w:r>
        <w:rPr/>
        <w:t>外汇风险 外汇风险指因汇率变动产生损失的风险。本公司承受外汇风险主要与马币有关，除以马币为记账本位币的境外公司外，</w:t>
      </w:r>
    </w:p>
    <w:p>
      <w:pPr>
        <w:pStyle w:val="BodyText"/>
        <w:spacing w:line="240" w:lineRule="auto" w:before="19"/>
        <w:ind w:right="0"/>
        <w:jc w:val="left"/>
      </w:pPr>
      <w:r>
        <w:rPr/>
        <w:t>本公司的其他主要业务活动以人民币计价结算</w:t>
      </w:r>
      <w:r>
        <w:rPr>
          <w:spacing w:val="-87"/>
        </w:rPr>
        <w:t>。</w:t>
      </w:r>
      <w:r>
        <w:rPr>
          <w:spacing w:val="1"/>
        </w:rPr>
        <w:t>于</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7</w:t>
      </w:r>
      <w:r>
        <w:rPr/>
        <w:t>年</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2</w:t>
      </w:r>
      <w:r>
        <w:rPr>
          <w:spacing w:val="-3"/>
        </w:rPr>
        <w:t>月</w:t>
      </w:r>
      <w:r>
        <w:rPr>
          <w:rFonts w:ascii="Times New Roman" w:hAnsi="Times New Roman" w:cs="Times New Roman" w:eastAsia="Times New Roman" w:hint="default"/>
          <w:spacing w:val="1"/>
        </w:rPr>
        <w:t>31</w:t>
      </w:r>
      <w:r>
        <w:rPr/>
        <w:t>日</w:t>
      </w:r>
      <w:r>
        <w:rPr>
          <w:spacing w:val="-87"/>
        </w:rPr>
        <w:t>，</w:t>
      </w:r>
      <w:r>
        <w:rPr/>
        <w:t>本公司外币资产及外币</w:t>
      </w:r>
      <w:r>
        <w:rPr>
          <w:spacing w:val="-3"/>
        </w:rPr>
        <w:t>负</w:t>
      </w:r>
      <w:r>
        <w:rPr/>
        <w:t>债的余额参见财务报表附注七、</w:t>
      </w:r>
    </w:p>
    <w:p>
      <w:pPr>
        <w:pStyle w:val="BodyText"/>
        <w:spacing w:line="240" w:lineRule="auto" w:before="63"/>
        <w:ind w:right="94"/>
        <w:jc w:val="left"/>
      </w:pPr>
      <w:r>
        <w:rPr>
          <w:rFonts w:ascii="Times New Roman" w:hAnsi="Times New Roman" w:cs="Times New Roman" w:eastAsia="Times New Roman" w:hint="default"/>
        </w:rPr>
        <w:t>53</w:t>
      </w:r>
      <w:r>
        <w:rPr/>
        <w:t>，本公司密切关注汇率变动对本公司外汇风险的影响，并在可能范围内调节持有外币资产与负债余额。</w:t>
      </w:r>
    </w:p>
    <w:p>
      <w:pPr>
        <w:pStyle w:val="BodyText"/>
        <w:spacing w:line="283" w:lineRule="auto" w:before="5"/>
        <w:ind w:left="453" w:right="94"/>
        <w:jc w:val="left"/>
      </w:pPr>
      <w:r>
        <w:rPr>
          <w:rFonts w:ascii="Times New Roman" w:hAnsi="Times New Roman" w:cs="Times New Roman" w:eastAsia="Times New Roman" w:hint="default"/>
          <w:b/>
          <w:bCs/>
        </w:rPr>
        <w:t>2</w:t>
      </w:r>
      <w:r>
        <w:rPr>
          <w:rFonts w:ascii="Microsoft JhengHei" w:hAnsi="Microsoft JhengHei" w:cs="Microsoft JhengHei" w:eastAsia="Microsoft JhengHei" w:hint="default"/>
          <w:b/>
          <w:bCs/>
        </w:rPr>
        <w:t>、信用风险</w:t>
      </w:r>
      <w:r>
        <w:rPr>
          <w:rFonts w:ascii="Microsoft JhengHei" w:hAnsi="Microsoft JhengHei" w:cs="Microsoft JhengHei" w:eastAsia="Microsoft JhengHei" w:hint="default"/>
          <w:b/>
          <w:bCs/>
          <w:spacing w:val="-42"/>
        </w:rPr>
        <w:t> </w:t>
      </w:r>
      <w:r>
        <w:rPr>
          <w:rFonts w:ascii="Microsoft JhengHei" w:hAnsi="Microsoft JhengHei" w:cs="Microsoft JhengHei" w:eastAsia="Microsoft JhengHei" w:hint="default"/>
          <w:b/>
          <w:bCs/>
          <w:spacing w:val="-42"/>
        </w:rPr>
      </w:r>
      <w:r>
        <w:rPr>
          <w:spacing w:val="-3"/>
        </w:rPr>
        <w:t>信用风险是指金融工具的一方不履行义务，造成另一方发生财务损失的风险。本公司主要面临赊销导致的客户信用风险。</w:t>
      </w:r>
    </w:p>
    <w:p>
      <w:pPr>
        <w:pStyle w:val="BodyText"/>
        <w:spacing w:line="316" w:lineRule="auto" w:before="44"/>
        <w:ind w:right="94"/>
        <w:jc w:val="left"/>
      </w:pPr>
      <w:r>
        <w:rPr>
          <w:spacing w:val="-2"/>
        </w:rPr>
        <w:t>在签订新合同之前，本公司会对新客户的信用风险进行评估，包括外部信用评级和在某些情况下的银行资信证明（当此信息</w:t>
      </w:r>
      <w:r>
        <w:rPr>
          <w:spacing w:val="-62"/>
        </w:rPr>
        <w:t> </w:t>
      </w:r>
      <w:r>
        <w:rPr>
          <w:spacing w:val="-62"/>
        </w:rPr>
      </w:r>
      <w:r>
        <w:rPr/>
        <w:t>可获取时）。公司对每一客户均设置了赊销限额，该限额为无需获得额外批准的最大额度。</w:t>
      </w:r>
    </w:p>
    <w:p>
      <w:pPr>
        <w:pStyle w:val="BodyText"/>
        <w:spacing w:line="309" w:lineRule="auto" w:before="19"/>
        <w:ind w:right="189" w:firstLine="300"/>
        <w:jc w:val="both"/>
      </w:pPr>
      <w:r>
        <w:rPr>
          <w:spacing w:val="2"/>
        </w:rPr>
        <w:t>公司通过对已有客户信用评级的季度监控以及应收账款账龄分析的月度审核来确保公司的整体信用风险在可控的范围</w:t>
      </w:r>
      <w:r>
        <w:rPr/>
        <w:t> </w:t>
      </w:r>
      <w:r>
        <w:rPr>
          <w:spacing w:val="-2"/>
        </w:rPr>
        <w:t>内。在监控客户的信用风险时，按照客户的信用特征对其分组。被评为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级别的客户会放在受限制客户名单里，并且</w:t>
      </w:r>
      <w:r>
        <w:rPr>
          <w:spacing w:val="-41"/>
        </w:rPr>
        <w:t> </w:t>
      </w:r>
      <w:r>
        <w:rPr>
          <w:spacing w:val="-41"/>
        </w:rPr>
      </w:r>
      <w:r>
        <w:rPr/>
        <w:t>只有在额外批准的前提下，公司才可在未来期间内对其赊销，否则必须要求其提前支付相应款项。</w:t>
      </w:r>
    </w:p>
    <w:p>
      <w:pPr>
        <w:pStyle w:val="Heading4"/>
        <w:spacing w:line="280" w:lineRule="exact"/>
        <w:ind w:left="474" w:right="94"/>
        <w:jc w:val="left"/>
        <w:rPr>
          <w:b w:val="0"/>
          <w:bCs w:val="0"/>
        </w:rPr>
      </w:pPr>
      <w:r>
        <w:rPr>
          <w:rFonts w:ascii="Times New Roman" w:hAnsi="Times New Roman" w:cs="Times New Roman" w:eastAsia="Times New Roman" w:hint="default"/>
        </w:rPr>
        <w:t>3</w:t>
      </w:r>
      <w:r>
        <w:rPr/>
        <w:t>、流动风险</w:t>
      </w:r>
      <w:r>
        <w:rPr>
          <w:b w:val="0"/>
          <w:bCs w:val="0"/>
        </w:rPr>
      </w:r>
    </w:p>
    <w:p>
      <w:pPr>
        <w:pStyle w:val="BodyText"/>
        <w:spacing w:line="316" w:lineRule="auto" w:before="56"/>
        <w:ind w:right="191" w:firstLine="300"/>
        <w:jc w:val="both"/>
      </w:pPr>
      <w:r>
        <w:rPr>
          <w:spacing w:val="-1"/>
        </w:rPr>
        <w:t>管理流动风险时，本公司保持管理层认为充分的现金及现金等价物并对其进行监控，以满足本公司经营需要，并降低现</w:t>
      </w:r>
      <w:r>
        <w:rPr/>
        <w:t> 金流量波动的影响。</w:t>
      </w:r>
    </w:p>
    <w:p>
      <w:pPr>
        <w:spacing w:line="240" w:lineRule="auto" w:before="0"/>
        <w:rPr>
          <w:rFonts w:ascii="宋体" w:hAnsi="宋体" w:cs="宋体" w:eastAsia="宋体" w:hint="default"/>
          <w:sz w:val="15"/>
          <w:szCs w:val="15"/>
        </w:rPr>
      </w:pPr>
    </w:p>
    <w:p>
      <w:pPr>
        <w:pStyle w:val="Heading2"/>
        <w:spacing w:line="240" w:lineRule="auto"/>
        <w:ind w:right="94"/>
        <w:jc w:val="left"/>
        <w:rPr>
          <w:b w:val="0"/>
          <w:bCs w:val="0"/>
        </w:rPr>
      </w:pPr>
      <w:r>
        <w:rPr/>
        <w:t>十一、关联方及关联交易</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94"/>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4"/>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4"/>
        <w:gridCol w:w="1596"/>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240" w:lineRule="auto" w:before="49"/>
        <w:ind w:right="94"/>
        <w:jc w:val="left"/>
      </w:pPr>
      <w:r>
        <w:rPr/>
        <w:t>本企业的母公司情况的说明</w:t>
      </w:r>
    </w:p>
    <w:p>
      <w:pPr>
        <w:spacing w:after="0" w:line="240" w:lineRule="auto"/>
        <w:jc w:val="left"/>
        <w:sectPr>
          <w:pgSz w:w="11910" w:h="16840"/>
          <w:pgMar w:header="745" w:footer="1133" w:top="1060" w:bottom="132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本企业最终控制方是林皓。</w:t>
      </w:r>
    </w:p>
    <w:p>
      <w:pPr>
        <w:spacing w:line="240" w:lineRule="auto" w:before="1"/>
        <w:rPr>
          <w:rFonts w:ascii="宋体" w:hAnsi="宋体" w:cs="宋体" w:eastAsia="宋体" w:hint="default"/>
          <w:sz w:val="22"/>
          <w:szCs w:val="22"/>
        </w:rPr>
      </w:pPr>
    </w:p>
    <w:p>
      <w:pPr>
        <w:spacing w:line="482" w:lineRule="auto" w:before="0"/>
        <w:ind w:left="152" w:right="401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、本企业的子公司情况</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、本企业合营和联营企业情况</w:t>
      </w:r>
      <w:r>
        <w:rPr>
          <w:rFonts w:ascii="Microsoft JhengHei" w:hAnsi="Microsoft JhengHei" w:cs="Microsoft JhengHei" w:eastAsia="Microsoft JhengHei" w:hint="default"/>
          <w:sz w:val="21"/>
          <w:szCs w:val="21"/>
        </w:rPr>
      </w:r>
    </w:p>
    <w:p>
      <w:pPr>
        <w:pStyle w:val="BodyText"/>
        <w:spacing w:line="340" w:lineRule="auto" w:before="54"/>
        <w:ind w:right="1314"/>
        <w:jc w:val="left"/>
      </w:pPr>
      <w:r>
        <w:rPr>
          <w:spacing w:val="-3"/>
        </w:rPr>
        <w:t>本企业重要的合营或联营企业详见附注九、</w:t>
      </w:r>
      <w:r>
        <w:rPr>
          <w:rFonts w:ascii="Times New Roman" w:hAnsi="Times New Roman" w:cs="Times New Roman" w:eastAsia="Times New Roman" w:hint="default"/>
          <w:spacing w:val="-3"/>
        </w:rPr>
        <w:t>2</w:t>
      </w:r>
      <w:r>
        <w:rPr>
          <w:spacing w:val="-3"/>
        </w:rPr>
        <w:t>、在合营企业或联营企业中的权益。。</w:t>
      </w:r>
      <w:r>
        <w:rPr>
          <w:spacing w:val="-69"/>
        </w:rPr>
        <w:t> </w:t>
      </w:r>
      <w:r>
        <w:rPr>
          <w:spacing w:val="-69"/>
        </w:rPr>
      </w:r>
      <w:r>
        <w:rPr/>
        <w:t>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王晓娜</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王晓峰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关键管理人员亲属</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高曦</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李旭</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董事会秘书、副总经理</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胡建斌</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钟力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北京双洲科技有限公司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深圳市金城保密技术有限公司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北京金天城保密技术有限公司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参股公司控制的公司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上海无寻网络科技有限公司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深圳中软华泰信息技术有限公司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浙江华睿北信源数据信息产业投资合伙企业（有限合伙）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北京匡恩网络科技有限责任公司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控股子公司的少数股东</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5"/>
        <w:gridCol w:w="1452"/>
        <w:gridCol w:w="1709"/>
        <w:gridCol w:w="1707"/>
        <w:gridCol w:w="1706"/>
      </w:tblGrid>
      <w:tr>
        <w:trPr>
          <w:trHeight w:val="404"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5" w:footer="1133" w:top="1060" w:bottom="132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北京辰信领创信息 技术有限公司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566,693.98</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602,974.37</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北京辰信领创信息 技术有限公司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采购无形资产</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91,902.56</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北京金天城保密技 术有限公司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62,700.85</w:t>
            </w:r>
            <w:r>
              <w:rPr>
                <w:rFonts w:ascii="Times New Roman"/>
                <w:sz w:val="18"/>
              </w:rPr>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68,205.13</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北京金天城保密技 术有限公司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采购固定资产</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4,444.44</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深圳市金城保密技 术有限公司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4,262,397.47</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592,386.09</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深圳市金城保密技 术有限公司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28,301.89</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94,339.62</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上海无寻网络科技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1,905,377.36</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35,392.50</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北京匡恩网络科技 有限责任公司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-6,637,200.88</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8,296,495.75</w:t>
            </w:r>
          </w:p>
        </w:tc>
      </w:tr>
    </w:tbl>
    <w:p>
      <w:pPr>
        <w:pStyle w:val="BodyText"/>
        <w:spacing w:line="240" w:lineRule="auto" w:before="49"/>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4"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北京双洲科技有限公司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56,632.46</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4,717.95</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深圳市金城保密技术有限公司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70,085.48</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113,931.63</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深圳市金城保密技术有限公司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849,056.60</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北京金天城保密技术有限公司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22,649.56</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北京匡恩网络科技有限责任公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38,461.54</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北京匡恩网络科技有限责任公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405,720.75</w:t>
            </w:r>
          </w:p>
        </w:tc>
        <w:tc>
          <w:tcPr>
            <w:tcW w:w="265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）关键管理人员报酬</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2,882,078.04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2,854,015.18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1133" w:top="1060" w:bottom="132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北京双洲科技有限 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18,824.00</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深圳市金城保密技 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北京金天城保密技 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2,200.00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北京金天城保密技 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深圳市金城保密技 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327,600.00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16,380.00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北京辰信领创信息技术有限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117,384.00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467,435.91</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北京匡恩网络科技有限责任 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7,765,520.00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深圳市金城保密技术有限公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1,864,957.26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深圳市金城保密技术有限公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917,772.00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r>
        <w:rPr/>
        <w:t>十二、股份支付</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1133" w:top="1060" w:bottom="132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482" w:lineRule="auto" w:before="0"/>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4</w:t>
      </w:r>
      <w:r>
        <w:rPr>
          <w:rFonts w:ascii="Microsoft JhengHei" w:hAnsi="Microsoft JhengHei" w:cs="Microsoft JhengHei" w:eastAsia="Microsoft JhengHei" w:hint="default"/>
          <w:b/>
          <w:bCs/>
          <w:spacing w:val="-1"/>
          <w:sz w:val="21"/>
          <w:szCs w:val="21"/>
        </w:rPr>
        <w:t>、股份支付的修改、终止情况</w:t>
      </w:r>
      <w:r>
        <w:rPr>
          <w:rFonts w:ascii="Microsoft JhengHei" w:hAnsi="Microsoft JhengHei" w:cs="Microsoft JhengHei" w:eastAsia="Microsoft JhengHei" w:hint="default"/>
          <w:b/>
          <w:bCs/>
          <w:spacing w:val="-29"/>
          <w:sz w:val="21"/>
          <w:szCs w:val="21"/>
        </w:rPr>
        <w:t> </w:t>
      </w:r>
      <w:r>
        <w:rPr>
          <w:rFonts w:ascii="Microsoft JhengHei" w:hAnsi="Microsoft JhengHei" w:cs="Microsoft JhengHei" w:eastAsia="Microsoft JhengHei" w:hint="default"/>
          <w:b/>
          <w:bCs/>
          <w:spacing w:val="-29"/>
          <w:sz w:val="21"/>
          <w:szCs w:val="21"/>
        </w:rPr>
      </w:r>
      <w:r>
        <w:rPr>
          <w:rFonts w:ascii="宋体" w:hAnsi="宋体" w:cs="宋体" w:eastAsia="宋体" w:hint="default"/>
          <w:sz w:val="18"/>
          <w:szCs w:val="18"/>
        </w:rPr>
        <w:t>无</w:t>
      </w:r>
    </w:p>
    <w:p>
      <w:pPr>
        <w:pStyle w:val="Heading2"/>
        <w:spacing w:line="240" w:lineRule="auto" w:before="72"/>
        <w:ind w:right="0"/>
        <w:jc w:val="left"/>
        <w:rPr>
          <w:b w:val="0"/>
          <w:bCs w:val="0"/>
        </w:rPr>
      </w:pPr>
      <w:r>
        <w:rPr/>
        <w:t>十三、承诺及或有事项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60" w:lineRule="auto"/>
        <w:ind w:right="4014"/>
        <w:jc w:val="left"/>
      </w:pPr>
      <w:r>
        <w:rPr/>
        <w:t>资产负债表日存在的重要承诺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日，本公司无需要披露的承诺及或有事项。</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350" w:right="4695"/>
        <w:jc w:val="center"/>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日，本公司无需要披露的承诺及或有事项。</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公司不存在需要披露的重要或有事项。</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170" w:right="4695"/>
        <w:jc w:val="center"/>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日，本公司无需要披露的其他重要事项。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8"/>
        <w:ind w:right="0"/>
        <w:jc w:val="left"/>
        <w:rPr>
          <w:b w:val="0"/>
          <w:bCs w:val="0"/>
        </w:rPr>
      </w:pPr>
      <w:r>
        <w:rPr/>
        <w:t>十四、资产负债表日后事项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5049"/>
        <w:gridCol w:w="4647"/>
      </w:tblGrid>
      <w:tr>
        <w:trPr>
          <w:trHeight w:val="401" w:hRule="exact"/>
        </w:trPr>
        <w:tc>
          <w:tcPr>
            <w:tcW w:w="5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17,397,889.04</w:t>
            </w:r>
          </w:p>
        </w:tc>
      </w:tr>
      <w:tr>
        <w:trPr>
          <w:trHeight w:val="403" w:hRule="exact"/>
        </w:trPr>
        <w:tc>
          <w:tcPr>
            <w:tcW w:w="5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17,397,889.04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33" w:top="1060" w:bottom="1320" w:left="980" w:right="98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十五、母公司财务报表主要项目注释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6"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862,139,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608.21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139,559,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959.33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16.19%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722,579,6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48.88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648,182</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,368.71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97,427,49</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3.58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550,754,87</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5.13</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862,139,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608.21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139,559,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959.33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16.19%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722,579,6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48.88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648,182</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,368.71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97,427,49</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3.58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550,754,87</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5.13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133" w:top="1060" w:bottom="132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32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325,595,061.04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16,279,753.05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325,595,061.04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16,279,753.05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203,827,441.87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20,382,744.19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118,196,208.28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35,458,862.48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111,574,474.20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67,438,599.61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79,158,732.72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39,579,366.36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22,782,541.13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18,226,032.90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9,633,200.35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9,633,200.35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759,193,185.39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139,559,959.33</w:t>
            </w: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454"/>
        <w:jc w:val="left"/>
      </w:pPr>
      <w:r>
        <w:rPr/>
        <w:t>确定该组合依据的说明： 组合中，采用余额百分比法计提坏账准备的应收账款：</w:t>
      </w:r>
    </w:p>
    <w:p>
      <w:pPr>
        <w:pStyle w:val="BodyText"/>
        <w:spacing w:line="340" w:lineRule="auto" w:before="29"/>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240" w:lineRule="auto" w:before="39"/>
        <w:ind w:right="0"/>
        <w:jc w:val="left"/>
      </w:pPr>
      <w:r>
        <w:rPr/>
        <w:t>本年末按照收款无风险组合计提坏账准备的应收账款金额</w:t>
      </w:r>
      <w:r>
        <w:rPr>
          <w:rFonts w:ascii="宋体" w:hAnsi="宋体" w:cs="宋体" w:eastAsia="宋体" w:hint="default"/>
        </w:rPr>
        <w:t>102,946,422.82</w:t>
      </w:r>
      <w:r>
        <w:rPr/>
        <w:t>元。</w:t>
      </w:r>
    </w:p>
    <w:p>
      <w:pPr>
        <w:spacing w:after="0" w:line="240" w:lineRule="auto"/>
        <w:jc w:val="left"/>
        <w:sectPr>
          <w:type w:val="continuous"/>
          <w:pgSz w:w="11910" w:h="16840"/>
          <w:pgMar w:top="1060" w:bottom="132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本期计提坏账准备金额</w:t>
      </w:r>
      <w:r>
        <w:rPr>
          <w:spacing w:val="-46"/>
        </w:rPr>
        <w:t> </w:t>
      </w:r>
      <w:r>
        <w:rPr>
          <w:rFonts w:ascii="Times New Roman" w:hAnsi="Times New Roman" w:cs="Times New Roman" w:eastAsia="Times New Roman" w:hint="default"/>
        </w:rPr>
        <w:t>43,932,261.75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401"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1,799,796.00</w:t>
            </w:r>
          </w:p>
        </w:tc>
      </w:tr>
    </w:tbl>
    <w:p>
      <w:pPr>
        <w:pStyle w:val="BodyText"/>
        <w:spacing w:line="240" w:lineRule="auto" w:before="49"/>
        <w:ind w:right="0"/>
        <w:jc w:val="left"/>
      </w:pPr>
      <w:r>
        <w:rPr/>
        <w:t>其中重要的应收账款核销情况：</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709"/>
        <w:gridCol w:w="1570"/>
        <w:gridCol w:w="1572"/>
        <w:gridCol w:w="1572"/>
        <w:gridCol w:w="1637"/>
        <w:gridCol w:w="1637"/>
      </w:tblGrid>
      <w:tr>
        <w:trPr>
          <w:trHeight w:val="713"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42" w:right="9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广州微界信息科技有 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企业已注销</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石家庄云和科技有限 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无偿付能力</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湖南省正元信息科技 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130,300.00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企业被吊销</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内蒙古雪洋科技有限 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129,600.00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四川全球眼建维科贸 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278,896.00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无偿付能力企业已 注销</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1,799,796.00</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0" w:firstLine="360"/>
        <w:jc w:val="left"/>
      </w:pPr>
      <w:r>
        <w:rPr/>
        <w:t>本公司本年按欠款方归集的年末余额前五名应收账款汇总金额</w:t>
      </w:r>
      <w:r>
        <w:rPr>
          <w:rFonts w:ascii="宋体" w:hAnsi="宋体" w:cs="宋体" w:eastAsia="宋体" w:hint="default"/>
        </w:rPr>
        <w:t>197,997,764.92</w:t>
      </w:r>
      <w:r>
        <w:rPr/>
        <w:t>元，占应收账款年末余额合计数的比例 </w:t>
      </w:r>
      <w:r>
        <w:rPr>
          <w:rFonts w:ascii="宋体" w:hAnsi="宋体" w:cs="宋体" w:eastAsia="宋体" w:hint="default"/>
        </w:rPr>
        <w:t>22.97%</w:t>
      </w:r>
      <w:r>
        <w:rPr/>
        <w:t>，相应计提的坏账准备年末余额汇总金额</w:t>
      </w:r>
      <w:r>
        <w:rPr>
          <w:rFonts w:ascii="宋体" w:hAnsi="宋体" w:cs="宋体" w:eastAsia="宋体" w:hint="default"/>
        </w:rPr>
        <w:t>15,164,322.50</w:t>
      </w:r>
      <w:r>
        <w:rPr/>
        <w:t>元。</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1133" w:top="1060" w:bottom="132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36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8" w:right="0"/>
              <w:jc w:val="left"/>
              <w:rPr>
                <w:rFonts w:ascii="宋体" w:hAnsi="宋体" w:cs="宋体" w:eastAsia="宋体" w:hint="default"/>
                <w:sz w:val="18"/>
                <w:szCs w:val="18"/>
              </w:rPr>
            </w:pPr>
            <w:r>
              <w:rPr>
                <w:rFonts w:ascii="宋体" w:hAnsi="宋体" w:cs="宋体" w:eastAsia="宋体" w:hint="default"/>
                <w:sz w:val="18"/>
                <w:szCs w:val="18"/>
              </w:rPr>
              <w:t>例</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530,071,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549.90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1,321,20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8.36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0.25%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528,750,3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41.54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507,790</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,592.97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919,712.8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506,870,88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0.08</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530,071,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549.90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1,321,20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8.36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0.25%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528,750,3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41.54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507,790</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,592.97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919,712.8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506,870,88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0.08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133" w:top="1060" w:bottom="1320" w:left="980" w:right="980"/>
        </w:sectPr>
      </w:pPr>
    </w:p>
    <w:p>
      <w:pPr>
        <w:pStyle w:val="BodyText"/>
        <w:spacing w:line="240" w:lineRule="auto" w:before="49"/>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32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2524"/>
        <w:gridCol w:w="2326"/>
        <w:gridCol w:w="2422"/>
        <w:gridCol w:w="2425"/>
      </w:tblGrid>
      <w:tr>
        <w:trPr>
          <w:trHeight w:val="402" w:hRule="exact"/>
        </w:trPr>
        <w:tc>
          <w:tcPr>
            <w:tcW w:w="25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524" w:type="dxa"/>
            <w:vMerge/>
            <w:tcBorders>
              <w:left w:val="single" w:sz="4" w:space="0" w:color="000000"/>
              <w:bottom w:val="single" w:sz="4" w:space="0" w:color="000000"/>
              <w:right w:val="single" w:sz="4" w:space="0" w:color="000000"/>
            </w:tcBorders>
            <w:shd w:val="clear" w:color="auto" w:fill="D2D2D2"/>
          </w:tcPr>
          <w:p>
            <w:pPr/>
          </w:p>
        </w:tc>
        <w:tc>
          <w:tcPr>
            <w:tcW w:w="2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69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524"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4,182,553.02</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209,127.65</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4,182,553.02</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209,127.65</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1,447,083.30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144,708.33</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413,332.10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123,999.63</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1,085,294.10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843,372.75</w:t>
            </w:r>
          </w:p>
        </w:tc>
        <w:tc>
          <w:tcPr>
            <w:tcW w:w="24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342,595.10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171,297.55</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353,119.00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282,495.20</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389,580.00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389,580.00</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7,128,262.52</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1,321,208.36</w:t>
            </w:r>
          </w:p>
        </w:tc>
        <w:tc>
          <w:tcPr>
            <w:tcW w:w="242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274"/>
        <w:jc w:val="left"/>
      </w:pPr>
      <w:r>
        <w:rPr/>
        <w:t>确定该组合依据的说明： 组合中，采用余额百分比法计提坏账准备的其他应收款：</w:t>
      </w:r>
    </w:p>
    <w:p>
      <w:pPr>
        <w:pStyle w:val="BodyText"/>
        <w:spacing w:line="340" w:lineRule="auto" w:before="29"/>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340" w:lineRule="auto" w:before="39"/>
        <w:ind w:right="36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本年末按照收款无风险组合计提坏账准备的其他应收款金额</w:t>
      </w:r>
      <w:r>
        <w:rPr>
          <w:rFonts w:ascii="Times New Roman" w:hAnsi="Times New Roman" w:cs="Times New Roman" w:eastAsia="Times New Roman" w:hint="default"/>
        </w:rPr>
        <w:t>522,943,287.38</w:t>
      </w:r>
      <w:r>
        <w:rPr/>
        <w:t>元。</w:t>
      </w:r>
    </w:p>
    <w:p>
      <w:pPr>
        <w:spacing w:line="240" w:lineRule="auto" w:before="8"/>
        <w:rPr>
          <w:rFonts w:ascii="宋体" w:hAnsi="宋体" w:cs="宋体" w:eastAsia="宋体" w:hint="default"/>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本期计提坏账准备金额</w:t>
      </w:r>
      <w:r>
        <w:rPr>
          <w:spacing w:val="-46"/>
        </w:rPr>
        <w:t> </w:t>
      </w:r>
      <w:r>
        <w:rPr>
          <w:rFonts w:ascii="Times New Roman" w:hAnsi="Times New Roman" w:cs="Times New Roman" w:eastAsia="Times New Roman" w:hint="default"/>
        </w:rPr>
        <w:t>401,495.47</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1"/>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type w:val="continuous"/>
          <w:pgSz w:w="11910" w:h="16840"/>
          <w:pgMar w:top="1060" w:bottom="132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合并范围内关联方往来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522,943,287.38</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502,072,453.75</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4,055,850.60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4,044,591.66</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1,389,368.37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1,116,406.04</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企业往来款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183,749.20</w:t>
            </w:r>
          </w:p>
        </w:tc>
        <w:tc>
          <w:tcPr>
            <w:tcW w:w="31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1,499,294.35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557,141.52</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530,071,549.90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507,790,592.97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江苏神州信源系统工 程有限公司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522,943,287.38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98.66%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山西省公安厅</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593,250.00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0.11%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29,662.50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王伟</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546,899.42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51,377.44</w:t>
            </w: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中钢招标有限责任公 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15,250.00</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北京北岳伟业数码科 技有限公司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206,100.00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50,510.00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524,594,536.80</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98.97%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146,799.94</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337,499,995.40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337,499,995.40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315,499,995.40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315,499,995.40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11,201,459.50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11,201,459.50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17,370,732.11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17,370,732.11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348,701,454.90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348,701,454.90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332,870,727.51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332,870,727.51</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6"/>
        <w:gridCol w:w="1337"/>
        <w:gridCol w:w="1334"/>
        <w:gridCol w:w="1335"/>
        <w:gridCol w:w="1334"/>
        <w:gridCol w:w="1390"/>
        <w:gridCol w:w="1390"/>
      </w:tblGrid>
      <w:tr>
        <w:trPr>
          <w:trHeight w:val="716" w:hRule="exact"/>
        </w:trPr>
        <w:tc>
          <w:tcPr>
            <w:tcW w:w="1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1"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上海北信源信息</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20,000,000.00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33" w:top="1060" w:bottom="132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36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江苏神州信源系 统工程有限公司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北信源（马来西 </w:t>
            </w:r>
            <w:r>
              <w:rPr>
                <w:rFonts w:ascii="宋体" w:hAnsi="宋体" w:cs="宋体" w:eastAsia="宋体" w:hint="default"/>
                <w:spacing w:val="-7"/>
                <w:sz w:val="18"/>
                <w:szCs w:val="18"/>
              </w:rPr>
              <w:t>亚）信息技术公司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北京中软华泰信 息技术有限公司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99,999,995.40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99,999,995.40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北京信源匡恩工 控安全科技有限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人工智能产业技 术创新联盟（北 </w:t>
            </w:r>
            <w:r>
              <w:rPr>
                <w:rFonts w:ascii="宋体" w:hAnsi="宋体" w:cs="宋体" w:eastAsia="宋体" w:hint="default"/>
                <w:spacing w:val="-7"/>
                <w:sz w:val="18"/>
                <w:szCs w:val="18"/>
              </w:rPr>
              <w:t>京）科技有限公司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北京北信源信息 安全技术有限公 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315,499,995.40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337,499,995.40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北京辰信 领创信息 技术有限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17,370,73</w:t>
            </w:r>
          </w:p>
          <w:p>
            <w:pPr>
              <w:pStyle w:val="TableParagraph"/>
              <w:spacing w:line="240" w:lineRule="auto" w:before="105"/>
              <w:ind w:left="458" w:right="0"/>
              <w:jc w:val="left"/>
              <w:rPr>
                <w:rFonts w:ascii="Times New Roman" w:hAnsi="Times New Roman" w:cs="Times New Roman" w:eastAsia="Times New Roman" w:hint="default"/>
                <w:sz w:val="18"/>
                <w:szCs w:val="18"/>
              </w:rPr>
            </w:pPr>
            <w:r>
              <w:rPr>
                <w:rFonts w:ascii="Times New Roman"/>
                <w:sz w:val="18"/>
              </w:rPr>
              <w:t>2.11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-6,169,27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2.61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11,201,45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9.50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17,370,73</w:t>
            </w:r>
          </w:p>
          <w:p>
            <w:pPr>
              <w:pStyle w:val="TableParagraph"/>
              <w:spacing w:line="240" w:lineRule="auto" w:before="105"/>
              <w:ind w:left="458" w:right="0"/>
              <w:jc w:val="left"/>
              <w:rPr>
                <w:rFonts w:ascii="Times New Roman" w:hAnsi="Times New Roman" w:cs="Times New Roman" w:eastAsia="Times New Roman" w:hint="default"/>
                <w:sz w:val="18"/>
                <w:szCs w:val="18"/>
              </w:rPr>
            </w:pPr>
            <w:r>
              <w:rPr>
                <w:rFonts w:ascii="Times New Roman"/>
                <w:sz w:val="18"/>
              </w:rPr>
              <w:t>2.11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-6,169,27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2.61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11,201,45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9.50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17,370,73</w:t>
            </w:r>
          </w:p>
          <w:p>
            <w:pPr>
              <w:pStyle w:val="TableParagraph"/>
              <w:spacing w:line="240" w:lineRule="auto" w:before="105"/>
              <w:ind w:left="458" w:right="0"/>
              <w:jc w:val="left"/>
              <w:rPr>
                <w:rFonts w:ascii="Times New Roman" w:hAnsi="Times New Roman" w:cs="Times New Roman" w:eastAsia="Times New Roman" w:hint="default"/>
                <w:sz w:val="18"/>
                <w:szCs w:val="18"/>
              </w:rPr>
            </w:pPr>
            <w:r>
              <w:rPr>
                <w:rFonts w:ascii="Times New Roman"/>
                <w:sz w:val="18"/>
              </w:rPr>
              <w:t>2.11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-6,169,27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2.61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11,201,45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9.50</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3750"/>
        <w:gridCol w:w="3828"/>
      </w:tblGrid>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1133" w:top="1060" w:bottom="132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9" w:right="0"/>
              <w:jc w:val="left"/>
              <w:rPr>
                <w:rFonts w:ascii="Times New Roman" w:hAnsi="Times New Roman" w:cs="Times New Roman" w:eastAsia="Times New Roman" w:hint="default"/>
                <w:sz w:val="18"/>
                <w:szCs w:val="18"/>
              </w:rPr>
            </w:pPr>
            <w:r>
              <w:rPr>
                <w:rFonts w:ascii="Times New Roman"/>
                <w:sz w:val="18"/>
              </w:rPr>
              <w:t>317,545,875.13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16,071,353.22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273,225,827.30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16,592,723.92</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2" w:right="0"/>
              <w:jc w:val="left"/>
              <w:rPr>
                <w:rFonts w:ascii="Times New Roman" w:hAnsi="Times New Roman" w:cs="Times New Roman" w:eastAsia="Times New Roman" w:hint="default"/>
                <w:sz w:val="18"/>
                <w:szCs w:val="18"/>
              </w:rPr>
            </w:pPr>
            <w:r>
              <w:rPr>
                <w:rFonts w:ascii="Times New Roman"/>
                <w:sz w:val="18"/>
              </w:rPr>
              <w:t>14,969,111.36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12,816,585.25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4,120,205.09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3,555,393.91</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9" w:right="0"/>
              <w:jc w:val="left"/>
              <w:rPr>
                <w:rFonts w:ascii="Times New Roman" w:hAnsi="Times New Roman" w:cs="Times New Roman" w:eastAsia="Times New Roman" w:hint="default"/>
                <w:sz w:val="18"/>
                <w:szCs w:val="18"/>
              </w:rPr>
            </w:pPr>
            <w:r>
              <w:rPr>
                <w:rFonts w:ascii="Times New Roman"/>
                <w:sz w:val="18"/>
              </w:rPr>
              <w:t>332,514,986.49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28,887,938.47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277,346,032.39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20,148,117.83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-7,867,431.39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-2,229,267.89</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14,804,369.88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6,936,938.49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-2,229,267.89</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十六、补充资料</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4"/>
              <w:jc w:val="right"/>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122,990.26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2,596,496.67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349"/>
              <w:jc w:val="right"/>
              <w:rPr>
                <w:rFonts w:ascii="宋体" w:hAnsi="宋体" w:cs="宋体" w:eastAsia="宋体" w:hint="default"/>
                <w:sz w:val="18"/>
                <w:szCs w:val="18"/>
              </w:rPr>
            </w:pPr>
            <w:r>
              <w:rPr>
                <w:rFonts w:ascii="宋体" w:hAnsi="宋体" w:cs="宋体" w:eastAsia="宋体" w:hint="default"/>
                <w:sz w:val="18"/>
                <w:szCs w:val="18"/>
              </w:rPr>
              <w:t>非经常性连续政府补助</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30,740,781.88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49"/>
              <w:jc w:val="right"/>
              <w:rPr>
                <w:rFonts w:ascii="宋体" w:hAnsi="宋体" w:cs="宋体" w:eastAsia="宋体" w:hint="default"/>
                <w:sz w:val="18"/>
                <w:szCs w:val="18"/>
              </w:rPr>
            </w:pPr>
            <w:r>
              <w:rPr>
                <w:rFonts w:ascii="宋体" w:hAnsi="宋体" w:cs="宋体" w:eastAsia="宋体" w:hint="default"/>
                <w:sz w:val="18"/>
                <w:szCs w:val="18"/>
              </w:rPr>
              <w:t>结构性存款及理财收益</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-765,508.74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4,904,182.01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27,790,578.06</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663"/>
        <w:gridCol w:w="3082"/>
        <w:gridCol w:w="1913"/>
        <w:gridCol w:w="1913"/>
      </w:tblGrid>
      <w:tr>
        <w:trPr>
          <w:trHeight w:val="206" w:hRule="exact"/>
        </w:trPr>
        <w:tc>
          <w:tcPr>
            <w:tcW w:w="2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663"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4" w:hRule="exact"/>
        </w:trPr>
        <w:tc>
          <w:tcPr>
            <w:tcW w:w="2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0.0631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0.0631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33" w:top="1060" w:bottom="1320" w:left="980" w:right="98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9" w:type="dxa"/>
        <w:tblLayout w:type="fixed"/>
        <w:tblCellMar>
          <w:top w:w="0" w:type="dxa"/>
          <w:left w:w="0" w:type="dxa"/>
          <w:bottom w:w="0" w:type="dxa"/>
          <w:right w:w="0" w:type="dxa"/>
        </w:tblCellMar>
        <w:tblLook w:val="01E0"/>
      </w:tblPr>
      <w:tblGrid>
        <w:gridCol w:w="2661"/>
        <w:gridCol w:w="3082"/>
        <w:gridCol w:w="1913"/>
        <w:gridCol w:w="1913"/>
      </w:tblGrid>
      <w:tr>
        <w:trPr>
          <w:trHeight w:val="716"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0.0439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0.0439</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5"/>
          <w:szCs w:val="25"/>
        </w:rPr>
      </w:pPr>
    </w:p>
    <w:p>
      <w:pPr>
        <w:pStyle w:val="Heading3"/>
        <w:spacing w:line="314" w:lineRule="exact"/>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29"/>
        </w:rPr>
        <w:t> </w:t>
      </w:r>
      <w:r>
        <w:rPr>
          <w:spacing w:val="29"/>
        </w:rPr>
      </w:r>
      <w:r>
        <w:rPr/>
        <w:t>明该境外机构的名称</w:t>
      </w:r>
      <w:r>
        <w:rPr>
          <w:b w:val="0"/>
          <w:bCs w:val="0"/>
        </w:rPr>
      </w:r>
    </w:p>
    <w:p>
      <w:pPr>
        <w:spacing w:line="240" w:lineRule="auto" w:before="11"/>
        <w:rPr>
          <w:rFonts w:ascii="Microsoft JhengHei" w:hAnsi="Microsoft JhengHei" w:cs="Microsoft JhengHei" w:eastAsia="Microsoft JhengHei" w:hint="default"/>
          <w:b/>
          <w:bCs/>
          <w:sz w:val="18"/>
          <w:szCs w:val="18"/>
        </w:rPr>
      </w:pPr>
    </w:p>
    <w:p>
      <w:pPr>
        <w:pStyle w:val="BodyText"/>
        <w:spacing w:line="240" w:lineRule="auto"/>
        <w:ind w:right="0"/>
        <w:jc w:val="left"/>
      </w:pPr>
      <w:r>
        <w:rPr/>
        <w:t>无</w:t>
      </w:r>
    </w:p>
    <w:p>
      <w:pPr>
        <w:spacing w:after="0" w:line="240" w:lineRule="auto"/>
        <w:jc w:val="left"/>
        <w:sectPr>
          <w:pgSz w:w="11910" w:h="16840"/>
          <w:pgMar w:header="745" w:footer="1133" w:top="1060" w:bottom="13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456" w:lineRule="exact"/>
        <w:ind w:left="3285" w:right="0"/>
        <w:jc w:val="left"/>
        <w:rPr>
          <w:b w:val="0"/>
          <w:bCs w:val="0"/>
        </w:rPr>
      </w:pPr>
      <w:bookmarkStart w:name="_TOC_250000" w:id="12"/>
      <w:r>
        <w:rPr/>
        <w:t>第十二节 </w:t>
      </w:r>
      <w:r>
        <w:rPr>
          <w:spacing w:val="8"/>
        </w:rPr>
        <w:t> </w:t>
      </w:r>
      <w:r>
        <w:rPr/>
        <w:t>备查文件目录</w:t>
      </w:r>
      <w:bookmarkEnd w:id="12"/>
      <w:r>
        <w:rPr>
          <w:b w:val="0"/>
          <w:bCs w:val="0"/>
        </w:rPr>
      </w:r>
    </w:p>
    <w:p>
      <w:pPr>
        <w:spacing w:line="240" w:lineRule="auto" w:before="15"/>
        <w:rPr>
          <w:rFonts w:ascii="Microsoft JhengHei" w:hAnsi="Microsoft JhengHei" w:cs="Microsoft JhengHei" w:eastAsia="Microsoft JhengHei" w:hint="default"/>
          <w:b/>
          <w:bCs/>
          <w:sz w:val="29"/>
          <w:szCs w:val="29"/>
        </w:rPr>
      </w:pPr>
    </w:p>
    <w:p>
      <w:pPr>
        <w:pStyle w:val="BodyText"/>
        <w:spacing w:line="314" w:lineRule="auto"/>
        <w:ind w:right="2934"/>
        <w:jc w:val="left"/>
      </w:pPr>
      <w:r>
        <w:rPr/>
        <w:t>一、载有法定代表人签名的</w:t>
      </w:r>
      <w:r>
        <w:rPr>
          <w:rFonts w:ascii="Times New Roman" w:hAnsi="Times New Roman" w:cs="Times New Roman" w:eastAsia="Times New Roman" w:hint="default"/>
        </w:rPr>
        <w:t>2017</w:t>
      </w:r>
      <w:r>
        <w:rPr/>
        <w:t>年度报告文本； 二、载有法定代表人、主管会计工作负责人、会计机构负责人签名并盖章的财务报表。 三、载有会计师事务所盖章、注册会计师签名并盖章的审计报告原件。 四、报告期内在中国证监会指定网站上公开披露过的所有公司文件的正本及公告原稿。 五、其他有关资料。</w:t>
      </w:r>
    </w:p>
    <w:p>
      <w:pPr>
        <w:pStyle w:val="BodyText"/>
        <w:spacing w:line="240" w:lineRule="auto" w:before="20"/>
        <w:ind w:right="0"/>
        <w:jc w:val="left"/>
      </w:pPr>
      <w:r>
        <w:rPr/>
        <w:t>六、以上备查文件的备置地点：公司证券投资部办公室。</w:t>
      </w:r>
    </w:p>
    <w:sectPr>
      <w:pgSz w:w="11910" w:h="16840"/>
      <w:pgMar w:header="745" w:footer="1133" w:top="1060" w:bottom="132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970001pt;margin-top:787.825684pt;width:5.25pt;height:8.5pt;mso-position-horizontal-relative:page;mso-position-vertical-relative:page;z-index:-795856" type="#_x0000_t202" filled="false" stroked="false">
          <v:textbox inset="0,0,0,0">
            <w:txbxContent>
              <w:p>
                <w:pPr>
                  <w:spacing w:before="3"/>
                  <w:ind w:left="20" w:right="0" w:firstLine="0"/>
                  <w:jc w:val="left"/>
                  <w:rPr>
                    <w:rFonts w:ascii="Times New Roman" w:hAnsi="Times New Roman" w:cs="Times New Roman" w:eastAsia="Times New Roman" w:hint="default"/>
                    <w:sz w:val="13"/>
                    <w:szCs w:val="13"/>
                  </w:rPr>
                </w:pPr>
                <w:r>
                  <w:rPr>
                    <w:rFonts w:ascii="Times New Roman"/>
                    <w:w w:val="99"/>
                    <w:sz w:val="13"/>
                  </w:rPr>
                  <w:t>1</w:t>
                </w:r>
                <w:r>
                  <w:rPr>
                    <w:rFonts w:ascii="Times New Roman"/>
                    <w:sz w:val="13"/>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730011pt;margin-top:774.265686pt;width:13.75pt;height:8.5pt;mso-position-horizontal-relative:page;mso-position-vertical-relative:page;z-index:-795640" type="#_x0000_t202" filled="false" stroked="false">
          <v:textbox inset="0,0,0,0">
            <w:txbxContent>
              <w:p>
                <w:pPr>
                  <w:spacing w:before="3"/>
                  <w:ind w:left="40" w:right="0" w:firstLine="0"/>
                  <w:jc w:val="left"/>
                  <w:rPr>
                    <w:rFonts w:ascii="Times New Roman" w:hAnsi="Times New Roman" w:cs="Times New Roman" w:eastAsia="Times New Roman" w:hint="default"/>
                    <w:sz w:val="13"/>
                    <w:szCs w:val="13"/>
                  </w:rPr>
                </w:pPr>
                <w:r>
                  <w:rPr>
                    <w:rFonts w:ascii="Times New Roman"/>
                    <w:w w:val="99"/>
                    <w:sz w:val="13"/>
                  </w:rPr>
                </w:r>
                <w:r>
                  <w:rPr/>
                  <w:fldChar w:fldCharType="begin"/>
                </w:r>
                <w:r>
                  <w:rPr>
                    <w:rFonts w:ascii="Times New Roman"/>
                    <w:sz w:val="13"/>
                  </w:rPr>
                  <w:instrText> PAGE </w:instrText>
                </w:r>
                <w:r>
                  <w:rPr/>
                  <w:fldChar w:fldCharType="separate"/>
                </w:r>
                <w:r>
                  <w:rPr/>
                  <w:t>155</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410004pt;margin-top:774.265686pt;width:10.5pt;height:8.5pt;mso-position-horizontal-relative:page;mso-position-vertical-relative:page;z-index:-795832" type="#_x0000_t202" filled="false" stroked="false">
          <v:textbox inset="0,0,0,0">
            <w:txbxContent>
              <w:p>
                <w:pPr>
                  <w:spacing w:before="3"/>
                  <w:ind w:left="40" w:right="0" w:firstLine="0"/>
                  <w:jc w:val="left"/>
                  <w:rPr>
                    <w:rFonts w:ascii="Times New Roman" w:hAnsi="Times New Roman" w:cs="Times New Roman" w:eastAsia="Times New Roman" w:hint="default"/>
                    <w:sz w:val="13"/>
                    <w:szCs w:val="13"/>
                  </w:rPr>
                </w:pPr>
                <w:r>
                  <w:rPr>
                    <w:rFonts w:ascii="Times New Roman"/>
                    <w:w w:val="99"/>
                    <w:sz w:val="13"/>
                  </w:rPr>
                </w:r>
                <w:r>
                  <w:rPr/>
                  <w:fldChar w:fldCharType="begin"/>
                </w:r>
                <w:r>
                  <w:rPr>
                    <w:rFonts w:ascii="Times New Roman"/>
                    <w:sz w:val="13"/>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410004pt;margin-top:774.265686pt;width:10.5pt;height:8.5pt;mso-position-horizontal-relative:page;mso-position-vertical-relative:page;z-index:-795808" type="#_x0000_t202" filled="false" stroked="false">
          <v:textbox inset="0,0,0,0">
            <w:txbxContent>
              <w:p>
                <w:pPr>
                  <w:spacing w:before="3"/>
                  <w:ind w:left="40" w:right="0" w:firstLine="0"/>
                  <w:jc w:val="left"/>
                  <w:rPr>
                    <w:rFonts w:ascii="Times New Roman" w:hAnsi="Times New Roman" w:cs="Times New Roman" w:eastAsia="Times New Roman" w:hint="default"/>
                    <w:sz w:val="13"/>
                    <w:szCs w:val="13"/>
                  </w:rPr>
                </w:pPr>
                <w:r>
                  <w:rPr>
                    <w:rFonts w:ascii="Times New Roman"/>
                    <w:w w:val="99"/>
                    <w:sz w:val="13"/>
                  </w:rPr>
                </w:r>
                <w:r>
                  <w:rPr/>
                  <w:fldChar w:fldCharType="begin"/>
                </w:r>
                <w:r>
                  <w:rPr>
                    <w:rFonts w:ascii="Times New Roman"/>
                    <w:sz w:val="13"/>
                  </w:rPr>
                  <w:instrText> PAGE </w:instrText>
                </w:r>
                <w:r>
                  <w:rPr/>
                  <w:fldChar w:fldCharType="separate"/>
                </w:r>
                <w:r>
                  <w:rPr/>
                  <w:t>13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410004pt;margin-top:774.265686pt;width:10.5pt;height:8.5pt;mso-position-horizontal-relative:page;mso-position-vertical-relative:page;z-index:-795784" type="#_x0000_t202" filled="false" stroked="false">
          <v:textbox inset="0,0,0,0">
            <w:txbxContent>
              <w:p>
                <w:pPr>
                  <w:spacing w:before="3"/>
                  <w:ind w:left="40" w:right="0" w:firstLine="0"/>
                  <w:jc w:val="left"/>
                  <w:rPr>
                    <w:rFonts w:ascii="Times New Roman" w:hAnsi="Times New Roman" w:cs="Times New Roman" w:eastAsia="Times New Roman" w:hint="default"/>
                    <w:sz w:val="13"/>
                    <w:szCs w:val="13"/>
                  </w:rPr>
                </w:pPr>
                <w:r>
                  <w:rPr>
                    <w:rFonts w:ascii="Times New Roman"/>
                    <w:w w:val="99"/>
                    <w:sz w:val="13"/>
                  </w:rPr>
                </w:r>
                <w:r>
                  <w:rPr/>
                  <w:fldChar w:fldCharType="begin"/>
                </w:r>
                <w:r>
                  <w:rPr>
                    <w:rFonts w:ascii="Times New Roman"/>
                    <w:sz w:val="13"/>
                  </w:rPr>
                  <w:instrText> PAGE </w:instrText>
                </w:r>
                <w:r>
                  <w:rPr/>
                  <w:fldChar w:fldCharType="separate"/>
                </w:r>
                <w:r>
                  <w:rPr/>
                  <w:t>14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410004pt;margin-top:774.265686pt;width:10.5pt;height:8.5pt;mso-position-horizontal-relative:page;mso-position-vertical-relative:page;z-index:-795760" type="#_x0000_t202" filled="false" stroked="false">
          <v:textbox inset="0,0,0,0">
            <w:txbxContent>
              <w:p>
                <w:pPr>
                  <w:spacing w:before="3"/>
                  <w:ind w:left="40" w:right="0" w:firstLine="0"/>
                  <w:jc w:val="left"/>
                  <w:rPr>
                    <w:rFonts w:ascii="Times New Roman" w:hAnsi="Times New Roman" w:cs="Times New Roman" w:eastAsia="Times New Roman" w:hint="default"/>
                    <w:sz w:val="13"/>
                    <w:szCs w:val="13"/>
                  </w:rPr>
                </w:pPr>
                <w:r>
                  <w:rPr>
                    <w:rFonts w:ascii="Times New Roman"/>
                    <w:w w:val="99"/>
                    <w:sz w:val="13"/>
                  </w:rPr>
                </w:r>
                <w:r>
                  <w:rPr/>
                  <w:fldChar w:fldCharType="begin"/>
                </w:r>
                <w:r>
                  <w:rPr>
                    <w:rFonts w:ascii="Times New Roman"/>
                    <w:sz w:val="13"/>
                  </w:rPr>
                  <w:instrText> PAGE </w:instrText>
                </w:r>
                <w:r>
                  <w:rPr/>
                  <w:fldChar w:fldCharType="separate"/>
                </w:r>
                <w:r>
                  <w:rPr/>
                  <w:t>43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730011pt;margin-top:774.265686pt;width:11.75pt;height:8.5pt;mso-position-horizontal-relative:page;mso-position-vertical-relative:page;z-index:-795736" type="#_x0000_t202" filled="false" stroked="false">
          <v:textbox inset="0,0,0,0">
            <w:txbxContent>
              <w:p>
                <w:pPr>
                  <w:spacing w:before="3"/>
                  <w:ind w:left="20" w:right="0" w:firstLine="0"/>
                  <w:jc w:val="left"/>
                  <w:rPr>
                    <w:rFonts w:ascii="Times New Roman" w:hAnsi="Times New Roman" w:cs="Times New Roman" w:eastAsia="Times New Roman" w:hint="default"/>
                    <w:sz w:val="13"/>
                    <w:szCs w:val="13"/>
                  </w:rPr>
                </w:pPr>
                <w:r>
                  <w:rPr>
                    <w:rFonts w:ascii="Times New Roman"/>
                    <w:sz w:val="13"/>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730011pt;margin-top:774.265686pt;width:13.75pt;height:8.5pt;mso-position-horizontal-relative:page;mso-position-vertical-relative:page;z-index:-795712" type="#_x0000_t202" filled="false" stroked="false">
          <v:textbox inset="0,0,0,0">
            <w:txbxContent>
              <w:p>
                <w:pPr>
                  <w:spacing w:before="3"/>
                  <w:ind w:left="40" w:right="0" w:firstLine="0"/>
                  <w:jc w:val="left"/>
                  <w:rPr>
                    <w:rFonts w:ascii="Times New Roman" w:hAnsi="Times New Roman" w:cs="Times New Roman" w:eastAsia="Times New Roman" w:hint="default"/>
                    <w:sz w:val="13"/>
                    <w:szCs w:val="13"/>
                  </w:rPr>
                </w:pPr>
                <w:r>
                  <w:rPr>
                    <w:rFonts w:ascii="Times New Roman"/>
                    <w:w w:val="99"/>
                    <w:sz w:val="13"/>
                  </w:rPr>
                </w:r>
                <w:r>
                  <w:rPr/>
                  <w:fldChar w:fldCharType="begin"/>
                </w:r>
                <w:r>
                  <w:rPr>
                    <w:rFonts w:ascii="Times New Roman"/>
                    <w:sz w:val="13"/>
                  </w:rPr>
                  <w:instrText> PAGE </w:instrText>
                </w:r>
                <w:r>
                  <w:rPr/>
                  <w:fldChar w:fldCharType="separate"/>
                </w:r>
                <w:r>
                  <w:rPr/>
                  <w:t>101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850006pt;margin-top:774.265686pt;width:13.5pt;height:8.5pt;mso-position-horizontal-relative:page;mso-position-vertical-relative:page;z-index:-795688" type="#_x0000_t202" filled="false" stroked="false">
          <v:textbox inset="0,0,0,0">
            <w:txbxContent>
              <w:p>
                <w:pPr>
                  <w:spacing w:before="3"/>
                  <w:ind w:left="40" w:right="0" w:firstLine="0"/>
                  <w:jc w:val="left"/>
                  <w:rPr>
                    <w:rFonts w:ascii="Times New Roman" w:hAnsi="Times New Roman" w:cs="Times New Roman" w:eastAsia="Times New Roman" w:hint="default"/>
                    <w:sz w:val="13"/>
                    <w:szCs w:val="13"/>
                  </w:rPr>
                </w:pPr>
                <w:r>
                  <w:rPr>
                    <w:rFonts w:ascii="Times New Roman"/>
                    <w:w w:val="99"/>
                    <w:sz w:val="13"/>
                  </w:rPr>
                </w:r>
                <w:r>
                  <w:rPr/>
                  <w:fldChar w:fldCharType="begin"/>
                </w:r>
                <w:r>
                  <w:rPr>
                    <w:rFonts w:ascii="Times New Roman"/>
                    <w:sz w:val="13"/>
                  </w:rPr>
                  <w:instrText> PAGE </w:instrText>
                </w:r>
                <w:r>
                  <w:rPr/>
                  <w:fldChar w:fldCharType="separate"/>
                </w:r>
                <w:r>
                  <w:rPr/>
                  <w:t>118</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730011pt;margin-top:774.265686pt;width:13.75pt;height:8.5pt;mso-position-horizontal-relative:page;mso-position-vertical-relative:page;z-index:-795664" type="#_x0000_t202" filled="false" stroked="false">
          <v:textbox inset="0,0,0,0">
            <w:txbxContent>
              <w:p>
                <w:pPr>
                  <w:spacing w:before="3"/>
                  <w:ind w:left="40" w:right="0" w:firstLine="0"/>
                  <w:jc w:val="left"/>
                  <w:rPr>
                    <w:rFonts w:ascii="Times New Roman" w:hAnsi="Times New Roman" w:cs="Times New Roman" w:eastAsia="Times New Roman" w:hint="default"/>
                    <w:sz w:val="13"/>
                    <w:szCs w:val="13"/>
                  </w:rPr>
                </w:pPr>
                <w:r>
                  <w:rPr>
                    <w:rFonts w:ascii="Times New Roman"/>
                    <w:w w:val="99"/>
                    <w:sz w:val="13"/>
                  </w:rPr>
                </w:r>
                <w:r>
                  <w:rPr/>
                  <w:fldChar w:fldCharType="begin"/>
                </w:r>
                <w:r>
                  <w:rPr>
                    <w:rFonts w:ascii="Times New Roman"/>
                    <w:sz w:val="13"/>
                  </w:rPr>
                  <w:instrText> PAGE </w:instrText>
                </w:r>
                <w:r>
                  <w:rPr/>
                  <w:fldChar w:fldCharType="separate"/>
                </w:r>
                <w:r>
                  <w:rPr/>
                  <w:t>120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070007pt;margin-top:36.265610pt;width:204.75pt;height:11.5pt;mso-position-horizontal-relative:page;mso-position-vertical-relative:page;z-index:-795880" type="#_x0000_t202" filled="false" stroked="false">
          <v:textbox inset="0,0,0,0">
            <w:txbxContent>
              <w:p>
                <w:pPr>
                  <w:pStyle w:val="BodyText"/>
                  <w:spacing w:line="214" w:lineRule="exact"/>
                  <w:ind w:left="20" w:right="0"/>
                  <w:jc w:val="left"/>
                </w:pPr>
                <w:r>
                  <w:rPr/>
                  <w:t>北京北信源软件股份有限公司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74"/>
      <w:ind w:left="152"/>
    </w:pPr>
    <w:rPr>
      <w:rFonts w:ascii="Microsoft JhengHei" w:hAnsi="Microsoft JhengHei" w:eastAsia="Microsoft JhengHei"/>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350"/>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52"/>
      <w:outlineLvl w:val="2"/>
    </w:pPr>
    <w:rPr>
      <w:rFonts w:ascii="Microsoft JhengHei" w:hAnsi="Microsoft JhengHei" w:eastAsia="Microsoft JhengHei"/>
      <w:b/>
      <w:bCs/>
      <w:sz w:val="24"/>
      <w:szCs w:val="24"/>
    </w:rPr>
  </w:style>
  <w:style w:styleId="Heading3" w:type="paragraph">
    <w:name w:val="Heading 3"/>
    <w:basedOn w:val="Normal"/>
    <w:uiPriority w:val="1"/>
    <w:qFormat/>
    <w:pPr>
      <w:ind w:left="152"/>
      <w:outlineLvl w:val="3"/>
    </w:pPr>
    <w:rPr>
      <w:rFonts w:ascii="Microsoft JhengHei" w:hAnsi="Microsoft JhengHei" w:eastAsia="Microsoft JhengHei"/>
      <w:b/>
      <w:bCs/>
      <w:sz w:val="21"/>
      <w:szCs w:val="21"/>
    </w:rPr>
  </w:style>
  <w:style w:styleId="Heading4" w:type="paragraph">
    <w:name w:val="Heading 4"/>
    <w:basedOn w:val="Normal"/>
    <w:uiPriority w:val="1"/>
    <w:qFormat/>
    <w:pPr>
      <w:ind w:left="513"/>
      <w:outlineLvl w:val="4"/>
    </w:pPr>
    <w:rPr>
      <w:rFonts w:ascii="Microsoft JhengHei" w:hAnsi="Microsoft JhengHei" w:eastAsia="Microsoft JhengHei"/>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vrv.com.cn/" TargetMode="External"/><Relationship Id="rId11" Type="http://schemas.openxmlformats.org/officeDocument/2006/relationships/hyperlink" Target="mailto:vrvzq@vrvmail.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footer" Target="footer5.xml"/><Relationship Id="rId17" Type="http://schemas.openxmlformats.org/officeDocument/2006/relationships/hyperlink" Target="http://www.cninfo.com.cn/?%3F%3F%E7%BC%96%E7%A0%812017-070" TargetMode="External"/><Relationship Id="rId18" Type="http://schemas.openxmlformats.org/officeDocument/2006/relationships/image" Target="media/image4.png"/><Relationship Id="rId19" Type="http://schemas.openxmlformats.org/officeDocument/2006/relationships/hyperlink" Target="http://www.cninfo.com.cn&#20026;&#20844;&#21496;&#20449;&#24687;&#25259;&#38706;&#30340;&#25253;&#32440;&#21644;&#32593;&#31449;/" TargetMode="Externa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北京北信源软件股份有限公司</dc:creator>
  <dc:title>北京北信源软件股份有限公司2017年年度报告全文</dc:title>
  <dcterms:created xsi:type="dcterms:W3CDTF">2020-05-03T00:36:25Z</dcterms:created>
  <dcterms:modified xsi:type="dcterms:W3CDTF">2020-05-03T00:36:25Z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2018-04-23T00:00:00Z</vt:filetime>
  </property>
  <property fmtid="{D5CDD505-2E9C-101B-9397-08002B2CF9AE}" pid="3" name="Creator">
    <vt:lpwstr>Microsoft® Word 2013</vt:lpwstr>
  </property>
  <property fmtid="{D5CDD505-2E9C-101B-9397-08002B2CF9AE}" pid="4" name="LastSaved">
    <vt:filetime>2020-05-02T00:00:00Z</vt:filetime>
  </property>
</Properties>
</file>