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020"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1410461" cy="6477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0461" cy="647700"/>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369" w:right="1346" w:firstLine="0"/>
        <w:jc w:val="center"/>
        <w:rPr>
          <w:rFonts w:ascii="宋体" w:hAnsi="宋体" w:cs="宋体" w:eastAsia="宋体" w:hint="default"/>
          <w:sz w:val="36"/>
          <w:szCs w:val="36"/>
        </w:rPr>
      </w:pPr>
      <w:r>
        <w:rPr>
          <w:rFonts w:ascii="宋体" w:hAnsi="宋体" w:cs="宋体" w:eastAsia="宋体" w:hint="default"/>
          <w:b/>
          <w:bCs/>
          <w:sz w:val="36"/>
          <w:szCs w:val="36"/>
        </w:rPr>
        <w:t>北京北信源软件股份有限公司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69" w:right="134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369" w:right="1345" w:firstLine="0"/>
        <w:jc w:val="center"/>
        <w:rPr>
          <w:rFonts w:ascii="Times New Roman" w:hAnsi="Times New Roman" w:cs="Times New Roman" w:eastAsia="Times New Roman" w:hint="default"/>
          <w:sz w:val="22"/>
          <w:szCs w:val="22"/>
        </w:rPr>
      </w:pPr>
      <w:r>
        <w:rPr>
          <w:rFonts w:ascii="Times New Roman"/>
          <w:b/>
          <w:sz w:val="22"/>
        </w:rPr>
        <w:t>2019-046</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369" w:right="134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1190" w:top="1060" w:bottom="138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11"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2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公司负责人林皓、主管会计工作负责人邓华明及会计机构负责人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李丹声明：保证年度报告中财务报告的真实、准确、完整。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pacing w:val="-1"/>
          <w:w w:val="95"/>
          <w:sz w:val="28"/>
          <w:szCs w:val="28"/>
        </w:rPr>
        <w:t>本年度报告涉及未来计划等前瞻性陈述，不构成公司对投资者的实质承诺，</w:t>
      </w:r>
      <w:r>
        <w:rPr>
          <w:rFonts w:ascii="宋体" w:hAnsi="宋体" w:cs="宋体" w:eastAsia="宋体" w:hint="default"/>
          <w:sz w:val="28"/>
          <w:szCs w:val="28"/>
        </w:rPr>
      </w:r>
    </w:p>
    <w:p>
      <w:pPr>
        <w:spacing w:line="410" w:lineRule="auto" w:before="0"/>
        <w:ind w:left="154"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投资者及相关人士均应对此保持足够的风险认识，并且应当理解计划、预测与</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承诺之间的差异。</w:t>
      </w:r>
      <w:r>
        <w:rPr>
          <w:rFonts w:ascii="宋体" w:hAnsi="宋体" w:cs="宋体" w:eastAsia="宋体" w:hint="default"/>
          <w:sz w:val="28"/>
          <w:szCs w:val="28"/>
        </w:rPr>
      </w:r>
    </w:p>
    <w:p>
      <w:pPr>
        <w:spacing w:line="398" w:lineRule="auto" w:before="158"/>
        <w:ind w:left="154" w:right="1129" w:firstLine="561"/>
        <w:jc w:val="both"/>
        <w:rPr>
          <w:rFonts w:ascii="宋体" w:hAnsi="宋体" w:cs="宋体" w:eastAsia="宋体" w:hint="default"/>
          <w:sz w:val="28"/>
          <w:szCs w:val="28"/>
        </w:rPr>
      </w:pPr>
      <w:r>
        <w:rPr>
          <w:rFonts w:ascii="宋体" w:hAnsi="宋体" w:cs="宋体" w:eastAsia="宋体" w:hint="default"/>
          <w:b/>
          <w:bCs/>
          <w:spacing w:val="3"/>
          <w:sz w:val="28"/>
          <w:szCs w:val="28"/>
        </w:rPr>
        <w:t>公司在本报告第四节</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3"/>
          <w:sz w:val="28"/>
          <w:szCs w:val="28"/>
        </w:rPr>
        <w:t>经营情况讨论与分析</w:t>
      </w:r>
      <w:r>
        <w:rPr>
          <w:rFonts w:ascii="Times New Roman" w:hAnsi="Times New Roman" w:cs="Times New Roman" w:eastAsia="Times New Roman" w:hint="default"/>
          <w:b/>
          <w:bCs/>
          <w:spacing w:val="3"/>
          <w:sz w:val="28"/>
          <w:szCs w:val="28"/>
        </w:rPr>
        <w:t>”</w:t>
      </w:r>
      <w:r>
        <w:rPr>
          <w:rFonts w:ascii="Times New Roman" w:hAnsi="Times New Roman" w:cs="Times New Roman" w:eastAsia="Times New Roman" w:hint="default"/>
          <w:b/>
          <w:bCs/>
          <w:spacing w:val="44"/>
          <w:sz w:val="28"/>
          <w:szCs w:val="28"/>
        </w:rPr>
        <w:t> </w:t>
      </w:r>
      <w:r>
        <w:rPr>
          <w:rFonts w:ascii="宋体" w:hAnsi="宋体" w:cs="宋体" w:eastAsia="宋体" w:hint="default"/>
          <w:b/>
          <w:bCs/>
          <w:spacing w:val="3"/>
          <w:sz w:val="28"/>
          <w:szCs w:val="28"/>
        </w:rPr>
        <w:t>中</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公司未来发展的展望</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部</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分，详细描述了公司经营中可能存在的风险及应对措施，敬请投资者关注相关</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内容。</w:t>
      </w:r>
      <w:r>
        <w:rPr>
          <w:rFonts w:ascii="宋体" w:hAnsi="宋体" w:cs="宋体" w:eastAsia="宋体" w:hint="default"/>
          <w:sz w:val="28"/>
          <w:szCs w:val="28"/>
        </w:rPr>
      </w:r>
    </w:p>
    <w:p>
      <w:pPr>
        <w:spacing w:before="171"/>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1,449,824,087</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before="236"/>
        <w:ind w:left="154" w:right="0"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向全体股东</w:t>
      </w:r>
      <w:r>
        <w:rPr>
          <w:rFonts w:ascii="宋体" w:hAnsi="宋体" w:cs="宋体" w:eastAsia="宋体" w:hint="default"/>
          <w:b/>
          <w:bCs/>
          <w:w w:val="99"/>
          <w:sz w:val="28"/>
          <w:szCs w:val="28"/>
        </w:rPr>
        <w:t>每</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0.10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spacing w:val="1"/>
          <w:w w:val="99"/>
          <w:sz w:val="28"/>
          <w:szCs w:val="28"/>
        </w:rPr>
        <w:t>（</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spacing w:val="1"/>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spacing w:val="1"/>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w:t>
      </w:r>
      <w:r>
        <w:rPr>
          <w:rFonts w:ascii="宋体" w:hAnsi="宋体" w:cs="宋体" w:eastAsia="宋体" w:hint="default"/>
          <w:sz w:val="28"/>
          <w:szCs w:val="28"/>
        </w:rPr>
      </w:r>
    </w:p>
    <w:p>
      <w:pPr>
        <w:spacing w:before="237"/>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1190" w:header="747" w:top="1060" w:bottom="138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69" w:right="134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left="154"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8"/>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8"/>
              </w:rPr>
              <w:t> </w:t>
            </w:r>
            <w:r>
              <w:rPr/>
              <w:t>公司业务概要</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168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1190" w:top="1060" w:bottom="1380" w:left="980" w:right="0"/>
        </w:sectPr>
      </w:pPr>
    </w:p>
    <w:p>
      <w:pPr>
        <w:spacing w:before="946"/>
        <w:ind w:left="369" w:right="134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北信源、公司、本公司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安信证券、保荐机构</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安信证券股份有限公司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上海北信源</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上海北信源信息技术有限公司，公司全资子公司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神州信源</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江苏神州信源系统工程有限公司，公司全资子公司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北信源（马来西亚）信息技术公司，公司全资子公司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中软华泰</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北京中软华泰信息技术有限责任公司，公司全资子公司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北信源国际有限公司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北京子公司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北京北信源信息安全技术有限公司，公司全资子公司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信源匡恩</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北京信源匡恩工控安全科技有限公司，公司控股子公司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人工智能产业联盟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人工智能产业技术创新联盟（北京）科技有限公司，公司控股子公司</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北信源信息技术（青岛）有限公司，系由北信源与神州信源共同出资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设立，北信源持股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，神州信源持股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公司控股股东、实际控制人</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林皓</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北京北信源软件股份有限公司股东大会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北京北信源软件股份有限公司监事会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证监会指定创业板信息披露网站</w:t>
            </w:r>
            <w:r>
              <w:rPr>
                <w:rFonts w:ascii="宋体" w:hAnsi="宋体" w:cs="宋体" w:eastAsia="宋体" w:hint="default"/>
                <w:spacing w:val="-13"/>
                <w:sz w:val="18"/>
                <w:szCs w:val="18"/>
              </w:rPr>
              <w:t> </w:t>
            </w:r>
            <w:hyperlink r:id="rId9">
              <w:r>
                <w:rPr>
                  <w:rFonts w:ascii="Times New Roman" w:hAnsi="Times New Roman" w:cs="Times New Roman" w:eastAsia="Times New Roman" w:hint="default"/>
                  <w:sz w:val="18"/>
                  <w:szCs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10"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shape style="position:absolute;margin-left:138pt;margin-top:114.735939pt;width:396.9pt;height:19.6pt;mso-position-horizontal-relative:page;mso-position-vertical-relative:paragraph;z-index:-978016" type="#_x0000_t202" filled="false" stroked="false">
            <v:textbox inset="0,0,0,0">
              <w:txbxContent>
                <w:p>
                  <w:pPr>
                    <w:pStyle w:val="BodyText"/>
                    <w:spacing w:line="240" w:lineRule="auto" w:before="51"/>
                    <w:ind w:left="0" w:right="0"/>
                    <w:jc w:val="left"/>
                  </w:pPr>
                  <w:r>
                    <w:rPr/>
                    <w:t>（如有）</w:t>
                  </w:r>
                </w:p>
              </w:txbxContent>
            </v:textbox>
            <w10:wrap type="none"/>
          </v:shape>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北信源</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300352</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北信源</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Beijing </w:t>
            </w:r>
            <w:r>
              <w:rPr>
                <w:rFonts w:ascii="Times New Roman"/>
                <w:spacing w:val="-5"/>
                <w:sz w:val="18"/>
              </w:rPr>
              <w:t>VRV </w:t>
            </w:r>
            <w:r>
              <w:rPr>
                <w:rFonts w:ascii="Times New Roman"/>
                <w:sz w:val="18"/>
              </w:rPr>
              <w:t>Software Corporation</w:t>
            </w:r>
            <w:r>
              <w:rPr>
                <w:rFonts w:ascii="Times New Roman"/>
                <w:spacing w:val="-9"/>
                <w:sz w:val="18"/>
              </w:rPr>
              <w:t> </w:t>
            </w:r>
            <w:r>
              <w:rPr>
                <w:rFonts w:ascii="Times New Roman"/>
                <w:sz w:val="18"/>
              </w:rPr>
              <w:t>Limited.</w:t>
            </w:r>
          </w:p>
        </w:tc>
      </w:tr>
      <w:tr>
        <w:trPr>
          <w:trHeight w:val="402" w:hRule="exact"/>
        </w:trPr>
        <w:tc>
          <w:tcPr>
            <w:tcW w:w="2284" w:type="dxa"/>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9" w:space="0" w:color="FFFFFF"/>
            </w:tcBorders>
          </w:tcPr>
          <w:p>
            <w:pPr>
              <w:pStyle w:val="TableParagraph"/>
              <w:spacing w:line="240" w:lineRule="auto" w:before="92"/>
              <w:ind w:left="16" w:right="0"/>
              <w:jc w:val="left"/>
              <w:rPr>
                <w:rFonts w:ascii="Times New Roman" w:hAnsi="Times New Roman" w:cs="Times New Roman" w:eastAsia="Times New Roman" w:hint="default"/>
                <w:sz w:val="18"/>
                <w:szCs w:val="18"/>
              </w:rPr>
            </w:pPr>
            <w:r>
              <w:rPr>
                <w:rFonts w:ascii="Times New Roman"/>
                <w:spacing w:val="-6"/>
                <w:sz w:val="18"/>
              </w:rPr>
              <w:t>VRV</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林皓</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号中关村科技发展大厦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100081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号中关村科技发展大厦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100081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http://www.vrv.com.cn/</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vrvzq@vrvmail.com.cn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林皓（代）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单思齐</w:t>
            </w:r>
          </w:p>
        </w:tc>
      </w:tr>
      <w:tr>
        <w:trPr>
          <w:trHeight w:val="317"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北京市海淀区闵庄路</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号玉泉慧谷</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期</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层、北京市海淀区中关村南大街</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号中关村科技发展大厦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北京市海淀区闵庄路</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号玉泉慧谷</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期</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层、北京市海淀区中关村南大街</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号中关村科技发展大厦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010-62140485-8073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010-62140485-8073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010-62147259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010-62147259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vrvzq@vrvmail.com.cn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vrvzq@vrvmail.com.cn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  证券时报  证券日报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北京北信源软件股份有限公司证券投资部</w:t>
            </w:r>
          </w:p>
        </w:tc>
      </w:tr>
    </w:tbl>
    <w:p>
      <w:pPr>
        <w:spacing w:after="0" w:line="240" w:lineRule="auto"/>
        <w:jc w:val="left"/>
        <w:rPr>
          <w:rFonts w:ascii="宋体" w:hAnsi="宋体" w:cs="宋体" w:eastAsia="宋体" w:hint="default"/>
          <w:sz w:val="18"/>
          <w:szCs w:val="18"/>
        </w:rPr>
        <w:sectPr>
          <w:pgSz w:w="11910" w:h="16840"/>
          <w:pgMar w:header="747" w:footer="1190" w:top="1060" w:bottom="138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号院中海地产广场西塔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荣健  单大信</w:t>
            </w:r>
          </w:p>
        </w:tc>
      </w:tr>
    </w:tbl>
    <w:p>
      <w:pPr>
        <w:pStyle w:val="BodyText"/>
        <w:spacing w:line="240" w:lineRule="auto" w:before="51"/>
        <w:ind w:right="0"/>
        <w:jc w:val="left"/>
      </w:pPr>
      <w:r>
        <w:rPr/>
        <w:t>公司聘请的报告期内履行持续督导职责的保荐机构</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安信证券股份有限公司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深圳市福田区金田路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安联大厦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5" w:right="0"/>
              <w:jc w:val="left"/>
              <w:rPr>
                <w:rFonts w:ascii="宋体" w:hAnsi="宋体" w:cs="宋体" w:eastAsia="宋体" w:hint="default"/>
                <w:sz w:val="18"/>
                <w:szCs w:val="18"/>
              </w:rPr>
            </w:pPr>
            <w:r>
              <w:rPr>
                <w:rFonts w:ascii="宋体" w:hAnsi="宋体" w:cs="宋体" w:eastAsia="宋体" w:hint="default"/>
                <w:sz w:val="18"/>
                <w:szCs w:val="18"/>
              </w:rPr>
              <w:t>徐荣健 赵冬冬</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直至募集资金使用完毕</w:t>
            </w:r>
          </w:p>
        </w:tc>
      </w:tr>
    </w:tbl>
    <w:p>
      <w:pPr>
        <w:pStyle w:val="BodyText"/>
        <w:spacing w:line="240" w:lineRule="auto" w:before="51"/>
        <w:ind w:right="0"/>
        <w:jc w:val="left"/>
      </w:pPr>
      <w:r>
        <w:rPr/>
        <w:t>公司聘请的报告期内履行持续督导职责的财务顾问</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572,400,445.59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514,852,610.92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492,299,777.56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94,090,073.34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91,451,980.39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80,347,228.14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73,304,152.57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63,661,402.33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78,251,513.10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-87,233,511.19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-88,215,326.20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-20,320,955.30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0.0649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0.0631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0.0619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0.0649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0.0631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0.0619</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8.25%</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2,580,068,302.71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2,494,353,509.47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2,314,317,659.87</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2,289,503,009.28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2,212,720,654.05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2,144,254,191.36</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86,469,555.01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109,657,838.65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108,747,934.66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267,525,117.27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1,225,564.49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23,084,706.46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9,254,462.97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60,525,339.42</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-2,646,149.47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14,734,814.21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3,360,533.82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57,854,954.01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-78,196,313.24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-3,548,364.01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-32,205,055.84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26,716,221.90</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-26,865.98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122,990.26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17,277.35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5,230,523.07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2,596,496.67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2,338,763.14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54"/>
              <w:jc w:val="left"/>
              <w:rPr>
                <w:rFonts w:ascii="宋体" w:hAnsi="宋体" w:cs="宋体" w:eastAsia="宋体" w:hint="default"/>
                <w:sz w:val="18"/>
                <w:szCs w:val="18"/>
              </w:rPr>
            </w:pPr>
            <w:r>
              <w:rPr>
                <w:rFonts w:ascii="宋体" w:hAnsi="宋体" w:cs="宋体" w:eastAsia="宋体" w:hint="default"/>
                <w:sz w:val="18"/>
                <w:szCs w:val="18"/>
              </w:rPr>
              <w:t>非经常性连续政府补 助</w:t>
            </w:r>
          </w:p>
        </w:tc>
      </w:tr>
      <w:tr>
        <w:trPr>
          <w:trHeight w:val="161" w:hRule="exact"/>
        </w:trPr>
        <w:tc>
          <w:tcPr>
            <w:tcW w:w="32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19,585,796.56</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30,740,781.88</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9" w:right="0"/>
              <w:jc w:val="left"/>
              <w:rPr>
                <w:rFonts w:ascii="Times New Roman" w:hAnsi="Times New Roman" w:cs="Times New Roman" w:eastAsia="Times New Roman" w:hint="default"/>
                <w:sz w:val="18"/>
                <w:szCs w:val="18"/>
              </w:rPr>
            </w:pPr>
            <w:r>
              <w:rPr>
                <w:rFonts w:ascii="Times New Roman"/>
                <w:sz w:val="18"/>
              </w:rPr>
              <w:t>144,780.83</w:t>
            </w:r>
          </w:p>
        </w:tc>
        <w:tc>
          <w:tcPr>
            <w:tcW w:w="1710"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结构性存款及理财收 益</w:t>
            </w:r>
          </w:p>
        </w:tc>
      </w:tr>
      <w:tr>
        <w:trPr>
          <w:trHeight w:val="392" w:hRule="exact"/>
        </w:trPr>
        <w:tc>
          <w:tcPr>
            <w:tcW w:w="32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19"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9"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-582,683.35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-765,508.74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595.97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3,420,849.53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4,904,182.01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405,702.25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20,785,920.77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27,790,578.06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2,095,715.04</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11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t>公司报告期不存在将根据《公开发行证券的公司信息披露解释性公告第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p>
    <w:p>
      <w:pPr>
        <w:spacing w:after="0" w:line="240" w:lineRule="auto"/>
        <w:jc w:val="left"/>
        <w:sectPr>
          <w:pgSz w:w="11910" w:h="16840"/>
          <w:pgMar w:header="747" w:footer="1190" w:top="1060" w:bottom="138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项目界定为经常性损益的项目的情形。</w:t>
      </w:r>
    </w:p>
    <w:p>
      <w:pPr>
        <w:spacing w:after="0" w:line="240" w:lineRule="auto"/>
        <w:jc w:val="left"/>
        <w:sectPr>
          <w:pgSz w:w="11910" w:h="16840"/>
          <w:pgMar w:header="747" w:footer="1190"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345"/>
        <w:jc w:val="center"/>
        <w:rPr>
          <w:b w:val="0"/>
          <w:bCs w:val="0"/>
        </w:rPr>
      </w:pPr>
      <w:bookmarkStart w:name="_TOC_250009" w:id="3"/>
      <w:r>
        <w:rPr/>
        <w:t>第三节</w:t>
      </w:r>
      <w:r>
        <w:rPr>
          <w:spacing w:val="-1"/>
        </w:rPr>
        <w:t> </w:t>
      </w:r>
      <w:r>
        <w:rPr/>
        <w:t>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7691"/>
        <w:jc w:val="left"/>
      </w:pPr>
      <w:r>
        <w:rPr/>
        <w:t>公司是否需要遵守特殊行业的披露要求 是</w:t>
      </w:r>
    </w:p>
    <w:p>
      <w:pPr>
        <w:pStyle w:val="BodyText"/>
        <w:spacing w:line="240" w:lineRule="auto" w:before="26"/>
        <w:ind w:left="153" w:right="0"/>
        <w:jc w:val="left"/>
      </w:pPr>
      <w:r>
        <w:rPr/>
        <w:t>软件与信息技术服务业</w:t>
      </w:r>
    </w:p>
    <w:p>
      <w:pPr>
        <w:pStyle w:val="BodyText"/>
        <w:spacing w:line="240" w:lineRule="auto" w:before="116"/>
        <w:ind w:left="153" w:right="0"/>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60" w:lineRule="auto" w:before="102"/>
        <w:ind w:left="514" w:right="0" w:hanging="60"/>
        <w:jc w:val="left"/>
      </w:pPr>
      <w:r>
        <w:rPr>
          <w:rFonts w:ascii="宋体" w:hAnsi="宋体" w:cs="宋体" w:eastAsia="宋体" w:hint="default"/>
          <w:b/>
          <w:bCs/>
        </w:rPr>
        <w:t>（一）公司主营业务</w:t>
      </w:r>
      <w:r>
        <w:rPr>
          <w:rFonts w:ascii="宋体" w:hAnsi="宋体" w:cs="宋体" w:eastAsia="宋体" w:hint="default"/>
          <w:b/>
          <w:bCs/>
          <w:spacing w:val="1"/>
          <w:w w:val="99"/>
        </w:rPr>
        <w:t> </w:t>
      </w:r>
      <w:r>
        <w:rPr>
          <w:spacing w:val="-2"/>
        </w:rPr>
        <w:t>公司是国内终端安全管理领域龙头企业，是国内信息安全领域领先的解决方案提供商，围绕信息安全产业链，为客户提</w:t>
      </w:r>
    </w:p>
    <w:p>
      <w:pPr>
        <w:pStyle w:val="BodyText"/>
        <w:spacing w:line="221" w:lineRule="exact"/>
        <w:ind w:right="0"/>
        <w:jc w:val="left"/>
      </w:pPr>
      <w:r>
        <w:rPr/>
        <w:t>供涵盖安全的软件开发、安全可控的解决方案、维护服务以及安全系统集成在内的一整套信息化服务，用户涉及政府机关、</w:t>
      </w:r>
    </w:p>
    <w:p>
      <w:pPr>
        <w:pStyle w:val="BodyText"/>
        <w:spacing w:line="302" w:lineRule="auto" w:before="76"/>
        <w:ind w:right="0"/>
        <w:jc w:val="left"/>
      </w:pPr>
      <w:r>
        <w:rPr>
          <w:spacing w:val="-2"/>
        </w:rPr>
        <w:t>军队军工、金融、能源等重要行业数千家单位。目前公司产品体系已经完成</w:t>
      </w:r>
      <w:r>
        <w:rPr>
          <w:rFonts w:ascii="Times New Roman" w:hAnsi="Times New Roman" w:cs="Times New Roman" w:eastAsia="Times New Roman" w:hint="default"/>
          <w:spacing w:val="-2"/>
        </w:rPr>
        <w:t>“</w:t>
      </w:r>
      <w:r>
        <w:rPr>
          <w:spacing w:val="-2"/>
        </w:rPr>
        <w:t>信息安全、大数据、互联网</w:t>
      </w:r>
      <w:r>
        <w:rPr>
          <w:rFonts w:ascii="Times New Roman" w:hAnsi="Times New Roman" w:cs="Times New Roman" w:eastAsia="Times New Roman" w:hint="default"/>
          <w:spacing w:val="-2"/>
        </w:rPr>
        <w:t>”</w:t>
      </w:r>
      <w:r>
        <w:rPr>
          <w:spacing w:val="-2"/>
        </w:rPr>
        <w:t>格局的打造，使公</w:t>
      </w:r>
      <w:r>
        <w:rPr>
          <w:spacing w:val="-45"/>
        </w:rPr>
        <w:t> </w:t>
      </w:r>
      <w:r>
        <w:rPr>
          <w:spacing w:val="-45"/>
        </w:rPr>
      </w:r>
      <w:r>
        <w:rPr/>
        <w:t>司从传统的终端安全领导者逐步成为物联网时代下智慧安全的全面解决方案提供商。</w:t>
      </w:r>
    </w:p>
    <w:p>
      <w:pPr>
        <w:pStyle w:val="BodyText"/>
        <w:spacing w:line="240" w:lineRule="auto" w:before="69"/>
        <w:ind w:left="514" w:right="0"/>
        <w:jc w:val="left"/>
      </w:pPr>
      <w:r>
        <w:rPr/>
        <w:t>报告期内，公司主营业务未发生重大变化。</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4"/>
        <w:spacing w:line="240" w:lineRule="auto"/>
        <w:ind w:left="413" w:right="0"/>
        <w:jc w:val="left"/>
        <w:rPr>
          <w:b w:val="0"/>
          <w:bCs w:val="0"/>
        </w:rPr>
      </w:pPr>
      <w:r>
        <w:rPr/>
        <w:t>（二）主要产品及用途</w:t>
      </w:r>
      <w:r>
        <w:rPr>
          <w:b w:val="0"/>
          <w:bCs w:val="0"/>
        </w:rPr>
      </w:r>
    </w:p>
    <w:p>
      <w:pPr>
        <w:pStyle w:val="BodyText"/>
        <w:spacing w:line="300" w:lineRule="auto" w:before="76"/>
        <w:ind w:left="514" w:right="1117" w:firstLine="1"/>
        <w:jc w:val="left"/>
      </w:pPr>
      <w:r>
        <w:rPr>
          <w:rFonts w:ascii="Times New Roman" w:hAnsi="Times New Roman" w:cs="Times New Roman" w:eastAsia="Times New Roman" w:hint="default"/>
          <w:b/>
          <w:bCs/>
        </w:rPr>
        <w:t>1</w:t>
      </w:r>
      <w:r>
        <w:rPr>
          <w:rFonts w:ascii="宋体" w:hAnsi="宋体" w:cs="宋体" w:eastAsia="宋体" w:hint="default"/>
          <w:b/>
          <w:bCs/>
        </w:rPr>
        <w:t>、信息安全</w:t>
      </w:r>
      <w:r>
        <w:rPr>
          <w:rFonts w:ascii="宋体" w:hAnsi="宋体" w:cs="宋体" w:eastAsia="宋体" w:hint="default"/>
          <w:b/>
          <w:bCs/>
          <w:spacing w:val="1"/>
          <w:w w:val="99"/>
        </w:rPr>
        <w:t> </w:t>
      </w:r>
      <w:r>
        <w:rPr>
          <w:spacing w:val="-2"/>
        </w:rPr>
        <w:t>在信息安全领域，公司依托中国终端安全管理市场龙头地位，积极创新、锐意进取，打造了大数据驱动下的网络边界安</w:t>
      </w:r>
    </w:p>
    <w:p>
      <w:pPr>
        <w:pStyle w:val="BodyText"/>
        <w:spacing w:line="316" w:lineRule="auto" w:before="31"/>
        <w:ind w:right="1120"/>
        <w:jc w:val="left"/>
      </w:pPr>
      <w:r>
        <w:rPr/>
        <w:t>全、主机安全、数据安全、服务器安全、云安全、工控安全和反病毒等产品的完整信息安全产品体系。 产品体系已经全面</w:t>
      </w:r>
      <w:r>
        <w:rPr>
          <w:spacing w:val="-88"/>
        </w:rPr>
        <w:t> </w:t>
      </w:r>
      <w:r>
        <w:rPr>
          <w:spacing w:val="-88"/>
        </w:rPr>
      </w:r>
      <w:r>
        <w:rPr/>
        <w:t>覆盖国产终端、服务器和硬件平台。</w:t>
      </w:r>
    </w:p>
    <w:p>
      <w:pPr>
        <w:pStyle w:val="BodyText"/>
        <w:spacing w:line="314" w:lineRule="auto" w:before="19"/>
        <w:ind w:right="1128" w:firstLine="360"/>
        <w:jc w:val="both"/>
      </w:pPr>
      <w:r>
        <w:rPr>
          <w:spacing w:val="-2"/>
        </w:rPr>
        <w:t>边界安全类产品致力于保障网络边界完整性及终端接入网络的安全性，包括网络接入控制系统、视频安全监控系统和网</w:t>
      </w:r>
      <w:r>
        <w:rPr/>
        <w:t> </w:t>
      </w:r>
      <w:r>
        <w:rPr>
          <w:spacing w:val="-2"/>
        </w:rPr>
        <w:t>络边界监测系统等多款产品。边界安全产品市场发展迅猛，不仅适用于传统的办公网，而且已成为视频监控专网等专用网络</w:t>
      </w:r>
      <w:r>
        <w:rPr>
          <w:spacing w:val="-66"/>
        </w:rPr>
        <w:t> </w:t>
      </w:r>
      <w:r>
        <w:rPr>
          <w:spacing w:val="-66"/>
        </w:rPr>
      </w:r>
      <w:r>
        <w:rPr/>
        <w:t>的基础安全保障</w:t>
      </w:r>
      <w:r>
        <w:rPr>
          <w:rFonts w:ascii="Times New Roman" w:hAnsi="Times New Roman" w:cs="Times New Roman" w:eastAsia="Times New Roman" w:hint="default"/>
        </w:rPr>
        <w:t>,</w:t>
      </w:r>
      <w:r>
        <w:rPr/>
        <w:t>市场前景广阔。网络接入控制系统通过终端发现识别、终端安全检测、终端身份认证等多方面确认终端接</w:t>
      </w:r>
      <w:r>
        <w:rPr>
          <w:spacing w:val="-46"/>
        </w:rPr>
        <w:t> </w:t>
      </w:r>
      <w:r>
        <w:rPr>
          <w:spacing w:val="-46"/>
        </w:rPr>
      </w:r>
      <w:r>
        <w:rPr>
          <w:spacing w:val="-2"/>
        </w:rPr>
        <w:t>入合规性，应用多种准入控制技术实现合规网络准入，解决了泛终端的边界接入管理问题；视频安全监控系统通过建立明确</w:t>
      </w:r>
      <w:r>
        <w:rPr>
          <w:spacing w:val="-66"/>
        </w:rPr>
        <w:t> </w:t>
      </w:r>
      <w:r>
        <w:rPr>
          <w:spacing w:val="-66"/>
        </w:rPr>
      </w:r>
      <w:r>
        <w:rPr>
          <w:spacing w:val="-2"/>
        </w:rPr>
        <w:t>的、规范的视频摄像头接入要求和准入监控措施，解决专用终端为主的视频网中，资产不明确、摄像头安全漏洞、仿冒终端</w:t>
      </w:r>
      <w:r>
        <w:rPr>
          <w:spacing w:val="-66"/>
        </w:rPr>
        <w:t> </w:t>
      </w:r>
      <w:r>
        <w:rPr>
          <w:spacing w:val="-66"/>
        </w:rPr>
      </w:r>
      <w:r>
        <w:rPr>
          <w:spacing w:val="-2"/>
        </w:rPr>
        <w:t>接入网络等安全问题；网络边界监测系统是硬件网关型设备，实现对违规内外网互联、私建网中网、违规移动设备接入、私</w:t>
      </w:r>
      <w:r>
        <w:rPr>
          <w:spacing w:val="-66"/>
        </w:rPr>
        <w:t> </w:t>
      </w:r>
      <w:r>
        <w:rPr>
          <w:spacing w:val="-66"/>
        </w:rPr>
      </w:r>
      <w:r>
        <w:rPr/>
        <w:t>搭代理服务器等各类违规行为的自动发现与定位。</w:t>
      </w:r>
    </w:p>
    <w:p>
      <w:pPr>
        <w:pStyle w:val="BodyText"/>
        <w:spacing w:line="312" w:lineRule="auto" w:before="20"/>
        <w:ind w:left="153" w:right="1131" w:firstLine="360"/>
        <w:jc w:val="both"/>
      </w:pPr>
      <w:r>
        <w:rPr>
          <w:spacing w:val="-2"/>
        </w:rPr>
        <w:t>主机安全类产品致力于内网终端安全管理，除传统的</w:t>
      </w:r>
      <w:r>
        <w:rPr>
          <w:rFonts w:ascii="Times New Roman" w:hAnsi="Times New Roman" w:cs="Times New Roman" w:eastAsia="Times New Roman" w:hint="default"/>
          <w:spacing w:val="-2"/>
        </w:rPr>
        <w:t>Windows</w:t>
      </w:r>
      <w:r>
        <w:rPr>
          <w:spacing w:val="-2"/>
        </w:rPr>
        <w:t>操作系统的终端外，主机安全类产品已经全面覆盖多种自</w:t>
      </w:r>
      <w:r>
        <w:rPr/>
        <w:t> </w:t>
      </w:r>
      <w:r>
        <w:rPr>
          <w:spacing w:val="-2"/>
        </w:rPr>
        <w:t>主国产终端、虚拟化终端、移动终端和工控终端等。主机安全产品包括主机监控审计与补丁分发系统、金甲防线、防病毒系</w:t>
      </w:r>
      <w:r>
        <w:rPr>
          <w:spacing w:val="-66"/>
        </w:rPr>
        <w:t> </w:t>
      </w:r>
      <w:r>
        <w:rPr>
          <w:spacing w:val="-66"/>
        </w:rPr>
      </w:r>
      <w:r>
        <w:rPr>
          <w:spacing w:val="-2"/>
        </w:rPr>
        <w:t>统、虚拟化综合审计系统等。随着安全管理理念的升级，内网安全产品从合规管理逐步扩展成为包括主机防护、行为合规监</w:t>
      </w:r>
      <w:r>
        <w:rPr>
          <w:spacing w:val="-66"/>
        </w:rPr>
        <w:t> </w:t>
      </w:r>
      <w:r>
        <w:rPr>
          <w:spacing w:val="-66"/>
        </w:rPr>
      </w:r>
      <w:r>
        <w:rPr/>
        <w:t>管和终端安全运维的新一代终端安全管理体系，为用户提供多位一体、统一管理的解决方案。</w:t>
      </w:r>
    </w:p>
    <w:p>
      <w:pPr>
        <w:pStyle w:val="BodyText"/>
        <w:spacing w:line="312" w:lineRule="auto" w:before="22"/>
        <w:ind w:left="153" w:right="1131" w:firstLine="360"/>
        <w:jc w:val="both"/>
      </w:pPr>
      <w:r>
        <w:rPr>
          <w:spacing w:val="-1"/>
        </w:rPr>
        <w:t>数据安全类产品致力于保障内网数据资产的安全，包括终端安全登录与文件保护系统、移动存储管理系统与安全</w:t>
      </w:r>
      <w:r>
        <w:rPr>
          <w:rFonts w:ascii="Times New Roman" w:hAnsi="Times New Roman" w:cs="Times New Roman" w:eastAsia="Times New Roman" w:hint="default"/>
          <w:spacing w:val="-1"/>
        </w:rPr>
        <w:t>U</w:t>
      </w:r>
      <w:r>
        <w:rPr>
          <w:spacing w:val="-1"/>
        </w:rPr>
        <w:t>盘系</w:t>
      </w:r>
      <w:r>
        <w:rPr/>
        <w:t> </w:t>
      </w:r>
      <w:r>
        <w:rPr>
          <w:spacing w:val="-2"/>
        </w:rPr>
        <w:t>统、数据泄露防护系统、终端保密检查系统与移动存储信息介质消除系统、打印复印及光盘刻录安全监控与审计系统、电子</w:t>
      </w:r>
      <w:r>
        <w:rPr>
          <w:spacing w:val="-66"/>
        </w:rPr>
        <w:t> </w:t>
      </w:r>
      <w:r>
        <w:rPr>
          <w:spacing w:val="-66"/>
        </w:rPr>
      </w:r>
      <w:r>
        <w:rPr>
          <w:spacing w:val="-2"/>
        </w:rPr>
        <w:t>文档安全管理系统等多款产品。随着企业数据量爆增以及人们数据资产意识的不断深化，数据安全产品已经成为众多用户关</w:t>
      </w:r>
      <w:r>
        <w:rPr>
          <w:spacing w:val="-64"/>
        </w:rPr>
        <w:t> </w:t>
      </w:r>
      <w:r>
        <w:rPr>
          <w:spacing w:val="-64"/>
        </w:rPr>
      </w:r>
      <w:r>
        <w:rPr/>
        <w:t>注的信息安全焦点。数据安全类产品市场空间巨大，覆盖范围广泛，是目前公司最具发展潜力的产品。</w:t>
      </w:r>
    </w:p>
    <w:p>
      <w:pPr>
        <w:pStyle w:val="BodyText"/>
        <w:spacing w:line="312" w:lineRule="auto" w:before="22"/>
        <w:ind w:left="153" w:right="1131" w:firstLine="360"/>
        <w:jc w:val="both"/>
      </w:pPr>
      <w:r>
        <w:rPr>
          <w:spacing w:val="-2"/>
        </w:rPr>
        <w:t>服务器安全类产品致力于从识别、检测、防护、响应角度出发，全面覆盖服务器安全整体需求，形成服务器安全的闭环</w:t>
      </w:r>
      <w:r>
        <w:rPr/>
        <w:t> </w:t>
      </w:r>
      <w:r>
        <w:rPr>
          <w:spacing w:val="-2"/>
        </w:rPr>
        <w:t>防御体系。服务器安全产品主要包括主机</w:t>
      </w:r>
      <w:r>
        <w:rPr>
          <w:rFonts w:ascii="Times New Roman" w:hAnsi="Times New Roman" w:cs="Times New Roman" w:eastAsia="Times New Roman" w:hint="default"/>
          <w:spacing w:val="-2"/>
        </w:rPr>
        <w:t>EDR</w:t>
      </w:r>
      <w:r>
        <w:rPr>
          <w:spacing w:val="-2"/>
        </w:rPr>
        <w:t>安全检测平台、操作系统安全加固、特权账户管理平台等。目前，服务器安全</w:t>
      </w:r>
      <w:r>
        <w:rPr>
          <w:spacing w:val="-65"/>
        </w:rPr>
        <w:t> </w:t>
      </w:r>
      <w:r>
        <w:rPr>
          <w:spacing w:val="-65"/>
        </w:rPr>
      </w:r>
      <w:r>
        <w:rPr>
          <w:spacing w:val="-2"/>
        </w:rPr>
        <w:t>产品已应用于中央电视台新台址工程建设项目中的部分顶级系统和长沙数据中心管理域等项目。在宏观政策、安全事件、客</w:t>
      </w:r>
      <w:r>
        <w:rPr>
          <w:spacing w:val="-66"/>
        </w:rPr>
        <w:t> </w:t>
      </w:r>
      <w:r>
        <w:rPr>
          <w:spacing w:val="-66"/>
        </w:rPr>
      </w:r>
      <w:r>
        <w:rPr/>
        <w:t>户需求的三重驱动下，服务器产品线将持续发力，为客户服务器和应用系统提供全方位的安全防护。</w:t>
      </w:r>
    </w:p>
    <w:p>
      <w:pPr>
        <w:pStyle w:val="BodyText"/>
        <w:spacing w:line="316" w:lineRule="auto" w:before="22"/>
        <w:ind w:left="153" w:right="1131" w:firstLine="360"/>
        <w:jc w:val="both"/>
      </w:pPr>
      <w:r>
        <w:rPr>
          <w:spacing w:val="-2"/>
        </w:rPr>
        <w:t>国产化软硬件平台的普及、视频专网高速泛和智慧城市建设等趋势为公司信息安全产品体系的进一步发展带来了新的契</w:t>
      </w:r>
      <w:r>
        <w:rPr/>
        <w:t> 机。</w:t>
      </w:r>
    </w:p>
    <w:p>
      <w:pPr>
        <w:spacing w:after="0" w:line="316" w:lineRule="auto"/>
        <w:jc w:val="both"/>
        <w:sectPr>
          <w:pgSz w:w="11910" w:h="16840"/>
          <w:pgMar w:header="747" w:footer="1190" w:top="1060" w:bottom="13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031" w:firstLine="360"/>
        <w:jc w:val="left"/>
      </w:pPr>
      <w:r>
        <w:rPr>
          <w:spacing w:val="-4"/>
        </w:rPr>
        <w:t>报告期内，公司多款国产化安全产品入选国产化信息产品《适配名录》。这些产品为国产终端用户提供了身份安全辨识，</w:t>
      </w:r>
      <w:r>
        <w:rPr/>
        <w:t> 终端主机及相关操作的安全管控以及对于外部恶意代码、病毒的入侵防护，用户数据打印、刻录的安全审计等功能，从人、 </w:t>
      </w:r>
      <w:r>
        <w:rPr>
          <w:spacing w:val="-2"/>
        </w:rPr>
        <w:t>终端、数据、攻击防护等多维度提升国产信息产品的安全防护能力。这是公司提前布局安全可控市场的成果展示，体现了公</w:t>
      </w:r>
      <w:r>
        <w:rPr>
          <w:spacing w:val="-66"/>
        </w:rPr>
        <w:t> </w:t>
      </w:r>
      <w:r>
        <w:rPr>
          <w:spacing w:val="-66"/>
        </w:rPr>
      </w:r>
      <w:r>
        <w:rPr/>
        <w:t>司多层次多方面守护国产化信息产品安全的能力。</w:t>
      </w:r>
    </w:p>
    <w:p>
      <w:pPr>
        <w:pStyle w:val="BodyText"/>
        <w:spacing w:line="316" w:lineRule="auto" w:before="19"/>
        <w:ind w:left="153" w:right="0" w:firstLine="360"/>
        <w:jc w:val="left"/>
      </w:pPr>
      <w:r>
        <w:rPr>
          <w:spacing w:val="-2"/>
        </w:rPr>
        <w:t>公司将与众多国产化生态链企业一起合力打造安全可控生态体系，为行业客户提供安全、可信、适用的安全可控软硬件</w:t>
      </w:r>
      <w:r>
        <w:rPr/>
        <w:t> 一体化解决方案和更加完善、可靠的信息安全保障，为国家信息安全建设与国产化发展战略贡献更多力量。</w:t>
      </w:r>
    </w:p>
    <w:p>
      <w:pPr>
        <w:spacing w:line="240" w:lineRule="auto" w:before="4"/>
        <w:rPr>
          <w:rFonts w:ascii="宋体" w:hAnsi="宋体" w:cs="宋体" w:eastAsia="宋体" w:hint="default"/>
          <w:sz w:val="25"/>
          <w:szCs w:val="25"/>
        </w:rPr>
      </w:pPr>
    </w:p>
    <w:p>
      <w:pPr>
        <w:pStyle w:val="BodyText"/>
        <w:spacing w:line="300" w:lineRule="auto"/>
        <w:ind w:left="576" w:right="1117"/>
        <w:jc w:val="left"/>
      </w:pPr>
      <w:r>
        <w:rPr>
          <w:rFonts w:ascii="Times New Roman" w:hAnsi="Times New Roman" w:cs="Times New Roman" w:eastAsia="Times New Roman" w:hint="default"/>
          <w:b/>
          <w:bCs/>
        </w:rPr>
        <w:t>2</w:t>
      </w:r>
      <w:r>
        <w:rPr>
          <w:rFonts w:ascii="宋体" w:hAnsi="宋体" w:cs="宋体" w:eastAsia="宋体" w:hint="default"/>
          <w:b/>
          <w:bCs/>
        </w:rPr>
        <w:t>、大数据</w:t>
      </w:r>
      <w:r>
        <w:rPr>
          <w:rFonts w:ascii="宋体" w:hAnsi="宋体" w:cs="宋体" w:eastAsia="宋体" w:hint="default"/>
          <w:b/>
          <w:bCs/>
          <w:w w:val="99"/>
        </w:rPr>
        <w:t> </w:t>
      </w:r>
      <w:r>
        <w:rPr/>
        <w:t>公司大数据平台是企业级大数据处理、分析和挖掘平台，通过采集终端行为、网络流量和安全设备等数据，依托人工</w:t>
      </w:r>
    </w:p>
    <w:p>
      <w:pPr>
        <w:pStyle w:val="BodyText"/>
        <w:spacing w:line="316" w:lineRule="auto" w:before="31"/>
        <w:ind w:left="153" w:right="1117"/>
        <w:jc w:val="left"/>
      </w:pPr>
      <w:r>
        <w:rPr>
          <w:spacing w:val="-2"/>
        </w:rPr>
        <w:t>智能算法和深度学习引擎，对于用户行为和业务数据进行分析评估，帮助企业主动应对威胁和风险，时刻掌握全网安全态势</w:t>
      </w:r>
      <w:r>
        <w:rPr>
          <w:spacing w:val="-66"/>
        </w:rPr>
        <w:t> </w:t>
      </w:r>
      <w:r>
        <w:rPr>
          <w:spacing w:val="-66"/>
        </w:rPr>
      </w:r>
      <w:r>
        <w:rPr/>
        <w:t>和业务状况。</w:t>
      </w:r>
    </w:p>
    <w:p>
      <w:pPr>
        <w:pStyle w:val="BodyText"/>
        <w:spacing w:line="316" w:lineRule="auto" w:before="19"/>
        <w:ind w:left="153" w:right="1031" w:firstLine="422"/>
        <w:jc w:val="left"/>
      </w:pPr>
      <w:r>
        <w:rPr/>
        <w:t>目前，依托信息安全、大数据和人工智能技术，公司研制了高水准的数据总线、安全大数据存储引擎、安全大数据分 </w:t>
      </w:r>
      <w:r>
        <w:rPr>
          <w:spacing w:val="-4"/>
        </w:rPr>
        <w:t>析引擎等产品，完成了内网安全态势感知平台的建设和应用推广，将综合态势、威胁态势、攻击态势、人员态势、资产态势、</w:t>
      </w:r>
      <w:r>
        <w:rPr>
          <w:spacing w:val="-44"/>
        </w:rPr>
        <w:t> </w:t>
      </w:r>
      <w:r>
        <w:rPr>
          <w:spacing w:val="-44"/>
        </w:rPr>
      </w:r>
      <w:r>
        <w:rPr/>
        <w:t>应用态势、流量态势、脆弱性态势这八大态势进行集中处理和可视化处理，该产品处于业界处于领先水平，在公安、能源、 金融等行业快速部署，为国家关键信息基础设施和重要信息系统提供了重要的安全保障。</w:t>
      </w:r>
    </w:p>
    <w:p>
      <w:pPr>
        <w:pStyle w:val="BodyText"/>
        <w:spacing w:line="307" w:lineRule="auto" w:before="19"/>
        <w:ind w:right="1128" w:firstLine="422"/>
        <w:jc w:val="both"/>
      </w:pPr>
      <w:r>
        <w:rPr>
          <w:spacing w:val="-1"/>
        </w:rPr>
        <w:t>报告期内，公司与中治研国际信息技术研究院牵头成立了</w:t>
      </w:r>
      <w:r>
        <w:rPr>
          <w:rFonts w:ascii="Times New Roman" w:hAnsi="Times New Roman" w:cs="Times New Roman" w:eastAsia="Times New Roman" w:hint="default"/>
          <w:spacing w:val="-1"/>
        </w:rPr>
        <w:t>“</w:t>
      </w:r>
      <w:r>
        <w:rPr>
          <w:spacing w:val="-1"/>
        </w:rPr>
        <w:t>大数据与信息安全实验室</w:t>
      </w:r>
      <w:r>
        <w:rPr>
          <w:rFonts w:ascii="Times New Roman" w:hAnsi="Times New Roman" w:cs="Times New Roman" w:eastAsia="Times New Roman" w:hint="default"/>
          <w:spacing w:val="-1"/>
        </w:rPr>
        <w:t>”</w:t>
      </w:r>
      <w:r>
        <w:rPr>
          <w:spacing w:val="-1"/>
        </w:rPr>
        <w:t>，以</w:t>
      </w:r>
      <w:r>
        <w:rPr>
          <w:rFonts w:ascii="Times New Roman" w:hAnsi="Times New Roman" w:cs="Times New Roman" w:eastAsia="Times New Roman" w:hint="default"/>
          <w:spacing w:val="-1"/>
        </w:rPr>
        <w:t>“</w:t>
      </w:r>
      <w:r>
        <w:rPr>
          <w:spacing w:val="-1"/>
        </w:rPr>
        <w:t>聚力共建、价值共享、服务</w:t>
      </w:r>
      <w:r>
        <w:rPr/>
        <w:t> 行业、创新发展</w:t>
      </w:r>
      <w:r>
        <w:rPr>
          <w:rFonts w:ascii="Times New Roman" w:hAnsi="Times New Roman" w:cs="Times New Roman" w:eastAsia="Times New Roman" w:hint="default"/>
        </w:rPr>
        <w:t>”</w:t>
      </w:r>
      <w:r>
        <w:rPr/>
        <w:t>为理念，促进金融及各行业数字化转型和信息安全体系建设与完善，探索实现数字化金融与安全可控技术</w:t>
      </w:r>
      <w:r>
        <w:rPr>
          <w:spacing w:val="-77"/>
        </w:rPr>
        <w:t> </w:t>
      </w:r>
      <w:r>
        <w:rPr>
          <w:spacing w:val="-77"/>
        </w:rPr>
      </w:r>
      <w:r>
        <w:rPr>
          <w:spacing w:val="-2"/>
        </w:rPr>
        <w:t>的融合，共同提升金融场景下安全技术能力；通过自身安全水平的提升创造国际影响力，建立自主信息安全管控体系，并将</w:t>
      </w:r>
      <w:r>
        <w:rPr>
          <w:spacing w:val="-66"/>
        </w:rPr>
        <w:t> </w:t>
      </w:r>
      <w:r>
        <w:rPr>
          <w:spacing w:val="-66"/>
        </w:rPr>
      </w:r>
      <w:r>
        <w:rPr/>
        <w:t>研究成果应用于金融等行业。</w:t>
      </w:r>
    </w:p>
    <w:p>
      <w:pPr>
        <w:spacing w:line="240" w:lineRule="auto" w:before="11"/>
        <w:rPr>
          <w:rFonts w:ascii="宋体" w:hAnsi="宋体" w:cs="宋体" w:eastAsia="宋体" w:hint="default"/>
          <w:sz w:val="25"/>
          <w:szCs w:val="25"/>
        </w:rPr>
      </w:pPr>
    </w:p>
    <w:p>
      <w:pPr>
        <w:pStyle w:val="Heading4"/>
        <w:spacing w:line="240" w:lineRule="auto"/>
        <w:ind w:left="576" w:right="0"/>
        <w:jc w:val="left"/>
        <w:rPr>
          <w:b w:val="0"/>
          <w:bCs w:val="0"/>
        </w:rPr>
      </w:pPr>
      <w:r>
        <w:rPr>
          <w:rFonts w:ascii="Times New Roman" w:hAnsi="Times New Roman" w:cs="Times New Roman" w:eastAsia="Times New Roman" w:hint="default"/>
        </w:rPr>
        <w:t>3</w:t>
      </w:r>
      <w:r>
        <w:rPr/>
        <w:t>、互联网</w:t>
      </w:r>
      <w:r>
        <w:rPr>
          <w:b w:val="0"/>
          <w:bCs w:val="0"/>
        </w:rPr>
      </w:r>
    </w:p>
    <w:p>
      <w:pPr>
        <w:pStyle w:val="BodyText"/>
        <w:spacing w:line="300" w:lineRule="auto" w:before="63"/>
        <w:ind w:right="0" w:firstLine="420"/>
        <w:jc w:val="left"/>
      </w:pPr>
      <w:r>
        <w:rPr/>
        <w:t>公司全力打造的</w:t>
      </w:r>
      <w:r>
        <w:rPr>
          <w:rFonts w:ascii="Times New Roman" w:hAnsi="Times New Roman" w:cs="Times New Roman" w:eastAsia="Times New Roman" w:hint="default"/>
        </w:rPr>
        <w:t>“</w:t>
      </w:r>
      <w:r>
        <w:rPr/>
        <w:t>新一代安全通信聚合平台</w:t>
      </w:r>
      <w:r>
        <w:rPr>
          <w:rFonts w:ascii="Times New Roman" w:hAnsi="Times New Roman" w:cs="Times New Roman" w:eastAsia="Times New Roman" w:hint="default"/>
        </w:rPr>
        <w:t>-</w:t>
      </w:r>
      <w:r>
        <w:rPr/>
        <w:t>信源豆豆</w:t>
      </w:r>
      <w:r>
        <w:rPr>
          <w:rFonts w:ascii="Times New Roman" w:hAnsi="Times New Roman" w:cs="Times New Roman" w:eastAsia="Times New Roman" w:hint="default"/>
        </w:rPr>
        <w:t>Linkdood”</w:t>
      </w:r>
      <w:r>
        <w:rPr/>
        <w:t>是以</w:t>
      </w:r>
      <w:r>
        <w:rPr>
          <w:rFonts w:ascii="Times New Roman" w:hAnsi="Times New Roman" w:cs="Times New Roman" w:eastAsia="Times New Roman" w:hint="default"/>
        </w:rPr>
        <w:t>“</w:t>
      </w:r>
      <w:r>
        <w:rPr/>
        <w:t>安全连接，智慧聚合</w:t>
      </w:r>
      <w:r>
        <w:rPr>
          <w:rFonts w:ascii="Times New Roman" w:hAnsi="Times New Roman" w:cs="Times New Roman" w:eastAsia="Times New Roman" w:hint="default"/>
        </w:rPr>
        <w:t>”</w:t>
      </w:r>
      <w:r>
        <w:rPr/>
        <w:t>为核心理念，以私有服务器 为载体，以即时通信为基础的安全可信聚合平台，有效满足了万物互联时代的安全即时通信需求。</w:t>
      </w:r>
    </w:p>
    <w:p>
      <w:pPr>
        <w:pStyle w:val="BodyText"/>
        <w:spacing w:line="316" w:lineRule="auto" w:before="31"/>
        <w:ind w:right="0" w:firstLine="420"/>
        <w:jc w:val="left"/>
      </w:pPr>
      <w:r>
        <w:rPr>
          <w:spacing w:val="-2"/>
        </w:rPr>
        <w:t>信源豆豆具备完整的即时通讯功能，不仅包括消息聊天、群聊、语音聊天、语音通话、文件传输、微视频等通用功能，</w:t>
      </w:r>
      <w:r>
        <w:rPr/>
        <w:t> </w:t>
      </w:r>
      <w:r>
        <w:rPr>
          <w:spacing w:val="-2"/>
        </w:rPr>
        <w:t>还包括私密聊天模式、阅后回执、密聊、阅后即焚等专用功能。产品安全性高，支持一人一密，从服务器、通信链路到客户</w:t>
      </w:r>
      <w:r>
        <w:rPr>
          <w:spacing w:val="-65"/>
        </w:rPr>
        <w:t> </w:t>
      </w:r>
      <w:r>
        <w:rPr>
          <w:spacing w:val="-65"/>
        </w:rPr>
      </w:r>
      <w:r>
        <w:rPr/>
        <w:t>端进行全程加密，对通信、存储、访问和使用模式进行四维安全防护。</w:t>
      </w:r>
    </w:p>
    <w:p>
      <w:pPr>
        <w:pStyle w:val="BodyText"/>
        <w:spacing w:line="300" w:lineRule="auto" w:before="19"/>
        <w:ind w:right="0" w:firstLine="420"/>
        <w:jc w:val="left"/>
      </w:pPr>
      <w:r>
        <w:rPr/>
        <w:t>信源豆豆通过提供公共服务平台接口（</w:t>
      </w:r>
      <w:r>
        <w:rPr>
          <w:rFonts w:ascii="Times New Roman" w:hAnsi="Times New Roman" w:cs="Times New Roman" w:eastAsia="Times New Roman" w:hint="default"/>
        </w:rPr>
        <w:t>DDIO</w:t>
      </w:r>
      <w:r>
        <w:rPr/>
        <w:t>），使用户能够改造已有的调度、办公类</w:t>
      </w:r>
      <w:r>
        <w:rPr>
          <w:rFonts w:ascii="Times New Roman" w:hAnsi="Times New Roman" w:cs="Times New Roman" w:eastAsia="Times New Roman" w:hint="default"/>
        </w:rPr>
        <w:t>IT</w:t>
      </w:r>
      <w:r>
        <w:rPr/>
        <w:t>应用系统，轻松实现便捷的移 </w:t>
      </w:r>
      <w:r>
        <w:rPr>
          <w:spacing w:val="3"/>
        </w:rPr>
        <w:t>动办公；通过提供</w:t>
      </w:r>
      <w:r>
        <w:rPr>
          <w:rFonts w:ascii="Times New Roman" w:hAnsi="Times New Roman" w:cs="Times New Roman" w:eastAsia="Times New Roman" w:hint="default"/>
          <w:spacing w:val="3"/>
        </w:rPr>
        <w:t>SDK</w:t>
      </w:r>
      <w:r>
        <w:rPr>
          <w:spacing w:val="3"/>
        </w:rPr>
        <w:t>开发包的方式，使网络应用可以快速具备安全即时通信功能；还能够以</w:t>
      </w:r>
      <w:r>
        <w:rPr>
          <w:rFonts w:ascii="Times New Roman" w:hAnsi="Times New Roman" w:cs="Times New Roman" w:eastAsia="Times New Roman" w:hint="default"/>
          <w:spacing w:val="3"/>
        </w:rPr>
        <w:t>H5</w:t>
      </w:r>
      <w:r>
        <w:rPr>
          <w:spacing w:val="3"/>
        </w:rPr>
        <w:t>的方式支持网络应用在</w:t>
      </w:r>
      <w:r>
        <w:rPr>
          <w:spacing w:val="-50"/>
        </w:rPr>
        <w:t> </w:t>
      </w:r>
      <w:r>
        <w:rPr>
          <w:rFonts w:ascii="Times New Roman" w:hAnsi="Times New Roman" w:cs="Times New Roman" w:eastAsia="Times New Roman" w:hint="default"/>
          <w:spacing w:val="-3"/>
        </w:rPr>
        <w:t>Linkdood</w:t>
      </w:r>
      <w:r>
        <w:rPr>
          <w:spacing w:val="-3"/>
        </w:rPr>
        <w:t>平台上的聚合，实现统一入口和数据分享。目前，信源豆豆产品已经完成从服务器到客户端，从操作系统到数据库，</w:t>
      </w:r>
      <w:r>
        <w:rPr>
          <w:spacing w:val="-71"/>
        </w:rPr>
        <w:t> </w:t>
      </w:r>
      <w:r>
        <w:rPr>
          <w:spacing w:val="-71"/>
        </w:rPr>
      </w:r>
      <w:r>
        <w:rPr/>
        <w:t>从中间件到加密算法的国产化平台及其技术的全面适配。</w:t>
      </w:r>
    </w:p>
    <w:p>
      <w:pPr>
        <w:pStyle w:val="BodyText"/>
        <w:spacing w:line="316" w:lineRule="auto" w:before="31"/>
        <w:ind w:right="0" w:firstLine="420"/>
        <w:jc w:val="left"/>
      </w:pPr>
      <w:r>
        <w:rPr/>
        <w:t>信源豆豆的客户类型包括大型客户、中小型客户小团体和相关衍生平台用户、特殊行业客户。信源豆豆针对不同客户</w:t>
      </w:r>
      <w:r>
        <w:rPr>
          <w:spacing w:val="1"/>
        </w:rPr>
        <w:t> </w:t>
      </w:r>
      <w:r>
        <w:rPr>
          <w:spacing w:val="-4"/>
        </w:rPr>
        <w:t>的需求和应用模式给出了完善的解决方案，受到了政府机关、公安、军工、军队、金融、能源、医疗等行业客户的一致好评。</w:t>
      </w:r>
    </w:p>
    <w:p>
      <w:pPr>
        <w:pStyle w:val="BodyText"/>
        <w:spacing w:line="316" w:lineRule="auto" w:before="19"/>
        <w:ind w:right="1126" w:firstLine="420"/>
        <w:jc w:val="both"/>
      </w:pPr>
      <w:r>
        <w:rPr/>
        <w:t>目前，信源豆豆开发了标准版、专业版和互联网销售版等多个版本，已应用于北京网信办、中国地质科学院地质科学</w:t>
      </w:r>
      <w:r>
        <w:rPr>
          <w:spacing w:val="1"/>
        </w:rPr>
        <w:t> </w:t>
      </w:r>
      <w:r>
        <w:rPr>
          <w:spacing w:val="-2"/>
        </w:rPr>
        <w:t>数据网络建设中心、中国人民银行清算总中心、华夏银行股份有限公司、湖北省财政厅等客户，同时在公安、军工、军队等</w:t>
      </w:r>
      <w:r>
        <w:rPr>
          <w:spacing w:val="-68"/>
        </w:rPr>
        <w:t> </w:t>
      </w:r>
      <w:r>
        <w:rPr>
          <w:spacing w:val="-68"/>
        </w:rPr>
      </w:r>
      <w:r>
        <w:rPr/>
        <w:t>特殊行业客户中进行了示范性部署，融入了国内安全可信等技术理念，满足特殊行业客户的要求和应用。</w:t>
      </w:r>
    </w:p>
    <w:p>
      <w:pPr>
        <w:spacing w:line="240" w:lineRule="auto" w:before="4"/>
        <w:rPr>
          <w:rFonts w:ascii="宋体" w:hAnsi="宋体" w:cs="宋体" w:eastAsia="宋体" w:hint="default"/>
          <w:sz w:val="25"/>
          <w:szCs w:val="25"/>
        </w:rPr>
      </w:pPr>
    </w:p>
    <w:p>
      <w:pPr>
        <w:pStyle w:val="BodyText"/>
        <w:spacing w:line="316" w:lineRule="auto"/>
        <w:ind w:left="574" w:right="0" w:firstLine="2"/>
        <w:jc w:val="left"/>
      </w:pPr>
      <w:r>
        <w:rPr>
          <w:rFonts w:ascii="宋体" w:hAnsi="宋体" w:cs="宋体" w:eastAsia="宋体" w:hint="default"/>
          <w:b/>
          <w:bCs/>
        </w:rPr>
        <w:t>（三）经营模式</w:t>
      </w:r>
      <w:r>
        <w:rPr>
          <w:rFonts w:ascii="宋体" w:hAnsi="宋体" w:cs="宋体" w:eastAsia="宋体" w:hint="default"/>
          <w:b/>
          <w:bCs/>
          <w:w w:val="99"/>
        </w:rPr>
        <w:t> </w:t>
      </w:r>
      <w:r>
        <w:rPr/>
        <w:t>报告期内，公司秉承着</w:t>
      </w:r>
      <w:r>
        <w:rPr>
          <w:rFonts w:ascii="Times New Roman" w:hAnsi="Times New Roman" w:cs="Times New Roman" w:eastAsia="Times New Roman" w:hint="default"/>
        </w:rPr>
        <w:t>“</w:t>
      </w:r>
      <w:r>
        <w:rPr/>
        <w:t>信息之源、信誉之源、信心之源</w:t>
      </w:r>
      <w:r>
        <w:rPr>
          <w:rFonts w:ascii="Times New Roman" w:hAnsi="Times New Roman" w:cs="Times New Roman" w:eastAsia="Times New Roman" w:hint="default"/>
        </w:rPr>
        <w:t>”</w:t>
      </w:r>
      <w:r>
        <w:rPr/>
        <w:t>的核心理念，坚持技术创新，持续为客户提供优质的产品与</w:t>
      </w:r>
    </w:p>
    <w:p>
      <w:pPr>
        <w:pStyle w:val="BodyText"/>
        <w:spacing w:line="235" w:lineRule="exact"/>
        <w:ind w:right="0"/>
        <w:jc w:val="left"/>
      </w:pPr>
      <w:r>
        <w:rPr/>
        <w:t>服务。</w:t>
      </w:r>
    </w:p>
    <w:p>
      <w:pPr>
        <w:pStyle w:val="BodyText"/>
        <w:spacing w:line="316" w:lineRule="auto" w:before="76"/>
        <w:ind w:right="1126" w:firstLine="420"/>
        <w:jc w:val="both"/>
      </w:pPr>
      <w:r>
        <w:rPr/>
        <w:t>在产品研发方面，将自主创新视为公司发展的根本，经过二十余年沉淀，积累了丰富的技术信息和科学研发能力，已</w:t>
      </w:r>
      <w:r>
        <w:rPr>
          <w:spacing w:val="1"/>
        </w:rPr>
        <w:t> </w:t>
      </w:r>
      <w:r>
        <w:rPr>
          <w:spacing w:val="-2"/>
        </w:rPr>
        <w:t>发展成一家具备前沿技术研究、安全产品研发、安全咨询服务的整体解决方案提供商，并首创具有知识产权的完整终端安全</w:t>
      </w:r>
      <w:r>
        <w:rPr>
          <w:spacing w:val="-66"/>
        </w:rPr>
        <w:t> </w:t>
      </w:r>
      <w:r>
        <w:rPr>
          <w:spacing w:val="-66"/>
        </w:rPr>
      </w:r>
      <w:r>
        <w:rPr/>
        <w:t>管理产品体系。</w:t>
      </w:r>
    </w:p>
    <w:p>
      <w:pPr>
        <w:pStyle w:val="BodyText"/>
        <w:spacing w:line="316" w:lineRule="auto" w:before="19"/>
        <w:ind w:right="0" w:firstLine="420"/>
        <w:jc w:val="left"/>
      </w:pPr>
      <w:r>
        <w:rPr/>
        <w:t>在市场销售方面，公司坚持以客户为中心，深入了解客户需求，为客户提供全方位的服务和应用解决方案，通过多年</w:t>
      </w:r>
      <w:r>
        <w:rPr>
          <w:spacing w:val="1"/>
        </w:rPr>
        <w:t> </w:t>
      </w:r>
      <w:r>
        <w:rPr>
          <w:spacing w:val="-2"/>
        </w:rPr>
        <w:t>来的积累和努力，得到业内广泛认可。公司凭借有竞争力的产品、较强的研发能力、完整的解决方案、良好的品牌声誉取得</w:t>
      </w:r>
    </w:p>
    <w:p>
      <w:pPr>
        <w:spacing w:after="0" w:line="316" w:lineRule="auto"/>
        <w:jc w:val="left"/>
        <w:sectPr>
          <w:pgSz w:w="11910" w:h="16840"/>
          <w:pgMar w:header="747" w:footer="1190" w:top="1060" w:bottom="13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0"/>
        <w:jc w:val="left"/>
      </w:pPr>
      <w:r>
        <w:rPr>
          <w:spacing w:val="-2"/>
        </w:rPr>
        <w:t>了客户的信任，建立了良好稳固的合作关系；公司建立了完善的服务体系，配备了一批高素质的专业技术支持人员和客户服</w:t>
      </w:r>
      <w:r>
        <w:rPr>
          <w:spacing w:val="-66"/>
        </w:rPr>
        <w:t> </w:t>
      </w:r>
      <w:r>
        <w:rPr>
          <w:spacing w:val="-66"/>
        </w:rPr>
      </w:r>
      <w:r>
        <w:rPr/>
        <w:t>务人员，能够快捷响应客户需求。</w:t>
      </w:r>
    </w:p>
    <w:p>
      <w:pPr>
        <w:pStyle w:val="BodyText"/>
        <w:spacing w:line="309" w:lineRule="auto" w:before="19"/>
        <w:ind w:left="153" w:right="1127" w:firstLine="420"/>
        <w:jc w:val="both"/>
      </w:pPr>
      <w:r>
        <w:rPr/>
        <w:t>公司始终采取</w:t>
      </w:r>
      <w:r>
        <w:rPr>
          <w:rFonts w:ascii="Times New Roman" w:hAnsi="Times New Roman" w:cs="Times New Roman" w:eastAsia="Times New Roman" w:hint="default"/>
        </w:rPr>
        <w:t>“</w:t>
      </w:r>
      <w:r>
        <w:rPr/>
        <w:t>集中管控、专业经营、精细管理</w:t>
      </w:r>
      <w:r>
        <w:rPr>
          <w:rFonts w:ascii="Times New Roman" w:hAnsi="Times New Roman" w:cs="Times New Roman" w:eastAsia="Times New Roman" w:hint="default"/>
        </w:rPr>
        <w:t>”</w:t>
      </w:r>
      <w:r>
        <w:rPr/>
        <w:t>的模式，有力的推动公司业务提升和管理优化。随着财务、采购、销</w:t>
      </w:r>
      <w:r>
        <w:rPr>
          <w:spacing w:val="1"/>
        </w:rPr>
        <w:t> </w:t>
      </w:r>
      <w:r>
        <w:rPr>
          <w:spacing w:val="-2"/>
        </w:rPr>
        <w:t>售的集中管理和各项规范流程的完善和执行、信息化管理平台的搭建以及管理工作的推进，进一步完善了管理机制，夯实了</w:t>
      </w:r>
      <w:r>
        <w:rPr>
          <w:spacing w:val="-66"/>
        </w:rPr>
        <w:t> </w:t>
      </w:r>
      <w:r>
        <w:rPr>
          <w:spacing w:val="-66"/>
        </w:rPr>
      </w:r>
      <w:r>
        <w:rPr/>
        <w:t>管理基础，提升了管理运营效率，使公司的规范化经营水平迈上了一个新的台阶。</w:t>
      </w:r>
    </w:p>
    <w:p>
      <w:pPr>
        <w:spacing w:line="240" w:lineRule="auto" w:before="9"/>
        <w:rPr>
          <w:rFonts w:ascii="宋体" w:hAnsi="宋体" w:cs="宋体" w:eastAsia="宋体" w:hint="default"/>
          <w:sz w:val="25"/>
          <w:szCs w:val="25"/>
        </w:rPr>
      </w:pPr>
    </w:p>
    <w:p>
      <w:pPr>
        <w:pStyle w:val="BodyText"/>
        <w:spacing w:line="316" w:lineRule="auto"/>
        <w:ind w:left="576" w:right="0" w:hanging="74"/>
        <w:jc w:val="left"/>
      </w:pPr>
      <w:r>
        <w:rPr>
          <w:rFonts w:ascii="宋体" w:hAnsi="宋体" w:cs="宋体" w:eastAsia="宋体" w:hint="default"/>
          <w:b/>
          <w:bCs/>
        </w:rPr>
        <w:t>（四）主要业绩驱动因素</w:t>
      </w:r>
      <w:r>
        <w:rPr>
          <w:rFonts w:ascii="宋体" w:hAnsi="宋体" w:cs="宋体" w:eastAsia="宋体" w:hint="default"/>
          <w:b/>
          <w:bCs/>
          <w:w w:val="99"/>
        </w:rPr>
        <w:t> </w:t>
      </w:r>
      <w:r>
        <w:rPr/>
        <w:t>信息安全已上升至国家战略高度，随着《网络安全法》等一系列政策文件的颁布，我国对网络安全问题的重视已上升</w:t>
      </w:r>
    </w:p>
    <w:p>
      <w:pPr>
        <w:pStyle w:val="BodyText"/>
        <w:spacing w:line="316" w:lineRule="auto" w:before="19"/>
        <w:ind w:left="153" w:right="1131"/>
        <w:jc w:val="both"/>
      </w:pPr>
      <w:r>
        <w:rPr>
          <w:spacing w:val="-2"/>
        </w:rPr>
        <w:t>至国家层面，并成为重要的国家战略。多项重要的政策提出，在网络安全领域，要加快安全可信网络产品的推广应用，通过</w:t>
      </w:r>
      <w:r>
        <w:rPr>
          <w:spacing w:val="-66"/>
        </w:rPr>
        <w:t> </w:t>
      </w:r>
      <w:r>
        <w:rPr>
          <w:spacing w:val="-66"/>
        </w:rPr>
      </w:r>
      <w:r>
        <w:rPr>
          <w:spacing w:val="-2"/>
        </w:rPr>
        <w:t>使用安全可信的网络产品，大数据、物联网、人工智能等各类重要的信息技术和应用，都将得到可靠的安全保护，为我国未</w:t>
      </w:r>
      <w:r>
        <w:rPr>
          <w:spacing w:val="-66"/>
        </w:rPr>
        <w:t> </w:t>
      </w:r>
      <w:r>
        <w:rPr>
          <w:spacing w:val="-66"/>
        </w:rPr>
      </w:r>
      <w:r>
        <w:rPr/>
        <w:t>来的网络安全环境的建设奠定基础。</w:t>
      </w:r>
    </w:p>
    <w:p>
      <w:pPr>
        <w:pStyle w:val="BodyText"/>
        <w:spacing w:line="316" w:lineRule="auto" w:before="19"/>
        <w:ind w:left="153" w:right="1131" w:firstLine="360"/>
        <w:jc w:val="both"/>
      </w:pPr>
      <w:r>
        <w:rPr>
          <w:spacing w:val="-2"/>
        </w:rPr>
        <w:t>公司凭借研发实力、品牌效应、销售渠道以及产品、服务等优势，牢牢把握市场发展的契机，持续不断地推进新产品研</w:t>
      </w:r>
      <w:r>
        <w:rPr/>
        <w:t> </w:t>
      </w:r>
      <w:r>
        <w:rPr>
          <w:spacing w:val="-2"/>
        </w:rPr>
        <w:t>发和技术创新，通过加强市场开拓力度以及销售队伍建设、完善公司治理结构等措施，促进公司主营业务持续、稳定、健康</w:t>
      </w:r>
      <w:r>
        <w:rPr>
          <w:spacing w:val="-67"/>
        </w:rPr>
        <w:t> </w:t>
      </w:r>
      <w:r>
        <w:rPr>
          <w:spacing w:val="-67"/>
        </w:rPr>
      </w:r>
      <w:r>
        <w:rPr/>
        <w:t>发展，实现业绩持续稳定增长。</w:t>
      </w:r>
    </w:p>
    <w:p>
      <w:pPr>
        <w:spacing w:line="240" w:lineRule="auto" w:before="4"/>
        <w:rPr>
          <w:rFonts w:ascii="宋体" w:hAnsi="宋体" w:cs="宋体" w:eastAsia="宋体" w:hint="default"/>
          <w:sz w:val="25"/>
          <w:szCs w:val="25"/>
        </w:rPr>
      </w:pPr>
    </w:p>
    <w:p>
      <w:pPr>
        <w:pStyle w:val="Heading4"/>
        <w:spacing w:line="240" w:lineRule="auto"/>
        <w:ind w:left="425" w:right="0"/>
        <w:jc w:val="left"/>
        <w:rPr>
          <w:b w:val="0"/>
          <w:bCs w:val="0"/>
        </w:rPr>
      </w:pPr>
      <w:r>
        <w:rPr/>
        <w:t>（五）行业格局及公司所处行业地位</w:t>
      </w:r>
      <w:r>
        <w:rPr>
          <w:b w:val="0"/>
          <w:bCs w:val="0"/>
        </w:rPr>
      </w:r>
    </w:p>
    <w:p>
      <w:pPr>
        <w:pStyle w:val="BodyText"/>
        <w:spacing w:line="340" w:lineRule="auto" w:before="76"/>
        <w:ind w:left="513" w:right="0"/>
        <w:jc w:val="left"/>
      </w:pPr>
      <w:r>
        <w:rPr>
          <w:rFonts w:ascii="Times New Roman" w:hAnsi="Times New Roman" w:cs="Times New Roman" w:eastAsia="Times New Roman" w:hint="default"/>
        </w:rPr>
        <w:t>1</w:t>
      </w:r>
      <w:r>
        <w:rPr/>
        <w:t>、行业发展总体趋势 </w:t>
      </w:r>
      <w:r>
        <w:rPr>
          <w:spacing w:val="-2"/>
        </w:rPr>
        <w:t>公司所处的软件和信息技术服务业作为</w:t>
      </w:r>
      <w:r>
        <w:rPr>
          <w:rFonts w:ascii="Times New Roman" w:hAnsi="Times New Roman" w:cs="Times New Roman" w:eastAsia="Times New Roman" w:hint="default"/>
          <w:spacing w:val="-2"/>
        </w:rPr>
        <w:t>“</w:t>
      </w:r>
      <w:r>
        <w:rPr>
          <w:spacing w:val="-2"/>
        </w:rPr>
        <w:t>战略性新兴产业</w:t>
      </w:r>
      <w:r>
        <w:rPr>
          <w:rFonts w:ascii="Times New Roman" w:hAnsi="Times New Roman" w:cs="Times New Roman" w:eastAsia="Times New Roman" w:hint="default"/>
          <w:spacing w:val="-2"/>
        </w:rPr>
        <w:t>”</w:t>
      </w:r>
      <w:r>
        <w:rPr>
          <w:spacing w:val="-2"/>
        </w:rPr>
        <w:t>，持续获得国家产业政策支持。</w:t>
      </w:r>
      <w:r>
        <w:rPr>
          <w:rFonts w:ascii="Times New Roman" w:hAnsi="Times New Roman" w:cs="Times New Roman" w:eastAsia="Times New Roman" w:hint="default"/>
          <w:spacing w:val="-2"/>
        </w:rPr>
        <w:t>2017</w:t>
      </w:r>
      <w:r>
        <w:rPr>
          <w:spacing w:val="-2"/>
        </w:rPr>
        <w:t>年，国家</w:t>
      </w:r>
      <w:r>
        <w:rPr>
          <w:color w:val="060606"/>
          <w:spacing w:val="-2"/>
        </w:rPr>
        <w:t>工业和信息化部</w:t>
      </w:r>
      <w:r>
        <w:rPr>
          <w:spacing w:val="-2"/>
        </w:rPr>
      </w:r>
    </w:p>
    <w:p>
      <w:pPr>
        <w:pStyle w:val="BodyText"/>
        <w:spacing w:line="227" w:lineRule="exact"/>
        <w:ind w:right="0"/>
        <w:jc w:val="left"/>
      </w:pPr>
      <w:r>
        <w:rPr>
          <w:color w:val="060606"/>
        </w:rPr>
        <w:t>发布了</w:t>
      </w:r>
      <w:r>
        <w:rPr/>
        <w:t>《软件和信息技术服务业发展规划（</w:t>
      </w:r>
      <w:r>
        <w:rPr>
          <w:rFonts w:ascii="Times New Roman" w:hAnsi="Times New Roman" w:cs="Times New Roman" w:eastAsia="Times New Roman" w:hint="default"/>
        </w:rPr>
        <w:t>2016-2020</w:t>
      </w:r>
      <w:r>
        <w:rPr/>
        <w:t>年）》（工信部规〔</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425</w:t>
      </w:r>
      <w:r>
        <w:rPr/>
        <w:t>号），明确指出将研究制定新形势下适</w:t>
      </w:r>
    </w:p>
    <w:p>
      <w:pPr>
        <w:pStyle w:val="BodyText"/>
        <w:spacing w:line="319" w:lineRule="auto" w:before="63"/>
        <w:ind w:right="1030"/>
        <w:jc w:val="left"/>
      </w:pPr>
      <w:r>
        <w:rPr/>
        <w:t>应产业发展特点的政策措施，加大对软件和信息技术服务业发展的财政资金支持，着力研发云计算、大数据、移动互联网、 </w:t>
      </w:r>
      <w:r>
        <w:rPr>
          <w:spacing w:val="-2"/>
        </w:rPr>
        <w:t>物联网等新兴领域关键软件产品和解决方案，加快培育新业态和新模式。在产业扶持政策的推动下，我国软件和信息技术服</w:t>
      </w:r>
      <w:r>
        <w:rPr>
          <w:spacing w:val="-66"/>
        </w:rPr>
        <w:t> </w:t>
      </w:r>
      <w:r>
        <w:rPr>
          <w:spacing w:val="-66"/>
        </w:rPr>
      </w:r>
      <w:r>
        <w:rPr/>
        <w:t>务业呈现出平稳较快的增长态势。</w:t>
      </w:r>
    </w:p>
    <w:p>
      <w:pPr>
        <w:pStyle w:val="BodyText"/>
        <w:spacing w:line="307" w:lineRule="auto" w:before="56"/>
        <w:ind w:left="153" w:right="1076" w:firstLine="360"/>
        <w:jc w:val="both"/>
      </w:pPr>
      <w:r>
        <w:rPr>
          <w:spacing w:val="-2"/>
        </w:rPr>
        <w:t>随着互联网、大数据、物联网、云计算的蓬勃发展，网络安全已成为事关国家安全与经济发展的重大问题。面对日益严</w:t>
      </w:r>
      <w:r>
        <w:rPr/>
        <w:t> 峻的网络安全形势，政府和企业纷纷加大信息安全投入，</w:t>
      </w:r>
      <w:r>
        <w:rPr>
          <w:rFonts w:ascii="Times New Roman" w:hAnsi="Times New Roman" w:cs="Times New Roman" w:eastAsia="Times New Roman" w:hint="default"/>
        </w:rPr>
        <w:t>2017</w:t>
      </w:r>
      <w:r>
        <w:rPr/>
        <w:t>年起正式实施的《网络安全法》提出</w:t>
      </w:r>
      <w:r>
        <w:rPr>
          <w:rFonts w:ascii="Times New Roman" w:hAnsi="Times New Roman" w:cs="Times New Roman" w:eastAsia="Times New Roman" w:hint="default"/>
        </w:rPr>
        <w:t>“</w:t>
      </w:r>
      <w:r>
        <w:rPr/>
        <w:t>推广安全可信的网络产</w:t>
      </w:r>
      <w:r>
        <w:rPr>
          <w:spacing w:val="-78"/>
        </w:rPr>
        <w:t> </w:t>
      </w:r>
      <w:r>
        <w:rPr>
          <w:spacing w:val="-78"/>
        </w:rPr>
      </w:r>
      <w:r>
        <w:rPr/>
        <w:t>品和服务，保护网络技术知识产权，支持企业、研究机构和高等学校等参与国家网络安全技术创新项目</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；《国家安全法》 则提出</w:t>
      </w:r>
      <w:r>
        <w:rPr>
          <w:rFonts w:ascii="Times New Roman" w:hAnsi="Times New Roman" w:cs="Times New Roman" w:eastAsia="Times New Roman" w:hint="default"/>
        </w:rPr>
        <w:t>“ </w:t>
      </w:r>
      <w:r>
        <w:rPr/>
        <w:t>实现网络和信息核心技术、关键基础设施和重要领域信息系统及数据的安全可控</w:t>
      </w:r>
      <w:r>
        <w:rPr>
          <w:rFonts w:ascii="Times New Roman" w:hAnsi="Times New Roman" w:cs="Times New Roman" w:eastAsia="Times New Roman" w:hint="default"/>
        </w:rPr>
        <w:t>”</w:t>
      </w:r>
      <w:r>
        <w:rPr/>
        <w:t>。《信息安全产业</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发展</w:t>
      </w:r>
      <w:r>
        <w:rPr>
          <w:spacing w:val="-54"/>
        </w:rPr>
        <w:t> </w:t>
      </w:r>
      <w:r>
        <w:rPr>
          <w:spacing w:val="-2"/>
        </w:rPr>
        <w:t>规划》、《大数据产业发展规划》、《关键信息基础设施安全保护条例（征求意见稿）》、《工业控制系统信息安全行动计</w:t>
      </w:r>
      <w:r>
        <w:rPr>
          <w:spacing w:val="-73"/>
        </w:rPr>
        <w:t> </w:t>
      </w:r>
      <w:r>
        <w:rPr>
          <w:spacing w:val="-73"/>
        </w:rPr>
      </w:r>
      <w:r>
        <w:rPr>
          <w:spacing w:val="-2"/>
        </w:rPr>
        <w:t>划（</w:t>
      </w:r>
      <w:r>
        <w:rPr>
          <w:rFonts w:ascii="Times New Roman" w:hAnsi="Times New Roman" w:cs="Times New Roman" w:eastAsia="Times New Roman" w:hint="default"/>
          <w:spacing w:val="-2"/>
        </w:rPr>
        <w:t>2018—2020</w:t>
      </w:r>
      <w:r>
        <w:rPr>
          <w:spacing w:val="-2"/>
        </w:rPr>
        <w:t>年）》等文件陆续颁布实施或出台，为组织实施信息安全产业化专项、加强行业网络安全工作、推进安全产</w:t>
      </w:r>
      <w:r>
        <w:rPr>
          <w:spacing w:val="-60"/>
        </w:rPr>
        <w:t> </w:t>
      </w:r>
      <w:r>
        <w:rPr>
          <w:spacing w:val="-60"/>
        </w:rPr>
      </w:r>
      <w:r>
        <w:rPr>
          <w:spacing w:val="-2"/>
        </w:rPr>
        <w:t>业持续健康发展提供了指导性规划。随着信息安全立法的完善、政策法规的支持、行业技术标准的制定和信息安全意识的强</w:t>
      </w:r>
      <w:r>
        <w:rPr>
          <w:spacing w:val="-66"/>
        </w:rPr>
        <w:t> </w:t>
      </w:r>
      <w:r>
        <w:rPr>
          <w:spacing w:val="-66"/>
        </w:rPr>
      </w:r>
      <w:r>
        <w:rPr/>
        <w:t>化，信息安全产品的需求程度也逐渐提升，这为我国的信息安全产业持续发展奠定了基础。</w:t>
      </w:r>
    </w:p>
    <w:p>
      <w:pPr>
        <w:pStyle w:val="BodyText"/>
        <w:spacing w:line="300" w:lineRule="auto" w:before="64"/>
        <w:ind w:left="153" w:right="1130" w:firstLine="360"/>
        <w:jc w:val="both"/>
      </w:pPr>
      <w:r>
        <w:rPr>
          <w:spacing w:val="-2"/>
        </w:rPr>
        <w:t>在安全可控方面，</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月，总书记在十八届中央政治局第三十六次集体学习时谈到抓紧突破网络发展的前沿技术和</w:t>
      </w:r>
      <w:r>
        <w:rPr/>
        <w:t> 具有国际竞争力的关键核心技术，加快推进自主创新，构建安全可控的信息技术体系。</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月召开的全国网络安全和信 息化工作会议指出维护网络安全，推动信息领域核心技术突破，自主创新推进网络强国建设对国家安全意义重大。</w:t>
      </w:r>
    </w:p>
    <w:p>
      <w:pPr>
        <w:pStyle w:val="BodyText"/>
        <w:spacing w:line="314" w:lineRule="auto" w:before="70"/>
        <w:ind w:left="153" w:right="1031" w:firstLine="360"/>
        <w:jc w:val="left"/>
      </w:pPr>
      <w:r>
        <w:rPr>
          <w:spacing w:val="-2"/>
        </w:rPr>
        <w:t>国家网络信息安全战略的推进，构建安全可控的信息技术体系成为国家信息化建设进程的必然途径。在政策、技术、市</w:t>
      </w:r>
      <w:r>
        <w:rPr/>
        <w:t> </w:t>
      </w:r>
      <w:r>
        <w:rPr>
          <w:spacing w:val="-2"/>
        </w:rPr>
        <w:t>场三重因素的催化下，安可推进进程十分明显。政策方面，</w:t>
      </w:r>
      <w:r>
        <w:rPr>
          <w:rFonts w:ascii="Times New Roman" w:hAnsi="Times New Roman" w:cs="Times New Roman" w:eastAsia="Times New Roman" w:hint="default"/>
          <w:spacing w:val="-2"/>
        </w:rPr>
        <w:t>“</w:t>
      </w:r>
      <w:r>
        <w:rPr>
          <w:spacing w:val="-2"/>
        </w:rPr>
        <w:t>中国制造</w:t>
      </w:r>
      <w:r>
        <w:rPr>
          <w:rFonts w:ascii="Times New Roman" w:hAnsi="Times New Roman" w:cs="Times New Roman" w:eastAsia="Times New Roman" w:hint="default"/>
          <w:spacing w:val="-2"/>
        </w:rPr>
        <w:t>2025”</w:t>
      </w:r>
      <w:r>
        <w:rPr>
          <w:spacing w:val="-2"/>
        </w:rPr>
        <w:t>计划明确指出在关系国计民生和产业安全的基础</w:t>
      </w:r>
      <w:r>
        <w:rPr>
          <w:spacing w:val="-40"/>
        </w:rPr>
        <w:t> </w:t>
      </w:r>
      <w:r>
        <w:rPr/>
        <w:t>性、战略性、全局性领域，要着力掌握关键核心技术，完善产业链条，形成自主发展能力；安全可控上升到国家战略高度， </w:t>
      </w:r>
      <w:r>
        <w:rPr>
          <w:spacing w:val="-2"/>
        </w:rPr>
        <w:t>国家在研发投入、知识产权保护、政府补助等方面均提供了有利支持。技术方面，提出安全可控以来，我国的科技创新能力</w:t>
      </w:r>
      <w:r>
        <w:rPr>
          <w:spacing w:val="-66"/>
        </w:rPr>
        <w:t> </w:t>
      </w:r>
      <w:r>
        <w:rPr>
          <w:spacing w:val="-66"/>
        </w:rPr>
      </w:r>
      <w:r>
        <w:rPr>
          <w:spacing w:val="-2"/>
        </w:rPr>
        <w:t>显著提升，知识产权和科技论文等主要创新指标进入世界前列。市场方面，政府、军工、金融和能源等行业用户十分注重安</w:t>
      </w:r>
      <w:r>
        <w:rPr>
          <w:spacing w:val="-66"/>
        </w:rPr>
        <w:t> </w:t>
      </w:r>
      <w:r>
        <w:rPr>
          <w:spacing w:val="-66"/>
        </w:rPr>
      </w:r>
      <w:r>
        <w:rPr>
          <w:spacing w:val="-2"/>
        </w:rPr>
        <w:t>全可控和网络安全产业的发展，力求打造安全可控的信息技术体系，实现网络强国建设目标，安可相关的软、硬件产品和服</w:t>
      </w:r>
      <w:r>
        <w:rPr>
          <w:spacing w:val="-66"/>
        </w:rPr>
        <w:t> </w:t>
      </w:r>
      <w:r>
        <w:rPr>
          <w:spacing w:val="-66"/>
        </w:rPr>
      </w:r>
      <w:r>
        <w:rPr/>
        <w:t>务市场空间有望达到万亿级别。</w:t>
      </w:r>
    </w:p>
    <w:p>
      <w:pPr>
        <w:pStyle w:val="BodyText"/>
        <w:spacing w:line="319" w:lineRule="auto" w:before="60"/>
        <w:ind w:left="153" w:right="1131" w:firstLine="360"/>
        <w:jc w:val="both"/>
      </w:pPr>
      <w:r>
        <w:rPr>
          <w:spacing w:val="-2"/>
        </w:rPr>
        <w:t>公司坚持以保障国家信息安全为己任，将进一步加大投入，提升信息安全、大数据安全可控核心技术研发能力，提升互</w:t>
      </w:r>
      <w:r>
        <w:rPr/>
        <w:t> </w:t>
      </w:r>
      <w:r>
        <w:rPr>
          <w:spacing w:val="-2"/>
        </w:rPr>
        <w:t>联网技术和业务模式创新能力，为政府、行业及广大互联网用户提供更安全、更智能、更便捷的产品和服务，为我国信息安</w:t>
      </w:r>
      <w:r>
        <w:rPr>
          <w:spacing w:val="-65"/>
        </w:rPr>
        <w:t> </w:t>
      </w:r>
      <w:r>
        <w:rPr>
          <w:spacing w:val="-65"/>
        </w:rPr>
      </w:r>
      <w:r>
        <w:rPr/>
        <w:t>全和互联网发展提供更强劲的动力。</w:t>
      </w:r>
    </w:p>
    <w:p>
      <w:pPr>
        <w:spacing w:after="0" w:line="319" w:lineRule="auto"/>
        <w:jc w:val="both"/>
        <w:sectPr>
          <w:pgSz w:w="11910" w:h="16840"/>
          <w:pgMar w:header="747" w:footer="1190" w:top="1060" w:bottom="1380" w:left="980" w:right="0"/>
        </w:sectPr>
      </w:pPr>
    </w:p>
    <w:p>
      <w:pPr>
        <w:spacing w:line="240" w:lineRule="auto" w:before="13"/>
        <w:rPr>
          <w:rFonts w:ascii="宋体" w:hAnsi="宋体" w:cs="宋体" w:eastAsia="宋体" w:hint="default"/>
          <w:sz w:val="25"/>
          <w:szCs w:val="25"/>
        </w:rPr>
      </w:pPr>
    </w:p>
    <w:p>
      <w:pPr>
        <w:pStyle w:val="BodyText"/>
        <w:spacing w:line="338" w:lineRule="auto" w:before="44"/>
        <w:ind w:left="513" w:right="0"/>
        <w:jc w:val="left"/>
      </w:pPr>
      <w:r>
        <w:rPr>
          <w:rFonts w:ascii="Times New Roman" w:hAnsi="Times New Roman" w:cs="Times New Roman" w:eastAsia="Times New Roman" w:hint="default"/>
        </w:rPr>
        <w:t>2</w:t>
      </w:r>
      <w:r>
        <w:rPr/>
        <w:t>、公司行业地位 </w:t>
      </w:r>
      <w:r>
        <w:rPr>
          <w:spacing w:val="-2"/>
        </w:rPr>
        <w:t>公司作为信息安全产业领军企业之一，依托二十余年在信息安全领域的耕耘、不断创新与实践，具有自主知识产权的核</w:t>
      </w:r>
    </w:p>
    <w:p>
      <w:pPr>
        <w:pStyle w:val="BodyText"/>
        <w:spacing w:line="290" w:lineRule="auto" w:before="2"/>
        <w:ind w:left="153" w:right="1117"/>
        <w:jc w:val="left"/>
      </w:pPr>
      <w:r>
        <w:rPr>
          <w:spacing w:val="-2"/>
        </w:rPr>
        <w:t>心专利技术，产品和解决方案广泛深入到各行业，加快培育新业态和新模式，形成</w:t>
      </w:r>
      <w:r>
        <w:rPr>
          <w:rFonts w:ascii="Calibri" w:hAnsi="Calibri" w:cs="Calibri" w:eastAsia="Calibri" w:hint="default"/>
          <w:spacing w:val="-2"/>
        </w:rPr>
        <w:t>“</w:t>
      </w:r>
      <w:r>
        <w:rPr>
          <w:spacing w:val="-2"/>
        </w:rPr>
        <w:t>平台、数据、应用、服务、安全</w:t>
      </w:r>
      <w:r>
        <w:rPr>
          <w:rFonts w:ascii="Calibri" w:hAnsi="Calibri" w:cs="Calibri" w:eastAsia="Calibri" w:hint="default"/>
          <w:spacing w:val="-2"/>
        </w:rPr>
        <w:t>”</w:t>
      </w:r>
      <w:r>
        <w:rPr>
          <w:spacing w:val="-2"/>
        </w:rPr>
        <w:t>协同发</w:t>
      </w:r>
      <w:r>
        <w:rPr>
          <w:spacing w:val="-39"/>
        </w:rPr>
        <w:t> </w:t>
      </w:r>
      <w:r>
        <w:rPr/>
        <w:t>展的格局。</w:t>
      </w:r>
    </w:p>
    <w:p>
      <w:pPr>
        <w:pStyle w:val="BodyText"/>
        <w:spacing w:line="309" w:lineRule="auto" w:before="78"/>
        <w:ind w:left="153" w:right="1048" w:firstLine="360"/>
        <w:jc w:val="both"/>
      </w:pPr>
      <w:r>
        <w:rPr>
          <w:spacing w:val="-2"/>
        </w:rPr>
        <w:t>公司积累了丰富的客户资源以及良好的市场口碑，并凝聚了行业内优秀的技术、营销和管理团队。同时积极响应国家网</w:t>
      </w:r>
      <w:r>
        <w:rPr/>
        <w:t> 络信息安全战略，以</w:t>
      </w:r>
      <w:r>
        <w:rPr>
          <w:rFonts w:ascii="Times New Roman" w:hAnsi="Times New Roman" w:cs="Times New Roman" w:eastAsia="Times New Roman" w:hint="default"/>
        </w:rPr>
        <w:t>“ </w:t>
      </w:r>
      <w:r>
        <w:rPr/>
        <w:t>信息安全、大数据、互联网</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三大方向为发展战略，积极推进互联网与传统信息安全产业的融合，构 建基于高强度安全的互联网生态圈，推出大数据管理与分析平台、互联网安全聚合通道等新兴战略业务，延伸公司产业链。</w:t>
      </w:r>
    </w:p>
    <w:p>
      <w:pPr>
        <w:pStyle w:val="BodyText"/>
        <w:spacing w:line="312" w:lineRule="auto" w:before="62"/>
        <w:ind w:left="153" w:right="1128" w:firstLine="360"/>
        <w:jc w:val="both"/>
      </w:pPr>
      <w:r>
        <w:rPr>
          <w:spacing w:val="-2"/>
        </w:rPr>
        <w:t>未来，公司将继续围绕主营业务深化战略布局，同时以</w:t>
      </w:r>
      <w:r>
        <w:rPr>
          <w:rFonts w:ascii="Times New Roman" w:hAnsi="Times New Roman" w:cs="Times New Roman" w:eastAsia="Times New Roman" w:hint="default"/>
          <w:spacing w:val="-2"/>
        </w:rPr>
        <w:t>“</w:t>
      </w:r>
      <w:r>
        <w:rPr>
          <w:spacing w:val="-2"/>
        </w:rPr>
        <w:t>信息安全、大数据、互联网</w:t>
      </w:r>
      <w:r>
        <w:rPr>
          <w:rFonts w:ascii="Times New Roman" w:hAnsi="Times New Roman" w:cs="Times New Roman" w:eastAsia="Times New Roman" w:hint="default"/>
          <w:spacing w:val="-2"/>
        </w:rPr>
        <w:t>”</w:t>
      </w:r>
      <w:r>
        <w:rPr>
          <w:spacing w:val="-2"/>
        </w:rPr>
        <w:t>作为依托进行人工智能、安全可控</w:t>
      </w:r>
      <w:r>
        <w:rPr/>
        <w:t> </w:t>
      </w:r>
      <w:r>
        <w:rPr>
          <w:spacing w:val="-2"/>
        </w:rPr>
        <w:t>等业务领域的拓展，在不断提升产品和解决方案竞争力的同时，创造新价值和新服务，持续满足并引导客户需求，增强与行</w:t>
      </w:r>
      <w:r>
        <w:rPr>
          <w:spacing w:val="-66"/>
        </w:rPr>
        <w:t> </w:t>
      </w:r>
      <w:r>
        <w:rPr>
          <w:spacing w:val="-66"/>
        </w:rPr>
      </w:r>
      <w:r>
        <w:rPr>
          <w:spacing w:val="-2"/>
        </w:rPr>
        <w:t>业客户的黏性，深化与行业客户的合作，为政府、行业及广大互联网用户提供更安全、更智能、更便捷的产品和服务，为我</w:t>
      </w:r>
      <w:r>
        <w:rPr>
          <w:spacing w:val="-67"/>
        </w:rPr>
        <w:t> </w:t>
      </w:r>
      <w:r>
        <w:rPr>
          <w:spacing w:val="-67"/>
        </w:rPr>
      </w:r>
      <w:r>
        <w:rPr/>
        <w:t>国信息技术安全可控和互联网发展提供更强劲的动力。</w:t>
      </w:r>
    </w:p>
    <w:p>
      <w:pPr>
        <w:pStyle w:val="BodyText"/>
        <w:spacing w:line="300" w:lineRule="auto" w:before="61"/>
        <w:ind w:left="576" w:right="0"/>
        <w:jc w:val="left"/>
      </w:pPr>
      <w:r>
        <w:rPr>
          <w:rFonts w:ascii="Times New Roman" w:hAnsi="Times New Roman" w:cs="Times New Roman" w:eastAsia="Times New Roman" w:hint="default"/>
        </w:rPr>
        <w:t>3</w:t>
      </w:r>
      <w:r>
        <w:rPr/>
        <w:t>、客户所处分析 公司主要客户为政府、军队、军工、能源、金融、医疗等重要行业的大中型用户。随着网络安全法等法律法规的深入</w:t>
      </w:r>
    </w:p>
    <w:p>
      <w:pPr>
        <w:pStyle w:val="BodyText"/>
        <w:spacing w:line="316" w:lineRule="auto" w:before="31"/>
        <w:ind w:left="153" w:right="0"/>
        <w:jc w:val="left"/>
      </w:pPr>
      <w:r>
        <w:rPr>
          <w:spacing w:val="-2"/>
        </w:rPr>
        <w:t>推进，这些客户的合规性需求逐年增长。与此同时，信息安全、大数据、互联网、人工智能、物联网等技术的发展，使得关</w:t>
      </w:r>
      <w:r>
        <w:rPr>
          <w:spacing w:val="-67"/>
        </w:rPr>
        <w:t> </w:t>
      </w:r>
      <w:r>
        <w:rPr>
          <w:spacing w:val="-67"/>
        </w:rPr>
      </w:r>
      <w:r>
        <w:rPr/>
        <w:t>键行业和重要系统对网络安全保障的需求不断提高。</w:t>
      </w:r>
    </w:p>
    <w:p>
      <w:pPr>
        <w:pStyle w:val="BodyText"/>
        <w:spacing w:line="314" w:lineRule="auto" w:before="19"/>
        <w:ind w:left="153" w:right="0" w:firstLine="420"/>
        <w:jc w:val="left"/>
      </w:pPr>
      <w:r>
        <w:rPr/>
        <w:t>安全产业已成为网络强国安全领域建设的重要基础，国家在信息安全的投入不断增加推进市场容量和规模逐步扩大。</w:t>
      </w:r>
      <w:r>
        <w:rPr>
          <w:spacing w:val="1"/>
        </w:rPr>
        <w:t> </w:t>
      </w:r>
      <w:r>
        <w:rPr/>
        <w:t>公司将抓住机遇，以</w:t>
      </w:r>
      <w:r>
        <w:rPr>
          <w:rFonts w:ascii="Times New Roman" w:hAnsi="Times New Roman" w:cs="Times New Roman" w:eastAsia="Times New Roman" w:hint="default"/>
        </w:rPr>
        <w:t>“</w:t>
      </w:r>
      <w:r>
        <w:rPr/>
        <w:t>信息安全、大数据、互联网</w:t>
      </w:r>
      <w:r>
        <w:rPr>
          <w:rFonts w:ascii="Times New Roman" w:hAnsi="Times New Roman" w:cs="Times New Roman" w:eastAsia="Times New Roman" w:hint="default"/>
        </w:rPr>
        <w:t>”</w:t>
      </w:r>
      <w:r>
        <w:rPr/>
        <w:t>三大发展战略，围绕主营业务深化战略布局，加快工控安全、安全可控等 </w:t>
      </w:r>
      <w:r>
        <w:rPr>
          <w:spacing w:val="-4"/>
        </w:rPr>
        <w:t>业务领域的拓展，在不断提升产品和解决方案竞争力的同时创造新价值，持续满足并引导客户需求，增强与行业客户的黏性，</w:t>
      </w:r>
      <w:r>
        <w:rPr>
          <w:spacing w:val="-44"/>
        </w:rPr>
        <w:t> </w:t>
      </w:r>
      <w:r>
        <w:rPr>
          <w:spacing w:val="-44"/>
        </w:rPr>
      </w:r>
      <w:r>
        <w:rPr>
          <w:spacing w:val="-2"/>
        </w:rPr>
        <w:t>深化与行业客户的合作，为政府、行业及广大互联网用户提供更安全、更智能、更便捷的产品和服务，为建设科技强国、网</w:t>
      </w:r>
      <w:r>
        <w:rPr>
          <w:spacing w:val="-68"/>
        </w:rPr>
        <w:t> </w:t>
      </w:r>
      <w:r>
        <w:rPr>
          <w:spacing w:val="-68"/>
        </w:rPr>
      </w:r>
      <w:r>
        <w:rPr/>
        <w:t>络强国和数字社会提供支撑。</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spacing w:line="240" w:lineRule="auto" w:before="44"/>
        <w:ind w:left="0" w:right="1137"/>
        <w:jc w:val="right"/>
      </w:pPr>
      <w:r>
        <w:rPr/>
        <w:pict>
          <v:shape style="position:absolute;margin-left:56.459999pt;margin-top:-166.237961pt;width:479.1pt;height:295.6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2"/>
                    <w:gridCol w:w="6516"/>
                  </w:tblGrid>
                  <w:tr>
                    <w:trPr>
                      <w:trHeight w:val="187"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vMerge w:val="restart"/>
                        <w:tcBorders>
                          <w:top w:val="single" w:sz="4" w:space="0" w:color="000000"/>
                          <w:left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92.48%</w:t>
                        </w:r>
                        <w:r>
                          <w:rPr>
                            <w:rFonts w:ascii="宋体" w:hAnsi="宋体" w:cs="宋体" w:eastAsia="宋体" w:hint="default"/>
                            <w:spacing w:val="-3"/>
                            <w:sz w:val="18"/>
                            <w:szCs w:val="18"/>
                          </w:rPr>
                          <w:t>，主要原因是：报告期内投资联营企业北京信源健和科技有限责任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公司（实际出资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vMerge/>
                        <w:tcBorders>
                          <w:left w:val="single" w:sz="4" w:space="0" w:color="000000"/>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vMerge/>
                        <w:tcBorders>
                          <w:left w:val="single" w:sz="4" w:space="0" w:color="000000"/>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vMerge w:val="restart"/>
                        <w:tcBorders>
                          <w:top w:val="single" w:sz="4" w:space="0" w:color="000000"/>
                          <w:left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58.1%</w:t>
                        </w:r>
                        <w:r>
                          <w:rPr>
                            <w:rFonts w:ascii="宋体" w:hAnsi="宋体" w:cs="宋体" w:eastAsia="宋体" w:hint="default"/>
                            <w:spacing w:val="-5"/>
                            <w:sz w:val="18"/>
                            <w:szCs w:val="18"/>
                          </w:rPr>
                          <w:t>，主要原因是：“信源豆豆即时通讯平台”项目结项后结转至无形资</w:t>
                        </w:r>
                        <w:r>
                          <w:rPr>
                            <w:rFonts w:ascii="宋体" w:hAnsi="宋体" w:cs="宋体" w:eastAsia="宋体" w:hint="default"/>
                            <w:sz w:val="18"/>
                            <w:szCs w:val="18"/>
                          </w:rPr>
                          <w:t> 产所致。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vMerge/>
                        <w:tcBorders>
                          <w:left w:val="single" w:sz="4" w:space="0" w:color="000000"/>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vMerge/>
                        <w:tcBorders>
                          <w:left w:val="single" w:sz="4" w:space="0" w:color="000000"/>
                          <w:bottom w:val="single" w:sz="4" w:space="0" w:color="000000"/>
                          <w:right w:val="single" w:sz="4" w:space="0" w:color="000000"/>
                        </w:tcBorders>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vMerge w:val="restart"/>
                        <w:tcBorders>
                          <w:top w:val="single" w:sz="4" w:space="0" w:color="000000"/>
                          <w:left w:val="single" w:sz="4" w:space="0" w:color="000000"/>
                          <w:right w:val="single" w:sz="4" w:space="0" w:color="000000"/>
                        </w:tcBorders>
                      </w:tcPr>
                      <w:p>
                        <w:pPr>
                          <w:pStyle w:val="TableParagraph"/>
                          <w:spacing w:line="302"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39"/>
                            <w:sz w:val="18"/>
                            <w:szCs w:val="18"/>
                          </w:rPr>
                          <w:t> </w:t>
                        </w:r>
                        <w:r>
                          <w:rPr>
                            <w:rFonts w:ascii="Times New Roman" w:hAnsi="Times New Roman" w:cs="Times New Roman" w:eastAsia="Times New Roman" w:hint="default"/>
                            <w:spacing w:val="-5"/>
                            <w:sz w:val="18"/>
                            <w:szCs w:val="18"/>
                          </w:rPr>
                          <w:t>165.84%</w:t>
                        </w:r>
                        <w:r>
                          <w:rPr>
                            <w:rFonts w:ascii="宋体" w:hAnsi="宋体" w:cs="宋体" w:eastAsia="宋体" w:hint="default"/>
                            <w:spacing w:val="-5"/>
                            <w:sz w:val="18"/>
                            <w:szCs w:val="18"/>
                          </w:rPr>
                          <w:t>，主要原因是：“北信源（南京）研发运营基地项目”发生工程建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设投入所致。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vMerge/>
                        <w:tcBorders>
                          <w:left w:val="single" w:sz="4" w:space="0" w:color="000000"/>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vMerge/>
                        <w:tcBorders>
                          <w:left w:val="single" w:sz="4" w:space="0" w:color="000000"/>
                          <w:bottom w:val="single" w:sz="4" w:space="0" w:color="000000"/>
                          <w:right w:val="single" w:sz="4" w:space="0" w:color="000000"/>
                        </w:tcBorders>
                      </w:tcPr>
                      <w:p>
                        <w:pP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同比下降</w:t>
                        </w:r>
                        <w:r>
                          <w:rPr>
                            <w:rFonts w:ascii="宋体" w:hAnsi="宋体" w:cs="宋体" w:eastAsia="宋体" w:hint="default"/>
                            <w:spacing w:val="-39"/>
                            <w:sz w:val="18"/>
                            <w:szCs w:val="18"/>
                          </w:rPr>
                          <w:t> </w:t>
                        </w:r>
                        <w:r>
                          <w:rPr>
                            <w:rFonts w:ascii="Times New Roman" w:hAnsi="Times New Roman" w:cs="Times New Roman" w:eastAsia="Times New Roman" w:hint="default"/>
                            <w:spacing w:val="-10"/>
                            <w:sz w:val="18"/>
                            <w:szCs w:val="18"/>
                          </w:rPr>
                          <w:t>43.21%</w:t>
                        </w:r>
                        <w:r>
                          <w:rPr>
                            <w:rFonts w:ascii="宋体" w:hAnsi="宋体" w:cs="宋体" w:eastAsia="宋体" w:hint="default"/>
                            <w:spacing w:val="-10"/>
                            <w:sz w:val="18"/>
                            <w:szCs w:val="18"/>
                          </w:rPr>
                          <w:t>，主要原因是：报告期内支付“北信源（南京）研发运营基地项目”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“新一代互联网安全聚合通道项目”募集项目款项所致。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41.07%</w:t>
                        </w:r>
                        <w:r>
                          <w:rPr>
                            <w:rFonts w:ascii="宋体" w:hAnsi="宋体" w:cs="宋体" w:eastAsia="宋体" w:hint="default"/>
                            <w:sz w:val="18"/>
                            <w:szCs w:val="18"/>
                          </w:rPr>
                          <w:t>，主要原因是：客户以票据方式结算金额增加所致。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70.19%</w:t>
                        </w:r>
                        <w:r>
                          <w:rPr>
                            <w:rFonts w:ascii="宋体" w:hAnsi="宋体" w:cs="宋体" w:eastAsia="宋体" w:hint="default"/>
                            <w:sz w:val="18"/>
                            <w:szCs w:val="18"/>
                          </w:rPr>
                          <w:t>，主要原因是：业务量增加导致预付供应商款项增加所致。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51.87%</w:t>
                        </w:r>
                        <w:r>
                          <w:rPr>
                            <w:rFonts w:ascii="宋体" w:hAnsi="宋体" w:cs="宋体" w:eastAsia="宋体" w:hint="default"/>
                            <w:sz w:val="18"/>
                            <w:szCs w:val="18"/>
                          </w:rPr>
                          <w:t>，主要原因是：报告期内待摊销的技术服务费金额增加所致。</w:t>
                        </w:r>
                      </w:p>
                    </w:tc>
                  </w:tr>
                  <w:tr>
                    <w:trPr>
                      <w:trHeight w:val="67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875.23%</w:t>
                        </w:r>
                        <w:r>
                          <w:rPr>
                            <w:rFonts w:ascii="宋体" w:hAnsi="宋体" w:cs="宋体" w:eastAsia="宋体" w:hint="default"/>
                            <w:spacing w:val="-3"/>
                            <w:sz w:val="18"/>
                            <w:szCs w:val="18"/>
                          </w:rPr>
                          <w:t>，主要原因是：</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、“北信源（南京）研发运营基地项目”预付工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程款项所致；</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、公司按认缴协议约定，对嘉兴北源投资合伙企业（有限合伙）出</w:t>
                        </w:r>
                      </w:p>
                    </w:tc>
                  </w:tr>
                </w:tbl>
                <w:p>
                  <w:pPr/>
                </w:p>
              </w:txbxContent>
            </v:textbox>
            <w10:wrap type="none"/>
          </v:shape>
        </w:pict>
      </w:r>
      <w:r>
        <w:rPr/>
        <w:t>、</w:t>
      </w:r>
    </w:p>
    <w:p>
      <w:pPr>
        <w:spacing w:after="0" w:line="240" w:lineRule="auto"/>
        <w:jc w:val="right"/>
        <w:sectPr>
          <w:pgSz w:w="11910" w:h="16840"/>
          <w:pgMar w:header="747" w:footer="1190" w:top="1060" w:bottom="1380" w:left="980" w:right="0"/>
        </w:sectPr>
      </w:pPr>
    </w:p>
    <w:p>
      <w:pPr>
        <w:spacing w:line="240" w:lineRule="auto" w:before="2"/>
        <w:rPr>
          <w:rFonts w:ascii="宋体" w:hAnsi="宋体" w:cs="宋体" w:eastAsia="宋体" w:hint="default"/>
          <w:sz w:val="28"/>
          <w:szCs w:val="28"/>
        </w:rPr>
      </w:pPr>
    </w:p>
    <w:p>
      <w:pPr>
        <w:spacing w:line="38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19.1pt;mso-position-horizontal-relative:char;mso-position-vertical-relative:line" coordorigin="0,0" coordsize="9587,382">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372" coordorigin="10,5" coordsize="2,372">
              <v:shape style="position:absolute;left:10;top:5;width:2;height:372" coordorigin="10,5" coordsize="0,372" path="m10,5l10,377e" filled="false" stroked="true" strokeweight=".48001pt" strokecolor="#000000">
                <v:path arrowok="t"/>
              </v:shape>
            </v:group>
            <v:group style="position:absolute;left:5;top:372;width:3052;height:2" coordorigin="5,372" coordsize="3052,2">
              <v:shape style="position:absolute;left:5;top:372;width:3052;height:2" coordorigin="5,372" coordsize="3052,0" path="m5,372l3056,372e" filled="false" stroked="true" strokeweight=".48004pt" strokecolor="#000000">
                <v:path arrowok="t"/>
              </v:shape>
            </v:group>
            <v:group style="position:absolute;left:3061;top:14;width:2;height:363" coordorigin="3061,14" coordsize="2,363">
              <v:shape style="position:absolute;left:3061;top:14;width:2;height:363" coordorigin="3061,14" coordsize="0,363" path="m3061,14l3061,377e" filled="false" stroked="true" strokeweight=".48001pt" strokecolor="#000000">
                <v:path arrowok="t"/>
              </v:shape>
            </v:group>
            <v:group style="position:absolute;left:3066;top:372;width:6507;height:2" coordorigin="3066,372" coordsize="6507,2">
              <v:shape style="position:absolute;left:3066;top:372;width:6507;height:2" coordorigin="3066,372" coordsize="6507,0" path="m3066,372l9572,372e" filled="false" stroked="true" strokeweight=".48004pt" strokecolor="#000000">
                <v:path arrowok="t"/>
              </v:shape>
            </v:group>
            <v:group style="position:absolute;left:9577;top:5;width:2;height:372" coordorigin="9577,5" coordsize="2,372">
              <v:shape style="position:absolute;left:9577;top:5;width:2;height:372" coordorigin="9577,5" coordsize="0,372" path="m9577,5l9577,377e" filled="false" stroked="true" strokeweight=".47998pt" strokecolor="#000000">
                <v:path arrowok="t"/>
              </v:shape>
              <v:shape style="position:absolute;left:3061;top:10;width:6516;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318"/>
        <w:jc w:val="right"/>
      </w:pPr>
      <w:r>
        <w:rPr/>
        <w:t>单位：人民币元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2"/>
        <w:gridCol w:w="1064"/>
        <w:gridCol w:w="1064"/>
        <w:gridCol w:w="1063"/>
        <w:gridCol w:w="1064"/>
        <w:gridCol w:w="1064"/>
        <w:gridCol w:w="1058"/>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7" w:right="77"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资产规模</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收益状况</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7"/>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4"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2"/>
                <w:sz w:val="18"/>
                <w:szCs w:val="18"/>
              </w:rPr>
              <w:t>北信源（马来</w:t>
            </w:r>
          </w:p>
        </w:tc>
        <w:tc>
          <w:tcPr>
            <w:tcW w:w="106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58"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西亚）信息技</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439.16</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马来西亚</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66" w:right="0"/>
              <w:jc w:val="left"/>
              <w:rPr>
                <w:rFonts w:ascii="宋体" w:hAnsi="宋体" w:cs="宋体" w:eastAsia="宋体" w:hint="default"/>
                <w:sz w:val="18"/>
                <w:szCs w:val="18"/>
              </w:rPr>
            </w:pPr>
            <w:r>
              <w:rPr>
                <w:rFonts w:ascii="宋体" w:hAnsi="宋体" w:cs="宋体" w:eastAsia="宋体" w:hint="default"/>
                <w:sz w:val="18"/>
                <w:szCs w:val="18"/>
              </w:rPr>
              <w:t>自主经营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-236.75</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93" w:right="0"/>
              <w:jc w:val="left"/>
              <w:rPr>
                <w:rFonts w:ascii="Times New Roman" w:hAnsi="Times New Roman" w:cs="Times New Roman" w:eastAsia="Times New Roman" w:hint="default"/>
                <w:sz w:val="18"/>
                <w:szCs w:val="18"/>
              </w:rPr>
            </w:pPr>
            <w:r>
              <w:rPr>
                <w:rFonts w:ascii="Times New Roman"/>
                <w:sz w:val="18"/>
              </w:rPr>
              <w:t>0.19%</w:t>
            </w:r>
          </w:p>
        </w:tc>
        <w:tc>
          <w:tcPr>
            <w:tcW w:w="10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术公司</w:t>
            </w:r>
          </w:p>
        </w:tc>
        <w:tc>
          <w:tcPr>
            <w:tcW w:w="106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58"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3" w:right="7691"/>
        <w:jc w:val="left"/>
      </w:pPr>
      <w:r>
        <w:rPr/>
        <w:t>公司是否需要遵守特殊行业的披露要求 是</w:t>
      </w:r>
    </w:p>
    <w:p>
      <w:pPr>
        <w:pStyle w:val="BodyText"/>
        <w:spacing w:line="357" w:lineRule="auto" w:before="29"/>
        <w:ind w:left="461" w:right="3423" w:hanging="308"/>
        <w:jc w:val="left"/>
      </w:pPr>
      <w:r>
        <w:rPr/>
        <w:t>软件与信息技术服务业 报告期内，公司核心竞争力未发生重大变化，公司的核心竞争力主要体现在以下几方面：</w:t>
      </w:r>
    </w:p>
    <w:p>
      <w:pPr>
        <w:spacing w:line="240" w:lineRule="auto" w:before="12"/>
        <w:rPr>
          <w:rFonts w:ascii="宋体" w:hAnsi="宋体" w:cs="宋体" w:eastAsia="宋体" w:hint="default"/>
          <w:sz w:val="22"/>
          <w:szCs w:val="22"/>
        </w:rPr>
      </w:pPr>
    </w:p>
    <w:p>
      <w:pPr>
        <w:pStyle w:val="BodyText"/>
        <w:spacing w:line="316" w:lineRule="auto"/>
        <w:ind w:left="513" w:right="1117" w:hanging="101"/>
        <w:jc w:val="left"/>
      </w:pPr>
      <w:r>
        <w:rPr>
          <w:rFonts w:ascii="宋体" w:hAnsi="宋体" w:cs="宋体" w:eastAsia="宋体" w:hint="default"/>
          <w:b/>
          <w:bCs/>
        </w:rPr>
        <w:t>（一）资质优势</w:t>
      </w:r>
      <w:r>
        <w:rPr>
          <w:rFonts w:ascii="宋体" w:hAnsi="宋体" w:cs="宋体" w:eastAsia="宋体" w:hint="default"/>
          <w:b/>
          <w:bCs/>
          <w:w w:val="99"/>
        </w:rPr>
        <w:t> </w:t>
      </w:r>
      <w:r>
        <w:rPr>
          <w:spacing w:val="-2"/>
        </w:rPr>
        <w:t>由于行业的特殊性，准入门槛要求较高，资质是衡量企业实力的重要标志，也是抢占市场份额的关键。公司为国家规划</w:t>
      </w:r>
    </w:p>
    <w:p>
      <w:pPr>
        <w:pStyle w:val="BodyText"/>
        <w:spacing w:line="314" w:lineRule="auto" w:before="19"/>
        <w:ind w:left="153" w:right="1041"/>
        <w:jc w:val="left"/>
      </w:pPr>
      <w:r>
        <w:rPr>
          <w:spacing w:val="-4"/>
        </w:rPr>
        <w:t>布局重点软件企业、国家网络与信息安全通报中心技术支持单位、北京市关键信息基础设施网络安全检查工作技术支撑单位、</w:t>
      </w:r>
      <w:r>
        <w:rPr>
          <w:spacing w:val="-44"/>
        </w:rPr>
        <w:t> </w:t>
      </w:r>
      <w:r>
        <w:rPr>
          <w:spacing w:val="-44"/>
        </w:rPr>
      </w:r>
      <w:r>
        <w:rPr>
          <w:spacing w:val="-4"/>
        </w:rPr>
        <w:t>商用密码产品生产定点单位；通过</w:t>
      </w:r>
      <w:r>
        <w:rPr>
          <w:rFonts w:ascii="Times New Roman" w:hAnsi="Times New Roman" w:cs="Times New Roman" w:eastAsia="Times New Roman" w:hint="default"/>
          <w:spacing w:val="-4"/>
        </w:rPr>
        <w:t>CMMI-DEV-ML-3</w:t>
      </w:r>
      <w:r>
        <w:rPr>
          <w:spacing w:val="-4"/>
        </w:rPr>
        <w:t>认证、信息安全等级保护安全建设服务机构能力评估认证、</w:t>
      </w:r>
      <w:r>
        <w:rPr>
          <w:rFonts w:ascii="Times New Roman" w:hAnsi="Times New Roman" w:cs="Times New Roman" w:eastAsia="Times New Roman" w:hint="default"/>
          <w:spacing w:val="-4"/>
        </w:rPr>
        <w:t>ISO9001:2015</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2"/>
        </w:rPr>
        <w:t>质量管理体系认证、信息安全管理体系认证；拥有近百项计算机信息系统安全专用产品销售许可证、涉密信息系统产品检测</w:t>
      </w:r>
      <w:r>
        <w:rPr>
          <w:spacing w:val="-66"/>
        </w:rPr>
        <w:t> </w:t>
      </w:r>
      <w:r>
        <w:rPr>
          <w:spacing w:val="-66"/>
        </w:rPr>
      </w:r>
      <w:r>
        <w:rPr>
          <w:spacing w:val="-2"/>
        </w:rPr>
        <w:t>证书、军用信息安全产品认证证书、商用密码产品销售许可证、涉密信息系统集成甲级资质证书、装备承制单位注册证书等</w:t>
      </w:r>
      <w:r>
        <w:rPr>
          <w:spacing w:val="-66"/>
        </w:rPr>
        <w:t> </w:t>
      </w:r>
      <w:r>
        <w:rPr>
          <w:spacing w:val="-66"/>
        </w:rPr>
      </w:r>
      <w:r>
        <w:rPr/>
        <w:t>权威机构颁发的产品及企业资质。</w:t>
      </w:r>
    </w:p>
    <w:p>
      <w:pPr>
        <w:spacing w:line="240" w:lineRule="auto" w:before="6"/>
        <w:rPr>
          <w:rFonts w:ascii="宋体" w:hAnsi="宋体" w:cs="宋体" w:eastAsia="宋体" w:hint="default"/>
          <w:sz w:val="25"/>
          <w:szCs w:val="25"/>
        </w:rPr>
      </w:pPr>
    </w:p>
    <w:p>
      <w:pPr>
        <w:pStyle w:val="BodyText"/>
        <w:spacing w:line="316" w:lineRule="auto"/>
        <w:ind w:left="514" w:right="1115" w:hanging="60"/>
        <w:jc w:val="left"/>
      </w:pPr>
      <w:r>
        <w:rPr>
          <w:rFonts w:ascii="宋体" w:hAnsi="宋体" w:cs="宋体" w:eastAsia="宋体" w:hint="default"/>
          <w:b/>
          <w:bCs/>
        </w:rPr>
        <w:t>（二）行业优势</w:t>
      </w:r>
      <w:r>
        <w:rPr>
          <w:rFonts w:ascii="宋体" w:hAnsi="宋体" w:cs="宋体" w:eastAsia="宋体" w:hint="default"/>
          <w:b/>
          <w:bCs/>
          <w:w w:val="99"/>
        </w:rPr>
        <w:t> </w:t>
      </w:r>
      <w:r>
        <w:rPr>
          <w:spacing w:val="-3"/>
        </w:rPr>
        <w:t>公司是中国第一批自主品牌信息安全产品及整体解决方案供应商，作为国内著名的信息安全厂商，自</w:t>
      </w:r>
      <w:r>
        <w:rPr>
          <w:rFonts w:ascii="Times New Roman" w:hAnsi="Times New Roman" w:cs="Times New Roman" w:eastAsia="Times New Roman" w:hint="default"/>
          <w:spacing w:val="-3"/>
        </w:rPr>
        <w:t>2001</w:t>
      </w:r>
      <w:r>
        <w:rPr>
          <w:spacing w:val="-3"/>
        </w:rPr>
        <w:t>年来的历届</w:t>
      </w:r>
      <w:r>
        <w:rPr>
          <w:rFonts w:ascii="Times New Roman" w:hAnsi="Times New Roman" w:cs="Times New Roman" w:eastAsia="Times New Roman" w:hint="default"/>
          <w:spacing w:val="-3"/>
        </w:rPr>
        <w:t>“</w:t>
      </w:r>
      <w:r>
        <w:rPr>
          <w:spacing w:val="-3"/>
        </w:rPr>
        <w:t>全</w:t>
      </w:r>
    </w:p>
    <w:p>
      <w:pPr>
        <w:pStyle w:val="BodyText"/>
        <w:spacing w:line="300" w:lineRule="auto"/>
        <w:ind w:left="153" w:right="1131"/>
        <w:jc w:val="both"/>
      </w:pPr>
      <w:r>
        <w:rPr/>
        <w:t>国人大会议</w:t>
      </w:r>
      <w:r>
        <w:rPr>
          <w:rFonts w:ascii="Times New Roman" w:hAnsi="Times New Roman" w:cs="Times New Roman" w:eastAsia="Times New Roman" w:hint="default"/>
        </w:rPr>
        <w:t>”</w:t>
      </w:r>
      <w:r>
        <w:rPr/>
        <w:t>、</w:t>
      </w:r>
      <w:r>
        <w:rPr>
          <w:rFonts w:ascii="Times New Roman" w:hAnsi="Times New Roman" w:cs="Times New Roman" w:eastAsia="Times New Roman" w:hint="default"/>
        </w:rPr>
        <w:t>2003</w:t>
      </w:r>
      <w:r>
        <w:rPr/>
        <w:t>年以来的</w:t>
      </w:r>
      <w:r>
        <w:rPr>
          <w:rFonts w:ascii="Times New Roman" w:hAnsi="Times New Roman" w:cs="Times New Roman" w:eastAsia="Times New Roman" w:hint="default"/>
        </w:rPr>
        <w:t>“</w:t>
      </w:r>
      <w:r>
        <w:rPr/>
        <w:t>历届全国政协会议</w:t>
      </w:r>
      <w:r>
        <w:rPr>
          <w:rFonts w:ascii="Times New Roman" w:hAnsi="Times New Roman" w:cs="Times New Roman" w:eastAsia="Times New Roman" w:hint="default"/>
        </w:rPr>
        <w:t>”</w:t>
      </w:r>
      <w:r>
        <w:rPr/>
        <w:t>，党的十八大、十九大等重要会议以及</w:t>
      </w:r>
      <w:r>
        <w:rPr>
          <w:rFonts w:ascii="Times New Roman" w:hAnsi="Times New Roman" w:cs="Times New Roman" w:eastAsia="Times New Roman" w:hint="default"/>
        </w:rPr>
        <w:t>2008</w:t>
      </w:r>
      <w:r>
        <w:rPr/>
        <w:t>年北京奥运会、</w:t>
      </w:r>
      <w:r>
        <w:rPr>
          <w:rFonts w:ascii="Times New Roman" w:hAnsi="Times New Roman" w:cs="Times New Roman" w:eastAsia="Times New Roman" w:hint="default"/>
        </w:rPr>
        <w:t>2010</w:t>
      </w:r>
      <w:r>
        <w:rPr/>
        <w:t>年上海世 </w:t>
      </w:r>
      <w:r>
        <w:rPr>
          <w:spacing w:val="-2"/>
        </w:rPr>
        <w:t>博会、</w:t>
      </w:r>
      <w:r>
        <w:rPr>
          <w:rFonts w:ascii="Times New Roman" w:hAnsi="Times New Roman" w:cs="Times New Roman" w:eastAsia="Times New Roman" w:hint="default"/>
          <w:spacing w:val="-2"/>
        </w:rPr>
        <w:t>2010</w:t>
      </w:r>
      <w:r>
        <w:rPr>
          <w:spacing w:val="-2"/>
        </w:rPr>
        <w:t>年广州亚运会、</w:t>
      </w:r>
      <w:r>
        <w:rPr>
          <w:rFonts w:ascii="Times New Roman" w:hAnsi="Times New Roman" w:cs="Times New Roman" w:eastAsia="Times New Roman" w:hint="default"/>
          <w:spacing w:val="-2"/>
        </w:rPr>
        <w:t>2011</w:t>
      </w:r>
      <w:r>
        <w:rPr>
          <w:spacing w:val="-2"/>
        </w:rPr>
        <w:t>年深圳大运会、</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APEC</w:t>
      </w:r>
      <w:r>
        <w:rPr>
          <w:spacing w:val="-2"/>
        </w:rPr>
        <w:t>会议、</w:t>
      </w:r>
      <w:r>
        <w:rPr>
          <w:rFonts w:ascii="Times New Roman" w:hAnsi="Times New Roman" w:cs="Times New Roman" w:eastAsia="Times New Roman" w:hint="default"/>
          <w:spacing w:val="-2"/>
        </w:rPr>
        <w:t>2014</w:t>
      </w:r>
      <w:r>
        <w:rPr>
          <w:spacing w:val="-2"/>
        </w:rPr>
        <w:t>年亚信峰会、</w:t>
      </w:r>
      <w:r>
        <w:rPr>
          <w:rFonts w:ascii="Times New Roman" w:hAnsi="Times New Roman" w:cs="Times New Roman" w:eastAsia="Times New Roman" w:hint="default"/>
          <w:spacing w:val="-2"/>
        </w:rPr>
        <w:t>2014</w:t>
      </w:r>
      <w:r>
        <w:rPr>
          <w:spacing w:val="-2"/>
        </w:rPr>
        <w:t>年青奥会、</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G20</w:t>
      </w:r>
      <w:r>
        <w:rPr>
          <w:spacing w:val="-2"/>
        </w:rPr>
        <w:t>峰会、</w:t>
      </w:r>
      <w:r>
        <w:rPr>
          <w:rFonts w:ascii="Times New Roman" w:hAnsi="Times New Roman" w:cs="Times New Roman" w:eastAsia="Times New Roman" w:hint="default"/>
          <w:spacing w:val="-2"/>
        </w:rPr>
        <w:t>2018</w:t>
      </w:r>
      <w:r>
        <w:rPr>
          <w:rFonts w:ascii="Times New Roman" w:hAnsi="Times New Roman" w:cs="Times New Roman" w:eastAsia="Times New Roman" w:hint="default"/>
        </w:rPr>
        <w:t> </w:t>
      </w:r>
      <w:r>
        <w:rPr/>
        <w:t>年青岛上合峰会等世界级、国家级会议、赛事提供现场信息安保服务。</w:t>
      </w:r>
    </w:p>
    <w:p>
      <w:pPr>
        <w:pStyle w:val="BodyText"/>
        <w:spacing w:line="316" w:lineRule="auto" w:before="31"/>
        <w:ind w:left="153" w:right="1128" w:firstLine="360"/>
        <w:jc w:val="both"/>
      </w:pPr>
      <w:r>
        <w:rPr>
          <w:spacing w:val="-2"/>
        </w:rPr>
        <w:t>此外公司还长年向公安部、中组部、中宣部、农业部、国家统计局、银河证券、中信证券等国家部委及中央企业提供驻</w:t>
      </w:r>
      <w:r>
        <w:rPr/>
        <w:t> </w:t>
      </w:r>
      <w:r>
        <w:rPr>
          <w:spacing w:val="-2"/>
        </w:rPr>
        <w:t>场运维服务，并被国家网络与信息安全信息通报中心聘为技术支持单位、被全国信息网络安全联盟聘为技术支持单位，被北</w:t>
      </w:r>
      <w:r>
        <w:rPr>
          <w:spacing w:val="-66"/>
        </w:rPr>
        <w:t> </w:t>
      </w:r>
      <w:r>
        <w:rPr>
          <w:spacing w:val="-66"/>
        </w:rPr>
      </w:r>
      <w:r>
        <w:rPr/>
        <w:t>京市公安局聘为网络信息安全技术保障单位。</w:t>
      </w:r>
    </w:p>
    <w:p>
      <w:pPr>
        <w:pStyle w:val="BodyText"/>
        <w:spacing w:line="316" w:lineRule="auto" w:before="19"/>
        <w:ind w:left="153" w:right="0" w:firstLine="362"/>
        <w:jc w:val="left"/>
      </w:pPr>
      <w:r>
        <w:rPr>
          <w:spacing w:val="-2"/>
        </w:rPr>
        <w:t>由于行业的信息网络和系统有其特殊性，信息安全建设需要在遵守国家等级保护和分级保护等政策规定的基础上结合行</w:t>
      </w:r>
      <w:r>
        <w:rPr/>
        <w:t> 业特点进行，作为少数在终端安全管理市场和数据安全管理市场具有较强自主研发能力并拥有大量优质客户资源的民营企 </w:t>
      </w:r>
      <w:r>
        <w:rPr>
          <w:spacing w:val="-2"/>
        </w:rPr>
        <w:t>业，公司凭借与客户长期合作积累的丰富经验，针对不同行业客户的需求，开发出多种完整的个性化解决方案，并可以根据</w:t>
      </w:r>
      <w:r>
        <w:rPr>
          <w:spacing w:val="-66"/>
        </w:rPr>
        <w:t> </w:t>
      </w:r>
      <w:r>
        <w:rPr>
          <w:spacing w:val="-66"/>
        </w:rPr>
      </w:r>
      <w:r>
        <w:rPr/>
        <w:t>不同客户的个性化需求快速定制不同类型的解决方案，具备较强的竞争优势。</w:t>
      </w:r>
    </w:p>
    <w:p>
      <w:pPr>
        <w:spacing w:line="240" w:lineRule="auto" w:before="4"/>
        <w:rPr>
          <w:rFonts w:ascii="宋体" w:hAnsi="宋体" w:cs="宋体" w:eastAsia="宋体" w:hint="default"/>
          <w:sz w:val="25"/>
          <w:szCs w:val="25"/>
        </w:rPr>
      </w:pPr>
    </w:p>
    <w:p>
      <w:pPr>
        <w:pStyle w:val="BodyText"/>
        <w:spacing w:line="316" w:lineRule="auto"/>
        <w:ind w:left="511" w:right="0" w:hanging="87"/>
        <w:jc w:val="left"/>
      </w:pPr>
      <w:r>
        <w:rPr>
          <w:rFonts w:ascii="宋体" w:hAnsi="宋体" w:cs="宋体" w:eastAsia="宋体" w:hint="default"/>
          <w:b/>
          <w:bCs/>
        </w:rPr>
        <w:t>（三）技术研发优势</w:t>
      </w:r>
      <w:r>
        <w:rPr>
          <w:rFonts w:ascii="宋体" w:hAnsi="宋体" w:cs="宋体" w:eastAsia="宋体" w:hint="default"/>
          <w:b/>
          <w:bCs/>
          <w:spacing w:val="1"/>
          <w:w w:val="99"/>
        </w:rPr>
        <w:t> </w:t>
      </w:r>
      <w:r>
        <w:rPr>
          <w:spacing w:val="-2"/>
        </w:rPr>
        <w:t>公司是国家高新技术企业，长期在信息安全领域精耕细作，秉承专业、专注的态度始终致力于前瞻科技，不断提升产品</w:t>
      </w:r>
    </w:p>
    <w:p>
      <w:pPr>
        <w:spacing w:after="0" w:line="316" w:lineRule="auto"/>
        <w:jc w:val="left"/>
        <w:sectPr>
          <w:pgSz w:w="11910" w:h="16840"/>
          <w:pgMar w:header="747" w:footer="1190" w:top="1060" w:bottom="13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031"/>
        <w:jc w:val="left"/>
      </w:pPr>
      <w:r>
        <w:rPr/>
        <w:t>性能和服务品质，持续加大研发投入和技术创新，经过多年积累，公司具备提供信息安全领域的软件设计开发、技术咨询、 </w:t>
      </w:r>
      <w:r>
        <w:rPr>
          <w:spacing w:val="-2"/>
        </w:rPr>
        <w:t>关键设备研发、系统集成服务、大数据、移动互联等应用业务的较强业务能力，随着安全可控的进一步落地，公司产品技术</w:t>
      </w:r>
      <w:r>
        <w:rPr>
          <w:spacing w:val="-66"/>
        </w:rPr>
        <w:t> </w:t>
      </w:r>
      <w:r>
        <w:rPr>
          <w:spacing w:val="-66"/>
        </w:rPr>
      </w:r>
      <w:r>
        <w:rPr/>
        <w:t>竞争力将得到进一步释放，提升公司竞争力。</w:t>
      </w:r>
    </w:p>
    <w:p>
      <w:pPr>
        <w:pStyle w:val="BodyText"/>
        <w:spacing w:line="300" w:lineRule="auto" w:before="19"/>
        <w:ind w:right="1131" w:firstLine="357"/>
        <w:jc w:val="both"/>
      </w:pPr>
      <w:r>
        <w:rPr>
          <w:spacing w:val="-2"/>
        </w:rPr>
        <w:t>公司承担过多项国家发改委、北京市经济和信息化局和北京市科委的科研与产业化项目。截至</w:t>
      </w:r>
      <w:r>
        <w:rPr>
          <w:rFonts w:ascii="Times New Roman" w:hAnsi="Times New Roman" w:cs="Times New Roman" w:eastAsia="Times New Roman" w:hint="default"/>
          <w:spacing w:val="-2"/>
        </w:rPr>
        <w:t>2018</w:t>
      </w:r>
      <w:r>
        <w:rPr>
          <w:spacing w:val="-2"/>
        </w:rPr>
        <w:t>年末，公司及子公司</w:t>
      </w:r>
      <w:r>
        <w:rPr/>
        <w:t> 取得软件著作权证书</w:t>
      </w:r>
      <w:r>
        <w:rPr>
          <w:rFonts w:ascii="Times New Roman" w:hAnsi="Times New Roman" w:cs="Times New Roman" w:eastAsia="Times New Roman" w:hint="default"/>
        </w:rPr>
        <w:t>174</w:t>
      </w:r>
      <w:r>
        <w:rPr/>
        <w:t>项；申请专利总计</w:t>
      </w:r>
      <w:r>
        <w:rPr>
          <w:rFonts w:ascii="Times New Roman" w:hAnsi="Times New Roman" w:cs="Times New Roman" w:eastAsia="Times New Roman" w:hint="default"/>
        </w:rPr>
        <w:t>371</w:t>
      </w:r>
      <w:r>
        <w:rPr/>
        <w:t>项，授权专利</w:t>
      </w:r>
      <w:r>
        <w:rPr>
          <w:rFonts w:ascii="Times New Roman" w:hAnsi="Times New Roman" w:cs="Times New Roman" w:eastAsia="Times New Roman" w:hint="default"/>
        </w:rPr>
        <w:t>53</w:t>
      </w:r>
      <w:r>
        <w:rPr/>
        <w:t>项，其中发明专利</w:t>
      </w:r>
      <w:r>
        <w:rPr>
          <w:rFonts w:ascii="Times New Roman" w:hAnsi="Times New Roman" w:cs="Times New Roman" w:eastAsia="Times New Roman" w:hint="default"/>
        </w:rPr>
        <w:t>40</w:t>
      </w:r>
      <w:r>
        <w:rPr/>
        <w:t>项，外观设计专利</w:t>
      </w:r>
      <w:r>
        <w:rPr>
          <w:rFonts w:ascii="Times New Roman" w:hAnsi="Times New Roman" w:cs="Times New Roman" w:eastAsia="Times New Roman" w:hint="default"/>
        </w:rPr>
        <w:t>9</w:t>
      </w:r>
      <w:r>
        <w:rPr/>
        <w:t>项，实用新型专利</w:t>
      </w:r>
      <w:r>
        <w:rPr>
          <w:rFonts w:ascii="Times New Roman" w:hAnsi="Times New Roman" w:cs="Times New Roman" w:eastAsia="Times New Roman" w:hint="default"/>
        </w:rPr>
        <w:t>4</w:t>
      </w:r>
      <w:r>
        <w:rPr>
          <w:rFonts w:ascii="Times New Roman" w:hAnsi="Times New Roman" w:cs="Times New Roman" w:eastAsia="Times New Roman" w:hint="default"/>
          <w:spacing w:val="34"/>
        </w:rPr>
        <w:t> </w:t>
      </w:r>
      <w:r>
        <w:rPr>
          <w:spacing w:val="-2"/>
        </w:rPr>
        <w:t>项；已申请取得商标</w:t>
      </w:r>
      <w:r>
        <w:rPr>
          <w:rFonts w:ascii="Times New Roman" w:hAnsi="Times New Roman" w:cs="Times New Roman" w:eastAsia="Times New Roman" w:hint="default"/>
          <w:spacing w:val="-2"/>
        </w:rPr>
        <w:t>89</w:t>
      </w:r>
      <w:r>
        <w:rPr>
          <w:spacing w:val="-2"/>
        </w:rPr>
        <w:t>项，涵盖了信息安全、大数据、移动互联应用领域等诸多技术，形成了较全面并具有前瞻性的专利体</w:t>
      </w:r>
      <w:r>
        <w:rPr>
          <w:spacing w:val="-64"/>
        </w:rPr>
        <w:t> </w:t>
      </w:r>
      <w:r>
        <w:rPr>
          <w:spacing w:val="-64"/>
        </w:rPr>
      </w:r>
      <w:r>
        <w:rPr/>
        <w:t>系，进一步提升产品创新开发能力。</w:t>
      </w:r>
    </w:p>
    <w:p>
      <w:pPr>
        <w:pStyle w:val="BodyText"/>
        <w:spacing w:line="316" w:lineRule="auto" w:before="31"/>
        <w:ind w:right="1129" w:firstLine="357"/>
        <w:jc w:val="both"/>
      </w:pPr>
      <w:r>
        <w:rPr>
          <w:spacing w:val="-2"/>
        </w:rPr>
        <w:t>公司拥有领先的技术应用和解决方案创新能力，面对行业客户的应用需求，不断创新和完善应用解决方案，致力于为行</w:t>
      </w:r>
      <w:r>
        <w:rPr/>
        <w:t> </w:t>
      </w:r>
      <w:r>
        <w:rPr>
          <w:spacing w:val="-2"/>
        </w:rPr>
        <w:t>业提供优质、可靠、成熟的软硬件产品和系统集成方案，在信息安全技术相关领域拥有高度的话语权和市场地位；公司持续</w:t>
      </w:r>
      <w:r>
        <w:rPr>
          <w:spacing w:val="-66"/>
        </w:rPr>
        <w:t> </w:t>
      </w:r>
      <w:r>
        <w:rPr>
          <w:spacing w:val="-66"/>
        </w:rPr>
      </w:r>
      <w:r>
        <w:rPr>
          <w:spacing w:val="-2"/>
        </w:rPr>
        <w:t>深化与国内外科研院校的长期战略合作，积极开展产学研合作和上下游技术攻关，与清华大学、北京大学、中科院等建立了</w:t>
      </w:r>
      <w:r>
        <w:rPr>
          <w:spacing w:val="-66"/>
        </w:rPr>
        <w:t> </w:t>
      </w:r>
      <w:r>
        <w:rPr>
          <w:spacing w:val="-66"/>
        </w:rPr>
      </w:r>
      <w:r>
        <w:rPr/>
        <w:t>良好的合作关系。</w:t>
      </w:r>
    </w:p>
    <w:p>
      <w:pPr>
        <w:spacing w:line="240" w:lineRule="auto" w:before="0"/>
        <w:rPr>
          <w:rFonts w:ascii="宋体" w:hAnsi="宋体" w:cs="宋体" w:eastAsia="宋体" w:hint="default"/>
          <w:sz w:val="18"/>
          <w:szCs w:val="18"/>
        </w:rPr>
      </w:pPr>
    </w:p>
    <w:p>
      <w:pPr>
        <w:pStyle w:val="BodyText"/>
        <w:spacing w:line="357" w:lineRule="auto" w:before="136"/>
        <w:ind w:left="514" w:right="0" w:hanging="89"/>
        <w:jc w:val="left"/>
      </w:pPr>
      <w:r>
        <w:rPr>
          <w:rFonts w:ascii="宋体" w:hAnsi="宋体" w:cs="宋体" w:eastAsia="宋体" w:hint="default"/>
          <w:b/>
          <w:bCs/>
        </w:rPr>
        <w:t>（四）品牌优势</w:t>
      </w:r>
      <w:r>
        <w:rPr>
          <w:rFonts w:ascii="宋体" w:hAnsi="宋体" w:cs="宋体" w:eastAsia="宋体" w:hint="default"/>
          <w:b/>
          <w:bCs/>
          <w:w w:val="99"/>
        </w:rPr>
        <w:t> </w:t>
      </w:r>
      <w:r>
        <w:rPr>
          <w:spacing w:val="-2"/>
        </w:rPr>
        <w:t>公司自成立之初便一直注重品牌的培育与发展，聚焦核心业务开展品牌与市场体系建设，持续加强面向市场的品牌传播</w:t>
      </w:r>
    </w:p>
    <w:p>
      <w:pPr>
        <w:pStyle w:val="BodyText"/>
        <w:spacing w:line="357" w:lineRule="auto"/>
        <w:ind w:left="514" w:right="1026" w:hanging="360"/>
        <w:jc w:val="left"/>
      </w:pPr>
      <w:r>
        <w:rPr/>
        <w:t>与管理，加大品牌与市场对业务发展的引领，不断增强品牌优势。 </w:t>
      </w:r>
      <w:r>
        <w:rPr>
          <w:spacing w:val="-4"/>
        </w:rPr>
        <w:t>报告期内，公司获得</w:t>
      </w:r>
      <w:r>
        <w:rPr>
          <w:rFonts w:ascii="Times New Roman" w:hAnsi="Times New Roman" w:cs="Times New Roman" w:eastAsia="Times New Roman" w:hint="default"/>
          <w:spacing w:val="-4"/>
        </w:rPr>
        <w:t>“2018</w:t>
      </w:r>
      <w:r>
        <w:rPr>
          <w:spacing w:val="-4"/>
        </w:rPr>
        <w:t>年中国网络信息安全最具影响力企业奖</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2018</w:t>
      </w:r>
      <w:r>
        <w:rPr>
          <w:spacing w:val="-4"/>
        </w:rPr>
        <w:t>北京软件和信息服务业综合实力百强企业奖</w:t>
      </w:r>
      <w:r>
        <w:rPr>
          <w:rFonts w:ascii="Times New Roman" w:hAnsi="Times New Roman" w:cs="Times New Roman" w:eastAsia="Times New Roman" w:hint="default"/>
          <w:spacing w:val="-4"/>
        </w:rPr>
        <w:t>”</w:t>
      </w:r>
      <w:r>
        <w:rPr>
          <w:spacing w:val="-4"/>
        </w:rPr>
        <w:t>、</w:t>
      </w:r>
    </w:p>
    <w:p>
      <w:pPr>
        <w:pStyle w:val="BodyText"/>
        <w:spacing w:line="214" w:lineRule="exact"/>
        <w:ind w:right="0"/>
        <w:jc w:val="left"/>
      </w:pPr>
      <w:r>
        <w:rPr>
          <w:rFonts w:ascii="Times New Roman" w:hAnsi="Times New Roman" w:cs="Times New Roman" w:eastAsia="Times New Roman" w:hint="default"/>
        </w:rPr>
        <w:t>“</w:t>
      </w:r>
      <w:r>
        <w:rPr/>
        <w:t>信息化影响中国</w:t>
      </w:r>
      <w:r>
        <w:rPr>
          <w:rFonts w:ascii="Times New Roman" w:hAnsi="Times New Roman" w:cs="Times New Roman" w:eastAsia="Times New Roman" w:hint="default"/>
        </w:rPr>
        <w:t>2018</w:t>
      </w:r>
      <w:r>
        <w:rPr/>
        <w:t>年行业领军企业奖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信息化影响中国</w:t>
      </w:r>
      <w:r>
        <w:rPr>
          <w:rFonts w:ascii="Times New Roman" w:hAnsi="Times New Roman" w:cs="Times New Roman" w:eastAsia="Times New Roman" w:hint="default"/>
        </w:rPr>
        <w:t>2018</w:t>
      </w:r>
      <w:r>
        <w:rPr/>
        <w:t>年行业最佳解决方案奖</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“2017-2018</w:t>
      </w:r>
      <w:r>
        <w:rPr/>
        <w:t>中国新兴产业创新典</w:t>
      </w:r>
    </w:p>
    <w:p>
      <w:pPr>
        <w:pStyle w:val="BodyText"/>
        <w:spacing w:line="338" w:lineRule="auto" w:before="64"/>
        <w:ind w:left="514" w:right="0" w:hanging="360"/>
        <w:jc w:val="left"/>
      </w:pPr>
      <w:r>
        <w:rPr/>
        <w:t>范企业</w:t>
      </w:r>
      <w:r>
        <w:rPr>
          <w:rFonts w:ascii="Times New Roman" w:hAnsi="Times New Roman" w:cs="Times New Roman" w:eastAsia="Times New Roman" w:hint="default"/>
        </w:rPr>
        <w:t>”</w:t>
      </w:r>
      <w:r>
        <w:rPr/>
        <w:t>等品牌奖项，国产化安全解决方案荣获</w:t>
      </w:r>
      <w:r>
        <w:rPr>
          <w:rFonts w:ascii="Times New Roman" w:hAnsi="Times New Roman" w:cs="Times New Roman" w:eastAsia="Times New Roman" w:hint="default"/>
        </w:rPr>
        <w:t>“2018</w:t>
      </w:r>
      <w:r>
        <w:rPr/>
        <w:t>年中国网络信息安全自主可控优秀解决方案奖</w:t>
      </w:r>
      <w:r>
        <w:rPr>
          <w:rFonts w:ascii="Times New Roman" w:hAnsi="Times New Roman" w:cs="Times New Roman" w:eastAsia="Times New Roman" w:hint="default"/>
        </w:rPr>
        <w:t>”</w:t>
      </w:r>
      <w:r>
        <w:rPr/>
        <w:t>。 </w:t>
      </w:r>
      <w:r>
        <w:rPr>
          <w:spacing w:val="-2"/>
        </w:rPr>
        <w:t>公司先后收到青岛上合峰会、数字中国建设峰会和中国人民银行金融信息中心、全国政协信息中心等发来的感谢信和表</w:t>
      </w:r>
    </w:p>
    <w:p>
      <w:pPr>
        <w:pStyle w:val="BodyText"/>
        <w:spacing w:line="240" w:lineRule="auto" w:before="2"/>
        <w:ind w:right="0"/>
        <w:jc w:val="left"/>
      </w:pPr>
      <w:r>
        <w:rPr/>
        <w:t>扬，各方均对公司的专业能力与服务意识给予了高度认可与由衷感谢，</w:t>
      </w:r>
      <w:r>
        <w:rPr>
          <w:rFonts w:ascii="Times New Roman" w:hAnsi="Times New Roman" w:cs="Times New Roman" w:eastAsia="Times New Roman" w:hint="default"/>
        </w:rPr>
        <w:t>“</w:t>
      </w:r>
      <w:r>
        <w:rPr/>
        <w:t>北信源</w:t>
      </w:r>
      <w:r>
        <w:rPr>
          <w:rFonts w:ascii="Times New Roman" w:hAnsi="Times New Roman" w:cs="Times New Roman" w:eastAsia="Times New Roman" w:hint="default"/>
        </w:rPr>
        <w:t>VRV”</w:t>
      </w:r>
      <w:r>
        <w:rPr/>
        <w:t>品牌获得了广泛的赞誉和市场认可。</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357" w:lineRule="auto"/>
        <w:ind w:left="497" w:right="0" w:hanging="72"/>
        <w:jc w:val="left"/>
      </w:pPr>
      <w:r>
        <w:rPr>
          <w:rFonts w:ascii="宋体" w:hAnsi="宋体" w:cs="宋体" w:eastAsia="宋体" w:hint="default"/>
          <w:b/>
          <w:bCs/>
        </w:rPr>
        <w:t>（五）专业的核心团队优势</w:t>
      </w:r>
      <w:r>
        <w:rPr>
          <w:rFonts w:ascii="宋体" w:hAnsi="宋体" w:cs="宋体" w:eastAsia="宋体" w:hint="default"/>
          <w:b/>
          <w:bCs/>
          <w:w w:val="99"/>
        </w:rPr>
        <w:t> </w:t>
      </w:r>
      <w:r>
        <w:rPr>
          <w:spacing w:val="-2"/>
        </w:rPr>
        <w:t>公司十分注重对人才的挖掘培养和组织的建设，目前已经建立了较为完善的研发、测试、销售、技术支持与服务、管理</w:t>
      </w:r>
    </w:p>
    <w:p>
      <w:pPr>
        <w:pStyle w:val="BodyText"/>
        <w:spacing w:line="224" w:lineRule="exact"/>
        <w:ind w:right="0"/>
        <w:jc w:val="left"/>
      </w:pPr>
      <w:r>
        <w:rPr/>
        <w:t>等系统化专业体系。公司核心团队稳定，具有强大的技术实力和管理能力，能够准确把握行业发展趋势和方向，发现行业新</w:t>
      </w:r>
    </w:p>
    <w:p>
      <w:pPr>
        <w:pStyle w:val="BodyText"/>
        <w:spacing w:line="316" w:lineRule="auto" w:before="76"/>
        <w:ind w:left="516" w:right="0" w:hanging="363"/>
        <w:jc w:val="left"/>
      </w:pPr>
      <w:r>
        <w:rPr/>
        <w:t>的利润增长点，提升公司长期持续经营能力。 </w:t>
      </w:r>
      <w:r>
        <w:rPr>
          <w:spacing w:val="-2"/>
        </w:rPr>
        <w:t>公司拥有以博士、硕士为骨干的专业研发团队，公司管理团队在管理、技术、市场等方面各有所长，分工明确，配合默</w:t>
      </w:r>
    </w:p>
    <w:p>
      <w:pPr>
        <w:pStyle w:val="BodyText"/>
        <w:spacing w:line="316" w:lineRule="auto" w:before="19"/>
        <w:ind w:right="0"/>
        <w:jc w:val="left"/>
      </w:pPr>
      <w:r>
        <w:rPr>
          <w:spacing w:val="-2"/>
        </w:rPr>
        <w:t>契，对于公司长期发展战略和经营理念形成了共识，善于把握市场机遇，勇于进取、乐于创新、富有创业精神。此外，公司</w:t>
      </w:r>
      <w:r>
        <w:rPr>
          <w:spacing w:val="-65"/>
        </w:rPr>
        <w:t> </w:t>
      </w:r>
      <w:r>
        <w:rPr>
          <w:spacing w:val="-65"/>
        </w:rPr>
      </w:r>
      <w:r>
        <w:rPr/>
        <w:t>通过引进人才、骨干成员持股等方式，提升公司凝聚力和核心员工的稳定性。</w:t>
      </w:r>
    </w:p>
    <w:p>
      <w:pPr>
        <w:spacing w:line="240" w:lineRule="auto" w:before="4"/>
        <w:rPr>
          <w:rFonts w:ascii="宋体" w:hAnsi="宋体" w:cs="宋体" w:eastAsia="宋体" w:hint="default"/>
          <w:sz w:val="25"/>
          <w:szCs w:val="25"/>
        </w:rPr>
      </w:pPr>
    </w:p>
    <w:p>
      <w:pPr>
        <w:spacing w:line="316" w:lineRule="auto" w:before="0"/>
        <w:ind w:left="514" w:right="0" w:hanging="89"/>
        <w:jc w:val="left"/>
        <w:rPr>
          <w:rFonts w:ascii="宋体" w:hAnsi="宋体" w:cs="宋体" w:eastAsia="宋体" w:hint="default"/>
          <w:sz w:val="18"/>
          <w:szCs w:val="18"/>
        </w:rPr>
      </w:pPr>
      <w:r>
        <w:rPr>
          <w:rFonts w:ascii="宋体" w:hAnsi="宋体" w:cs="宋体" w:eastAsia="宋体" w:hint="default"/>
          <w:b/>
          <w:bCs/>
          <w:sz w:val="18"/>
          <w:szCs w:val="18"/>
        </w:rPr>
        <w:t>（六）覆盖广泛的营销服务体系优势</w:t>
      </w:r>
      <w:r>
        <w:rPr>
          <w:rFonts w:ascii="宋体" w:hAnsi="宋体" w:cs="宋体" w:eastAsia="宋体" w:hint="default"/>
          <w:b/>
          <w:bCs/>
          <w:w w:val="99"/>
          <w:sz w:val="18"/>
          <w:szCs w:val="18"/>
        </w:rPr>
        <w:t> </w:t>
      </w:r>
      <w:r>
        <w:rPr>
          <w:rFonts w:ascii="宋体" w:hAnsi="宋体" w:cs="宋体" w:eastAsia="宋体" w:hint="default"/>
          <w:spacing w:val="-2"/>
          <w:sz w:val="18"/>
          <w:szCs w:val="18"/>
        </w:rPr>
        <w:t>公司在信息安全领域多年的积累，与客户在业务的开展过程中形成了积极的互动，能在第一时间了解客户诉求，通过需</w:t>
      </w:r>
    </w:p>
    <w:p>
      <w:pPr>
        <w:pStyle w:val="BodyText"/>
        <w:spacing w:line="316" w:lineRule="auto" w:before="19"/>
        <w:ind w:right="0"/>
        <w:jc w:val="left"/>
      </w:pPr>
      <w:r>
        <w:rPr>
          <w:spacing w:val="-2"/>
        </w:rPr>
        <w:t>求提炼、产品和解决方案规划和设计，为其提供专业完善的定制化解决方案并应用，凭借自身产品技术实力、快速响应和化</w:t>
      </w:r>
      <w:r>
        <w:rPr>
          <w:spacing w:val="-66"/>
        </w:rPr>
        <w:t> </w:t>
      </w:r>
      <w:r>
        <w:rPr>
          <w:spacing w:val="-66"/>
        </w:rPr>
      </w:r>
      <w:r>
        <w:rPr/>
        <w:t>完善售后服务，获得了客户的信任和支持，并在业内形成了良好的口碑和品牌优势。</w:t>
      </w:r>
    </w:p>
    <w:p>
      <w:pPr>
        <w:pStyle w:val="BodyText"/>
        <w:spacing w:line="316" w:lineRule="auto" w:before="19"/>
        <w:ind w:right="0" w:firstLine="360"/>
        <w:jc w:val="left"/>
      </w:pPr>
      <w:r>
        <w:rPr>
          <w:spacing w:val="-2"/>
        </w:rPr>
        <w:t>公司总部位于北京，下设多个全资子分公司及研发中心。公司拥有专业的信息安全研发、咨询与服务人员，构建了全国</w:t>
      </w:r>
      <w:r>
        <w:rPr/>
        <w:t> </w:t>
      </w:r>
      <w:r>
        <w:rPr>
          <w:spacing w:val="-4"/>
        </w:rPr>
        <w:t>七大区、近三十个省市的营销与服务网络，具有较强的跨区域经营能力，经过自身业务的发展以及与各分子公司的协同发展，</w:t>
      </w:r>
      <w:r>
        <w:rPr>
          <w:spacing w:val="-44"/>
        </w:rPr>
        <w:t> </w:t>
      </w:r>
      <w:r>
        <w:rPr>
          <w:spacing w:val="-44"/>
        </w:rPr>
      </w:r>
      <w:r>
        <w:rPr/>
        <w:t>为用户提供业界领先的产品与服务。</w:t>
      </w:r>
    </w:p>
    <w:p>
      <w:pPr>
        <w:spacing w:after="0" w:line="316" w:lineRule="auto"/>
        <w:jc w:val="left"/>
        <w:sectPr>
          <w:pgSz w:w="11910" w:h="16840"/>
          <w:pgMar w:header="747" w:footer="1190"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_TOC_250008" w:id="4"/>
      <w:r>
        <w:rPr/>
        <w:t>第四节</w:t>
      </w:r>
      <w:r>
        <w:rPr>
          <w:spacing w:val="-10"/>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041" w:firstLine="373"/>
        <w:jc w:val="both"/>
      </w:pPr>
      <w:r>
        <w:rPr>
          <w:spacing w:val="-4"/>
        </w:rPr>
        <w:t>报告期内，公司全面围绕年度经营计划开展工作，以</w:t>
      </w:r>
      <w:r>
        <w:rPr>
          <w:rFonts w:ascii="Times New Roman" w:hAnsi="Times New Roman" w:cs="Times New Roman" w:eastAsia="Times New Roman" w:hint="default"/>
          <w:spacing w:val="-4"/>
        </w:rPr>
        <w:t>“</w:t>
      </w:r>
      <w:r>
        <w:rPr>
          <w:spacing w:val="-4"/>
        </w:rPr>
        <w:t>信息安全、大数据、互联网</w:t>
      </w:r>
      <w:r>
        <w:rPr>
          <w:rFonts w:ascii="Times New Roman" w:hAnsi="Times New Roman" w:cs="Times New Roman" w:eastAsia="Times New Roman" w:hint="default"/>
          <w:spacing w:val="-4"/>
        </w:rPr>
        <w:t>”</w:t>
      </w:r>
      <w:r>
        <w:rPr>
          <w:spacing w:val="-4"/>
        </w:rPr>
        <w:t>为三大发展战略，以技术创新为驱动，</w:t>
      </w:r>
      <w:r>
        <w:rPr/>
        <w:t> </w:t>
      </w:r>
      <w:r>
        <w:rPr>
          <w:spacing w:val="-4"/>
        </w:rPr>
        <w:t>持续加大技术研发的投入力度，提升产品的市场竞争能力。报告期内，公司进一步优化完善组织架构体系，并围绕业务咨询、</w:t>
      </w:r>
      <w:r>
        <w:rPr>
          <w:spacing w:val="-46"/>
        </w:rPr>
        <w:t> </w:t>
      </w:r>
      <w:r>
        <w:rPr>
          <w:spacing w:val="-46"/>
        </w:rPr>
      </w:r>
      <w:r>
        <w:rPr/>
        <w:t>产品技术、系统集成及解决方案，继续深化业务融合，使整体经营业绩稳步增长。</w:t>
      </w:r>
    </w:p>
    <w:p>
      <w:pPr>
        <w:pStyle w:val="BodyText"/>
        <w:spacing w:line="300" w:lineRule="auto" w:before="24"/>
        <w:ind w:right="1041" w:firstLine="373"/>
        <w:jc w:val="both"/>
      </w:pPr>
      <w:r>
        <w:rPr>
          <w:spacing w:val="-2"/>
        </w:rPr>
        <w:t>报告期内，公司实现营业收入</w:t>
      </w:r>
      <w:r>
        <w:rPr>
          <w:rFonts w:ascii="Times New Roman" w:hAnsi="Times New Roman" w:cs="Times New Roman" w:eastAsia="Times New Roman" w:hint="default"/>
          <w:spacing w:val="-2"/>
        </w:rPr>
        <w:t>57,240.04</w:t>
      </w:r>
      <w:r>
        <w:rPr>
          <w:spacing w:val="-2"/>
        </w:rPr>
        <w:t>万元，比上年同期增长</w:t>
      </w:r>
      <w:r>
        <w:rPr>
          <w:rFonts w:ascii="Times New Roman" w:hAnsi="Times New Roman" w:cs="Times New Roman" w:eastAsia="Times New Roman" w:hint="default"/>
          <w:spacing w:val="-2"/>
        </w:rPr>
        <w:t>11.18%</w:t>
      </w:r>
      <w:r>
        <w:rPr>
          <w:spacing w:val="-2"/>
        </w:rPr>
        <w:t>；实现归属于上市公司股东的净利润</w:t>
      </w:r>
      <w:r>
        <w:rPr>
          <w:rFonts w:ascii="Times New Roman" w:hAnsi="Times New Roman" w:cs="Times New Roman" w:eastAsia="Times New Roman" w:hint="default"/>
          <w:spacing w:val="-2"/>
        </w:rPr>
        <w:t>9,409.01</w:t>
      </w:r>
      <w:r>
        <w:rPr>
          <w:spacing w:val="-2"/>
        </w:rPr>
        <w:t>万元，</w:t>
      </w:r>
      <w:r>
        <w:rPr/>
        <w:t> 比上年同期增长</w:t>
      </w:r>
      <w:r>
        <w:rPr>
          <w:rFonts w:ascii="Times New Roman" w:hAnsi="Times New Roman" w:cs="Times New Roman" w:eastAsia="Times New Roman" w:hint="default"/>
        </w:rPr>
        <w:t>2.88%</w:t>
      </w:r>
      <w:r>
        <w:rPr/>
        <w:t>；归属于上市公司股东的扣除非经常性损益后的净利润</w:t>
      </w:r>
      <w:r>
        <w:rPr>
          <w:rFonts w:ascii="Times New Roman" w:hAnsi="Times New Roman" w:cs="Times New Roman" w:eastAsia="Times New Roman" w:hint="default"/>
        </w:rPr>
        <w:t>7,330.42</w:t>
      </w:r>
      <w:r>
        <w:rPr/>
        <w:t>万元，比上年同期增长</w:t>
      </w:r>
      <w:r>
        <w:rPr>
          <w:rFonts w:ascii="Times New Roman" w:hAnsi="Times New Roman" w:cs="Times New Roman" w:eastAsia="Times New Roman" w:hint="default"/>
        </w:rPr>
        <w:t>15.15%</w:t>
      </w:r>
      <w:r>
        <w:rPr/>
        <w:t>。</w:t>
      </w:r>
    </w:p>
    <w:p>
      <w:pPr>
        <w:pStyle w:val="BodyText"/>
        <w:spacing w:line="240" w:lineRule="auto" w:before="13"/>
        <w:ind w:left="514" w:right="0"/>
        <w:jc w:val="left"/>
      </w:pPr>
      <w:r>
        <w:rPr/>
        <w:t>报告期内，公司重点开展了以下工作：</w:t>
      </w:r>
    </w:p>
    <w:p>
      <w:pPr>
        <w:spacing w:line="240" w:lineRule="auto" w:before="0"/>
        <w:rPr>
          <w:rFonts w:ascii="宋体" w:hAnsi="宋体" w:cs="宋体" w:eastAsia="宋体" w:hint="default"/>
          <w:sz w:val="18"/>
          <w:szCs w:val="18"/>
        </w:rPr>
      </w:pPr>
    </w:p>
    <w:p>
      <w:pPr>
        <w:spacing w:line="316" w:lineRule="auto" w:before="153"/>
        <w:ind w:left="527" w:right="0" w:hanging="102"/>
        <w:jc w:val="left"/>
        <w:rPr>
          <w:rFonts w:ascii="宋体" w:hAnsi="宋体" w:cs="宋体" w:eastAsia="宋体" w:hint="default"/>
          <w:sz w:val="18"/>
          <w:szCs w:val="18"/>
        </w:rPr>
      </w:pPr>
      <w:r>
        <w:rPr>
          <w:rFonts w:ascii="宋体" w:hAnsi="宋体" w:cs="宋体" w:eastAsia="宋体" w:hint="default"/>
          <w:b/>
          <w:bCs/>
          <w:sz w:val="18"/>
          <w:szCs w:val="18"/>
        </w:rPr>
        <w:t>（一）持续加强市场拓展力度</w:t>
      </w:r>
      <w:r>
        <w:rPr>
          <w:rFonts w:ascii="宋体" w:hAnsi="宋体" w:cs="宋体" w:eastAsia="宋体" w:hint="default"/>
          <w:b/>
          <w:bCs/>
          <w:w w:val="99"/>
          <w:sz w:val="18"/>
          <w:szCs w:val="18"/>
        </w:rPr>
        <w:t> </w:t>
      </w:r>
      <w:r>
        <w:rPr>
          <w:rFonts w:ascii="宋体" w:hAnsi="宋体" w:cs="宋体" w:eastAsia="宋体" w:hint="default"/>
          <w:sz w:val="18"/>
          <w:szCs w:val="18"/>
        </w:rPr>
        <w:t>公司根据年度经营计划积极应对行业市场的变化，全面巩固现有销售市场，积极抓住市场机遇，不断加强市场宣传和</w:t>
      </w:r>
    </w:p>
    <w:p>
      <w:pPr>
        <w:pStyle w:val="BodyText"/>
        <w:spacing w:line="316" w:lineRule="auto" w:before="19"/>
        <w:ind w:right="1129"/>
        <w:jc w:val="both"/>
      </w:pPr>
      <w:r>
        <w:rPr>
          <w:spacing w:val="-2"/>
        </w:rPr>
        <w:t>拓展的力度，密切关注市场需求的发展动态，结合公司产品特点，深入挖掘各类市场的发展机会，加强对重点领域重点客户</w:t>
      </w:r>
      <w:r>
        <w:rPr>
          <w:spacing w:val="-66"/>
        </w:rPr>
        <w:t> </w:t>
      </w:r>
      <w:r>
        <w:rPr>
          <w:spacing w:val="-66"/>
        </w:rPr>
      </w:r>
      <w:r>
        <w:rPr/>
        <w:t>的支持与服务，积极推动客户的项目进度，并根据市场需求变化不断优化产品，实现公司经营业绩持续增长。</w:t>
      </w:r>
    </w:p>
    <w:p>
      <w:pPr>
        <w:pStyle w:val="BodyText"/>
        <w:spacing w:line="316" w:lineRule="auto" w:before="59"/>
        <w:ind w:right="1041" w:firstLine="360"/>
        <w:jc w:val="both"/>
      </w:pPr>
      <w:r>
        <w:rPr>
          <w:spacing w:val="-4"/>
        </w:rPr>
        <w:t>报告期内，公司多款国产化安全产品入选国产化信息产品《适配名录》。这些产品为国产终端用户提供了身份安全辨识，</w:t>
      </w:r>
      <w:r>
        <w:rPr/>
        <w:t> 终端主机及相关操作的安全管控以及对于外部恶意代码、病毒的入侵防护，用户数据打印、刻录的安全审计等功能，从人、 终端、数据、攻击防护等多维度提升国产信息产品的安全防护能力。</w:t>
      </w:r>
    </w:p>
    <w:p>
      <w:pPr>
        <w:pStyle w:val="BodyText"/>
        <w:spacing w:line="240" w:lineRule="auto" w:before="58"/>
        <w:ind w:left="514" w:right="0"/>
        <w:jc w:val="left"/>
      </w:pPr>
      <w:r>
        <w:rPr/>
        <w:t>本次入选产品正是公司领先布局国产化战略的成果展示，证明了公司多层次、多方面守护国产化信息产品安全的能力。</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4"/>
        <w:spacing w:line="240" w:lineRule="auto"/>
        <w:ind w:left="454" w:right="0"/>
        <w:jc w:val="left"/>
        <w:rPr>
          <w:b w:val="0"/>
          <w:bCs w:val="0"/>
        </w:rPr>
      </w:pPr>
      <w:r>
        <w:rPr/>
        <w:t>（二）不断加强持续创新能力，推进新产品及解决方案，做好技术储备</w:t>
      </w:r>
      <w:r>
        <w:rPr>
          <w:b w:val="0"/>
          <w:bCs w:val="0"/>
        </w:rPr>
      </w:r>
    </w:p>
    <w:p>
      <w:pPr>
        <w:pStyle w:val="BodyText"/>
        <w:spacing w:line="300" w:lineRule="auto" w:before="76"/>
        <w:ind w:left="454" w:right="1117" w:firstLine="73"/>
        <w:jc w:val="left"/>
      </w:pPr>
      <w:r>
        <w:rPr>
          <w:rFonts w:ascii="Times New Roman" w:hAnsi="Times New Roman" w:cs="Times New Roman" w:eastAsia="Times New Roman" w:hint="default"/>
        </w:rPr>
        <w:t>1</w:t>
      </w:r>
      <w:r>
        <w:rPr/>
        <w:t>、自主创新 </w:t>
      </w:r>
      <w:r>
        <w:rPr>
          <w:spacing w:val="-1"/>
        </w:rPr>
        <w:t>根据技术发展趋势和市场的需求情况，公司不断加强技术研发和技术创新能力，持续进行相关核心技术的开发，优化产</w:t>
      </w:r>
    </w:p>
    <w:p>
      <w:pPr>
        <w:pStyle w:val="BodyText"/>
        <w:spacing w:line="316" w:lineRule="auto" w:before="31"/>
        <w:ind w:right="1129"/>
        <w:jc w:val="both"/>
      </w:pPr>
      <w:r>
        <w:rPr>
          <w:spacing w:val="-2"/>
        </w:rPr>
        <w:t>品结构，不断增强研发实力实现现有产品升级换代，同时紧跟国家发展战略和产业政策，坚持自主创新与产学研相结合，构</w:t>
      </w:r>
      <w:r>
        <w:rPr>
          <w:spacing w:val="-66"/>
        </w:rPr>
        <w:t> </w:t>
      </w:r>
      <w:r>
        <w:rPr>
          <w:spacing w:val="-66"/>
        </w:rPr>
      </w:r>
      <w:r>
        <w:rPr>
          <w:spacing w:val="-2"/>
        </w:rPr>
        <w:t>建前瞻性的企业研发机制，引进优秀科研人才，打造高效研发团队，加强研发团队和企业创新发展平台建设，不断增强公司</w:t>
      </w:r>
      <w:r>
        <w:rPr>
          <w:spacing w:val="-66"/>
        </w:rPr>
        <w:t> </w:t>
      </w:r>
      <w:r>
        <w:rPr>
          <w:spacing w:val="-66"/>
        </w:rPr>
      </w:r>
      <w:r>
        <w:rPr/>
        <w:t>自主创新能力。</w:t>
      </w:r>
    </w:p>
    <w:p>
      <w:pPr>
        <w:pStyle w:val="BodyText"/>
        <w:spacing w:line="240" w:lineRule="auto" w:before="19"/>
        <w:ind w:left="574" w:right="0"/>
        <w:jc w:val="left"/>
      </w:pPr>
      <w:r>
        <w:rPr/>
        <w:t>报告期内公司研发投入</w:t>
      </w:r>
      <w:r>
        <w:rPr>
          <w:rFonts w:ascii="Times New Roman" w:hAnsi="Times New Roman" w:cs="Times New Roman" w:eastAsia="Times New Roman" w:hint="default"/>
        </w:rPr>
        <w:t>11,999.51</w:t>
      </w:r>
      <w:r>
        <w:rPr/>
        <w:t>万元，占营业收入</w:t>
      </w:r>
      <w:r>
        <w:rPr>
          <w:rFonts w:ascii="Times New Roman" w:hAnsi="Times New Roman" w:cs="Times New Roman" w:eastAsia="Times New Roman" w:hint="default"/>
        </w:rPr>
        <w:t>20.96%</w:t>
      </w:r>
      <w:r>
        <w:rPr/>
        <w:t>，同比增长</w:t>
      </w:r>
      <w:r>
        <w:rPr>
          <w:rFonts w:ascii="Times New Roman" w:hAnsi="Times New Roman" w:cs="Times New Roman" w:eastAsia="Times New Roman" w:hint="default"/>
        </w:rPr>
        <w:t>18.75%</w:t>
      </w:r>
      <w:r>
        <w:rPr/>
        <w:t>；公司及子公司取得成果如下：</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554"/>
        <w:gridCol w:w="5693"/>
        <w:gridCol w:w="3410"/>
      </w:tblGrid>
      <w:tr>
        <w:trPr>
          <w:trHeight w:val="34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发明专利名称</w:t>
            </w:r>
            <w:r>
              <w:rPr>
                <w:rFonts w:ascii="宋体" w:hAnsi="宋体" w:cs="宋体" w:eastAsia="宋体" w:hint="default"/>
                <w:sz w:val="18"/>
                <w:szCs w:val="18"/>
              </w:rPr>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一种用于即时通信系统互联互通的装置和方法</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2015104242146</w:t>
            </w:r>
          </w:p>
        </w:tc>
      </w:tr>
      <w:tr>
        <w:trPr>
          <w:trHeight w:val="426"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一种弱口令检测方法及装置</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2015103167237</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一种基于用户身份认证的盘符映射方法</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201510195010X</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一种基于计算机行为的数据防泄露系统及方法</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2015100652885</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office</w:t>
            </w:r>
            <w:r>
              <w:rPr>
                <w:rFonts w:ascii="宋体" w:hAnsi="宋体" w:cs="宋体" w:eastAsia="宋体" w:hint="default"/>
                <w:sz w:val="18"/>
                <w:szCs w:val="18"/>
              </w:rPr>
              <w:t>剪切板的拦截方法及装置</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2015106245539</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一种光盘电子标签的添加方法及装置</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2015105572374</w:t>
            </w:r>
          </w:p>
        </w:tc>
      </w:tr>
      <w:tr>
        <w:trPr>
          <w:trHeight w:val="426"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宋体" w:hAnsi="宋体" w:cs="宋体" w:eastAsia="宋体" w:hint="default"/>
                <w:sz w:val="18"/>
                <w:szCs w:val="18"/>
              </w:rPr>
              <w:t>位进程和</w:t>
            </w:r>
            <w:r>
              <w:rPr>
                <w:rFonts w:ascii="Times New Roman" w:hAnsi="Times New Roman" w:cs="Times New Roman" w:eastAsia="Times New Roman" w:hint="default"/>
                <w:sz w:val="18"/>
                <w:szCs w:val="18"/>
              </w:rPr>
              <w:t>64</w:t>
            </w:r>
            <w:r>
              <w:rPr>
                <w:rFonts w:ascii="宋体" w:hAnsi="宋体" w:cs="宋体" w:eastAsia="宋体" w:hint="default"/>
                <w:sz w:val="18"/>
                <w:szCs w:val="18"/>
              </w:rPr>
              <w:t>位进程交叉注入方法及装置</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2015106115198</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USB</w:t>
            </w:r>
            <w:r>
              <w:rPr>
                <w:rFonts w:ascii="宋体" w:hAnsi="宋体" w:cs="宋体" w:eastAsia="宋体" w:hint="default"/>
                <w:sz w:val="18"/>
                <w:szCs w:val="18"/>
              </w:rPr>
              <w:t>接口粒度的</w:t>
            </w:r>
            <w:r>
              <w:rPr>
                <w:rFonts w:ascii="Times New Roman" w:hAnsi="Times New Roman" w:cs="Times New Roman" w:eastAsia="Times New Roman" w:hint="default"/>
                <w:sz w:val="18"/>
                <w:szCs w:val="18"/>
              </w:rPr>
              <w:t>USB</w:t>
            </w:r>
            <w:r>
              <w:rPr>
                <w:rFonts w:ascii="宋体" w:hAnsi="宋体" w:cs="宋体" w:eastAsia="宋体" w:hint="default"/>
                <w:sz w:val="18"/>
                <w:szCs w:val="18"/>
              </w:rPr>
              <w:t>设备监控方法及装置</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2015106242193</w:t>
            </w:r>
          </w:p>
        </w:tc>
      </w:tr>
      <w:tr>
        <w:trPr>
          <w:trHeight w:val="428"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一种全新的即时通信路由方法和路由器</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2015102344446</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554"/>
        <w:gridCol w:w="5693"/>
        <w:gridCol w:w="3410"/>
      </w:tblGrid>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47" w:right="0"/>
              <w:jc w:val="left"/>
              <w:rPr>
                <w:rFonts w:ascii="宋体" w:hAnsi="宋体" w:cs="宋体" w:eastAsia="宋体" w:hint="default"/>
                <w:sz w:val="18"/>
                <w:szCs w:val="18"/>
              </w:rPr>
            </w:pPr>
            <w:r>
              <w:rPr>
                <w:rFonts w:ascii="宋体" w:hAnsi="宋体" w:cs="宋体" w:eastAsia="宋体" w:hint="default"/>
                <w:sz w:val="18"/>
                <w:szCs w:val="18"/>
              </w:rPr>
              <w:t>一种全新的即时通信系统</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2015102478347</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308" w:right="0"/>
              <w:jc w:val="left"/>
              <w:rPr>
                <w:rFonts w:ascii="宋体" w:hAnsi="宋体" w:cs="宋体" w:eastAsia="宋体" w:hint="default"/>
                <w:sz w:val="18"/>
                <w:szCs w:val="18"/>
              </w:rPr>
            </w:pPr>
            <w:r>
              <w:rPr>
                <w:rFonts w:ascii="宋体" w:hAnsi="宋体" w:cs="宋体" w:eastAsia="宋体" w:hint="default"/>
                <w:sz w:val="18"/>
                <w:szCs w:val="18"/>
              </w:rPr>
              <w:t>一种基于标识的安全即时通信系统架构</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2015102037749</w:t>
            </w:r>
          </w:p>
        </w:tc>
      </w:tr>
      <w:tr>
        <w:trPr>
          <w:trHeight w:val="426"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12</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68" w:right="0"/>
              <w:jc w:val="left"/>
              <w:rPr>
                <w:rFonts w:ascii="宋体" w:hAnsi="宋体" w:cs="宋体" w:eastAsia="宋体" w:hint="default"/>
                <w:sz w:val="18"/>
                <w:szCs w:val="18"/>
              </w:rPr>
            </w:pPr>
            <w:r>
              <w:rPr>
                <w:rFonts w:ascii="宋体" w:hAnsi="宋体" w:cs="宋体" w:eastAsia="宋体" w:hint="default"/>
                <w:sz w:val="18"/>
                <w:szCs w:val="18"/>
              </w:rPr>
              <w:t>一种支持多应用用户标识关联的即时通信系统及方法</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2015103117948</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68" w:right="0"/>
              <w:jc w:val="left"/>
              <w:rPr>
                <w:rFonts w:ascii="宋体" w:hAnsi="宋体" w:cs="宋体" w:eastAsia="宋体" w:hint="default"/>
                <w:sz w:val="18"/>
                <w:szCs w:val="18"/>
              </w:rPr>
            </w:pPr>
            <w:r>
              <w:rPr>
                <w:rFonts w:ascii="宋体" w:hAnsi="宋体" w:cs="宋体" w:eastAsia="宋体" w:hint="default"/>
                <w:sz w:val="18"/>
                <w:szCs w:val="18"/>
              </w:rPr>
              <w:t>一种光盘分区加密方法及系统</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2015100652688</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72"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SMTP</w:t>
            </w:r>
            <w:r>
              <w:rPr>
                <w:rFonts w:ascii="宋体" w:hAnsi="宋体" w:cs="宋体" w:eastAsia="宋体" w:hint="default"/>
                <w:sz w:val="18"/>
                <w:szCs w:val="18"/>
              </w:rPr>
              <w:t>协议非加密邮件的控制方法和系统</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2015105751675</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88" w:right="0"/>
              <w:jc w:val="left"/>
              <w:rPr>
                <w:rFonts w:ascii="宋体" w:hAnsi="宋体" w:cs="宋体" w:eastAsia="宋体" w:hint="default"/>
                <w:sz w:val="18"/>
                <w:szCs w:val="18"/>
              </w:rPr>
            </w:pPr>
            <w:r>
              <w:rPr>
                <w:rFonts w:ascii="宋体" w:hAnsi="宋体" w:cs="宋体" w:eastAsia="宋体" w:hint="default"/>
                <w:sz w:val="18"/>
                <w:szCs w:val="18"/>
              </w:rPr>
              <w:t>一种用于即时通信的用户命名方法</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2015102861546</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308" w:right="0"/>
              <w:jc w:val="left"/>
              <w:rPr>
                <w:rFonts w:ascii="宋体" w:hAnsi="宋体" w:cs="宋体" w:eastAsia="宋体" w:hint="default"/>
                <w:sz w:val="18"/>
                <w:szCs w:val="18"/>
              </w:rPr>
            </w:pPr>
            <w:r>
              <w:rPr>
                <w:rFonts w:ascii="宋体" w:hAnsi="宋体" w:cs="宋体" w:eastAsia="宋体" w:hint="default"/>
                <w:sz w:val="18"/>
                <w:szCs w:val="18"/>
              </w:rPr>
              <w:t>一种防止软件被非法卸载的方法及装置</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2015103167203</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78" w:right="0"/>
              <w:jc w:val="left"/>
              <w:rPr>
                <w:rFonts w:ascii="宋体" w:hAnsi="宋体" w:cs="宋体" w:eastAsia="宋体" w:hint="default"/>
                <w:sz w:val="18"/>
                <w:szCs w:val="18"/>
              </w:rPr>
            </w:pPr>
            <w:r>
              <w:rPr>
                <w:rFonts w:ascii="宋体" w:hAnsi="宋体" w:cs="宋体" w:eastAsia="宋体" w:hint="default"/>
                <w:sz w:val="18"/>
                <w:szCs w:val="18"/>
              </w:rPr>
              <w:t>一种文件内容的检索方法及装置</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201510324759X</w:t>
            </w:r>
          </w:p>
        </w:tc>
      </w:tr>
      <w:tr>
        <w:trPr>
          <w:trHeight w:val="426"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18</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38" w:right="0"/>
              <w:jc w:val="left"/>
              <w:rPr>
                <w:rFonts w:ascii="宋体" w:hAnsi="宋体" w:cs="宋体" w:eastAsia="宋体" w:hint="default"/>
                <w:sz w:val="18"/>
                <w:szCs w:val="18"/>
              </w:rPr>
            </w:pPr>
            <w:r>
              <w:rPr>
                <w:rFonts w:ascii="宋体" w:hAnsi="宋体" w:cs="宋体" w:eastAsia="宋体" w:hint="default"/>
                <w:sz w:val="18"/>
                <w:szCs w:val="18"/>
              </w:rPr>
              <w:t>一种即时消息中体现消息重要程度的处理方法</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2015101429979</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38" w:right="0"/>
              <w:jc w:val="left"/>
              <w:rPr>
                <w:rFonts w:ascii="宋体" w:hAnsi="宋体" w:cs="宋体" w:eastAsia="宋体" w:hint="default"/>
                <w:sz w:val="18"/>
                <w:szCs w:val="18"/>
              </w:rPr>
            </w:pPr>
            <w:r>
              <w:rPr>
                <w:rFonts w:ascii="宋体" w:hAnsi="宋体" w:cs="宋体" w:eastAsia="宋体" w:hint="default"/>
                <w:sz w:val="18"/>
                <w:szCs w:val="18"/>
              </w:rPr>
              <w:t>支持云部署的企业级安全即时通信系统和方法</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2015102732494</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303" w:right="0"/>
              <w:jc w:val="left"/>
              <w:rPr>
                <w:rFonts w:ascii="宋体" w:hAnsi="宋体" w:cs="宋体" w:eastAsia="宋体" w:hint="default"/>
                <w:sz w:val="18"/>
                <w:szCs w:val="18"/>
              </w:rPr>
            </w:pPr>
            <w:r>
              <w:rPr>
                <w:rFonts w:ascii="宋体" w:hAnsi="宋体" w:cs="宋体" w:eastAsia="宋体" w:hint="default"/>
                <w:sz w:val="18"/>
                <w:szCs w:val="18"/>
              </w:rPr>
              <w:t>一个</w:t>
            </w:r>
            <w:r>
              <w:rPr>
                <w:rFonts w:ascii="Times New Roman" w:hAnsi="Times New Roman" w:cs="Times New Roman" w:eastAsia="Times New Roman" w:hint="default"/>
                <w:sz w:val="18"/>
                <w:szCs w:val="18"/>
              </w:rPr>
              <w:t>IM</w:t>
            </w:r>
            <w:r>
              <w:rPr>
                <w:rFonts w:ascii="宋体" w:hAnsi="宋体" w:cs="宋体" w:eastAsia="宋体" w:hint="default"/>
                <w:sz w:val="18"/>
                <w:szCs w:val="18"/>
              </w:rPr>
              <w:t>聊天中使用</w:t>
            </w:r>
            <w:r>
              <w:rPr>
                <w:rFonts w:ascii="Times New Roman" w:hAnsi="Times New Roman" w:cs="Times New Roman" w:eastAsia="Times New Roman" w:hint="default"/>
                <w:sz w:val="18"/>
                <w:szCs w:val="18"/>
              </w:rPr>
              <w:t>html</w:t>
            </w:r>
            <w:r>
              <w:rPr>
                <w:rFonts w:ascii="宋体" w:hAnsi="宋体" w:cs="宋体" w:eastAsia="宋体" w:hint="default"/>
                <w:sz w:val="18"/>
                <w:szCs w:val="18"/>
              </w:rPr>
              <w:t>扩展功能的方法</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2015100772923</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42" w:right="0"/>
              <w:jc w:val="left"/>
              <w:rPr>
                <w:rFonts w:ascii="宋体" w:hAnsi="宋体" w:cs="宋体" w:eastAsia="宋体" w:hint="default"/>
                <w:sz w:val="18"/>
                <w:szCs w:val="18"/>
              </w:rPr>
            </w:pPr>
            <w:r>
              <w:rPr>
                <w:rFonts w:ascii="宋体" w:hAnsi="宋体" w:cs="宋体" w:eastAsia="宋体" w:hint="default"/>
                <w:sz w:val="18"/>
                <w:szCs w:val="18"/>
              </w:rPr>
              <w:t>一种虚拟化环境中的</w:t>
            </w:r>
            <w:r>
              <w:rPr>
                <w:rFonts w:ascii="Times New Roman" w:hAnsi="Times New Roman" w:cs="Times New Roman" w:eastAsia="Times New Roman" w:hint="default"/>
                <w:sz w:val="18"/>
                <w:szCs w:val="18"/>
              </w:rPr>
              <w:t>windows</w:t>
            </w:r>
            <w:r>
              <w:rPr>
                <w:rFonts w:ascii="宋体" w:hAnsi="宋体" w:cs="宋体" w:eastAsia="宋体" w:hint="default"/>
                <w:sz w:val="18"/>
                <w:szCs w:val="18"/>
              </w:rPr>
              <w:t>内核基地址及编译版本识别方法</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2015109214890</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58" w:right="0"/>
              <w:jc w:val="left"/>
              <w:rPr>
                <w:rFonts w:ascii="宋体" w:hAnsi="宋体" w:cs="宋体" w:eastAsia="宋体" w:hint="default"/>
                <w:sz w:val="18"/>
                <w:szCs w:val="18"/>
              </w:rPr>
            </w:pPr>
            <w:r>
              <w:rPr>
                <w:rFonts w:ascii="宋体" w:hAnsi="宋体" w:cs="宋体" w:eastAsia="宋体" w:hint="default"/>
                <w:sz w:val="18"/>
                <w:szCs w:val="18"/>
              </w:rPr>
              <w:t>进程间通信拦截方法及装置</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2015106230923</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58" w:right="0"/>
              <w:jc w:val="left"/>
              <w:rPr>
                <w:rFonts w:ascii="宋体" w:hAnsi="宋体" w:cs="宋体" w:eastAsia="宋体" w:hint="default"/>
                <w:sz w:val="18"/>
                <w:szCs w:val="18"/>
              </w:rPr>
            </w:pPr>
            <w:r>
              <w:rPr>
                <w:rFonts w:ascii="宋体" w:hAnsi="宋体" w:cs="宋体" w:eastAsia="宋体" w:hint="default"/>
                <w:sz w:val="18"/>
                <w:szCs w:val="18"/>
              </w:rPr>
              <w:t>一种基于终端访问的页面停留时长确定方法及装置</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2015107679408</w:t>
            </w:r>
          </w:p>
        </w:tc>
      </w:tr>
      <w:tr>
        <w:trPr>
          <w:trHeight w:val="426"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24</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308" w:right="0"/>
              <w:jc w:val="left"/>
              <w:rPr>
                <w:rFonts w:ascii="宋体" w:hAnsi="宋体" w:cs="宋体" w:eastAsia="宋体" w:hint="default"/>
                <w:sz w:val="18"/>
                <w:szCs w:val="18"/>
              </w:rPr>
            </w:pPr>
            <w:r>
              <w:rPr>
                <w:rFonts w:ascii="宋体" w:hAnsi="宋体" w:cs="宋体" w:eastAsia="宋体" w:hint="default"/>
                <w:sz w:val="18"/>
                <w:szCs w:val="18"/>
              </w:rPr>
              <w:t>一种基于即时通信的智能家居控制结构</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2015105276830</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156" w:right="0"/>
              <w:jc w:val="left"/>
              <w:rPr>
                <w:rFonts w:ascii="宋体" w:hAnsi="宋体" w:cs="宋体" w:eastAsia="宋体" w:hint="default"/>
                <w:sz w:val="18"/>
                <w:szCs w:val="18"/>
              </w:rPr>
            </w:pPr>
            <w:r>
              <w:rPr>
                <w:rFonts w:ascii="宋体" w:hAnsi="宋体" w:cs="宋体" w:eastAsia="宋体" w:hint="default"/>
                <w:sz w:val="18"/>
                <w:szCs w:val="18"/>
              </w:rPr>
              <w:t>一种扩展</w:t>
            </w:r>
            <w:r>
              <w:rPr>
                <w:rFonts w:ascii="Times New Roman" w:hAnsi="Times New Roman" w:cs="Times New Roman" w:eastAsia="Times New Roman" w:hint="default"/>
                <w:sz w:val="18"/>
                <w:szCs w:val="18"/>
              </w:rPr>
              <w:t>Apache</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Log4j</w:t>
            </w:r>
            <w:r>
              <w:rPr>
                <w:rFonts w:ascii="宋体" w:hAnsi="宋体" w:cs="宋体" w:eastAsia="宋体" w:hint="default"/>
                <w:sz w:val="18"/>
                <w:szCs w:val="18"/>
              </w:rPr>
              <w:t>日志输出级别的方法</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2016106207033</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58" w:right="0"/>
              <w:jc w:val="left"/>
              <w:rPr>
                <w:rFonts w:ascii="宋体" w:hAnsi="宋体" w:cs="宋体" w:eastAsia="宋体" w:hint="default"/>
                <w:sz w:val="18"/>
                <w:szCs w:val="18"/>
              </w:rPr>
            </w:pPr>
            <w:r>
              <w:rPr>
                <w:rFonts w:ascii="宋体" w:hAnsi="宋体" w:cs="宋体" w:eastAsia="宋体" w:hint="default"/>
                <w:sz w:val="18"/>
                <w:szCs w:val="18"/>
              </w:rPr>
              <w:t>基于用户行为分析的数据盗取风险评估方法和系统</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2015108805821</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68" w:right="0"/>
              <w:jc w:val="left"/>
              <w:rPr>
                <w:rFonts w:ascii="宋体" w:hAnsi="宋体" w:cs="宋体" w:eastAsia="宋体" w:hint="default"/>
                <w:sz w:val="18"/>
                <w:szCs w:val="18"/>
              </w:rPr>
            </w:pPr>
            <w:r>
              <w:rPr>
                <w:rFonts w:ascii="宋体" w:hAnsi="宋体" w:cs="宋体" w:eastAsia="宋体" w:hint="default"/>
                <w:sz w:val="18"/>
                <w:szCs w:val="18"/>
              </w:rPr>
              <w:t>来宾虚拟机本地账户基本信息获取方法、装置及系统</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2015108025158</w:t>
            </w:r>
          </w:p>
        </w:tc>
      </w:tr>
      <w:tr>
        <w:trPr>
          <w:trHeight w:val="34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实用新型专利名称</w:t>
            </w:r>
            <w:r>
              <w:rPr>
                <w:rFonts w:ascii="宋体" w:hAnsi="宋体" w:cs="宋体" w:eastAsia="宋体" w:hint="default"/>
                <w:sz w:val="18"/>
                <w:szCs w:val="18"/>
              </w:rPr>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87" w:right="0"/>
              <w:jc w:val="left"/>
              <w:rPr>
                <w:rFonts w:ascii="宋体" w:hAnsi="宋体" w:cs="宋体" w:eastAsia="宋体" w:hint="default"/>
                <w:sz w:val="18"/>
                <w:szCs w:val="18"/>
              </w:rPr>
            </w:pPr>
            <w:r>
              <w:rPr>
                <w:rFonts w:ascii="宋体" w:hAnsi="宋体" w:cs="宋体" w:eastAsia="宋体" w:hint="default"/>
                <w:sz w:val="18"/>
                <w:szCs w:val="18"/>
              </w:rPr>
              <w:t>一种智能开关面板及智能家居系统</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2017204376060</w:t>
            </w:r>
          </w:p>
        </w:tc>
      </w:tr>
      <w:tr>
        <w:trPr>
          <w:trHeight w:val="34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软件著作权</w:t>
            </w:r>
            <w:r>
              <w:rPr>
                <w:rFonts w:ascii="宋体" w:hAnsi="宋体" w:cs="宋体" w:eastAsia="宋体" w:hint="default"/>
                <w:sz w:val="18"/>
                <w:szCs w:val="18"/>
              </w:rPr>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北信源内网安全管理及补丁分发准入控制系统</w:t>
            </w:r>
            <w:r>
              <w:rPr>
                <w:rFonts w:ascii="Times New Roman" w:hAnsi="Times New Roman" w:cs="Times New Roman" w:eastAsia="Times New Roman" w:hint="default"/>
                <w:sz w:val="18"/>
                <w:szCs w:val="18"/>
              </w:rPr>
              <w:t>V8.1</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2018SR133516</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北信源存储介质信息消除系统</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V3.0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2018SR190547</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47" w:right="0"/>
              <w:jc w:val="left"/>
              <w:rPr>
                <w:rFonts w:ascii="宋体" w:hAnsi="宋体" w:cs="宋体" w:eastAsia="宋体" w:hint="default"/>
                <w:sz w:val="18"/>
                <w:szCs w:val="18"/>
              </w:rPr>
            </w:pPr>
            <w:r>
              <w:rPr>
                <w:rFonts w:ascii="宋体" w:hAnsi="宋体" w:cs="宋体" w:eastAsia="宋体" w:hint="default"/>
                <w:sz w:val="18"/>
                <w:szCs w:val="18"/>
              </w:rPr>
              <w:t>北信源打印刻录监控与审计系统(单机版)V6.0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2018SR223840</w:t>
            </w:r>
          </w:p>
        </w:tc>
      </w:tr>
      <w:tr>
        <w:trPr>
          <w:trHeight w:val="426"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2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北信源主机监控审计与补丁分发系统</w:t>
            </w:r>
            <w:r>
              <w:rPr>
                <w:rFonts w:ascii="Times New Roman" w:hAnsi="Times New Roman" w:cs="Times New Roman" w:eastAsia="Times New Roman" w:hint="default"/>
                <w:sz w:val="18"/>
                <w:szCs w:val="18"/>
              </w:rPr>
              <w:t>V8.1</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2018SR229984</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北信源打印及刻录安全监控与审计系统</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V6.0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2018SR252894</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北信源身份鉴别系统</w:t>
            </w:r>
            <w:r>
              <w:rPr>
                <w:rFonts w:ascii="Times New Roman" w:hAnsi="Times New Roman" w:cs="Times New Roman" w:eastAsia="Times New Roman" w:hint="default"/>
                <w:sz w:val="18"/>
                <w:szCs w:val="18"/>
              </w:rPr>
              <w:t>V1.0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2018SR433002</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8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北信源主机监控与审计系统</w:t>
            </w:r>
            <w:r>
              <w:rPr>
                <w:rFonts w:ascii="Times New Roman" w:hAnsi="Times New Roman" w:cs="Times New Roman" w:eastAsia="Times New Roman" w:hint="default"/>
                <w:sz w:val="18"/>
                <w:szCs w:val="18"/>
              </w:rPr>
              <w:t>V1.2</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2018SR433017</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信源工控隔离网关系统</w:t>
            </w:r>
            <w:r>
              <w:rPr>
                <w:rFonts w:ascii="Times New Roman" w:hAnsi="Times New Roman" w:cs="Times New Roman" w:eastAsia="Times New Roman" w:hint="default"/>
                <w:sz w:val="18"/>
                <w:szCs w:val="18"/>
              </w:rPr>
              <w:t>V3.0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2018SR704267</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9</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信源工控防火墙系统</w:t>
            </w:r>
            <w:r>
              <w:rPr>
                <w:rFonts w:ascii="Times New Roman" w:hAnsi="Times New Roman" w:cs="Times New Roman" w:eastAsia="Times New Roman" w:hint="default"/>
                <w:sz w:val="18"/>
                <w:szCs w:val="18"/>
              </w:rPr>
              <w:t>V3.0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2018SR704270</w:t>
            </w:r>
          </w:p>
        </w:tc>
      </w:tr>
      <w:tr>
        <w:trPr>
          <w:trHeight w:val="426"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8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北信源数字水印系统</w:t>
            </w:r>
            <w:r>
              <w:rPr>
                <w:rFonts w:ascii="Times New Roman" w:hAnsi="Times New Roman" w:cs="Times New Roman" w:eastAsia="Times New Roman" w:hint="default"/>
                <w:sz w:val="18"/>
                <w:szCs w:val="18"/>
              </w:rPr>
              <w:t>V2.0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2018SR808839</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8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北信源服务器配置检查系统</w:t>
            </w:r>
            <w:r>
              <w:rPr>
                <w:rFonts w:ascii="Times New Roman" w:hAnsi="Times New Roman" w:cs="Times New Roman" w:eastAsia="Times New Roman" w:hint="default"/>
                <w:sz w:val="18"/>
                <w:szCs w:val="18"/>
              </w:rPr>
              <w:t>V3.1</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2018SR894156</w:t>
            </w:r>
          </w:p>
        </w:tc>
      </w:tr>
      <w:tr>
        <w:trPr>
          <w:trHeight w:val="428"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8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北信源景云网络防病毒系统</w:t>
            </w:r>
            <w:r>
              <w:rPr>
                <w:rFonts w:ascii="Times New Roman" w:hAnsi="Times New Roman" w:cs="Times New Roman" w:eastAsia="Times New Roman" w:hint="default"/>
                <w:sz w:val="18"/>
                <w:szCs w:val="18"/>
              </w:rPr>
              <w:t>V2.0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2018SR894010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1190" w:top="1060" w:bottom="14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554"/>
        <w:gridCol w:w="5693"/>
        <w:gridCol w:w="3410"/>
      </w:tblGrid>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13</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北信源身份鉴别系统</w:t>
            </w:r>
            <w:r>
              <w:rPr>
                <w:rFonts w:ascii="Times New Roman" w:hAnsi="Times New Roman" w:cs="Times New Roman" w:eastAsia="Times New Roman" w:hint="default"/>
                <w:sz w:val="18"/>
                <w:szCs w:val="18"/>
              </w:rPr>
              <w:t>V6.6</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2018SR893999</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14</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北信源终端安全登录系统</w:t>
            </w:r>
            <w:r>
              <w:rPr>
                <w:rFonts w:ascii="Times New Roman" w:hAnsi="Times New Roman" w:cs="Times New Roman" w:eastAsia="Times New Roman" w:hint="default"/>
                <w:sz w:val="18"/>
                <w:szCs w:val="18"/>
              </w:rPr>
              <w:t>V1.0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2018SR894163</w:t>
            </w:r>
          </w:p>
        </w:tc>
      </w:tr>
      <w:tr>
        <w:trPr>
          <w:trHeight w:val="426"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15</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北信源打印刻录监控与审计系统</w:t>
            </w:r>
            <w:r>
              <w:rPr>
                <w:rFonts w:ascii="Times New Roman" w:hAnsi="Times New Roman" w:cs="Times New Roman" w:eastAsia="Times New Roman" w:hint="default"/>
                <w:sz w:val="18"/>
                <w:szCs w:val="18"/>
              </w:rPr>
              <w:t>V6.0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2018SR894016</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16</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信源豆豆即时通信系统</w:t>
            </w:r>
            <w:r>
              <w:rPr>
                <w:rFonts w:ascii="Times New Roman" w:hAnsi="Times New Roman" w:cs="Times New Roman" w:eastAsia="Times New Roman" w:hint="default"/>
                <w:sz w:val="18"/>
                <w:szCs w:val="18"/>
              </w:rPr>
              <w:t>V3.0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2018SR908862</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17</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全球主动定位系统</w:t>
            </w:r>
            <w:r>
              <w:rPr>
                <w:rFonts w:ascii="Times New Roman" w:hAnsi="Times New Roman" w:cs="Times New Roman" w:eastAsia="Times New Roman" w:hint="default"/>
                <w:sz w:val="18"/>
                <w:szCs w:val="18"/>
              </w:rPr>
              <w:t>V1.0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2018SR937937</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18</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GN</w:t>
            </w:r>
            <w:r>
              <w:rPr>
                <w:rFonts w:ascii="宋体" w:hAnsi="宋体" w:cs="宋体" w:eastAsia="宋体" w:hint="default"/>
                <w:sz w:val="18"/>
                <w:szCs w:val="18"/>
              </w:rPr>
              <w:t>接口用户行为监测软件</w:t>
            </w:r>
            <w:r>
              <w:rPr>
                <w:rFonts w:ascii="Times New Roman" w:hAnsi="Times New Roman" w:cs="Times New Roman" w:eastAsia="Times New Roman" w:hint="default"/>
                <w:sz w:val="18"/>
                <w:szCs w:val="18"/>
              </w:rPr>
              <w:t>V1.0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2018SR937919</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19</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GB</w:t>
            </w:r>
            <w:r>
              <w:rPr>
                <w:rFonts w:ascii="宋体" w:hAnsi="宋体" w:cs="宋体" w:eastAsia="宋体" w:hint="default"/>
                <w:sz w:val="18"/>
                <w:szCs w:val="18"/>
              </w:rPr>
              <w:t>接口用户行为监测软件</w:t>
            </w:r>
            <w:r>
              <w:rPr>
                <w:rFonts w:ascii="Times New Roman" w:hAnsi="Times New Roman" w:cs="Times New Roman" w:eastAsia="Times New Roman" w:hint="default"/>
                <w:sz w:val="18"/>
                <w:szCs w:val="18"/>
              </w:rPr>
              <w:t>V1.0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2018SR937927</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北信源即时通信及应用聚合平台</w:t>
            </w:r>
            <w:r>
              <w:rPr>
                <w:rFonts w:ascii="Times New Roman" w:hAnsi="Times New Roman" w:cs="Times New Roman" w:eastAsia="Times New Roman" w:hint="default"/>
                <w:sz w:val="18"/>
                <w:szCs w:val="18"/>
              </w:rPr>
              <w:t>V2.0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2018SR980349</w:t>
            </w:r>
          </w:p>
        </w:tc>
      </w:tr>
      <w:tr>
        <w:trPr>
          <w:trHeight w:val="426"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21</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北信源服务器安全防护系统</w:t>
            </w:r>
            <w:r>
              <w:rPr>
                <w:rFonts w:ascii="Times New Roman" w:hAnsi="Times New Roman" w:cs="Times New Roman" w:eastAsia="Times New Roman" w:hint="default"/>
                <w:sz w:val="18"/>
                <w:szCs w:val="18"/>
              </w:rPr>
              <w:t>V2.0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2018SR905288</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22</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北信源屏幕信息防泄漏系统</w:t>
            </w:r>
            <w:r>
              <w:rPr>
                <w:rFonts w:ascii="Times New Roman" w:hAnsi="Times New Roman" w:cs="Times New Roman" w:eastAsia="Times New Roman" w:hint="default"/>
                <w:sz w:val="18"/>
                <w:szCs w:val="18"/>
              </w:rPr>
              <w:t>V6.6.02.03</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2018SR905279</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23</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北信源即时通信系统</w:t>
            </w:r>
            <w:r>
              <w:rPr>
                <w:rFonts w:ascii="Times New Roman" w:hAnsi="Times New Roman" w:cs="Times New Roman" w:eastAsia="Times New Roman" w:hint="default"/>
                <w:sz w:val="18"/>
                <w:szCs w:val="18"/>
              </w:rPr>
              <w:t>V3.0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2018SR830824</w:t>
            </w:r>
          </w:p>
        </w:tc>
      </w:tr>
      <w:tr>
        <w:trPr>
          <w:trHeight w:val="34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销售许可证</w:t>
            </w:r>
            <w:r>
              <w:rPr>
                <w:rFonts w:ascii="宋体" w:hAnsi="宋体" w:cs="宋体" w:eastAsia="宋体" w:hint="default"/>
                <w:sz w:val="18"/>
                <w:szCs w:val="18"/>
              </w:rPr>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编号</w:t>
            </w:r>
            <w:r>
              <w:rPr>
                <w:rFonts w:ascii="宋体" w:hAnsi="宋体" w:cs="宋体" w:eastAsia="宋体" w:hint="default"/>
                <w:sz w:val="18"/>
                <w:szCs w:val="18"/>
              </w:rPr>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北信源内网安全管理及补丁分发准入控制系统</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V8.1</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XKC60009</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北信源打印及刻录安全监控与审计系统</w:t>
            </w:r>
            <w:r>
              <w:rPr>
                <w:rFonts w:ascii="Times New Roman" w:hAnsi="Times New Roman" w:cs="Times New Roman" w:eastAsia="Times New Roman" w:hint="default"/>
                <w:sz w:val="18"/>
                <w:szCs w:val="18"/>
              </w:rPr>
              <w:t>V6.0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XKC60129</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北信源网络接入控制系统 </w:t>
            </w:r>
            <w:r>
              <w:rPr>
                <w:rFonts w:ascii="Times New Roman" w:hAnsi="Times New Roman" w:cs="Times New Roman" w:eastAsia="Times New Roman" w:hint="default"/>
                <w:sz w:val="18"/>
                <w:szCs w:val="18"/>
              </w:rPr>
              <w:t>VRV BMG</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V6.0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XKC60236</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计算机终端安全护理系统（</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care</w:t>
            </w:r>
            <w:r>
              <w:rPr>
                <w:rFonts w:ascii="宋体" w:hAnsi="宋体" w:cs="宋体" w:eastAsia="宋体" w:hint="default"/>
                <w:sz w:val="18"/>
                <w:szCs w:val="18"/>
              </w:rPr>
              <w:t>）</w:t>
            </w:r>
            <w:r>
              <w:rPr>
                <w:rFonts w:ascii="Times New Roman" w:hAnsi="Times New Roman" w:cs="Times New Roman" w:eastAsia="Times New Roman" w:hint="default"/>
                <w:sz w:val="18"/>
                <w:szCs w:val="18"/>
              </w:rPr>
              <w:t>V6.7</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XKC37764</w:t>
            </w:r>
          </w:p>
        </w:tc>
      </w:tr>
      <w:tr>
        <w:trPr>
          <w:trHeight w:val="426"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5</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北信源计算机终端保密检查系统</w:t>
            </w:r>
            <w:r>
              <w:rPr>
                <w:rFonts w:ascii="Times New Roman" w:hAnsi="Times New Roman" w:cs="Times New Roman" w:eastAsia="Times New Roman" w:hint="default"/>
                <w:sz w:val="18"/>
                <w:szCs w:val="18"/>
              </w:rPr>
              <w:t>V1.0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XKC33008</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北信源安全免疫移动硬盘系统</w:t>
            </w:r>
            <w:r>
              <w:rPr>
                <w:rFonts w:ascii="Times New Roman" w:hAnsi="Times New Roman" w:cs="Times New Roman" w:eastAsia="Times New Roman" w:hint="default"/>
                <w:sz w:val="18"/>
                <w:szCs w:val="18"/>
              </w:rPr>
              <w:t>V2.0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0403180119</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7</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北信源非法外联及客户端安全监控系统</w:t>
            </w:r>
            <w:r>
              <w:rPr>
                <w:rFonts w:ascii="Times New Roman" w:hAnsi="Times New Roman" w:cs="Times New Roman" w:eastAsia="Times New Roman" w:hint="default"/>
                <w:sz w:val="18"/>
                <w:szCs w:val="18"/>
              </w:rPr>
              <w:t>V6.6</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0405180145</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8</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信源工控隔离网关</w:t>
            </w:r>
            <w:r>
              <w:rPr>
                <w:rFonts w:ascii="Times New Roman" w:hAnsi="Times New Roman" w:cs="Times New Roman" w:eastAsia="Times New Roman" w:hint="default"/>
                <w:sz w:val="18"/>
                <w:szCs w:val="18"/>
              </w:rPr>
              <w:t>XY-IGA/V3.0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0402180233</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9</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信源工控防火墙</w:t>
            </w:r>
            <w:r>
              <w:rPr>
                <w:rFonts w:ascii="Times New Roman" w:hAnsi="Times New Roman" w:cs="Times New Roman" w:eastAsia="Times New Roman" w:hint="default"/>
                <w:sz w:val="18"/>
                <w:szCs w:val="18"/>
              </w:rPr>
              <w:t>XY-IFW/V3.0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0402180269</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北信源服务器配置检查系统</w:t>
            </w:r>
            <w:r>
              <w:rPr>
                <w:rFonts w:ascii="Times New Roman" w:hAnsi="Times New Roman" w:cs="Times New Roman" w:eastAsia="Times New Roman" w:hint="default"/>
                <w:sz w:val="18"/>
                <w:szCs w:val="18"/>
              </w:rPr>
              <w:t>V3.1</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0405180448</w:t>
            </w:r>
          </w:p>
        </w:tc>
      </w:tr>
      <w:tr>
        <w:trPr>
          <w:trHeight w:val="426"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11</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北信源景云网络防病毒系统</w:t>
            </w:r>
            <w:r>
              <w:rPr>
                <w:rFonts w:ascii="Times New Roman" w:hAnsi="Times New Roman" w:cs="Times New Roman" w:eastAsia="Times New Roman" w:hint="default"/>
                <w:sz w:val="18"/>
                <w:szCs w:val="18"/>
              </w:rPr>
              <w:t>V2.0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0106180479</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北信源上网行为管理系统</w:t>
            </w:r>
            <w:r>
              <w:rPr>
                <w:rFonts w:ascii="Times New Roman" w:hAnsi="Times New Roman" w:cs="Times New Roman" w:eastAsia="Times New Roman" w:hint="default"/>
                <w:sz w:val="18"/>
                <w:szCs w:val="18"/>
              </w:rPr>
              <w:t>VRV</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BMG/V6.0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0402180923</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13</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北信源移动存储管理系统及安全</w:t>
            </w:r>
            <w:r>
              <w:rPr>
                <w:rFonts w:ascii="Times New Roman" w:hAnsi="Times New Roman" w:cs="Times New Roman" w:eastAsia="Times New Roman" w:hint="default"/>
                <w:sz w:val="18"/>
                <w:szCs w:val="18"/>
              </w:rPr>
              <w:t>U</w:t>
            </w:r>
            <w:r>
              <w:rPr>
                <w:rFonts w:ascii="宋体" w:hAnsi="宋体" w:cs="宋体" w:eastAsia="宋体" w:hint="default"/>
                <w:sz w:val="18"/>
                <w:szCs w:val="18"/>
              </w:rPr>
              <w:t>盘</w:t>
            </w:r>
            <w:r>
              <w:rPr>
                <w:rFonts w:ascii="Times New Roman" w:hAnsi="Times New Roman" w:cs="Times New Roman" w:eastAsia="Times New Roman" w:hint="default"/>
                <w:sz w:val="18"/>
                <w:szCs w:val="18"/>
              </w:rPr>
              <w:t>2.16.0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0403180922</w:t>
            </w:r>
          </w:p>
        </w:tc>
      </w:tr>
      <w:tr>
        <w:trPr>
          <w:trHeight w:val="34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国家信息安全产品认证证书</w:t>
            </w:r>
            <w:r>
              <w:rPr>
                <w:rFonts w:ascii="宋体" w:hAnsi="宋体" w:cs="宋体" w:eastAsia="宋体" w:hint="default"/>
                <w:sz w:val="18"/>
                <w:szCs w:val="18"/>
              </w:rPr>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编号</w:t>
            </w:r>
            <w:r>
              <w:rPr>
                <w:rFonts w:ascii="宋体" w:hAnsi="宋体" w:cs="宋体" w:eastAsia="宋体" w:hint="default"/>
                <w:sz w:val="18"/>
                <w:szCs w:val="18"/>
              </w:rPr>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北信源网络接入控制系统</w:t>
            </w:r>
            <w:r>
              <w:rPr>
                <w:rFonts w:ascii="Times New Roman" w:hAnsi="Times New Roman" w:cs="Times New Roman" w:eastAsia="Times New Roman" w:hint="default"/>
                <w:sz w:val="18"/>
                <w:szCs w:val="18"/>
              </w:rPr>
              <w:t>VRV BMG</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V6.0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2018162312000659</w:t>
            </w:r>
          </w:p>
        </w:tc>
      </w:tr>
      <w:tr>
        <w:trPr>
          <w:trHeight w:val="34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涉密信息系统产品检测证书</w:t>
            </w:r>
            <w:r>
              <w:rPr>
                <w:rFonts w:ascii="宋体" w:hAnsi="宋体" w:cs="宋体" w:eastAsia="宋体" w:hint="default"/>
                <w:sz w:val="18"/>
                <w:szCs w:val="18"/>
              </w:rPr>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编号</w:t>
            </w:r>
            <w:r>
              <w:rPr>
                <w:rFonts w:ascii="宋体" w:hAnsi="宋体" w:cs="宋体" w:eastAsia="宋体" w:hint="default"/>
                <w:sz w:val="18"/>
                <w:szCs w:val="18"/>
              </w:rPr>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北信源打印刻录监控与审计系统（单机版）</w:t>
            </w:r>
            <w:r>
              <w:rPr>
                <w:rFonts w:ascii="Times New Roman" w:hAnsi="Times New Roman" w:cs="Times New Roman" w:eastAsia="Times New Roman" w:hint="default"/>
                <w:sz w:val="18"/>
                <w:szCs w:val="18"/>
              </w:rPr>
              <w:t>V6.0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国保测</w:t>
            </w:r>
            <w:r>
              <w:rPr>
                <w:rFonts w:ascii="Times New Roman" w:hAnsi="Times New Roman" w:cs="Times New Roman" w:eastAsia="Times New Roman" w:hint="default"/>
                <w:sz w:val="18"/>
                <w:szCs w:val="18"/>
              </w:rPr>
              <w:t>2018C06253</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北信源主机监控审计与补丁分发系统</w:t>
            </w:r>
            <w:r>
              <w:rPr>
                <w:rFonts w:ascii="Times New Roman" w:hAnsi="Times New Roman" w:cs="Times New Roman" w:eastAsia="Times New Roman" w:hint="default"/>
                <w:sz w:val="18"/>
                <w:szCs w:val="18"/>
              </w:rPr>
              <w:t>V8.1</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国保测</w:t>
            </w:r>
            <w:r>
              <w:rPr>
                <w:rFonts w:ascii="Times New Roman" w:hAnsi="Times New Roman" w:cs="Times New Roman" w:eastAsia="Times New Roman" w:hint="default"/>
                <w:sz w:val="18"/>
                <w:szCs w:val="18"/>
              </w:rPr>
              <w:t>2018C06270</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北信源网络安全管理系统</w:t>
            </w:r>
            <w:r>
              <w:rPr>
                <w:rFonts w:ascii="Times New Roman" w:hAnsi="Times New Roman" w:cs="Times New Roman" w:eastAsia="Times New Roman" w:hint="default"/>
                <w:sz w:val="18"/>
                <w:szCs w:val="18"/>
              </w:rPr>
              <w:t>V2.0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国保测</w:t>
            </w:r>
            <w:r>
              <w:rPr>
                <w:rFonts w:ascii="Times New Roman" w:hAnsi="Times New Roman" w:cs="Times New Roman" w:eastAsia="Times New Roman" w:hint="default"/>
                <w:sz w:val="18"/>
                <w:szCs w:val="18"/>
              </w:rPr>
              <w:t>2018C06650</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北信源身份鉴别系统</w:t>
            </w:r>
            <w:r>
              <w:rPr>
                <w:rFonts w:ascii="Times New Roman" w:hAnsi="Times New Roman" w:cs="Times New Roman" w:eastAsia="Times New Roman" w:hint="default"/>
                <w:sz w:val="18"/>
                <w:szCs w:val="18"/>
              </w:rPr>
              <w:t>V6.6</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国保测</w:t>
            </w:r>
            <w:r>
              <w:rPr>
                <w:rFonts w:ascii="Times New Roman" w:hAnsi="Times New Roman" w:cs="Times New Roman" w:eastAsia="Times New Roman" w:hint="default"/>
                <w:sz w:val="18"/>
                <w:szCs w:val="18"/>
              </w:rPr>
              <w:t>2018C06649</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5</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北信源主机监控审计与补丁分发系统</w:t>
            </w:r>
            <w:r>
              <w:rPr>
                <w:rFonts w:ascii="Times New Roman" w:hAnsi="Times New Roman" w:cs="Times New Roman" w:eastAsia="Times New Roman" w:hint="default"/>
                <w:sz w:val="18"/>
                <w:szCs w:val="18"/>
              </w:rPr>
              <w:t>V6.6.02</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国保测</w:t>
            </w:r>
            <w:r>
              <w:rPr>
                <w:rFonts w:ascii="Times New Roman" w:hAnsi="Times New Roman" w:cs="Times New Roman" w:eastAsia="Times New Roman" w:hint="default"/>
                <w:sz w:val="18"/>
                <w:szCs w:val="18"/>
              </w:rPr>
              <w:t>2018C06981</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554"/>
        <w:gridCol w:w="5693"/>
        <w:gridCol w:w="3410"/>
      </w:tblGrid>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6</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北信源终端安全登录系统</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V1.0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入选相关国产化平台适配软硬件产品目录</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7</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北信源主机监控与审计系统</w:t>
            </w:r>
            <w:r>
              <w:rPr>
                <w:rFonts w:ascii="Times New Roman" w:hAnsi="Times New Roman" w:cs="Times New Roman" w:eastAsia="Times New Roman" w:hint="default"/>
                <w:sz w:val="18"/>
                <w:szCs w:val="18"/>
              </w:rPr>
              <w:t>V1.2</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入选相关国产化平台适配软硬件产品目录</w:t>
            </w:r>
          </w:p>
        </w:tc>
      </w:tr>
      <w:tr>
        <w:trPr>
          <w:trHeight w:val="426"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8</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北信源涉密专用服务器审计系统</w:t>
            </w:r>
            <w:r>
              <w:rPr>
                <w:rFonts w:ascii="Times New Roman" w:hAnsi="Times New Roman" w:cs="Times New Roman" w:eastAsia="Times New Roman" w:hint="default"/>
                <w:sz w:val="18"/>
                <w:szCs w:val="18"/>
              </w:rPr>
              <w:t>V2.0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入选相关国产化平台适配软硬件产品目录</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9</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北信源打印刻录监控与审计系统</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V6.0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入选相关国产化平台适配软硬件产品目录</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北信源电子文档安全管理系统</w:t>
            </w:r>
            <w:r>
              <w:rPr>
                <w:rFonts w:ascii="Times New Roman" w:hAnsi="Times New Roman" w:cs="Times New Roman" w:eastAsia="Times New Roman" w:hint="default"/>
                <w:sz w:val="18"/>
                <w:szCs w:val="18"/>
              </w:rPr>
              <w:t>V2.0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入选相关国产化平台适配软硬件产品目录</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11</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北信源存储介质信息消除系统</w:t>
            </w:r>
            <w:r>
              <w:rPr>
                <w:rFonts w:ascii="Times New Roman" w:hAnsi="Times New Roman" w:cs="Times New Roman" w:eastAsia="Times New Roman" w:hint="default"/>
                <w:sz w:val="18"/>
                <w:szCs w:val="18"/>
              </w:rPr>
              <w:t>IES V4.0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国保测</w:t>
            </w:r>
            <w:r>
              <w:rPr>
                <w:rFonts w:ascii="Times New Roman" w:hAnsi="Times New Roman" w:cs="Times New Roman" w:eastAsia="Times New Roman" w:hint="default"/>
                <w:sz w:val="18"/>
                <w:szCs w:val="18"/>
              </w:rPr>
              <w:t>2018C07117</w:t>
            </w:r>
          </w:p>
        </w:tc>
      </w:tr>
      <w:tr>
        <w:trPr>
          <w:trHeight w:val="34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产品资质</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软件产品证书</w:t>
            </w:r>
            <w:r>
              <w:rPr>
                <w:rFonts w:ascii="宋体" w:hAnsi="宋体" w:cs="宋体" w:eastAsia="宋体" w:hint="default"/>
                <w:sz w:val="18"/>
                <w:szCs w:val="18"/>
              </w:rPr>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证书编号</w:t>
            </w:r>
            <w:r>
              <w:rPr>
                <w:rFonts w:ascii="宋体" w:hAnsi="宋体" w:cs="宋体" w:eastAsia="宋体" w:hint="default"/>
                <w:sz w:val="18"/>
                <w:szCs w:val="18"/>
              </w:rPr>
            </w:r>
          </w:p>
        </w:tc>
      </w:tr>
      <w:tr>
        <w:trPr>
          <w:trHeight w:val="34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北信源存储介质信息消除系统【简称：</w:t>
            </w:r>
            <w:r>
              <w:rPr>
                <w:rFonts w:ascii="Times New Roman" w:hAnsi="Times New Roman" w:cs="Times New Roman" w:eastAsia="Times New Roman" w:hint="default"/>
                <w:sz w:val="18"/>
                <w:szCs w:val="18"/>
              </w:rPr>
              <w:t>VRV IES  </w:t>
            </w:r>
            <w:r>
              <w:rPr>
                <w:rFonts w:ascii="宋体" w:hAnsi="宋体" w:cs="宋体" w:eastAsia="宋体" w:hint="default"/>
                <w:sz w:val="18"/>
                <w:szCs w:val="18"/>
              </w:rPr>
              <w:t>】</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V3.0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RC-2018-0756</w:t>
            </w:r>
          </w:p>
        </w:tc>
      </w:tr>
      <w:tr>
        <w:trPr>
          <w:trHeight w:val="739"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1"/>
              <w:jc w:val="center"/>
              <w:rPr>
                <w:rFonts w:ascii="宋体" w:hAnsi="宋体" w:cs="宋体" w:eastAsia="宋体" w:hint="default"/>
                <w:sz w:val="18"/>
                <w:szCs w:val="18"/>
              </w:rPr>
            </w:pPr>
            <w:r>
              <w:rPr>
                <w:rFonts w:ascii="宋体" w:hAnsi="宋体" w:cs="宋体" w:eastAsia="宋体" w:hint="default"/>
                <w:sz w:val="18"/>
                <w:szCs w:val="18"/>
              </w:rPr>
              <w:t>北信源主机监控审计与补丁分发系统【简称：主机监控审计与补丁分发</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V8.1</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before="62"/>
              <w:ind w:left="-11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0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RC-2018-0757</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北信源内网安全管理及补丁分发准入控制系统</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V8.1</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RC-2018-0758</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北信源打印刻录监控与审计系统（单机版）【简称：</w:t>
            </w:r>
            <w:r>
              <w:rPr>
                <w:rFonts w:ascii="Times New Roman" w:hAnsi="Times New Roman" w:cs="Times New Roman" w:eastAsia="Times New Roman" w:hint="default"/>
                <w:sz w:val="18"/>
                <w:szCs w:val="18"/>
              </w:rPr>
              <w:t>Vrvios</w:t>
            </w:r>
            <w:r>
              <w:rPr>
                <w:rFonts w:ascii="宋体" w:hAnsi="宋体" w:cs="宋体" w:eastAsia="宋体" w:hint="default"/>
                <w:sz w:val="18"/>
                <w:szCs w:val="18"/>
              </w:rPr>
              <w:t>】</w:t>
            </w:r>
            <w:r>
              <w:rPr>
                <w:rFonts w:ascii="Times New Roman" w:hAnsi="Times New Roman" w:cs="Times New Roman" w:eastAsia="Times New Roman" w:hint="default"/>
                <w:sz w:val="18"/>
                <w:szCs w:val="18"/>
              </w:rPr>
              <w:t>V6.0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RC-2018-0759</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5</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北信源电子文档安全管理系统【简称：电子文档安全管理系统】</w:t>
            </w:r>
            <w:r>
              <w:rPr>
                <w:rFonts w:ascii="Times New Roman" w:hAnsi="Times New Roman" w:cs="Times New Roman" w:eastAsia="Times New Roman" w:hint="default"/>
                <w:sz w:val="18"/>
                <w:szCs w:val="18"/>
              </w:rPr>
              <w:t>V2.0.0.3</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RC-2018-1562</w:t>
            </w:r>
          </w:p>
        </w:tc>
      </w:tr>
      <w:tr>
        <w:trPr>
          <w:trHeight w:val="426"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6</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北信源存储介质信息消除工具软件【简称：存储介质信息消除工具】</w:t>
            </w:r>
            <w:r>
              <w:rPr>
                <w:rFonts w:ascii="Times New Roman" w:hAnsi="Times New Roman" w:cs="Times New Roman" w:eastAsia="Times New Roman" w:hint="default"/>
                <w:spacing w:val="-3"/>
                <w:sz w:val="18"/>
                <w:szCs w:val="18"/>
              </w:rPr>
              <w:t>V2.0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RC-2018-1563</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北信源网情监测与分析管理平台软件【简称：北信源网情监测平台】</w:t>
            </w:r>
            <w:r>
              <w:rPr>
                <w:rFonts w:ascii="Times New Roman" w:hAnsi="Times New Roman" w:cs="Times New Roman" w:eastAsia="Times New Roman" w:hint="default"/>
                <w:spacing w:val="-3"/>
                <w:sz w:val="18"/>
                <w:szCs w:val="18"/>
              </w:rPr>
              <w:t>V3.0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RC-2018-1564</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8</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北信源电子文档安全管理系统（中标麒麟版）</w:t>
            </w:r>
            <w:r>
              <w:rPr>
                <w:rFonts w:ascii="Times New Roman" w:hAnsi="Times New Roman" w:cs="Times New Roman" w:eastAsia="Times New Roman" w:hint="default"/>
                <w:sz w:val="18"/>
                <w:szCs w:val="18"/>
              </w:rPr>
              <w:t>V2.0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RC-2018-1565</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9</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北信源身份鉴别系统</w:t>
            </w:r>
            <w:r>
              <w:rPr>
                <w:rFonts w:ascii="Times New Roman" w:hAnsi="Times New Roman" w:cs="Times New Roman" w:eastAsia="Times New Roman" w:hint="default"/>
                <w:sz w:val="18"/>
                <w:szCs w:val="18"/>
              </w:rPr>
              <w:t>V1.0</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RC-2018-1566</w:t>
            </w:r>
          </w:p>
        </w:tc>
      </w:tr>
      <w:tr>
        <w:trPr>
          <w:trHeight w:val="42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北信源主机监控与审计系统</w:t>
            </w:r>
            <w:r>
              <w:rPr>
                <w:rFonts w:ascii="Times New Roman" w:hAnsi="Times New Roman" w:cs="Times New Roman" w:eastAsia="Times New Roman" w:hint="default"/>
                <w:sz w:val="18"/>
                <w:szCs w:val="18"/>
              </w:rPr>
              <w:t>V1.2</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RC-2018-1567</w:t>
            </w:r>
          </w:p>
        </w:tc>
      </w:tr>
      <w:tr>
        <w:trPr>
          <w:trHeight w:val="347"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商标</w:t>
            </w:r>
            <w:r>
              <w:rPr>
                <w:rFonts w:ascii="宋体" w:hAnsi="宋体" w:cs="宋体" w:eastAsia="宋体" w:hint="default"/>
                <w:sz w:val="18"/>
                <w:szCs w:val="18"/>
              </w:rPr>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注册号</w:t>
            </w:r>
            <w:r>
              <w:rPr>
                <w:rFonts w:ascii="宋体" w:hAnsi="宋体" w:cs="宋体" w:eastAsia="宋体" w:hint="default"/>
                <w:sz w:val="18"/>
                <w:szCs w:val="18"/>
              </w:rPr>
            </w:r>
          </w:p>
        </w:tc>
      </w:tr>
      <w:tr>
        <w:trPr>
          <w:trHeight w:val="659"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
                <w:szCs w:val="3"/>
              </w:rPr>
            </w:pPr>
          </w:p>
          <w:p>
            <w:pPr>
              <w:pStyle w:val="TableParagraph"/>
              <w:spacing w:line="567" w:lineRule="exact"/>
              <w:ind w:left="255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360426" cy="36042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360426" cy="360425"/>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19293022</w:t>
            </w:r>
            <w:r>
              <w:rPr>
                <w:rFonts w:ascii="宋体" w:hAnsi="宋体" w:cs="宋体" w:eastAsia="宋体" w:hint="default"/>
                <w:sz w:val="18"/>
                <w:szCs w:val="18"/>
              </w:rPr>
              <w:t>号</w:t>
            </w:r>
          </w:p>
        </w:tc>
      </w:tr>
      <w:tr>
        <w:trPr>
          <w:trHeight w:val="659"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
                <w:szCs w:val="3"/>
              </w:rPr>
            </w:pPr>
          </w:p>
          <w:p>
            <w:pPr>
              <w:pStyle w:val="TableParagraph"/>
              <w:spacing w:line="567" w:lineRule="exact"/>
              <w:ind w:left="255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360426" cy="36042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360426" cy="360425"/>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19293026</w:t>
            </w:r>
            <w:r>
              <w:rPr>
                <w:rFonts w:ascii="宋体" w:hAnsi="宋体" w:cs="宋体" w:eastAsia="宋体" w:hint="default"/>
                <w:sz w:val="18"/>
                <w:szCs w:val="18"/>
              </w:rPr>
              <w:t>号</w:t>
            </w:r>
          </w:p>
        </w:tc>
      </w:tr>
      <w:tr>
        <w:trPr>
          <w:trHeight w:val="659"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
                <w:szCs w:val="3"/>
              </w:rPr>
            </w:pPr>
          </w:p>
          <w:p>
            <w:pPr>
              <w:pStyle w:val="TableParagraph"/>
              <w:spacing w:line="567" w:lineRule="exact"/>
              <w:ind w:left="255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360426" cy="360425"/>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12" cstate="print"/>
                          <a:stretch>
                            <a:fillRect/>
                          </a:stretch>
                        </pic:blipFill>
                        <pic:spPr>
                          <a:xfrm>
                            <a:off x="0" y="0"/>
                            <a:ext cx="360426" cy="360425"/>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19266767</w:t>
            </w:r>
            <w:r>
              <w:rPr>
                <w:rFonts w:ascii="宋体" w:hAnsi="宋体" w:cs="宋体" w:eastAsia="宋体" w:hint="default"/>
                <w:sz w:val="18"/>
                <w:szCs w:val="18"/>
              </w:rPr>
              <w:t>号</w:t>
            </w:r>
          </w:p>
        </w:tc>
      </w:tr>
      <w:tr>
        <w:trPr>
          <w:trHeight w:val="660"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3"/>
                <w:szCs w:val="3"/>
              </w:rPr>
            </w:pPr>
          </w:p>
          <w:p>
            <w:pPr>
              <w:pStyle w:val="TableParagraph"/>
              <w:spacing w:line="567" w:lineRule="exact"/>
              <w:ind w:left="255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361196" cy="360425"/>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12" cstate="print"/>
                          <a:stretch>
                            <a:fillRect/>
                          </a:stretch>
                        </pic:blipFill>
                        <pic:spPr>
                          <a:xfrm>
                            <a:off x="0" y="0"/>
                            <a:ext cx="361196" cy="360425"/>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19254081</w:t>
            </w:r>
            <w:r>
              <w:rPr>
                <w:rFonts w:ascii="宋体" w:hAnsi="宋体" w:cs="宋体" w:eastAsia="宋体" w:hint="default"/>
                <w:sz w:val="18"/>
                <w:szCs w:val="18"/>
              </w:rPr>
              <w:t>号</w:t>
            </w:r>
          </w:p>
        </w:tc>
      </w:tr>
      <w:tr>
        <w:trPr>
          <w:trHeight w:val="659"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3"/>
                <w:szCs w:val="3"/>
              </w:rPr>
            </w:pPr>
          </w:p>
          <w:p>
            <w:pPr>
              <w:pStyle w:val="TableParagraph"/>
              <w:spacing w:line="567" w:lineRule="exact"/>
              <w:ind w:left="255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360426" cy="360425"/>
                  <wp:effectExtent l="0" t="0" r="0" b="0"/>
                  <wp:docPr id="11" name="image3.png" descr=""/>
                  <wp:cNvGraphicFramePr>
                    <a:graphicFrameLocks noChangeAspect="1"/>
                  </wp:cNvGraphicFramePr>
                  <a:graphic>
                    <a:graphicData uri="http://schemas.openxmlformats.org/drawingml/2006/picture">
                      <pic:pic>
                        <pic:nvPicPr>
                          <pic:cNvPr id="12" name="image3.png"/>
                          <pic:cNvPicPr/>
                        </pic:nvPicPr>
                        <pic:blipFill>
                          <a:blip r:embed="rId12" cstate="print"/>
                          <a:stretch>
                            <a:fillRect/>
                          </a:stretch>
                        </pic:blipFill>
                        <pic:spPr>
                          <a:xfrm>
                            <a:off x="0" y="0"/>
                            <a:ext cx="360426" cy="360425"/>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19293024</w:t>
            </w:r>
            <w:r>
              <w:rPr>
                <w:rFonts w:ascii="宋体" w:hAnsi="宋体" w:cs="宋体" w:eastAsia="宋体" w:hint="default"/>
                <w:sz w:val="18"/>
                <w:szCs w:val="18"/>
              </w:rPr>
              <w:t>号</w:t>
            </w:r>
          </w:p>
        </w:tc>
      </w:tr>
      <w:tr>
        <w:trPr>
          <w:trHeight w:val="659"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
                <w:szCs w:val="3"/>
              </w:rPr>
            </w:pPr>
          </w:p>
          <w:p>
            <w:pPr>
              <w:pStyle w:val="TableParagraph"/>
              <w:spacing w:line="567" w:lineRule="exact"/>
              <w:ind w:left="255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360426" cy="360425"/>
                  <wp:effectExtent l="0" t="0" r="0" b="0"/>
                  <wp:docPr id="13" name="image3.png" descr=""/>
                  <wp:cNvGraphicFramePr>
                    <a:graphicFrameLocks noChangeAspect="1"/>
                  </wp:cNvGraphicFramePr>
                  <a:graphic>
                    <a:graphicData uri="http://schemas.openxmlformats.org/drawingml/2006/picture">
                      <pic:pic>
                        <pic:nvPicPr>
                          <pic:cNvPr id="14" name="image3.png"/>
                          <pic:cNvPicPr/>
                        </pic:nvPicPr>
                        <pic:blipFill>
                          <a:blip r:embed="rId12" cstate="print"/>
                          <a:stretch>
                            <a:fillRect/>
                          </a:stretch>
                        </pic:blipFill>
                        <pic:spPr>
                          <a:xfrm>
                            <a:off x="0" y="0"/>
                            <a:ext cx="360426" cy="360425"/>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19293028</w:t>
            </w:r>
            <w:r>
              <w:rPr>
                <w:rFonts w:ascii="宋体" w:hAnsi="宋体" w:cs="宋体" w:eastAsia="宋体" w:hint="default"/>
                <w:sz w:val="18"/>
                <w:szCs w:val="18"/>
              </w:rPr>
              <w:t>号</w:t>
            </w:r>
          </w:p>
        </w:tc>
      </w:tr>
      <w:tr>
        <w:trPr>
          <w:trHeight w:val="659"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8"/>
                <w:szCs w:val="8"/>
              </w:rPr>
            </w:pPr>
          </w:p>
          <w:p>
            <w:pPr>
              <w:pStyle w:val="TableParagraph"/>
              <w:spacing w:line="445" w:lineRule="exact"/>
              <w:ind w:left="257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332746" cy="282606"/>
                  <wp:effectExtent l="0" t="0" r="0" b="0"/>
                  <wp:docPr id="15" name="image4.jpeg" descr=""/>
                  <wp:cNvGraphicFramePr>
                    <a:graphicFrameLocks noChangeAspect="1"/>
                  </wp:cNvGraphicFramePr>
                  <a:graphic>
                    <a:graphicData uri="http://schemas.openxmlformats.org/drawingml/2006/picture">
                      <pic:pic>
                        <pic:nvPicPr>
                          <pic:cNvPr id="16" name="image4.jpeg"/>
                          <pic:cNvPicPr/>
                        </pic:nvPicPr>
                        <pic:blipFill>
                          <a:blip r:embed="rId13" cstate="print"/>
                          <a:stretch>
                            <a:fillRect/>
                          </a:stretch>
                        </pic:blipFill>
                        <pic:spPr>
                          <a:xfrm>
                            <a:off x="0" y="0"/>
                            <a:ext cx="332746" cy="282606"/>
                          </a:xfrm>
                          <a:prstGeom prst="rect">
                            <a:avLst/>
                          </a:prstGeom>
                        </pic:spPr>
                      </pic:pic>
                    </a:graphicData>
                  </a:graphic>
                </wp:inline>
              </w:drawing>
            </w:r>
            <w:r>
              <w:rPr>
                <w:rFonts w:ascii="Times New Roman" w:hAnsi="Times New Roman" w:cs="Times New Roman" w:eastAsia="Times New Roman" w:hint="default"/>
                <w:position w:val="-8"/>
                <w:sz w:val="20"/>
                <w:szCs w:val="20"/>
              </w:rPr>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25443422</w:t>
            </w:r>
            <w:r>
              <w:rPr>
                <w:rFonts w:ascii="宋体" w:hAnsi="宋体" w:cs="宋体" w:eastAsia="宋体" w:hint="default"/>
                <w:sz w:val="18"/>
                <w:szCs w:val="18"/>
              </w:rPr>
              <w:t>号</w:t>
            </w:r>
          </w:p>
        </w:tc>
      </w:tr>
      <w:tr>
        <w:trPr>
          <w:trHeight w:val="659"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8"/>
                <w:szCs w:val="8"/>
              </w:rPr>
            </w:pPr>
          </w:p>
          <w:p>
            <w:pPr>
              <w:pStyle w:val="TableParagraph"/>
              <w:spacing w:line="445" w:lineRule="exact"/>
              <w:ind w:left="257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332746" cy="282606"/>
                  <wp:effectExtent l="0" t="0" r="0" b="0"/>
                  <wp:docPr id="17" name="image4.jpeg" descr=""/>
                  <wp:cNvGraphicFramePr>
                    <a:graphicFrameLocks noChangeAspect="1"/>
                  </wp:cNvGraphicFramePr>
                  <a:graphic>
                    <a:graphicData uri="http://schemas.openxmlformats.org/drawingml/2006/picture">
                      <pic:pic>
                        <pic:nvPicPr>
                          <pic:cNvPr id="18" name="image4.jpeg"/>
                          <pic:cNvPicPr/>
                        </pic:nvPicPr>
                        <pic:blipFill>
                          <a:blip r:embed="rId13" cstate="print"/>
                          <a:stretch>
                            <a:fillRect/>
                          </a:stretch>
                        </pic:blipFill>
                        <pic:spPr>
                          <a:xfrm>
                            <a:off x="0" y="0"/>
                            <a:ext cx="332746" cy="282606"/>
                          </a:xfrm>
                          <a:prstGeom prst="rect">
                            <a:avLst/>
                          </a:prstGeom>
                        </pic:spPr>
                      </pic:pic>
                    </a:graphicData>
                  </a:graphic>
                </wp:inline>
              </w:drawing>
            </w:r>
            <w:r>
              <w:rPr>
                <w:rFonts w:ascii="Times New Roman" w:hAnsi="Times New Roman" w:cs="Times New Roman" w:eastAsia="Times New Roman" w:hint="default"/>
                <w:position w:val="-8"/>
                <w:sz w:val="20"/>
                <w:szCs w:val="20"/>
              </w:rPr>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25469825</w:t>
            </w:r>
            <w:r>
              <w:rPr>
                <w:rFonts w:ascii="宋体" w:hAnsi="宋体" w:cs="宋体" w:eastAsia="宋体" w:hint="default"/>
                <w:sz w:val="18"/>
                <w:szCs w:val="18"/>
              </w:rPr>
              <w:t>号</w:t>
            </w:r>
          </w:p>
        </w:tc>
      </w:tr>
      <w:tr>
        <w:trPr>
          <w:trHeight w:val="660" w:hRule="exact"/>
        </w:trPr>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w:t>
            </w:r>
          </w:p>
        </w:tc>
        <w:tc>
          <w:tcPr>
            <w:tcW w:w="5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8"/>
                <w:szCs w:val="8"/>
              </w:rPr>
            </w:pPr>
          </w:p>
          <w:p>
            <w:pPr>
              <w:pStyle w:val="TableParagraph"/>
              <w:spacing w:line="445" w:lineRule="exact"/>
              <w:ind w:left="257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331854" cy="282606"/>
                  <wp:effectExtent l="0" t="0" r="0" b="0"/>
                  <wp:docPr id="19" name="image4.jpeg" descr=""/>
                  <wp:cNvGraphicFramePr>
                    <a:graphicFrameLocks noChangeAspect="1"/>
                  </wp:cNvGraphicFramePr>
                  <a:graphic>
                    <a:graphicData uri="http://schemas.openxmlformats.org/drawingml/2006/picture">
                      <pic:pic>
                        <pic:nvPicPr>
                          <pic:cNvPr id="20" name="image4.jpeg"/>
                          <pic:cNvPicPr/>
                        </pic:nvPicPr>
                        <pic:blipFill>
                          <a:blip r:embed="rId13" cstate="print"/>
                          <a:stretch>
                            <a:fillRect/>
                          </a:stretch>
                        </pic:blipFill>
                        <pic:spPr>
                          <a:xfrm>
                            <a:off x="0" y="0"/>
                            <a:ext cx="331854" cy="282606"/>
                          </a:xfrm>
                          <a:prstGeom prst="rect">
                            <a:avLst/>
                          </a:prstGeom>
                        </pic:spPr>
                      </pic:pic>
                    </a:graphicData>
                  </a:graphic>
                </wp:inline>
              </w:drawing>
            </w:r>
            <w:r>
              <w:rPr>
                <w:rFonts w:ascii="Times New Roman" w:hAnsi="Times New Roman" w:cs="Times New Roman" w:eastAsia="Times New Roman" w:hint="default"/>
                <w:position w:val="-8"/>
                <w:sz w:val="20"/>
                <w:szCs w:val="20"/>
              </w:rPr>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25958713</w:t>
            </w:r>
            <w:r>
              <w:rPr>
                <w:rFonts w:ascii="宋体" w:hAnsi="宋体" w:cs="宋体" w:eastAsia="宋体" w:hint="default"/>
                <w:sz w:val="18"/>
                <w:szCs w:val="18"/>
              </w:rPr>
              <w:t>号</w:t>
            </w:r>
          </w:p>
        </w:tc>
      </w:tr>
    </w:tbl>
    <w:p>
      <w:pPr>
        <w:spacing w:after="0" w:line="240" w:lineRule="auto"/>
        <w:jc w:val="center"/>
        <w:rPr>
          <w:rFonts w:ascii="宋体" w:hAnsi="宋体" w:cs="宋体" w:eastAsia="宋体" w:hint="default"/>
          <w:sz w:val="18"/>
          <w:szCs w:val="18"/>
        </w:rPr>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pStyle w:val="BodyText"/>
        <w:spacing w:line="300" w:lineRule="auto" w:before="44"/>
        <w:ind w:left="573" w:right="0"/>
        <w:jc w:val="left"/>
      </w:pPr>
      <w:r>
        <w:rPr>
          <w:rFonts w:ascii="Times New Roman" w:hAnsi="Times New Roman" w:cs="Times New Roman" w:eastAsia="Times New Roman" w:hint="default"/>
        </w:rPr>
        <w:t>2</w:t>
      </w:r>
      <w:r>
        <w:rPr/>
        <w:t>、推进产品解决方案落地 报告期内，公司先后推出了国产化安全解决方案、智能运维紧急协作平台解决方案、网络安全应急联动处置平台解决</w:t>
      </w:r>
    </w:p>
    <w:p>
      <w:pPr>
        <w:pStyle w:val="BodyText"/>
        <w:spacing w:line="316" w:lineRule="auto" w:before="31"/>
        <w:ind w:left="513" w:right="0" w:hanging="360"/>
        <w:jc w:val="left"/>
      </w:pPr>
      <w:r>
        <w:rPr/>
        <w:t>方案、工控系统网络安全应急指挥通信平台等解决方案，均实现了项目落地并获得了客户的高度认可与评价。 </w:t>
      </w:r>
      <w:r>
        <w:rPr>
          <w:spacing w:val="-2"/>
        </w:rPr>
        <w:t>公司推出</w:t>
      </w:r>
      <w:r>
        <w:rPr>
          <w:rFonts w:ascii="Times New Roman" w:hAnsi="Times New Roman" w:cs="Times New Roman" w:eastAsia="Times New Roman" w:hint="default"/>
          <w:spacing w:val="-2"/>
        </w:rPr>
        <w:t>“</w:t>
      </w:r>
      <w:r>
        <w:rPr>
          <w:spacing w:val="-2"/>
        </w:rPr>
        <w:t>信源工控</w:t>
      </w:r>
      <w:r>
        <w:rPr>
          <w:rFonts w:ascii="Times New Roman" w:hAnsi="Times New Roman" w:cs="Times New Roman" w:eastAsia="Times New Roman" w:hint="default"/>
          <w:spacing w:val="-2"/>
        </w:rPr>
        <w:t>”</w:t>
      </w:r>
      <w:r>
        <w:rPr>
          <w:spacing w:val="-2"/>
        </w:rPr>
        <w:t>系列安全产品，包括隔离网关、防火墙、安全审计系统、工控卫士、工控安全评估系统、工控网络</w:t>
      </w:r>
    </w:p>
    <w:p>
      <w:pPr>
        <w:pStyle w:val="BodyText"/>
        <w:spacing w:line="316" w:lineRule="auto"/>
        <w:ind w:right="0"/>
        <w:jc w:val="left"/>
      </w:pPr>
      <w:r>
        <w:rPr>
          <w:spacing w:val="-2"/>
        </w:rPr>
        <w:t>安全试验箱以及集中安全管理系统等，从工业设备准入、工业控制系统安全防护、安全审计、安全评估等多方面针对工业信</w:t>
      </w:r>
      <w:r>
        <w:rPr>
          <w:spacing w:val="-66"/>
        </w:rPr>
        <w:t> </w:t>
      </w:r>
      <w:r>
        <w:rPr>
          <w:spacing w:val="-66"/>
        </w:rPr>
      </w:r>
      <w:r>
        <w:rPr/>
        <w:t>息化系统进行全方位的安全防护，提升工业控制系统安全，保障工业制造行业设施及环境安全。</w:t>
      </w:r>
    </w:p>
    <w:p>
      <w:pPr>
        <w:spacing w:line="240" w:lineRule="auto" w:before="4"/>
        <w:rPr>
          <w:rFonts w:ascii="宋体" w:hAnsi="宋体" w:cs="宋体" w:eastAsia="宋体" w:hint="default"/>
          <w:sz w:val="25"/>
          <w:szCs w:val="25"/>
        </w:rPr>
      </w:pPr>
    </w:p>
    <w:p>
      <w:pPr>
        <w:spacing w:line="316" w:lineRule="auto" w:before="0"/>
        <w:ind w:left="513" w:right="0" w:hanging="60"/>
        <w:jc w:val="left"/>
        <w:rPr>
          <w:rFonts w:ascii="宋体" w:hAnsi="宋体" w:cs="宋体" w:eastAsia="宋体" w:hint="default"/>
          <w:sz w:val="18"/>
          <w:szCs w:val="18"/>
        </w:rPr>
      </w:pPr>
      <w:r>
        <w:rPr>
          <w:rFonts w:ascii="宋体" w:hAnsi="宋体" w:cs="宋体" w:eastAsia="宋体" w:hint="default"/>
          <w:b/>
          <w:bCs/>
          <w:sz w:val="18"/>
          <w:szCs w:val="18"/>
        </w:rPr>
        <w:t>（三）不断推进对外投资与合作，建立产业生态圈</w:t>
      </w:r>
      <w:r>
        <w:rPr>
          <w:rFonts w:ascii="宋体" w:hAnsi="宋体" w:cs="宋体" w:eastAsia="宋体" w:hint="default"/>
          <w:b/>
          <w:bCs/>
          <w:w w:val="99"/>
          <w:sz w:val="18"/>
          <w:szCs w:val="18"/>
        </w:rPr>
        <w:t> </w:t>
      </w:r>
      <w:r>
        <w:rPr>
          <w:rFonts w:ascii="宋体" w:hAnsi="宋体" w:cs="宋体" w:eastAsia="宋体" w:hint="default"/>
          <w:sz w:val="18"/>
          <w:szCs w:val="18"/>
        </w:rPr>
        <w:t>报告期内，经公司第三届董事会第六次会议审议通过，公司拟使用自有资金</w:t>
      </w:r>
      <w:r>
        <w:rPr>
          <w:rFonts w:ascii="Times New Roman" w:hAnsi="Times New Roman" w:cs="Times New Roman" w:eastAsia="Times New Roman" w:hint="default"/>
          <w:sz w:val="18"/>
          <w:szCs w:val="18"/>
        </w:rPr>
        <w:t>4,000</w:t>
      </w:r>
      <w:r>
        <w:rPr>
          <w:rFonts w:ascii="宋体" w:hAnsi="宋体" w:cs="宋体" w:eastAsia="宋体" w:hint="default"/>
          <w:sz w:val="18"/>
          <w:szCs w:val="18"/>
        </w:rPr>
        <w:t>万元人民币与珠海健行投资管理企业</w:t>
      </w:r>
    </w:p>
    <w:p>
      <w:pPr>
        <w:pStyle w:val="BodyText"/>
        <w:spacing w:line="316" w:lineRule="auto"/>
        <w:ind w:left="153" w:right="0"/>
        <w:jc w:val="left"/>
      </w:pPr>
      <w:r>
        <w:rPr>
          <w:spacing w:val="-2"/>
        </w:rPr>
        <w:t>（有限合伙）等共同投资设立北京信源健和科技有限责任公司，通过合资、合作形式，实现市场的拓展并获得更多的市场份</w:t>
      </w:r>
      <w:r>
        <w:rPr>
          <w:spacing w:val="-66"/>
        </w:rPr>
        <w:t> </w:t>
      </w:r>
      <w:r>
        <w:rPr>
          <w:spacing w:val="-66"/>
        </w:rPr>
      </w:r>
      <w:r>
        <w:rPr/>
        <w:t>额，截至报告期末合资公司已完成工商注册登记。</w:t>
      </w:r>
    </w:p>
    <w:p>
      <w:pPr>
        <w:pStyle w:val="BodyText"/>
        <w:spacing w:line="312" w:lineRule="auto" w:before="19"/>
        <w:ind w:left="153" w:right="1131" w:firstLine="420"/>
        <w:jc w:val="both"/>
      </w:pPr>
      <w:r>
        <w:rPr>
          <w:spacing w:val="-1"/>
        </w:rPr>
        <w:t>报告期内，经公司第三届董事会第九次临时会议审议通过，公司拟使用自有资金</w:t>
      </w:r>
      <w:r>
        <w:rPr>
          <w:rFonts w:ascii="Times New Roman" w:hAnsi="Times New Roman" w:cs="Times New Roman" w:eastAsia="Times New Roman" w:hint="default"/>
          <w:spacing w:val="-1"/>
        </w:rPr>
        <w:t>490</w:t>
      </w:r>
      <w:r>
        <w:rPr>
          <w:spacing w:val="-1"/>
        </w:rPr>
        <w:t>万元人民币与全资子公司神州信源</w:t>
      </w:r>
      <w:r>
        <w:rPr/>
        <w:t> </w:t>
      </w:r>
      <w:r>
        <w:rPr>
          <w:spacing w:val="-2"/>
        </w:rPr>
        <w:t>共同投资设立北信源信息技术（青岛）有限公司。本次新设公司将打造成为国产化安全替代服务区域中心、安全移动办公产</w:t>
      </w:r>
      <w:r>
        <w:rPr>
          <w:spacing w:val="-66"/>
        </w:rPr>
        <w:t> </w:t>
      </w:r>
      <w:r>
        <w:rPr>
          <w:spacing w:val="-66"/>
        </w:rPr>
      </w:r>
      <w:r>
        <w:rPr>
          <w:spacing w:val="-2"/>
        </w:rPr>
        <w:t>品研发中心、集成业务区域运营中心，将公司的服务区域和范围进一步扩大，同时也为公司持续发力国产化安全，打造国产</w:t>
      </w:r>
      <w:r>
        <w:rPr>
          <w:spacing w:val="-66"/>
        </w:rPr>
        <w:t> </w:t>
      </w:r>
      <w:r>
        <w:rPr>
          <w:spacing w:val="-66"/>
        </w:rPr>
      </w:r>
      <w:r>
        <w:rPr/>
        <w:t>化安全生态提供帮助，为公司拓展国产化、集成业务等多个市场提供有力的支撑。截至报告期末，已完成工商注册登记。</w:t>
      </w:r>
    </w:p>
    <w:p>
      <w:pPr>
        <w:pStyle w:val="BodyText"/>
        <w:spacing w:line="316" w:lineRule="auto" w:before="22"/>
        <w:ind w:left="153" w:right="1031" w:firstLine="420"/>
        <w:jc w:val="left"/>
      </w:pPr>
      <w:r>
        <w:rPr/>
        <w:t>报告期内，公司参投的产业基金嘉兴北源投资合伙企业（有限合伙）投资了华清科盛（北京）信息技术有限公司、长</w:t>
      </w:r>
      <w:r>
        <w:rPr>
          <w:spacing w:val="1"/>
        </w:rPr>
        <w:t> </w:t>
      </w:r>
      <w:r>
        <w:rPr>
          <w:spacing w:val="-2"/>
        </w:rPr>
        <w:t>扬科技（北京）有限公司、北京信任度科技有限公司，涉及企业级物联网大数据、工业控制安全、移动身份认证与数字资产</w:t>
      </w:r>
      <w:r>
        <w:rPr>
          <w:spacing w:val="-67"/>
        </w:rPr>
        <w:t> </w:t>
      </w:r>
      <w:r>
        <w:rPr>
          <w:spacing w:val="-67"/>
        </w:rPr>
      </w:r>
      <w:r>
        <w:rPr/>
        <w:t>安全等领域，其中北京信任度科技有限公司入围了国家互联网信息办公室发布的境内区块链信息服务备案清单（第一批）； </w:t>
      </w:r>
      <w:r>
        <w:rPr>
          <w:spacing w:val="-2"/>
        </w:rPr>
        <w:t>公司参投的浙江华睿北信源数据信息产业投资合伙企业（有限合伙），投资浙江火山口网络科技有限公司，经营范围为计算</w:t>
      </w:r>
      <w:r>
        <w:rPr>
          <w:spacing w:val="-66"/>
        </w:rPr>
        <w:t> </w:t>
      </w:r>
      <w:r>
        <w:rPr>
          <w:spacing w:val="-66"/>
        </w:rPr>
      </w:r>
      <w:r>
        <w:rPr/>
        <w:t>机与互联网领域内的技术开发、技术咨询、技术服务等。</w:t>
      </w:r>
    </w:p>
    <w:p>
      <w:pPr>
        <w:pStyle w:val="BodyText"/>
        <w:spacing w:line="316" w:lineRule="auto" w:before="19"/>
        <w:ind w:left="153" w:right="0" w:firstLine="420"/>
        <w:jc w:val="left"/>
      </w:pPr>
      <w:r>
        <w:rPr/>
        <w:t>公司结合战略发展需要，为更好的发挥各方资源、技术等优势相继与广西电子政务外网管理中心、联想长风科技（北</w:t>
      </w:r>
      <w:r>
        <w:rPr>
          <w:spacing w:val="1"/>
        </w:rPr>
        <w:t> </w:t>
      </w:r>
      <w:r>
        <w:rPr>
          <w:spacing w:val="-4"/>
        </w:rPr>
        <w:t>京）有限公司、汉中市政府及汉中市滨江新区管委会等签署了框架合作协议，在电子政务外网移动办公、国产安全可控业务、</w:t>
      </w:r>
      <w:r>
        <w:rPr>
          <w:spacing w:val="-46"/>
        </w:rPr>
        <w:t> </w:t>
      </w:r>
      <w:r>
        <w:rPr>
          <w:spacing w:val="-46"/>
        </w:rPr>
      </w:r>
      <w:r>
        <w:rPr/>
        <w:t>智慧城市建设等方面进行了战略布局，截至报告期末，相关工作有序开展。</w:t>
      </w:r>
    </w:p>
    <w:p>
      <w:pPr>
        <w:spacing w:line="240" w:lineRule="auto" w:before="4"/>
        <w:rPr>
          <w:rFonts w:ascii="宋体" w:hAnsi="宋体" w:cs="宋体" w:eastAsia="宋体" w:hint="default"/>
          <w:sz w:val="25"/>
          <w:szCs w:val="25"/>
        </w:rPr>
      </w:pPr>
    </w:p>
    <w:p>
      <w:pPr>
        <w:spacing w:line="316" w:lineRule="auto" w:before="0"/>
        <w:ind w:left="527" w:right="0" w:hanging="74"/>
        <w:jc w:val="left"/>
        <w:rPr>
          <w:rFonts w:ascii="宋体" w:hAnsi="宋体" w:cs="宋体" w:eastAsia="宋体" w:hint="default"/>
          <w:sz w:val="18"/>
          <w:szCs w:val="18"/>
        </w:rPr>
      </w:pPr>
      <w:r>
        <w:rPr>
          <w:rFonts w:ascii="宋体" w:hAnsi="宋体" w:cs="宋体" w:eastAsia="宋体" w:hint="default"/>
          <w:b/>
          <w:bCs/>
          <w:sz w:val="18"/>
          <w:szCs w:val="18"/>
        </w:rPr>
        <w:t>（四）强化协同，全面提升整合能力</w:t>
      </w:r>
      <w:r>
        <w:rPr>
          <w:rFonts w:ascii="宋体" w:hAnsi="宋体" w:cs="宋体" w:eastAsia="宋体" w:hint="default"/>
          <w:b/>
          <w:bCs/>
          <w:w w:val="99"/>
          <w:sz w:val="18"/>
          <w:szCs w:val="18"/>
        </w:rPr>
        <w:t> </w:t>
      </w:r>
      <w:r>
        <w:rPr>
          <w:rFonts w:ascii="宋体" w:hAnsi="宋体" w:cs="宋体" w:eastAsia="宋体" w:hint="default"/>
          <w:sz w:val="18"/>
          <w:szCs w:val="18"/>
        </w:rPr>
        <w:t>报告期内，公司通过合理统筹内部资源，加强母公司和子公司之间的协同发展，强化技术和资源整合，依托各自资源</w:t>
      </w:r>
    </w:p>
    <w:p>
      <w:pPr>
        <w:pStyle w:val="BodyText"/>
        <w:spacing w:line="316" w:lineRule="auto" w:before="19"/>
        <w:ind w:left="153" w:right="0"/>
        <w:jc w:val="left"/>
      </w:pPr>
      <w:r>
        <w:rPr>
          <w:spacing w:val="-2"/>
        </w:rPr>
        <w:t>优势，实现了各子公司与母公司间的统筹部署、战略协同、业务协作和资源共享，优化了公司的产业布局，实现了各子公司</w:t>
      </w:r>
      <w:r>
        <w:rPr>
          <w:spacing w:val="-66"/>
        </w:rPr>
        <w:t> </w:t>
      </w:r>
      <w:r>
        <w:rPr>
          <w:spacing w:val="-66"/>
        </w:rPr>
      </w:r>
      <w:r>
        <w:rPr/>
        <w:t>与公司既有产品和业务的优势互补，推动了各子公司业务发展，协同效应明显。</w:t>
      </w:r>
    </w:p>
    <w:p>
      <w:pPr>
        <w:spacing w:line="240" w:lineRule="auto" w:before="4"/>
        <w:rPr>
          <w:rFonts w:ascii="宋体" w:hAnsi="宋体" w:cs="宋体" w:eastAsia="宋体" w:hint="default"/>
          <w:sz w:val="25"/>
          <w:szCs w:val="25"/>
        </w:rPr>
      </w:pPr>
    </w:p>
    <w:p>
      <w:pPr>
        <w:spacing w:line="316" w:lineRule="auto" w:before="0"/>
        <w:ind w:left="573" w:right="0" w:hanging="120"/>
        <w:jc w:val="left"/>
        <w:rPr>
          <w:rFonts w:ascii="宋体" w:hAnsi="宋体" w:cs="宋体" w:eastAsia="宋体" w:hint="default"/>
          <w:sz w:val="18"/>
          <w:szCs w:val="18"/>
        </w:rPr>
      </w:pPr>
      <w:r>
        <w:rPr>
          <w:rFonts w:ascii="宋体" w:hAnsi="宋体" w:cs="宋体" w:eastAsia="宋体" w:hint="default"/>
          <w:b/>
          <w:bCs/>
          <w:sz w:val="18"/>
          <w:szCs w:val="18"/>
        </w:rPr>
        <w:t>（五）加强投资者关系管理，树立资本市场良好形象</w:t>
      </w:r>
      <w:r>
        <w:rPr>
          <w:rFonts w:ascii="宋体" w:hAnsi="宋体" w:cs="宋体" w:eastAsia="宋体" w:hint="default"/>
          <w:b/>
          <w:bCs/>
          <w:spacing w:val="1"/>
          <w:w w:val="99"/>
          <w:sz w:val="18"/>
          <w:szCs w:val="18"/>
        </w:rPr>
        <w:t> </w:t>
      </w:r>
      <w:r>
        <w:rPr>
          <w:rFonts w:ascii="宋体" w:hAnsi="宋体" w:cs="宋体" w:eastAsia="宋体" w:hint="default"/>
          <w:sz w:val="18"/>
          <w:szCs w:val="18"/>
        </w:rPr>
        <w:t>公司始终高度重视投资者关系管理工作，致力于建立高效、流畅、透明的投资者互动通道，与资本市场保持多渠道、</w:t>
      </w:r>
    </w:p>
    <w:p>
      <w:pPr>
        <w:pStyle w:val="BodyText"/>
        <w:spacing w:line="316" w:lineRule="auto" w:before="19"/>
        <w:ind w:right="0"/>
        <w:jc w:val="left"/>
      </w:pPr>
      <w:r>
        <w:rPr>
          <w:spacing w:val="-2"/>
        </w:rPr>
        <w:t>多层次的沟通互动。报告期内，公司除通过深交所互动易、投资者热线电话、现场调研、参加投资策略会等方式外，还积极</w:t>
      </w:r>
      <w:r>
        <w:rPr>
          <w:spacing w:val="-68"/>
        </w:rPr>
        <w:t> </w:t>
      </w:r>
      <w:r>
        <w:rPr>
          <w:spacing w:val="-68"/>
        </w:rPr>
      </w:r>
      <w:r>
        <w:rPr>
          <w:spacing w:val="-4"/>
        </w:rPr>
        <w:t>筹办网上业绩说明会、参加北京辖区上市公司投资者集体接待日活动，拓宽与投资者交流渠道，加深与广大投资者进行互动、</w:t>
      </w:r>
      <w:r>
        <w:rPr>
          <w:spacing w:val="-44"/>
        </w:rPr>
        <w:t> </w:t>
      </w:r>
      <w:r>
        <w:rPr>
          <w:spacing w:val="-44"/>
        </w:rPr>
      </w:r>
      <w:r>
        <w:rPr>
          <w:spacing w:val="-2"/>
        </w:rPr>
        <w:t>沟通，深化投资者对公司的了解和认同，促进公司与投资者之间长期、健康、稳定的关系，提升公司形象，实现公司价值和</w:t>
      </w:r>
      <w:r>
        <w:rPr>
          <w:spacing w:val="-68"/>
        </w:rPr>
        <w:t> </w:t>
      </w:r>
      <w:r>
        <w:rPr>
          <w:spacing w:val="-68"/>
        </w:rPr>
      </w:r>
      <w:r>
        <w:rPr>
          <w:spacing w:val="-2"/>
        </w:rPr>
        <w:t>股东利益最大化。同时，公司严格按照法律法规和规范性文件的规定，做好信息披露工作，认真履行信息披露义务，保证信</w:t>
      </w:r>
      <w:r>
        <w:rPr>
          <w:spacing w:val="-66"/>
        </w:rPr>
        <w:t> </w:t>
      </w:r>
      <w:r>
        <w:rPr>
          <w:spacing w:val="-66"/>
        </w:rPr>
      </w:r>
      <w:r>
        <w:rPr/>
        <w:t>息披露的及时性、真实性、准确性和完整性。</w:t>
      </w:r>
    </w:p>
    <w:p>
      <w:pPr>
        <w:spacing w:line="240" w:lineRule="auto" w:before="4"/>
        <w:rPr>
          <w:rFonts w:ascii="宋体" w:hAnsi="宋体" w:cs="宋体" w:eastAsia="宋体" w:hint="default"/>
          <w:sz w:val="25"/>
          <w:szCs w:val="25"/>
        </w:rPr>
      </w:pPr>
    </w:p>
    <w:p>
      <w:pPr>
        <w:spacing w:line="316" w:lineRule="auto" w:before="0"/>
        <w:ind w:left="453" w:right="0" w:firstLine="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（六）获颁奖项与资质，实力再获认可</w:t>
      </w:r>
      <w:r>
        <w:rPr>
          <w:rFonts w:ascii="宋体" w:hAnsi="宋体" w:cs="宋体" w:eastAsia="宋体" w:hint="default"/>
          <w:b/>
          <w:bCs/>
          <w:spacing w:val="1"/>
          <w:w w:val="99"/>
          <w:sz w:val="18"/>
          <w:szCs w:val="18"/>
        </w:rPr>
        <w:t> </w:t>
      </w:r>
      <w:r>
        <w:rPr>
          <w:rFonts w:ascii="宋体" w:hAnsi="宋体" w:cs="宋体" w:eastAsia="宋体" w:hint="default"/>
          <w:sz w:val="18"/>
          <w:szCs w:val="18"/>
        </w:rPr>
        <w:t>报告期内，公司荣获</w:t>
      </w:r>
      <w:r>
        <w:rPr>
          <w:rFonts w:ascii="Times New Roman" w:hAnsi="Times New Roman" w:cs="Times New Roman" w:eastAsia="Times New Roman" w:hint="default"/>
          <w:sz w:val="18"/>
          <w:szCs w:val="18"/>
        </w:rPr>
        <w:t>“</w:t>
      </w:r>
      <w:r>
        <w:rPr>
          <w:rFonts w:ascii="宋体" w:hAnsi="宋体" w:cs="宋体" w:eastAsia="宋体" w:hint="default"/>
          <w:sz w:val="18"/>
          <w:szCs w:val="18"/>
        </w:rPr>
        <w:t>金骏马科技上市公司奖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年中国网络信息安全最具影响力企业奖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信息化影响中国</w:t>
      </w:r>
      <w:r>
        <w:rPr>
          <w:rFonts w:ascii="Times New Roman" w:hAnsi="Times New Roman" w:cs="Times New Roman" w:eastAsia="Times New Roman" w:hint="default"/>
          <w:sz w:val="18"/>
          <w:szCs w:val="18"/>
        </w:rPr>
        <w:t>2018</w:t>
      </w:r>
    </w:p>
    <w:p>
      <w:pPr>
        <w:pStyle w:val="BodyText"/>
        <w:spacing w:line="300" w:lineRule="auto"/>
        <w:ind w:left="153" w:right="1117"/>
        <w:jc w:val="left"/>
      </w:pPr>
      <w:r>
        <w:rPr/>
        <w:t>年行业领军企业奖</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北京软件和信息服务业综合实力百强企业奖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中国网络信息安全自主可控优秀解决方案</w:t>
      </w:r>
      <w:r>
        <w:rPr>
          <w:rFonts w:ascii="Times New Roman" w:hAnsi="Times New Roman" w:cs="Times New Roman" w:eastAsia="Times New Roman" w:hint="default"/>
        </w:rPr>
        <w:t>”</w:t>
      </w:r>
      <w:r>
        <w:rPr/>
        <w:t>等奖 项，并凭借</w:t>
      </w:r>
      <w:r>
        <w:rPr>
          <w:rFonts w:ascii="Times New Roman" w:hAnsi="Times New Roman" w:cs="Times New Roman" w:eastAsia="Times New Roman" w:hint="default"/>
        </w:rPr>
        <w:t>“</w:t>
      </w:r>
      <w:r>
        <w:rPr/>
        <w:t>计算机终端安全配置管理平台关键技术及应用</w:t>
      </w:r>
      <w:r>
        <w:rPr>
          <w:rFonts w:ascii="Times New Roman" w:hAnsi="Times New Roman" w:cs="Times New Roman" w:eastAsia="Times New Roman" w:hint="default"/>
        </w:rPr>
        <w:t>”</w:t>
      </w:r>
      <w:r>
        <w:rPr/>
        <w:t>荣获中国电子学会科学技术奖项。</w:t>
      </w:r>
    </w:p>
    <w:p>
      <w:pPr>
        <w:pStyle w:val="BodyText"/>
        <w:spacing w:line="300" w:lineRule="auto" w:before="13"/>
        <w:ind w:left="153" w:right="1127" w:firstLine="373"/>
        <w:jc w:val="left"/>
      </w:pPr>
      <w:r>
        <w:rPr>
          <w:spacing w:val="-1"/>
        </w:rPr>
        <w:t>公司取得了</w:t>
      </w:r>
      <w:r>
        <w:rPr>
          <w:rFonts w:ascii="Times New Roman" w:hAnsi="Times New Roman" w:cs="Times New Roman" w:eastAsia="Times New Roman" w:hint="default"/>
          <w:spacing w:val="-1"/>
        </w:rPr>
        <w:t>ISO27001</w:t>
      </w:r>
      <w:r>
        <w:rPr>
          <w:spacing w:val="-1"/>
        </w:rPr>
        <w:t>信息安全管理体系认证证书、</w:t>
      </w:r>
      <w:r>
        <w:rPr>
          <w:rFonts w:ascii="Times New Roman" w:hAnsi="Times New Roman" w:cs="Times New Roman" w:eastAsia="Times New Roman" w:hint="default"/>
          <w:spacing w:val="-1"/>
        </w:rPr>
        <w:t>ISO9001</w:t>
      </w:r>
      <w:r>
        <w:rPr>
          <w:spacing w:val="-1"/>
        </w:rPr>
        <w:t>质量管理体系认证证书、软件企业证书；全资子公司神州信</w:t>
      </w:r>
      <w:r>
        <w:rPr/>
        <w:t> 源相继取得了涉密信息系统集成乙级资质（软件开发专项）、涉密信息系统集成乙级资质（运行维护专项）、</w:t>
      </w:r>
      <w:r>
        <w:rPr>
          <w:rFonts w:ascii="Times New Roman" w:hAnsi="Times New Roman" w:cs="Times New Roman" w:eastAsia="Times New Roman" w:hint="default"/>
        </w:rPr>
        <w:t>ISO20000</w:t>
      </w:r>
      <w:r>
        <w:rPr/>
        <w:t>信</w:t>
      </w:r>
    </w:p>
    <w:p>
      <w:pPr>
        <w:spacing w:after="0" w:line="300" w:lineRule="auto"/>
        <w:jc w:val="left"/>
        <w:sectPr>
          <w:pgSz w:w="11910" w:h="16840"/>
          <w:pgMar w:header="747" w:footer="1190" w:top="1060" w:bottom="138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453" w:right="0" w:hanging="300"/>
        <w:jc w:val="left"/>
      </w:pPr>
      <w:r>
        <w:rPr/>
        <w:t>息技术服务管理体系认证证书、</w:t>
      </w:r>
      <w:r>
        <w:rPr>
          <w:rFonts w:ascii="Times New Roman" w:hAnsi="Times New Roman" w:cs="Times New Roman" w:eastAsia="Times New Roman" w:hint="default"/>
        </w:rPr>
        <w:t>ISO27001</w:t>
      </w:r>
      <w:r>
        <w:rPr/>
        <w:t>信息安全管理体系认证证书、电子与智能化工程专业承包二级资质证书。 </w:t>
      </w:r>
      <w:r>
        <w:rPr>
          <w:spacing w:val="-1"/>
        </w:rPr>
        <w:t>公司创新与竞争能力、品牌与影响力不断获得认可，进一步彰显了公司的品牌效益，对公司保持国内市场领先地位起到</w:t>
      </w:r>
    </w:p>
    <w:p>
      <w:pPr>
        <w:pStyle w:val="BodyText"/>
        <w:spacing w:line="240" w:lineRule="auto" w:before="31"/>
        <w:ind w:left="153" w:right="0"/>
        <w:jc w:val="left"/>
      </w:pPr>
      <w:r>
        <w:rPr/>
        <w:t>了重要保障和推动作用，为公司的可持续健康发展奠定了扎实的基础。</w:t>
      </w:r>
    </w:p>
    <w:p>
      <w:pPr>
        <w:spacing w:line="240" w:lineRule="auto" w:before="0"/>
        <w:rPr>
          <w:rFonts w:ascii="宋体" w:hAnsi="宋体" w:cs="宋体" w:eastAsia="宋体" w:hint="default"/>
          <w:sz w:val="18"/>
          <w:szCs w:val="18"/>
        </w:rPr>
      </w:pPr>
    </w:p>
    <w:p>
      <w:pPr>
        <w:pStyle w:val="Heading4"/>
        <w:spacing w:line="240" w:lineRule="auto" w:before="153"/>
        <w:ind w:left="453" w:right="0"/>
        <w:jc w:val="left"/>
        <w:rPr>
          <w:b w:val="0"/>
          <w:bCs w:val="0"/>
        </w:rPr>
      </w:pPr>
      <w:r>
        <w:rPr/>
        <w:t>（七）加大品牌宣传，树立优质形象</w:t>
      </w:r>
      <w:r>
        <w:rPr>
          <w:b w:val="0"/>
          <w:bCs w:val="0"/>
        </w:rPr>
      </w:r>
    </w:p>
    <w:p>
      <w:pPr>
        <w:pStyle w:val="BodyText"/>
        <w:spacing w:line="338" w:lineRule="auto" w:before="117"/>
        <w:ind w:left="513" w:right="0"/>
        <w:jc w:val="left"/>
      </w:pPr>
      <w:r>
        <w:rPr>
          <w:rFonts w:ascii="Times New Roman" w:hAnsi="Times New Roman" w:cs="Times New Roman" w:eastAsia="Times New Roman" w:hint="default"/>
        </w:rPr>
        <w:t>1</w:t>
      </w:r>
      <w:r>
        <w:rPr/>
        <w:t>、积极亮相行业峰会、技术论坛 </w:t>
      </w:r>
      <w:r>
        <w:rPr>
          <w:spacing w:val="-2"/>
        </w:rPr>
        <w:t>报告期内，公司亮相</w:t>
      </w:r>
      <w:r>
        <w:rPr>
          <w:rFonts w:ascii="Times New Roman" w:hAnsi="Times New Roman" w:cs="Times New Roman" w:eastAsia="Times New Roman" w:hint="default"/>
          <w:spacing w:val="-2"/>
        </w:rPr>
        <w:t>2018</w:t>
      </w:r>
      <w:r>
        <w:rPr>
          <w:spacing w:val="-2"/>
        </w:rPr>
        <w:t>中国</w:t>
      </w:r>
      <w:r>
        <w:rPr>
          <w:rFonts w:ascii="Times New Roman" w:hAnsi="Times New Roman" w:cs="Times New Roman" w:eastAsia="Times New Roman" w:hint="default"/>
          <w:spacing w:val="-2"/>
        </w:rPr>
        <w:t>IT</w:t>
      </w:r>
      <w:r>
        <w:rPr>
          <w:spacing w:val="-2"/>
        </w:rPr>
        <w:t>市场年会、中国工业信息安全高峰论坛、</w:t>
      </w:r>
      <w:r>
        <w:rPr>
          <w:rFonts w:ascii="Times New Roman" w:hAnsi="Times New Roman" w:cs="Times New Roman" w:eastAsia="Times New Roman" w:hint="default"/>
          <w:spacing w:val="-2"/>
        </w:rPr>
        <w:t>“2018</w:t>
      </w:r>
      <w:r>
        <w:rPr>
          <w:spacing w:val="-2"/>
        </w:rPr>
        <w:t>全国检察机关科技装备展</w:t>
      </w:r>
      <w:r>
        <w:rPr>
          <w:rFonts w:ascii="Times New Roman" w:hAnsi="Times New Roman" w:cs="Times New Roman" w:eastAsia="Times New Roman" w:hint="default"/>
          <w:spacing w:val="-2"/>
        </w:rPr>
        <w:t>”</w:t>
      </w:r>
      <w:r>
        <w:rPr>
          <w:spacing w:val="-2"/>
        </w:rPr>
        <w:t>、信息科技审</w:t>
      </w:r>
    </w:p>
    <w:p>
      <w:pPr>
        <w:pStyle w:val="BodyText"/>
        <w:spacing w:line="230" w:lineRule="exact"/>
        <w:ind w:right="0"/>
        <w:jc w:val="left"/>
      </w:pPr>
      <w:r>
        <w:rPr/>
        <w:t>计委员大会；参加</w:t>
      </w:r>
      <w:r>
        <w:rPr>
          <w:rFonts w:ascii="Times New Roman" w:hAnsi="Times New Roman" w:cs="Times New Roman" w:eastAsia="Times New Roman" w:hint="default"/>
        </w:rPr>
        <w:t>2018</w:t>
      </w:r>
      <w:r>
        <w:rPr/>
        <w:t>年第五届首都网络安全日系列活动，出席</w:t>
      </w:r>
      <w:r>
        <w:rPr>
          <w:rFonts w:ascii="Times New Roman" w:hAnsi="Times New Roman" w:cs="Times New Roman" w:eastAsia="Times New Roman" w:hint="default"/>
        </w:rPr>
        <w:t>2018</w:t>
      </w:r>
      <w:r>
        <w:rPr/>
        <w:t>中央企业网络安全与工业互联网交流大会、第三届中国</w:t>
      </w:r>
    </w:p>
    <w:p>
      <w:pPr>
        <w:pStyle w:val="BodyText"/>
        <w:spacing w:line="302" w:lineRule="auto" w:before="63"/>
        <w:ind w:right="1030"/>
        <w:jc w:val="left"/>
      </w:pPr>
      <w:r>
        <w:rPr/>
        <w:t>网络安全高峰论坛、第三届中国信息化融合发展创新大会等行业峰会，并参与</w:t>
      </w:r>
      <w:r>
        <w:rPr>
          <w:rFonts w:ascii="Times New Roman" w:hAnsi="Times New Roman" w:cs="Times New Roman" w:eastAsia="Times New Roman" w:hint="default"/>
        </w:rPr>
        <w:t>2018</w:t>
      </w:r>
      <w:r>
        <w:rPr/>
        <w:t>丝绸之路网络安全论坛等多场技术论坛， 向与会者展示了公司前沿技术和产品，获得来自市场的良好反响。</w:t>
      </w:r>
    </w:p>
    <w:p>
      <w:pPr>
        <w:pStyle w:val="BodyText"/>
        <w:spacing w:line="300" w:lineRule="auto" w:before="68"/>
        <w:ind w:right="1129" w:firstLine="360"/>
        <w:jc w:val="both"/>
      </w:pPr>
      <w:r>
        <w:rPr>
          <w:rFonts w:ascii="Times New Roman" w:hAnsi="Times New Roman" w:cs="Times New Roman" w:eastAsia="Times New Roman" w:hint="default"/>
          <w:spacing w:val="-1"/>
        </w:rPr>
        <w:t>2018</w:t>
      </w:r>
      <w:r>
        <w:rPr>
          <w:spacing w:val="-1"/>
        </w:rPr>
        <w:t>年第五届首都网络安全日期间，公司与人工智能产业联盟共同承办了</w:t>
      </w:r>
      <w:r>
        <w:rPr>
          <w:spacing w:val="-3"/>
        </w:rPr>
        <w:t> </w:t>
      </w:r>
      <w:r>
        <w:rPr>
          <w:rFonts w:ascii="Times New Roman" w:hAnsi="Times New Roman" w:cs="Times New Roman" w:eastAsia="Times New Roman" w:hint="default"/>
          <w:spacing w:val="-2"/>
        </w:rPr>
        <w:t>“</w:t>
      </w:r>
      <w:r>
        <w:rPr>
          <w:spacing w:val="-2"/>
        </w:rPr>
        <w:t>人工智能</w:t>
      </w:r>
      <w:r>
        <w:rPr>
          <w:rFonts w:ascii="Times New Roman" w:hAnsi="Times New Roman" w:cs="Times New Roman" w:eastAsia="Times New Roman" w:hint="default"/>
          <w:spacing w:val="-2"/>
        </w:rPr>
        <w:t>+</w:t>
      </w:r>
      <w:r>
        <w:rPr>
          <w:spacing w:val="-2"/>
        </w:rPr>
        <w:t>网络空间安全论坛</w:t>
      </w:r>
      <w:r>
        <w:rPr>
          <w:rFonts w:ascii="Times New Roman" w:hAnsi="Times New Roman" w:cs="Times New Roman" w:eastAsia="Times New Roman" w:hint="default"/>
          <w:spacing w:val="-2"/>
        </w:rPr>
        <w:t>”</w:t>
      </w:r>
      <w:r>
        <w:rPr>
          <w:spacing w:val="-2"/>
        </w:rPr>
        <w:t>，将前沿的人</w:t>
      </w:r>
      <w:r>
        <w:rPr/>
        <w:t> </w:t>
      </w:r>
      <w:r>
        <w:rPr>
          <w:spacing w:val="-2"/>
        </w:rPr>
        <w:t>工智能技术与传统信息安全技术进行融合提升，领先行业提出</w:t>
      </w:r>
      <w:r>
        <w:rPr>
          <w:rFonts w:ascii="Times New Roman" w:hAnsi="Times New Roman" w:cs="Times New Roman" w:eastAsia="Times New Roman" w:hint="default"/>
          <w:spacing w:val="-2"/>
        </w:rPr>
        <w:t>“</w:t>
      </w:r>
      <w:r>
        <w:rPr>
          <w:spacing w:val="-2"/>
        </w:rPr>
        <w:t>人工智能赋能网络空间安全</w:t>
      </w:r>
      <w:r>
        <w:rPr>
          <w:rFonts w:ascii="Times New Roman" w:hAnsi="Times New Roman" w:cs="Times New Roman" w:eastAsia="Times New Roman" w:hint="default"/>
          <w:spacing w:val="-2"/>
        </w:rPr>
        <w:t>”</w:t>
      </w:r>
      <w:r>
        <w:rPr>
          <w:spacing w:val="-2"/>
        </w:rPr>
        <w:t>旗帜，利用人工智能等一系列新</w:t>
      </w:r>
      <w:r>
        <w:rPr>
          <w:spacing w:val="-44"/>
        </w:rPr>
        <w:t> </w:t>
      </w:r>
      <w:r>
        <w:rPr>
          <w:spacing w:val="-44"/>
        </w:rPr>
      </w:r>
      <w:r>
        <w:rPr/>
        <w:t>技术提升公司产品竞争力，极大地提升公司品牌知名度和行业影响力。</w:t>
      </w:r>
    </w:p>
    <w:p>
      <w:pPr>
        <w:pStyle w:val="BodyText"/>
        <w:spacing w:line="338" w:lineRule="auto" w:before="71"/>
        <w:ind w:left="516" w:right="0"/>
        <w:jc w:val="left"/>
      </w:pPr>
      <w:r>
        <w:rPr>
          <w:rFonts w:ascii="Times New Roman" w:hAnsi="Times New Roman" w:cs="Times New Roman" w:eastAsia="Times New Roman" w:hint="default"/>
        </w:rPr>
        <w:t>2</w:t>
      </w:r>
      <w:r>
        <w:rPr/>
        <w:t>、重点行业展会专业化推广 </w:t>
      </w:r>
      <w:r>
        <w:rPr>
          <w:spacing w:val="-3"/>
        </w:rPr>
        <w:t>报告期内，公司不断加强专业化推广，参加了</w:t>
      </w:r>
      <w:r>
        <w:rPr>
          <w:rFonts w:ascii="Times New Roman" w:hAnsi="Times New Roman" w:cs="Times New Roman" w:eastAsia="Times New Roman" w:hint="default"/>
          <w:spacing w:val="-3"/>
        </w:rPr>
        <w:t>“2018</w:t>
      </w:r>
      <w:r>
        <w:rPr>
          <w:spacing w:val="-3"/>
        </w:rPr>
        <w:t>年保密技术交流大会暨产品博览会</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2017</w:t>
      </w:r>
      <w:r>
        <w:rPr>
          <w:spacing w:val="-3"/>
        </w:rPr>
        <w:t>年度保险信息化技术峰会、</w:t>
      </w:r>
    </w:p>
    <w:p>
      <w:pPr>
        <w:pStyle w:val="BodyText"/>
        <w:spacing w:line="230" w:lineRule="exact"/>
        <w:ind w:right="0"/>
        <w:jc w:val="left"/>
      </w:pPr>
      <w:r>
        <w:rPr/>
        <w:t>金融行业数据安全项目应用研讨会、第二届雪野湖医疗网络安全技术论坛、</w:t>
      </w:r>
      <w:r>
        <w:rPr>
          <w:rFonts w:ascii="Times New Roman" w:hAnsi="Times New Roman" w:cs="Times New Roman" w:eastAsia="Times New Roman" w:hint="default"/>
        </w:rPr>
        <w:t>2018</w:t>
      </w:r>
      <w:r>
        <w:rPr/>
        <w:t>年中国石油石化企业信息技术交流会、第三</w:t>
      </w:r>
    </w:p>
    <w:p>
      <w:pPr>
        <w:pStyle w:val="BodyText"/>
        <w:spacing w:line="309" w:lineRule="auto" w:before="63"/>
        <w:ind w:right="1128"/>
        <w:jc w:val="both"/>
      </w:pPr>
      <w:r>
        <w:rPr/>
        <w:t>届全国民航</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智慧机场建设单位发展高峰会、河南医疗大数据可信安全技术交流会等一系列重点行业专业展会，针</w:t>
      </w:r>
      <w:r>
        <w:rPr>
          <w:spacing w:val="-79"/>
        </w:rPr>
        <w:t> </w:t>
      </w:r>
      <w:r>
        <w:rPr>
          <w:spacing w:val="-79"/>
        </w:rPr>
      </w:r>
      <w:r>
        <w:rPr>
          <w:spacing w:val="-2"/>
        </w:rPr>
        <w:t>对不同行业的客户，提供符合行业特点的安全解决方案，在军民融合、金融、能源、医疗、智慧城市等领域不断开拓全新的</w:t>
      </w:r>
      <w:r>
        <w:rPr>
          <w:spacing w:val="-67"/>
        </w:rPr>
        <w:t> </w:t>
      </w:r>
      <w:r>
        <w:rPr>
          <w:spacing w:val="-67"/>
        </w:rPr>
      </w:r>
      <w:r>
        <w:rPr/>
        <w:t>市场。</w:t>
      </w:r>
    </w:p>
    <w:p>
      <w:pPr>
        <w:spacing w:line="240" w:lineRule="auto" w:before="13"/>
        <w:rPr>
          <w:rFonts w:ascii="宋体" w:hAnsi="宋体" w:cs="宋体" w:eastAsia="宋体" w:hint="default"/>
          <w:sz w:val="20"/>
          <w:szCs w:val="20"/>
        </w:rPr>
      </w:pPr>
    </w:p>
    <w:p>
      <w:pPr>
        <w:pStyle w:val="Heading2"/>
        <w:spacing w:line="240" w:lineRule="auto"/>
        <w:ind w:right="0"/>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4" w:right="64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6971"/>
        <w:jc w:val="left"/>
      </w:pPr>
      <w:r>
        <w:rPr/>
        <w:t>公司是否需要遵守光伏产业链相关业的披露要求 否</w:t>
      </w:r>
    </w:p>
    <w:p>
      <w:pPr>
        <w:pStyle w:val="BodyText"/>
        <w:spacing w:line="338" w:lineRule="auto" w:before="29"/>
        <w:ind w:right="1392"/>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2"/>
        <w:ind w:right="1572"/>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0"/>
        <w:ind w:right="1135"/>
        <w:jc w:val="left"/>
      </w:pPr>
      <w:r>
        <w:rPr/>
        <w:t>公司是否需遵守《深圳证券交易所创业板行业信息披露指引第</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产业链相关业务》的披露要求： 否</w:t>
      </w:r>
    </w:p>
    <w:p>
      <w:pPr>
        <w:pStyle w:val="BodyText"/>
        <w:spacing w:line="338" w:lineRule="auto" w:before="43"/>
        <w:ind w:right="1662"/>
        <w:jc w:val="left"/>
      </w:pPr>
      <w:r>
        <w:rPr/>
        <w:t>公司是否需遵守《深圳证券交易所创业板行业信息披露指引第</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40" w:lineRule="auto" w:before="42"/>
        <w:ind w:right="1662"/>
        <w:jc w:val="left"/>
      </w:pPr>
      <w:r>
        <w:rPr/>
        <w:t>公司是否需遵守《深圳证券交易所行业信息披露指引第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是</w:t>
      </w:r>
    </w:p>
    <w:p>
      <w:pPr>
        <w:spacing w:after="0" w:line="340" w:lineRule="auto"/>
        <w:jc w:val="left"/>
        <w:sectPr>
          <w:pgSz w:w="11910" w:h="16840"/>
          <w:pgMar w:header="747" w:footer="1190" w:top="1060" w:bottom="13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1134"/>
        <w:gridCol w:w="1134"/>
        <w:gridCol w:w="1134"/>
        <w:gridCol w:w="1134"/>
        <w:gridCol w:w="1134"/>
        <w:gridCol w:w="1134"/>
        <w:gridCol w:w="1134"/>
        <w:gridCol w:w="1134"/>
      </w:tblGrid>
      <w:tr>
        <w:trPr>
          <w:trHeight w:val="402" w:hRule="exact"/>
        </w:trPr>
        <w:tc>
          <w:tcPr>
            <w:tcW w:w="851" w:type="dxa"/>
            <w:vMerge w:val="restart"/>
            <w:tcBorders>
              <w:top w:val="single" w:sz="4" w:space="0" w:color="000000"/>
              <w:left w:val="single" w:sz="4" w:space="0" w:color="000000"/>
              <w:right w:val="single" w:sz="4" w:space="0" w:color="000000"/>
            </w:tcBorders>
            <w:shd w:val="clear" w:color="auto" w:fill="D3D3D3"/>
          </w:tcPr>
          <w:p>
            <w:pPr/>
          </w:p>
        </w:tc>
        <w:tc>
          <w:tcPr>
            <w:tcW w:w="2268" w:type="dxa"/>
            <w:gridSpan w:val="2"/>
            <w:tcBorders>
              <w:top w:val="single" w:sz="4" w:space="0" w:color="000000"/>
              <w:left w:val="single" w:sz="4" w:space="0" w:color="000000"/>
              <w:bottom w:val="single" w:sz="4" w:space="0" w:color="000000"/>
              <w:right w:val="nil" w:sz="6" w:space="0" w:color="auto"/>
            </w:tcBorders>
            <w:shd w:val="clear" w:color="auto" w:fill="D3D3D3"/>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2018</w:t>
            </w:r>
          </w:p>
        </w:tc>
        <w:tc>
          <w:tcPr>
            <w:tcW w:w="2268" w:type="dxa"/>
            <w:gridSpan w:val="2"/>
            <w:tcBorders>
              <w:top w:val="single" w:sz="4" w:space="0" w:color="000000"/>
              <w:left w:val="nil" w:sz="6" w:space="0" w:color="auto"/>
              <w:bottom w:val="single" w:sz="4" w:space="0" w:color="000000"/>
              <w:right w:val="single" w:sz="4" w:space="0" w:color="000000"/>
            </w:tcBorders>
            <w:shd w:val="clear" w:color="auto" w:fill="D3D3D3"/>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2268" w:type="dxa"/>
            <w:gridSpan w:val="2"/>
            <w:tcBorders>
              <w:top w:val="single" w:sz="4" w:space="0" w:color="000000"/>
              <w:left w:val="single" w:sz="4" w:space="0" w:color="000000"/>
              <w:bottom w:val="single" w:sz="4" w:space="0" w:color="000000"/>
              <w:right w:val="nil" w:sz="6" w:space="0" w:color="auto"/>
            </w:tcBorders>
            <w:shd w:val="clear" w:color="auto" w:fill="D3D3D3"/>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2017</w:t>
            </w:r>
          </w:p>
        </w:tc>
        <w:tc>
          <w:tcPr>
            <w:tcW w:w="2268" w:type="dxa"/>
            <w:gridSpan w:val="2"/>
            <w:tcBorders>
              <w:top w:val="single" w:sz="4" w:space="0" w:color="000000"/>
              <w:left w:val="nil" w:sz="6" w:space="0" w:color="auto"/>
              <w:bottom w:val="single" w:sz="4" w:space="0" w:color="000000"/>
              <w:right w:val="single" w:sz="4" w:space="0" w:color="000000"/>
            </w:tcBorders>
            <w:shd w:val="clear" w:color="auto" w:fill="D3D3D3"/>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年度</w:t>
            </w:r>
          </w:p>
        </w:tc>
      </w:tr>
      <w:tr>
        <w:trPr>
          <w:trHeight w:val="401" w:hRule="exact"/>
        </w:trPr>
        <w:tc>
          <w:tcPr>
            <w:tcW w:w="851" w:type="dxa"/>
            <w:vMerge/>
            <w:tcBorders>
              <w:left w:val="single" w:sz="4" w:space="0" w:color="000000"/>
              <w:bottom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86,469,555.01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109,657,838.65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108,747,934.66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0" w:right="0"/>
              <w:jc w:val="left"/>
              <w:rPr>
                <w:rFonts w:ascii="宋体" w:hAnsi="宋体" w:cs="宋体" w:eastAsia="宋体" w:hint="default"/>
                <w:sz w:val="15"/>
                <w:szCs w:val="15"/>
              </w:rPr>
            </w:pPr>
            <w:r>
              <w:rPr>
                <w:rFonts w:ascii="宋体"/>
                <w:sz w:val="15"/>
              </w:rPr>
              <w:t>267,525,117.27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62,275,313.16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7" w:right="0"/>
              <w:jc w:val="center"/>
              <w:rPr>
                <w:rFonts w:ascii="宋体" w:hAnsi="宋体" w:cs="宋体" w:eastAsia="宋体" w:hint="default"/>
                <w:sz w:val="15"/>
                <w:szCs w:val="15"/>
              </w:rPr>
            </w:pPr>
            <w:r>
              <w:rPr>
                <w:rFonts w:ascii="宋体"/>
                <w:sz w:val="15"/>
              </w:rPr>
              <w:t>106,447,855.52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110,971,866.14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235,157,576.10</w:t>
            </w:r>
          </w:p>
        </w:tc>
      </w:tr>
      <w:tr>
        <w:trPr>
          <w:trHeight w:val="358" w:hRule="exact"/>
        </w:trPr>
        <w:tc>
          <w:tcPr>
            <w:tcW w:w="85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w:t>
            </w: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2" w:right="96"/>
              <w:jc w:val="left"/>
              <w:rPr>
                <w:rFonts w:ascii="宋体" w:hAnsi="宋体" w:cs="宋体" w:eastAsia="宋体" w:hint="default"/>
                <w:sz w:val="18"/>
                <w:szCs w:val="18"/>
              </w:rPr>
            </w:pPr>
            <w:r>
              <w:rPr>
                <w:rFonts w:ascii="宋体" w:hAnsi="宋体" w:cs="宋体" w:eastAsia="宋体" w:hint="default"/>
                <w:sz w:val="18"/>
                <w:szCs w:val="18"/>
              </w:rPr>
              <w:t>市公司股 东的净利</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1,225,564.49</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23,084,706.46</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9,254,462.97</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5" w:right="0"/>
              <w:jc w:val="left"/>
              <w:rPr>
                <w:rFonts w:ascii="宋体" w:hAnsi="宋体" w:cs="宋体" w:eastAsia="宋体" w:hint="default"/>
                <w:sz w:val="15"/>
                <w:szCs w:val="15"/>
              </w:rPr>
            </w:pPr>
            <w:r>
              <w:rPr>
                <w:rFonts w:ascii="宋体"/>
                <w:sz w:val="15"/>
              </w:rPr>
              <w:t>60,525,339.42</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823,536.18</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2" w:right="0"/>
              <w:jc w:val="center"/>
              <w:rPr>
                <w:rFonts w:ascii="宋体" w:hAnsi="宋体" w:cs="宋体" w:eastAsia="宋体" w:hint="default"/>
                <w:sz w:val="15"/>
                <w:szCs w:val="15"/>
              </w:rPr>
            </w:pPr>
            <w:r>
              <w:rPr>
                <w:rFonts w:ascii="宋体"/>
                <w:sz w:val="15"/>
              </w:rPr>
              <w:t>16,929,625.10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7,385,079.45</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66,313,739.66</w:t>
            </w:r>
          </w:p>
        </w:tc>
      </w:tr>
      <w:tr>
        <w:trPr>
          <w:trHeight w:val="357" w:hRule="exact"/>
        </w:trPr>
        <w:tc>
          <w:tcPr>
            <w:tcW w:w="85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润</w:t>
            </w: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r>
    </w:tbl>
    <w:p>
      <w:pPr>
        <w:pStyle w:val="BodyText"/>
        <w:spacing w:line="357" w:lineRule="auto" w:before="51"/>
        <w:ind w:left="513" w:right="0" w:hanging="360"/>
        <w:jc w:val="left"/>
      </w:pPr>
      <w:r>
        <w:rPr/>
        <w:t>说明经营季节性（或周期性）发生的原因及波动风险 </w:t>
      </w:r>
      <w:r>
        <w:rPr>
          <w:spacing w:val="-2"/>
        </w:rPr>
        <w:t>由于收入随着季节发生变动：一季度相对较低，四季度相对较高，而费用发生进度又是较为均衡的，因此四个季度中一</w:t>
      </w:r>
    </w:p>
    <w:p>
      <w:pPr>
        <w:pStyle w:val="BodyText"/>
        <w:spacing w:line="224" w:lineRule="exact"/>
        <w:ind w:left="153" w:right="0"/>
        <w:jc w:val="left"/>
      </w:pPr>
      <w:r>
        <w:rPr/>
        <w:t>季度净利润相对较低、二三季度净利润稳中有升、四季度净利润增幅较大。</w:t>
      </w:r>
    </w:p>
    <w:p>
      <w:pPr>
        <w:pStyle w:val="BodyText"/>
        <w:spacing w:line="240" w:lineRule="auto" w:before="117"/>
        <w:ind w:right="0"/>
        <w:jc w:val="left"/>
      </w:pPr>
      <w:r>
        <w:rPr/>
        <w:t>营业收入整体情况</w:t>
      </w:r>
    </w:p>
    <w:p>
      <w:pPr>
        <w:pStyle w:val="BodyText"/>
        <w:spacing w:line="240" w:lineRule="auto" w:before="117"/>
        <w:ind w:left="0" w:right="113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572,400,445.59</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514,852,610.92</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11.18%</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53,243,040.74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61,904,727.09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军工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53,959,188.51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64,352,766.79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-16.15%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72,674,428.35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51,081,364.57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42.27%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170,005,876.98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142,891,812.70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18.98%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222,517,911.01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194,621,939.77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14.33%</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326,018,323.66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272,935,519.95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19.45%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86,254,687.21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88,795,660.35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126,130,909.72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107,386,934.87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33,996,525.00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45,734,495.75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-25.67%</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31,403,126.46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16,065,453.96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95.47%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181,061,530.69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181,391,441.54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174,489,878.67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170,786,726.20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59,948,143.16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43,400,975.14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38.13%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31,641,027.12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33,356,458.14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45,774,231.21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43,559,858.29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47,967,902.44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26,273,367.54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82.57%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港澳及海外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114,605.84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18,330.11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525.23%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90" w:top="1060" w:bottom="14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1190" w:top="1060" w:bottom="1380" w:left="980" w:right="0"/>
        </w:sectPr>
      </w:pPr>
    </w:p>
    <w:p>
      <w:pPr>
        <w:pStyle w:val="BodyText"/>
        <w:spacing w:line="348" w:lineRule="auto" w:before="44"/>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5"/>
        <w:ind w:right="5830"/>
        <w:jc w:val="left"/>
      </w:pPr>
      <w:r>
        <w:rPr/>
        <w:t>软件与信息技术服务业</w:t>
      </w:r>
    </w:p>
    <w:p>
      <w:pPr>
        <w:pStyle w:val="BodyText"/>
        <w:spacing w:line="240" w:lineRule="auto" w:before="116"/>
        <w:ind w:right="-18"/>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32" w:right="0"/>
        <w:jc w:val="left"/>
      </w:pPr>
      <w:r>
        <w:rPr/>
        <w:t>单位：元</w:t>
      </w:r>
    </w:p>
    <w:p>
      <w:pPr>
        <w:spacing w:after="0" w:line="240" w:lineRule="auto"/>
        <w:jc w:val="left"/>
        <w:sectPr>
          <w:type w:val="continuous"/>
          <w:pgSz w:w="11910" w:h="16840"/>
          <w:pgMar w:top="1060" w:bottom="1380" w:left="980" w:right="0"/>
          <w:cols w:num="2" w:equalWidth="0">
            <w:col w:w="9065" w:space="40"/>
            <w:col w:w="1825"/>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72,674,428.35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8,597,338.47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170,005,876.98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45,988,293.18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222,517,911.01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85,326,170.54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6.24%</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326,018,323.66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18,792,806.12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86,254,687.21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10,447,202.02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42.11%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126,130,909.72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94,941,170.42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12.76%</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181,061,530.69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22,536,841.11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174,489,878.67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99,411,043.12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59,948,143.16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3,314,741.09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w:t>
            </w:r>
          </w:p>
        </w:tc>
      </w:tr>
    </w:tbl>
    <w:p>
      <w:pPr>
        <w:pStyle w:val="BodyText"/>
        <w:spacing w:line="240" w:lineRule="auto" w:before="51"/>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53,243,040.74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61,904,727.09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-13.99%</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53,243,040.74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61,904,727.09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-13.99%</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军工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53,959,188.51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64,352,766.79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-16.15%</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53,959,188.51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64,352,766.79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-16.15%</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能源</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72,674,428.35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51,081,364.57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42.27%</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72,674,428.35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51,081,364.57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42.27%</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政府</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170,005,876.98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142,891,812.7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18.98%</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170,005,876.98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142,891,812.7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18.98%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222,517,911.01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194,621,939.77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14.33%</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222,517,911.01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194,621,939.77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14.33%</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3"/>
        <w:ind w:left="514" w:right="1117"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报告期内，公司信息安全产品在能源行业较上年同期增长幅度明显，获得客户良好反馈，完成了多项标杆性案例，也为</w:t>
      </w:r>
    </w:p>
    <w:p>
      <w:pPr>
        <w:pStyle w:val="BodyText"/>
        <w:spacing w:line="240" w:lineRule="auto" w:before="4"/>
        <w:ind w:right="0"/>
        <w:jc w:val="left"/>
      </w:pPr>
      <w:r>
        <w:rPr/>
        <w:t>广泛的市场前景打下了坚实基础，从而实现销售收入的增长。</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842"/>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p>
    <w:p>
      <w:pPr>
        <w:pStyle w:val="BodyText"/>
        <w:spacing w:line="240" w:lineRule="auto" w:before="156"/>
        <w:ind w:left="0" w:right="1129"/>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18,792,806.12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11,319,732.95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7,744,059.93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5,649,962.44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集成材料及施工费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94,941,170.42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94,534,338.58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r>
    </w:tbl>
    <w:p>
      <w:pPr>
        <w:spacing w:line="240" w:lineRule="auto" w:before="6"/>
        <w:rPr>
          <w:rFonts w:ascii="宋体" w:hAnsi="宋体" w:cs="宋体" w:eastAsia="宋体" w:hint="default"/>
          <w:sz w:val="27"/>
          <w:szCs w:val="27"/>
        </w:rPr>
      </w:pPr>
    </w:p>
    <w:p>
      <w:pPr>
        <w:pStyle w:val="BodyText"/>
        <w:spacing w:line="240" w:lineRule="auto" w:before="44"/>
        <w:ind w:right="0"/>
        <w:jc w:val="left"/>
      </w:pPr>
      <w:r>
        <w:rPr/>
        <w:t>行业和产品分类</w:t>
      </w:r>
    </w:p>
    <w:p>
      <w:pPr>
        <w:pStyle w:val="BodyText"/>
        <w:spacing w:line="240" w:lineRule="auto" w:before="116"/>
        <w:ind w:left="0" w:right="113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8,616,536.22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31,166,770.80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-72.35%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军工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6,298,866.93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10,861,408.30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-42.01%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8,597,338.47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2,929,597.80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193.46%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45,988,293.18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31,112,512.79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47.81%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85,326,170.54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55.11%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86,785,362.17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w:t>
            </w:r>
          </w:p>
        </w:tc>
      </w:tr>
    </w:tbl>
    <w:p>
      <w:pPr>
        <w:pStyle w:val="BodyText"/>
        <w:spacing w:line="240" w:lineRule="auto" w:before="51"/>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18,792,806.12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11,319,732.95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66.02%</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10,447,202.02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7,351,743.61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42.11%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94,941,170.42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94,534,338.58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30,646,026.78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49,649,836.72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604" w:right="0"/>
        <w:jc w:val="left"/>
      </w:pPr>
      <w:r>
        <w:rPr/>
        <w:t>报告期内，公司新增北信源信息技术（青岛）有限公司纳入合并范围。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93,373,499.37</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16.31%</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23,631,836.25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20,273,627.33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18,103,448.28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16,702,219.27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14,662,368.24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93,373,499.37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16.31%</w:t>
            </w:r>
          </w:p>
        </w:tc>
      </w:tr>
    </w:tbl>
    <w:p>
      <w:pPr>
        <w:pStyle w:val="BodyText"/>
        <w:spacing w:line="240" w:lineRule="auto" w:before="51"/>
        <w:ind w:right="0"/>
        <w:jc w:val="left"/>
      </w:pPr>
      <w:r>
        <w:rPr/>
        <w:t>主要客户其他情况说明</w:t>
      </w:r>
    </w:p>
    <w:p>
      <w:pPr>
        <w:pStyle w:val="BodyText"/>
        <w:spacing w:line="338" w:lineRule="auto" w:before="116"/>
        <w:ind w:left="534" w:right="1130" w:hanging="3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公司前五名客户与本公司不存在关联关系，公司董事、监事、高级管理人员、核心技术人员、持股</w:t>
      </w:r>
      <w:r>
        <w:rPr>
          <w:rFonts w:ascii="Times New Roman" w:hAnsi="Times New Roman" w:cs="Times New Roman" w:eastAsia="Times New Roman" w:hint="default"/>
        </w:rPr>
        <w:t>5%</w:t>
      </w:r>
      <w:r>
        <w:rPr/>
        <w:t>以上股东、实际</w:t>
      </w:r>
    </w:p>
    <w:p>
      <w:pPr>
        <w:pStyle w:val="BodyText"/>
        <w:spacing w:line="230" w:lineRule="exact"/>
        <w:ind w:right="0"/>
        <w:jc w:val="left"/>
      </w:pPr>
      <w:r>
        <w:rPr/>
        <w:t>控制人和其他关联方在前</w:t>
      </w:r>
      <w:r>
        <w:rPr>
          <w:rFonts w:ascii="Times New Roman" w:hAnsi="Times New Roman" w:cs="Times New Roman" w:eastAsia="Times New Roman" w:hint="default"/>
        </w:rPr>
        <w:t>5</w:t>
      </w:r>
      <w:r>
        <w:rPr/>
        <w:t>大客户中未直接或间接拥有权益。</w:t>
      </w:r>
    </w:p>
    <w:p>
      <w:pPr>
        <w:pStyle w:val="BodyText"/>
        <w:spacing w:line="240" w:lineRule="auto" w:before="103"/>
        <w:ind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43,339,293.52</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26.06%</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after="0" w:line="240" w:lineRule="auto"/>
        <w:jc w:val="left"/>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13,880,777.85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9,286,250.99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8,060,015.29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6,132,075.46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5,980,173.93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43,339,293.52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26.07%</w:t>
            </w:r>
          </w:p>
        </w:tc>
      </w:tr>
    </w:tbl>
    <w:p>
      <w:pPr>
        <w:pStyle w:val="BodyText"/>
        <w:spacing w:line="240" w:lineRule="auto" w:before="51"/>
        <w:ind w:right="0"/>
        <w:jc w:val="left"/>
      </w:pPr>
      <w:r>
        <w:rPr/>
        <w:t>主要供应商其他情况说明</w:t>
      </w:r>
    </w:p>
    <w:p>
      <w:pPr>
        <w:pStyle w:val="BodyText"/>
        <w:spacing w:line="338" w:lineRule="auto" w:before="117"/>
        <w:ind w:left="516" w:right="1148" w:hanging="3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公司前五名供应商与本公司不存在关联关系，公司董事、监事、高级管理人员、核心技术人员、持股</w:t>
      </w:r>
      <w:r>
        <w:rPr>
          <w:rFonts w:ascii="Times New Roman" w:hAnsi="Times New Roman" w:cs="Times New Roman" w:eastAsia="Times New Roman" w:hint="default"/>
        </w:rPr>
        <w:t>5%</w:t>
      </w:r>
      <w:r>
        <w:rPr/>
        <w:t>以上股东、实</w:t>
      </w:r>
    </w:p>
    <w:p>
      <w:pPr>
        <w:pStyle w:val="BodyText"/>
        <w:spacing w:line="230" w:lineRule="exact"/>
        <w:ind w:left="153" w:right="0"/>
        <w:jc w:val="left"/>
      </w:pPr>
      <w:r>
        <w:rPr/>
        <w:t>际控制人和其他关联方在前</w:t>
      </w:r>
      <w:r>
        <w:rPr>
          <w:rFonts w:ascii="Times New Roman" w:hAnsi="Times New Roman" w:cs="Times New Roman" w:eastAsia="Times New Roman" w:hint="default"/>
        </w:rPr>
        <w:t>5</w:t>
      </w:r>
      <w:r>
        <w:rPr/>
        <w:t>大客户中未直接或间接拥有权益。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5"/>
        <w:gridCol w:w="1637"/>
        <w:gridCol w:w="1637"/>
        <w:gridCol w:w="1462"/>
        <w:gridCol w:w="2917"/>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105,684,430.47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101,298,707.36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84,905,792.77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75,606,856.34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12.30%</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-3,433,195.94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-1,361,205.34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-152.22%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公司募集资金产生的利息收入增加 所致。</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69,861,881.45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59,907,915.45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16.62%</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83,662,915.41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54,967,847.24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52.20%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本期计提应收款项坏账准备金额增 加所致。</w:t>
            </w:r>
          </w:p>
        </w:tc>
      </w:tr>
      <w:tr>
        <w:trPr>
          <w:trHeight w:val="1026"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8,069,732.52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22,873,350.49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-64.72%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8"/>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以权益法核算的参股公司亏损增加 所致；</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公司募集资金产生的理财收 益减少所致。</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4,674,183.63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7,454,310.78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-37.30%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研发支出加计扣除比例提高导致当 期所得税费用减少所致。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694" w:right="0"/>
        <w:jc w:val="left"/>
      </w:pPr>
      <w:r>
        <w:rPr/>
        <w:t>公司高度重视产品和技术的创新，</w:t>
      </w:r>
      <w:r>
        <w:rPr>
          <w:rFonts w:ascii="Times New Roman" w:hAnsi="Times New Roman" w:cs="Times New Roman" w:eastAsia="Times New Roman" w:hint="default"/>
        </w:rPr>
        <w:t>2018</w:t>
      </w:r>
      <w:r>
        <w:rPr/>
        <w:t>年公司研发投入</w:t>
      </w:r>
      <w:r>
        <w:rPr>
          <w:rFonts w:ascii="Times New Roman" w:hAnsi="Times New Roman" w:cs="Times New Roman" w:eastAsia="Times New Roman" w:hint="default"/>
        </w:rPr>
        <w:t>11,999.51</w:t>
      </w:r>
      <w:r>
        <w:rPr/>
        <w:t>万元，占营业收入20.96%。</w:t>
      </w:r>
    </w:p>
    <w:p>
      <w:pPr>
        <w:spacing w:line="240" w:lineRule="auto" w:before="13"/>
        <w:rPr>
          <w:rFonts w:ascii="宋体" w:hAnsi="宋体" w:cs="宋体" w:eastAsia="宋体" w:hint="default"/>
          <w:sz w:val="3"/>
          <w:szCs w:val="3"/>
        </w:rPr>
      </w:pPr>
    </w:p>
    <w:tbl>
      <w:tblPr>
        <w:tblW w:w="0" w:type="auto"/>
        <w:jc w:val="left"/>
        <w:tblInd w:w="122" w:type="dxa"/>
        <w:tblLayout w:type="fixed"/>
        <w:tblCellMar>
          <w:top w:w="0" w:type="dxa"/>
          <w:left w:w="0" w:type="dxa"/>
          <w:bottom w:w="0" w:type="dxa"/>
          <w:right w:w="0" w:type="dxa"/>
        </w:tblCellMar>
        <w:tblLook w:val="01E0"/>
      </w:tblPr>
      <w:tblGrid>
        <w:gridCol w:w="710"/>
        <w:gridCol w:w="2768"/>
        <w:gridCol w:w="2964"/>
        <w:gridCol w:w="3226"/>
      </w:tblGrid>
      <w:tr>
        <w:trPr>
          <w:trHeight w:val="352" w:hRule="exact"/>
        </w:trPr>
        <w:tc>
          <w:tcPr>
            <w:tcW w:w="71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29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项目目标</w:t>
            </w:r>
            <w:r>
              <w:rPr>
                <w:rFonts w:ascii="宋体" w:hAnsi="宋体" w:cs="宋体" w:eastAsia="宋体" w:hint="default"/>
                <w:sz w:val="18"/>
                <w:szCs w:val="18"/>
              </w:rPr>
            </w:r>
          </w:p>
        </w:tc>
        <w:tc>
          <w:tcPr>
            <w:tcW w:w="322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1"/>
              <w:ind w:left="9" w:right="0"/>
              <w:jc w:val="center"/>
              <w:rPr>
                <w:rFonts w:ascii="宋体" w:hAnsi="宋体" w:cs="宋体" w:eastAsia="宋体" w:hint="default"/>
                <w:sz w:val="18"/>
                <w:szCs w:val="18"/>
              </w:rPr>
            </w:pPr>
            <w:r>
              <w:rPr>
                <w:rFonts w:ascii="宋体" w:hAnsi="宋体" w:cs="宋体" w:eastAsia="宋体" w:hint="default"/>
                <w:b/>
                <w:bCs/>
                <w:sz w:val="18"/>
                <w:szCs w:val="18"/>
              </w:rPr>
              <w:t>项目进度</w:t>
            </w:r>
            <w:r>
              <w:rPr>
                <w:rFonts w:ascii="宋体" w:hAnsi="宋体" w:cs="宋体" w:eastAsia="宋体" w:hint="default"/>
                <w:sz w:val="18"/>
                <w:szCs w:val="18"/>
              </w:rPr>
            </w:r>
          </w:p>
        </w:tc>
      </w:tr>
      <w:tr>
        <w:trPr>
          <w:trHeight w:val="333" w:hRule="exact"/>
        </w:trPr>
        <w:tc>
          <w:tcPr>
            <w:tcW w:w="710" w:type="dxa"/>
            <w:tcBorders>
              <w:top w:val="single" w:sz="4" w:space="0" w:color="000000"/>
              <w:left w:val="single" w:sz="12" w:space="0" w:color="000000"/>
              <w:bottom w:val="nil" w:sz="6" w:space="0" w:color="auto"/>
              <w:right w:val="single" w:sz="4" w:space="0" w:color="000000"/>
            </w:tcBorders>
          </w:tcPr>
          <w:p>
            <w:pPr/>
          </w:p>
        </w:tc>
        <w:tc>
          <w:tcPr>
            <w:tcW w:w="2768" w:type="dxa"/>
            <w:tcBorders>
              <w:top w:val="single" w:sz="4" w:space="0" w:color="000000"/>
              <w:left w:val="single" w:sz="4" w:space="0" w:color="000000"/>
              <w:bottom w:val="nil" w:sz="6" w:space="0" w:color="auto"/>
              <w:right w:val="single" w:sz="4" w:space="0" w:color="000000"/>
            </w:tcBorders>
          </w:tcPr>
          <w:p>
            <w:pPr/>
          </w:p>
        </w:tc>
        <w:tc>
          <w:tcPr>
            <w:tcW w:w="29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spacing w:val="4"/>
                <w:sz w:val="18"/>
                <w:szCs w:val="18"/>
              </w:rPr>
              <w:t>信源豆豆（</w:t>
            </w:r>
            <w:r>
              <w:rPr>
                <w:rFonts w:ascii="Times New Roman" w:hAnsi="Times New Roman" w:cs="Times New Roman" w:eastAsia="Times New Roman" w:hint="default"/>
                <w:spacing w:val="4"/>
                <w:sz w:val="18"/>
                <w:szCs w:val="18"/>
              </w:rPr>
              <w:t>Linkdood</w:t>
            </w:r>
            <w:r>
              <w:rPr>
                <w:rFonts w:ascii="宋体" w:hAnsi="宋体" w:cs="宋体" w:eastAsia="宋体" w:hint="default"/>
                <w:spacing w:val="4"/>
                <w:sz w:val="18"/>
                <w:szCs w:val="18"/>
              </w:rPr>
              <w:t>）是由北信</w:t>
            </w:r>
            <w:r>
              <w:rPr>
                <w:rFonts w:ascii="宋体" w:hAnsi="宋体" w:cs="宋体" w:eastAsia="宋体" w:hint="default"/>
                <w:sz w:val="18"/>
                <w:szCs w:val="18"/>
              </w:rPr>
            </w:r>
          </w:p>
        </w:tc>
        <w:tc>
          <w:tcPr>
            <w:tcW w:w="3226" w:type="dxa"/>
            <w:tcBorders>
              <w:top w:val="single" w:sz="4" w:space="0" w:color="000000"/>
              <w:left w:val="single" w:sz="4" w:space="0" w:color="000000"/>
              <w:bottom w:val="nil" w:sz="6" w:space="0" w:color="auto"/>
              <w:right w:val="single" w:sz="12" w:space="0" w:color="000000"/>
            </w:tcBorders>
          </w:tcPr>
          <w:p>
            <w:pPr>
              <w:pStyle w:val="TableParagraph"/>
              <w:spacing w:line="240" w:lineRule="auto" w:before="21"/>
              <w:ind w:left="9" w:right="0"/>
              <w:jc w:val="center"/>
              <w:rPr>
                <w:rFonts w:ascii="宋体" w:hAnsi="宋体" w:cs="宋体" w:eastAsia="宋体" w:hint="default"/>
                <w:sz w:val="18"/>
                <w:szCs w:val="18"/>
              </w:rPr>
            </w:pPr>
            <w:r>
              <w:rPr>
                <w:rFonts w:ascii="宋体" w:hAnsi="宋体" w:cs="宋体" w:eastAsia="宋体" w:hint="default"/>
                <w:sz w:val="18"/>
                <w:szCs w:val="18"/>
              </w:rPr>
              <w:t>产品发布阶段：</w:t>
            </w:r>
          </w:p>
        </w:tc>
      </w:tr>
      <w:tr>
        <w:trPr>
          <w:trHeight w:val="624" w:hRule="exact"/>
        </w:trPr>
        <w:tc>
          <w:tcPr>
            <w:tcW w:w="710" w:type="dxa"/>
            <w:tcBorders>
              <w:top w:val="nil" w:sz="6" w:space="0" w:color="auto"/>
              <w:left w:val="single" w:sz="12"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w:t>
            </w: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即时通讯及移动办公开发平台</w:t>
            </w: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4" w:right="-5"/>
              <w:jc w:val="left"/>
              <w:rPr>
                <w:rFonts w:ascii="宋体" w:hAnsi="宋体" w:cs="宋体" w:eastAsia="宋体" w:hint="default"/>
                <w:sz w:val="18"/>
                <w:szCs w:val="18"/>
              </w:rPr>
            </w:pPr>
            <w:r>
              <w:rPr>
                <w:rFonts w:ascii="宋体" w:hAnsi="宋体" w:cs="宋体" w:eastAsia="宋体" w:hint="default"/>
                <w:spacing w:val="10"/>
                <w:sz w:val="18"/>
                <w:szCs w:val="18"/>
              </w:rPr>
              <w:t>源全力打造的</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新一代互联网安全聚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合通道</w:t>
            </w:r>
            <w:r>
              <w:rPr>
                <w:rFonts w:ascii="Times New Roman" w:hAnsi="Times New Roman" w:cs="Times New Roman" w:eastAsia="Times New Roman" w:hint="default"/>
                <w:sz w:val="18"/>
                <w:szCs w:val="18"/>
              </w:rPr>
              <w:t>”</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安全连接，智慧聚合</w:t>
            </w:r>
            <w:r>
              <w:rPr>
                <w:rFonts w:ascii="Times New Roman" w:hAnsi="Times New Roman" w:cs="Times New Roman" w:eastAsia="Times New Roman" w:hint="default"/>
                <w:sz w:val="18"/>
                <w:szCs w:val="18"/>
              </w:rPr>
              <w:t>”</w:t>
            </w:r>
            <w:r>
              <w:rPr>
                <w:rFonts w:ascii="宋体" w:hAnsi="宋体" w:cs="宋体" w:eastAsia="宋体" w:hint="default"/>
                <w:sz w:val="18"/>
                <w:szCs w:val="18"/>
              </w:rPr>
              <w:t>为</w:t>
            </w:r>
          </w:p>
        </w:tc>
        <w:tc>
          <w:tcPr>
            <w:tcW w:w="3226" w:type="dxa"/>
            <w:tcBorders>
              <w:top w:val="nil" w:sz="6" w:space="0" w:color="auto"/>
              <w:left w:val="single" w:sz="4" w:space="0" w:color="000000"/>
              <w:bottom w:val="nil" w:sz="6" w:space="0" w:color="auto"/>
              <w:right w:val="single" w:sz="12" w:space="0" w:color="000000"/>
            </w:tcBorders>
          </w:tcPr>
          <w:p>
            <w:pPr>
              <w:pStyle w:val="TableParagraph"/>
              <w:spacing w:line="240" w:lineRule="auto" w:before="5"/>
              <w:ind w:left="9" w:right="0"/>
              <w:jc w:val="center"/>
              <w:rPr>
                <w:rFonts w:ascii="宋体" w:hAnsi="宋体" w:cs="宋体" w:eastAsia="宋体" w:hint="default"/>
                <w:sz w:val="18"/>
                <w:szCs w:val="18"/>
              </w:rPr>
            </w:pPr>
            <w:r>
              <w:rPr>
                <w:rFonts w:ascii="宋体" w:hAnsi="宋体" w:cs="宋体" w:eastAsia="宋体" w:hint="default"/>
                <w:sz w:val="18"/>
                <w:szCs w:val="18"/>
              </w:rPr>
              <w:t>信源豆豆</w:t>
            </w:r>
            <w:r>
              <w:rPr>
                <w:rFonts w:ascii="Times New Roman" w:hAnsi="Times New Roman" w:cs="Times New Roman" w:eastAsia="Times New Roman" w:hint="default"/>
                <w:sz w:val="18"/>
                <w:szCs w:val="18"/>
              </w:rPr>
              <w:t>4.1</w:t>
            </w:r>
            <w:r>
              <w:rPr>
                <w:rFonts w:ascii="宋体" w:hAnsi="宋体" w:cs="宋体" w:eastAsia="宋体" w:hint="default"/>
                <w:sz w:val="18"/>
                <w:szCs w:val="18"/>
              </w:rPr>
              <w:t>版本</w:t>
            </w:r>
          </w:p>
        </w:tc>
      </w:tr>
      <w:tr>
        <w:trPr>
          <w:trHeight w:val="332" w:hRule="exact"/>
        </w:trPr>
        <w:tc>
          <w:tcPr>
            <w:tcW w:w="710" w:type="dxa"/>
            <w:tcBorders>
              <w:top w:val="nil" w:sz="6" w:space="0" w:color="auto"/>
              <w:left w:val="single" w:sz="12" w:space="0" w:color="000000"/>
              <w:bottom w:val="single" w:sz="12" w:space="0" w:color="000000"/>
              <w:right w:val="single" w:sz="4" w:space="0" w:color="000000"/>
            </w:tcBorders>
          </w:tcPr>
          <w:p>
            <w:pPr/>
          </w:p>
        </w:tc>
        <w:tc>
          <w:tcPr>
            <w:tcW w:w="2768" w:type="dxa"/>
            <w:tcBorders>
              <w:top w:val="nil" w:sz="6" w:space="0" w:color="auto"/>
              <w:left w:val="single" w:sz="4" w:space="0" w:color="000000"/>
              <w:bottom w:val="single" w:sz="12" w:space="0" w:color="000000"/>
              <w:right w:val="single" w:sz="4" w:space="0" w:color="000000"/>
            </w:tcBorders>
          </w:tcPr>
          <w:p>
            <w:pPr/>
          </w:p>
        </w:tc>
        <w:tc>
          <w:tcPr>
            <w:tcW w:w="296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hAnsi="宋体" w:cs="宋体" w:eastAsia="宋体" w:hint="default"/>
                <w:spacing w:val="3"/>
                <w:sz w:val="18"/>
                <w:szCs w:val="18"/>
              </w:rPr>
              <w:t>核心理念，打造跨终端、全方位、安</w:t>
            </w:r>
            <w:r>
              <w:rPr>
                <w:rFonts w:ascii="宋体" w:hAnsi="宋体" w:cs="宋体" w:eastAsia="宋体" w:hint="default"/>
                <w:sz w:val="18"/>
                <w:szCs w:val="18"/>
              </w:rPr>
            </w:r>
          </w:p>
        </w:tc>
        <w:tc>
          <w:tcPr>
            <w:tcW w:w="3226" w:type="dxa"/>
            <w:tcBorders>
              <w:top w:val="nil" w:sz="6" w:space="0" w:color="auto"/>
              <w:left w:val="single" w:sz="4" w:space="0" w:color="000000"/>
              <w:bottom w:val="single" w:sz="12" w:space="0" w:color="000000"/>
              <w:right w:val="single" w:sz="12" w:space="0" w:color="000000"/>
            </w:tcBorders>
          </w:tcPr>
          <w:p>
            <w:pPr/>
          </w:p>
        </w:tc>
      </w:tr>
    </w:tbl>
    <w:p>
      <w:pPr>
        <w:spacing w:after="0"/>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2" w:type="dxa"/>
        <w:tblLayout w:type="fixed"/>
        <w:tblCellMar>
          <w:top w:w="0" w:type="dxa"/>
          <w:left w:w="0" w:type="dxa"/>
          <w:bottom w:w="0" w:type="dxa"/>
          <w:right w:w="0" w:type="dxa"/>
        </w:tblCellMar>
        <w:tblLook w:val="01E0"/>
      </w:tblPr>
      <w:tblGrid>
        <w:gridCol w:w="710"/>
        <w:gridCol w:w="2768"/>
        <w:gridCol w:w="2964"/>
        <w:gridCol w:w="3226"/>
      </w:tblGrid>
      <w:tr>
        <w:trPr>
          <w:trHeight w:val="1912" w:hRule="exact"/>
        </w:trPr>
        <w:tc>
          <w:tcPr>
            <w:tcW w:w="710" w:type="dxa"/>
            <w:tcBorders>
              <w:top w:val="single" w:sz="12" w:space="0" w:color="000000"/>
              <w:left w:val="single" w:sz="12" w:space="0" w:color="000000"/>
              <w:bottom w:val="single" w:sz="4" w:space="0" w:color="000000"/>
              <w:right w:val="single" w:sz="4" w:space="0" w:color="000000"/>
            </w:tcBorders>
          </w:tcPr>
          <w:p>
            <w:pPr/>
          </w:p>
        </w:tc>
        <w:tc>
          <w:tcPr>
            <w:tcW w:w="2768" w:type="dxa"/>
            <w:tcBorders>
              <w:top w:val="single" w:sz="12" w:space="0" w:color="000000"/>
              <w:left w:val="single" w:sz="4" w:space="0" w:color="000000"/>
              <w:bottom w:val="single" w:sz="4" w:space="0" w:color="000000"/>
              <w:right w:val="single" w:sz="4" w:space="0" w:color="000000"/>
            </w:tcBorders>
          </w:tcPr>
          <w:p>
            <w:pPr/>
          </w:p>
        </w:tc>
        <w:tc>
          <w:tcPr>
            <w:tcW w:w="2964" w:type="dxa"/>
            <w:tcBorders>
              <w:top w:val="single" w:sz="12" w:space="0" w:color="000000"/>
              <w:left w:val="single" w:sz="4" w:space="0" w:color="000000"/>
              <w:bottom w:val="single" w:sz="4" w:space="0" w:color="000000"/>
              <w:right w:val="single" w:sz="4" w:space="0" w:color="000000"/>
            </w:tcBorders>
          </w:tcPr>
          <w:p>
            <w:pPr>
              <w:pStyle w:val="TableParagraph"/>
              <w:spacing w:line="312" w:lineRule="auto" w:before="20"/>
              <w:ind w:left="4" w:right="-1"/>
              <w:jc w:val="left"/>
              <w:rPr>
                <w:rFonts w:ascii="宋体" w:hAnsi="宋体" w:cs="宋体" w:eastAsia="宋体" w:hint="default"/>
                <w:sz w:val="18"/>
                <w:szCs w:val="18"/>
              </w:rPr>
            </w:pPr>
            <w:r>
              <w:rPr>
                <w:rFonts w:ascii="宋体" w:hAnsi="宋体" w:cs="宋体" w:eastAsia="宋体" w:hint="default"/>
                <w:spacing w:val="3"/>
                <w:sz w:val="18"/>
                <w:szCs w:val="18"/>
              </w:rPr>
              <w:t>全可信的通信聚合平台，全面支持安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卓、</w:t>
            </w:r>
            <w:r>
              <w:rPr>
                <w:rFonts w:ascii="Times New Roman" w:hAnsi="Times New Roman" w:cs="Times New Roman" w:eastAsia="Times New Roman" w:hint="default"/>
                <w:sz w:val="18"/>
                <w:szCs w:val="18"/>
              </w:rPr>
              <w:t>iOS</w:t>
            </w:r>
            <w:r>
              <w:rPr>
                <w:rFonts w:ascii="宋体" w:hAnsi="宋体" w:cs="宋体" w:eastAsia="宋体" w:hint="default"/>
                <w:sz w:val="18"/>
                <w:szCs w:val="18"/>
              </w:rPr>
              <w:t>、</w:t>
            </w:r>
            <w:r>
              <w:rPr>
                <w:rFonts w:ascii="Times New Roman" w:hAnsi="Times New Roman" w:cs="Times New Roman" w:eastAsia="Times New Roman" w:hint="default"/>
                <w:sz w:val="18"/>
                <w:szCs w:val="18"/>
              </w:rPr>
              <w:t>Mac</w:t>
            </w:r>
            <w:r>
              <w:rPr>
                <w:rFonts w:ascii="宋体" w:hAnsi="宋体" w:cs="宋体" w:eastAsia="宋体" w:hint="default"/>
                <w:sz w:val="18"/>
                <w:szCs w:val="18"/>
              </w:rPr>
              <w:t>、</w:t>
            </w:r>
            <w:r>
              <w:rPr>
                <w:rFonts w:ascii="Times New Roman" w:hAnsi="Times New Roman" w:cs="Times New Roman" w:eastAsia="Times New Roman" w:hint="default"/>
                <w:sz w:val="18"/>
                <w:szCs w:val="18"/>
              </w:rPr>
              <w:t>Windows</w:t>
            </w:r>
            <w:r>
              <w:rPr>
                <w:rFonts w:ascii="宋体" w:hAnsi="宋体" w:cs="宋体" w:eastAsia="宋体" w:hint="default"/>
                <w:sz w:val="18"/>
                <w:szCs w:val="18"/>
              </w:rPr>
              <w:t>和国产操作</w:t>
            </w:r>
            <w:r>
              <w:rPr>
                <w:rFonts w:ascii="宋体" w:hAnsi="宋体" w:cs="宋体" w:eastAsia="宋体" w:hint="default"/>
                <w:spacing w:val="-64"/>
                <w:sz w:val="18"/>
                <w:szCs w:val="18"/>
              </w:rPr>
              <w:t> </w:t>
            </w:r>
            <w:r>
              <w:rPr>
                <w:rFonts w:ascii="宋体" w:hAnsi="宋体" w:cs="宋体" w:eastAsia="宋体" w:hint="default"/>
                <w:spacing w:val="3"/>
                <w:sz w:val="18"/>
                <w:szCs w:val="18"/>
              </w:rPr>
              <w:t>系统；为企业和互联网用户提供即时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0"/>
                <w:sz w:val="18"/>
                <w:szCs w:val="18"/>
              </w:rPr>
              <w:t>通讯、协同办公、任务管理、</w:t>
            </w:r>
            <w:r>
              <w:rPr>
                <w:rFonts w:ascii="Times New Roman" w:hAnsi="Times New Roman" w:cs="Times New Roman" w:eastAsia="Times New Roman" w:hint="default"/>
                <w:spacing w:val="-10"/>
                <w:sz w:val="18"/>
                <w:szCs w:val="18"/>
              </w:rPr>
              <w:t>ERP</w:t>
            </w:r>
            <w:r>
              <w:rPr>
                <w:rFonts w:ascii="宋体" w:hAnsi="宋体" w:cs="宋体" w:eastAsia="宋体" w:hint="default"/>
                <w:spacing w:val="-10"/>
                <w:sz w:val="18"/>
                <w:szCs w:val="18"/>
              </w:rPr>
              <w:t>改造</w:t>
            </w:r>
            <w:r>
              <w:rPr>
                <w:rFonts w:ascii="宋体" w:hAnsi="宋体" w:cs="宋体" w:eastAsia="宋体" w:hint="default"/>
                <w:spacing w:val="-88"/>
                <w:sz w:val="18"/>
                <w:szCs w:val="18"/>
              </w:rPr>
              <w:t> </w:t>
            </w:r>
            <w:r>
              <w:rPr>
                <w:rFonts w:ascii="宋体" w:hAnsi="宋体" w:cs="宋体" w:eastAsia="宋体" w:hint="default"/>
                <w:spacing w:val="3"/>
                <w:sz w:val="18"/>
                <w:szCs w:val="18"/>
              </w:rPr>
              <w:t>应用开发、万物互联、互通互联、聚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合推广等多层次的平台服务。</w:t>
            </w:r>
          </w:p>
        </w:tc>
        <w:tc>
          <w:tcPr>
            <w:tcW w:w="322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106"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9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宋体"/>
                <w:sz w:val="18"/>
              </w:rPr>
              <w:t>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网络安全应急协调联动平台</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4" w:firstLine="360"/>
              <w:jc w:val="both"/>
              <w:rPr>
                <w:rFonts w:ascii="宋体" w:hAnsi="宋体" w:cs="宋体" w:eastAsia="宋体" w:hint="default"/>
                <w:sz w:val="18"/>
                <w:szCs w:val="18"/>
              </w:rPr>
            </w:pPr>
            <w:r>
              <w:rPr>
                <w:rFonts w:ascii="宋体" w:hAnsi="宋体" w:cs="宋体" w:eastAsia="宋体" w:hint="default"/>
                <w:spacing w:val="4"/>
                <w:sz w:val="18"/>
                <w:szCs w:val="18"/>
              </w:rPr>
              <w:t>网络安全应急协调联动平台能够 </w:t>
            </w:r>
            <w:r>
              <w:rPr>
                <w:rFonts w:ascii="宋体" w:hAnsi="宋体" w:cs="宋体" w:eastAsia="宋体" w:hint="default"/>
                <w:spacing w:val="3"/>
                <w:sz w:val="18"/>
                <w:szCs w:val="18"/>
              </w:rPr>
              <w:t>提高各行业网络安全事件应急处理效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率和规范性，通过该平台，各行业用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户单位能够采用技术手段构建一套网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6"/>
                <w:sz w:val="18"/>
                <w:szCs w:val="18"/>
              </w:rPr>
              <w:t>络安全应急事件的联动处理工作平</w:t>
            </w:r>
            <w:r>
              <w:rPr>
                <w:rFonts w:ascii="宋体" w:hAnsi="宋体" w:cs="宋体" w:eastAsia="宋体" w:hint="default"/>
                <w:spacing w:val="-72"/>
                <w:sz w:val="18"/>
                <w:szCs w:val="18"/>
              </w:rPr>
              <w:t> </w:t>
            </w:r>
            <w:r>
              <w:rPr>
                <w:rFonts w:ascii="宋体" w:hAnsi="宋体" w:cs="宋体" w:eastAsia="宋体" w:hint="default"/>
                <w:sz w:val="18"/>
                <w:szCs w:val="18"/>
              </w:rPr>
              <w:t>台，提高应急联动协同处置能力</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6" w:lineRule="auto"/>
              <w:ind w:left="236" w:right="223" w:firstLine="741"/>
              <w:jc w:val="left"/>
              <w:rPr>
                <w:rFonts w:ascii="宋体" w:hAnsi="宋体" w:cs="宋体" w:eastAsia="宋体" w:hint="default"/>
                <w:sz w:val="18"/>
                <w:szCs w:val="18"/>
              </w:rPr>
            </w:pPr>
            <w:r>
              <w:rPr>
                <w:rFonts w:ascii="宋体" w:hAnsi="宋体" w:cs="宋体" w:eastAsia="宋体" w:hint="default"/>
                <w:sz w:val="18"/>
                <w:szCs w:val="18"/>
              </w:rPr>
              <w:t>产品发布阶段： 网络安全应急协调联动平台</w:t>
            </w:r>
            <w:r>
              <w:rPr>
                <w:rFonts w:ascii="Times New Roman" w:hAnsi="Times New Roman" w:cs="Times New Roman" w:eastAsia="Times New Roman" w:hint="default"/>
                <w:sz w:val="18"/>
                <w:szCs w:val="18"/>
              </w:rPr>
              <w:t>2.0</w:t>
            </w:r>
            <w:r>
              <w:rPr>
                <w:rFonts w:ascii="宋体" w:hAnsi="宋体" w:cs="宋体" w:eastAsia="宋体" w:hint="default"/>
                <w:sz w:val="18"/>
                <w:szCs w:val="18"/>
              </w:rPr>
              <w:t>版本</w:t>
            </w:r>
          </w:p>
        </w:tc>
      </w:tr>
      <w:tr>
        <w:trPr>
          <w:trHeight w:val="1278"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智慧终端安全一体化管理平台</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7" w:firstLine="270"/>
              <w:jc w:val="both"/>
              <w:rPr>
                <w:rFonts w:ascii="宋体" w:hAnsi="宋体" w:cs="宋体" w:eastAsia="宋体" w:hint="default"/>
                <w:sz w:val="18"/>
                <w:szCs w:val="18"/>
              </w:rPr>
            </w:pPr>
            <w:r>
              <w:rPr>
                <w:rFonts w:ascii="宋体" w:hAnsi="宋体" w:cs="宋体" w:eastAsia="宋体" w:hint="default"/>
                <w:spacing w:val="11"/>
                <w:sz w:val="18"/>
                <w:szCs w:val="18"/>
              </w:rPr>
              <w:t>采用终端行为基线技术进行终端</w:t>
            </w:r>
            <w:r>
              <w:rPr>
                <w:rFonts w:ascii="宋体" w:hAnsi="宋体" w:cs="宋体" w:eastAsia="宋体" w:hint="default"/>
                <w:spacing w:val="12"/>
                <w:sz w:val="18"/>
                <w:szCs w:val="18"/>
              </w:rPr>
              <w:t> </w:t>
            </w:r>
            <w:r>
              <w:rPr>
                <w:rFonts w:ascii="宋体" w:hAnsi="宋体" w:cs="宋体" w:eastAsia="宋体" w:hint="default"/>
                <w:spacing w:val="3"/>
                <w:sz w:val="18"/>
                <w:szCs w:val="18"/>
              </w:rPr>
              <w:t>态势分析，建立全网终端智能评价体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系，将传统终端、国产终端、虚拟化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终端、移动终端纳入泛终端管理范畴</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977" w:right="0"/>
              <w:jc w:val="left"/>
              <w:rPr>
                <w:rFonts w:ascii="宋体" w:hAnsi="宋体" w:cs="宋体" w:eastAsia="宋体" w:hint="default"/>
                <w:sz w:val="18"/>
                <w:szCs w:val="18"/>
              </w:rPr>
            </w:pPr>
            <w:r>
              <w:rPr>
                <w:rFonts w:ascii="宋体" w:hAnsi="宋体" w:cs="宋体" w:eastAsia="宋体" w:hint="default"/>
                <w:sz w:val="18"/>
                <w:szCs w:val="18"/>
              </w:rPr>
              <w:t>产品发布阶段：</w:t>
            </w:r>
          </w:p>
          <w:p>
            <w:pPr>
              <w:pStyle w:val="TableParagraph"/>
              <w:spacing w:line="240" w:lineRule="auto" w:before="76"/>
              <w:ind w:left="10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版本已发布</w:t>
            </w:r>
          </w:p>
          <w:p>
            <w:pPr>
              <w:pStyle w:val="TableParagraph"/>
              <w:spacing w:line="240" w:lineRule="auto" w:before="63"/>
              <w:ind w:left="-106"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590"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智慧数据安全防护系统</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 w:firstLine="270"/>
              <w:jc w:val="both"/>
              <w:rPr>
                <w:rFonts w:ascii="宋体" w:hAnsi="宋体" w:cs="宋体" w:eastAsia="宋体" w:hint="default"/>
                <w:sz w:val="18"/>
                <w:szCs w:val="18"/>
              </w:rPr>
            </w:pPr>
            <w:r>
              <w:rPr>
                <w:rFonts w:ascii="宋体" w:hAnsi="宋体" w:cs="宋体" w:eastAsia="宋体" w:hint="default"/>
                <w:spacing w:val="-2"/>
                <w:sz w:val="18"/>
                <w:szCs w:val="18"/>
              </w:rPr>
              <w:t>建立数据内容智慧分析引擎，融合</w:t>
            </w:r>
            <w:r>
              <w:rPr>
                <w:rFonts w:ascii="宋体" w:hAnsi="宋体" w:cs="宋体" w:eastAsia="宋体" w:hint="default"/>
                <w:sz w:val="18"/>
                <w:szCs w:val="18"/>
              </w:rPr>
              <w:t> </w:t>
            </w:r>
            <w:r>
              <w:rPr>
                <w:rFonts w:ascii="宋体" w:hAnsi="宋体" w:cs="宋体" w:eastAsia="宋体" w:hint="default"/>
                <w:spacing w:val="3"/>
                <w:sz w:val="18"/>
                <w:szCs w:val="18"/>
              </w:rPr>
              <w:t>数据防护各类管控策略，构建数据资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产全生命周期管理平台，全程掌控关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键数据的组成和分布，更有效保护重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要数据资产。</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157" w:right="0"/>
              <w:jc w:val="left"/>
              <w:rPr>
                <w:rFonts w:ascii="宋体" w:hAnsi="宋体" w:cs="宋体" w:eastAsia="宋体" w:hint="default"/>
                <w:sz w:val="18"/>
                <w:szCs w:val="18"/>
              </w:rPr>
            </w:pPr>
            <w:r>
              <w:rPr>
                <w:rFonts w:ascii="宋体" w:hAnsi="宋体" w:cs="宋体" w:eastAsia="宋体" w:hint="default"/>
                <w:sz w:val="18"/>
                <w:szCs w:val="18"/>
              </w:rPr>
              <w:t>产品发布阶段：</w:t>
            </w:r>
          </w:p>
          <w:p>
            <w:pPr>
              <w:pStyle w:val="TableParagraph"/>
              <w:spacing w:line="240" w:lineRule="auto" w:before="76"/>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z w:val="18"/>
                <w:szCs w:val="18"/>
              </w:rPr>
              <w:t>已发布。</w:t>
            </w:r>
          </w:p>
        </w:tc>
      </w:tr>
      <w:tr>
        <w:trPr>
          <w:trHeight w:val="1278"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5</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智慧边界接入控制系统</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 w:firstLine="360"/>
              <w:jc w:val="both"/>
              <w:rPr>
                <w:rFonts w:ascii="宋体" w:hAnsi="宋体" w:cs="宋体" w:eastAsia="宋体" w:hint="default"/>
                <w:sz w:val="18"/>
                <w:szCs w:val="18"/>
              </w:rPr>
            </w:pPr>
            <w:r>
              <w:rPr>
                <w:rFonts w:ascii="宋体" w:hAnsi="宋体" w:cs="宋体" w:eastAsia="宋体" w:hint="default"/>
                <w:spacing w:val="4"/>
                <w:sz w:val="18"/>
                <w:szCs w:val="18"/>
              </w:rPr>
              <w:t>智能探测识别网络边界自动进行 </w:t>
            </w:r>
            <w:r>
              <w:rPr>
                <w:rFonts w:ascii="宋体" w:hAnsi="宋体" w:cs="宋体" w:eastAsia="宋体" w:hint="default"/>
                <w:spacing w:val="3"/>
                <w:sz w:val="18"/>
                <w:szCs w:val="18"/>
              </w:rPr>
              <w:t>边界防御，能够将传统终端、国产终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端、虚拟化终端、移动终端、工业终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端进行统一的泛终端准入控制。</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157" w:right="0"/>
              <w:jc w:val="left"/>
              <w:rPr>
                <w:rFonts w:ascii="宋体" w:hAnsi="宋体" w:cs="宋体" w:eastAsia="宋体" w:hint="default"/>
                <w:sz w:val="18"/>
                <w:szCs w:val="18"/>
              </w:rPr>
            </w:pPr>
            <w:r>
              <w:rPr>
                <w:rFonts w:ascii="宋体" w:hAnsi="宋体" w:cs="宋体" w:eastAsia="宋体" w:hint="default"/>
                <w:sz w:val="18"/>
                <w:szCs w:val="18"/>
              </w:rPr>
              <w:t>产品研发阶段：</w:t>
            </w:r>
          </w:p>
          <w:p>
            <w:pPr>
              <w:pStyle w:val="TableParagraph"/>
              <w:spacing w:line="240" w:lineRule="auto" w:before="76"/>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z w:val="18"/>
                <w:szCs w:val="18"/>
              </w:rPr>
              <w:t>已发布。</w:t>
            </w:r>
          </w:p>
        </w:tc>
      </w:tr>
      <w:tr>
        <w:trPr>
          <w:trHeight w:val="2526"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6</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16" w:lineRule="auto"/>
              <w:ind w:left="1200" w:right="26" w:hanging="1170"/>
              <w:jc w:val="left"/>
              <w:rPr>
                <w:rFonts w:ascii="宋体" w:hAnsi="宋体" w:cs="宋体" w:eastAsia="宋体" w:hint="default"/>
                <w:sz w:val="18"/>
                <w:szCs w:val="18"/>
              </w:rPr>
            </w:pPr>
            <w:r>
              <w:rPr>
                <w:rFonts w:ascii="宋体" w:hAnsi="宋体" w:cs="宋体" w:eastAsia="宋体" w:hint="default"/>
                <w:sz w:val="18"/>
                <w:szCs w:val="18"/>
              </w:rPr>
              <w:t>网络与终端安全和行为大数据分析 系统</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4" w:right="-1" w:firstLine="360"/>
              <w:jc w:val="both"/>
              <w:rPr>
                <w:rFonts w:ascii="宋体" w:hAnsi="宋体" w:cs="宋体" w:eastAsia="宋体" w:hint="default"/>
                <w:sz w:val="18"/>
                <w:szCs w:val="18"/>
              </w:rPr>
            </w:pPr>
            <w:r>
              <w:rPr>
                <w:rFonts w:ascii="宋体" w:hAnsi="宋体" w:cs="宋体" w:eastAsia="宋体" w:hint="default"/>
                <w:spacing w:val="4"/>
                <w:sz w:val="18"/>
                <w:szCs w:val="18"/>
              </w:rPr>
              <w:t>网络与终端安全和行为大数据分 </w:t>
            </w:r>
            <w:r>
              <w:rPr>
                <w:rFonts w:ascii="宋体" w:hAnsi="宋体" w:cs="宋体" w:eastAsia="宋体" w:hint="default"/>
                <w:spacing w:val="3"/>
                <w:sz w:val="18"/>
                <w:szCs w:val="18"/>
              </w:rPr>
              <w:t>析系统是终端安全大数据平台升级版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本</w:t>
            </w:r>
            <w:r>
              <w:rPr>
                <w:rFonts w:ascii="Times New Roman" w:hAnsi="Times New Roman" w:cs="Times New Roman" w:eastAsia="Times New Roman" w:hint="default"/>
                <w:sz w:val="18"/>
                <w:szCs w:val="18"/>
              </w:rPr>
              <w:t>,</w:t>
            </w:r>
            <w:r>
              <w:rPr>
                <w:rFonts w:ascii="宋体" w:hAnsi="宋体" w:cs="宋体" w:eastAsia="宋体" w:hint="default"/>
                <w:sz w:val="18"/>
                <w:szCs w:val="18"/>
              </w:rPr>
              <w:t>基于内网泛终端、网络设备、安全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设备、网络流量、业务系统和应用系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6"/>
                <w:sz w:val="18"/>
                <w:szCs w:val="18"/>
              </w:rPr>
              <w:t>统产生的海量数据，利用</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Hadoop</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Spark</w:t>
            </w:r>
            <w:r>
              <w:rPr>
                <w:rFonts w:ascii="宋体" w:hAnsi="宋体" w:cs="宋体" w:eastAsia="宋体" w:hint="default"/>
                <w:sz w:val="18"/>
                <w:szCs w:val="18"/>
              </w:rPr>
              <w:t>等大数据技术，结合</w:t>
            </w:r>
            <w:r>
              <w:rPr>
                <w:rFonts w:ascii="Times New Roman" w:hAnsi="Times New Roman" w:cs="Times New Roman" w:eastAsia="Times New Roman" w:hint="default"/>
                <w:sz w:val="18"/>
                <w:szCs w:val="18"/>
              </w:rPr>
              <w:t>AI</w:t>
            </w:r>
            <w:r>
              <w:rPr>
                <w:rFonts w:ascii="宋体" w:hAnsi="宋体" w:cs="宋体" w:eastAsia="宋体" w:hint="default"/>
                <w:sz w:val="18"/>
                <w:szCs w:val="18"/>
              </w:rPr>
              <w:t>人工智能 </w:t>
            </w:r>
            <w:r>
              <w:rPr>
                <w:rFonts w:ascii="宋体" w:hAnsi="宋体" w:cs="宋体" w:eastAsia="宋体" w:hint="default"/>
                <w:spacing w:val="3"/>
                <w:sz w:val="18"/>
                <w:szCs w:val="18"/>
              </w:rPr>
              <w:t>算法进行信息安全、终端管理、业务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保障、数据资产保护服务的平台。</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369" w:right="0"/>
              <w:jc w:val="center"/>
              <w:rPr>
                <w:rFonts w:ascii="宋体" w:hAnsi="宋体" w:cs="宋体" w:eastAsia="宋体" w:hint="default"/>
                <w:sz w:val="18"/>
                <w:szCs w:val="18"/>
              </w:rPr>
            </w:pPr>
            <w:r>
              <w:rPr>
                <w:rFonts w:ascii="宋体" w:hAnsi="宋体" w:cs="宋体" w:eastAsia="宋体" w:hint="default"/>
                <w:sz w:val="18"/>
                <w:szCs w:val="18"/>
              </w:rPr>
              <w:t>产品研发阶段：</w:t>
            </w:r>
          </w:p>
          <w:p>
            <w:pPr>
              <w:pStyle w:val="TableParagraph"/>
              <w:spacing w:line="240" w:lineRule="auto" w:before="76"/>
              <w:ind w:left="37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已发布</w:t>
            </w:r>
          </w:p>
        </w:tc>
      </w:tr>
      <w:tr>
        <w:trPr>
          <w:trHeight w:val="2526"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7</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16" w:lineRule="auto"/>
              <w:ind w:left="1290" w:right="26" w:hanging="1260"/>
              <w:jc w:val="left"/>
              <w:rPr>
                <w:rFonts w:ascii="宋体" w:hAnsi="宋体" w:cs="宋体" w:eastAsia="宋体" w:hint="default"/>
                <w:sz w:val="18"/>
                <w:szCs w:val="18"/>
              </w:rPr>
            </w:pPr>
            <w:r>
              <w:rPr>
                <w:rFonts w:ascii="宋体" w:hAnsi="宋体" w:cs="宋体" w:eastAsia="宋体" w:hint="default"/>
                <w:sz w:val="18"/>
                <w:szCs w:val="18"/>
              </w:rPr>
              <w:t>打印复印及刻录安全监控与审计系 统</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4" w:right="-1" w:firstLine="360"/>
              <w:jc w:val="both"/>
              <w:rPr>
                <w:rFonts w:ascii="宋体" w:hAnsi="宋体" w:cs="宋体" w:eastAsia="宋体" w:hint="default"/>
                <w:sz w:val="18"/>
                <w:szCs w:val="18"/>
              </w:rPr>
            </w:pPr>
            <w:r>
              <w:rPr>
                <w:rFonts w:ascii="宋体" w:hAnsi="宋体" w:cs="宋体" w:eastAsia="宋体" w:hint="default"/>
                <w:spacing w:val="-2"/>
                <w:sz w:val="18"/>
                <w:szCs w:val="18"/>
              </w:rPr>
              <w:t>该系统实现四集中管控：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集中管</w:t>
            </w:r>
            <w:r>
              <w:rPr>
                <w:rFonts w:ascii="宋体" w:hAnsi="宋体" w:cs="宋体" w:eastAsia="宋体" w:hint="default"/>
                <w:sz w:val="18"/>
                <w:szCs w:val="18"/>
              </w:rPr>
              <w:t> </w:t>
            </w:r>
            <w:r>
              <w:rPr>
                <w:rFonts w:ascii="宋体" w:hAnsi="宋体" w:cs="宋体" w:eastAsia="宋体" w:hint="default"/>
                <w:spacing w:val="4"/>
                <w:sz w:val="18"/>
                <w:szCs w:val="18"/>
              </w:rPr>
              <w:t>控打印机、复印机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集中涉密载体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管理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集中管控刻录机</w:t>
            </w:r>
            <w:r>
              <w:rPr>
                <w:rFonts w:ascii="Times New Roman" w:hAnsi="Times New Roman" w:cs="Times New Roman" w:eastAsia="Times New Roman" w:hint="default"/>
                <w:sz w:val="18"/>
                <w:szCs w:val="18"/>
              </w:rPr>
              <w:t>”</w:t>
            </w:r>
            <w:r>
              <w:rPr>
                <w:rFonts w:ascii="宋体" w:hAnsi="宋体" w:cs="宋体" w:eastAsia="宋体" w:hint="default"/>
                <w:sz w:val="18"/>
                <w:szCs w:val="18"/>
              </w:rPr>
              <w:t>，基于条码 </w:t>
            </w:r>
            <w:r>
              <w:rPr>
                <w:rFonts w:ascii="宋体" w:hAnsi="宋体" w:cs="宋体" w:eastAsia="宋体" w:hint="default"/>
                <w:spacing w:val="3"/>
                <w:sz w:val="18"/>
                <w:szCs w:val="18"/>
              </w:rPr>
              <w:t>技术，从文件的产生、流转、归档、</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销毁的全生命周期的各环节进行安全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处理和管控，同时建立全生命周期过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程中的审计、日志系统，对文件的安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全流转进行全程监控。</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1157" w:right="0"/>
              <w:jc w:val="left"/>
              <w:rPr>
                <w:rFonts w:ascii="宋体" w:hAnsi="宋体" w:cs="宋体" w:eastAsia="宋体" w:hint="default"/>
                <w:sz w:val="18"/>
                <w:szCs w:val="18"/>
              </w:rPr>
            </w:pPr>
            <w:r>
              <w:rPr>
                <w:rFonts w:ascii="宋体" w:hAnsi="宋体" w:cs="宋体" w:eastAsia="宋体" w:hint="default"/>
                <w:sz w:val="18"/>
                <w:szCs w:val="18"/>
              </w:rPr>
              <w:t>产品发布阶段：</w:t>
            </w:r>
          </w:p>
          <w:p>
            <w:pPr>
              <w:pStyle w:val="TableParagraph"/>
              <w:spacing w:line="240" w:lineRule="auto" w:before="76"/>
              <w:ind w:left="1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版本已发布。</w:t>
            </w:r>
          </w:p>
        </w:tc>
      </w:tr>
      <w:tr>
        <w:trPr>
          <w:trHeight w:val="664" w:hRule="exact"/>
        </w:trPr>
        <w:tc>
          <w:tcPr>
            <w:tcW w:w="71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27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服务器配置检查系统</w:t>
            </w:r>
          </w:p>
        </w:tc>
        <w:tc>
          <w:tcPr>
            <w:tcW w:w="2964"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20"/>
              <w:ind w:left="4" w:right="-16" w:firstLine="360"/>
              <w:jc w:val="left"/>
              <w:rPr>
                <w:rFonts w:ascii="宋体" w:hAnsi="宋体" w:cs="宋体" w:eastAsia="宋体" w:hint="default"/>
                <w:sz w:val="18"/>
                <w:szCs w:val="18"/>
              </w:rPr>
            </w:pPr>
            <w:r>
              <w:rPr>
                <w:rFonts w:ascii="宋体" w:hAnsi="宋体" w:cs="宋体" w:eastAsia="宋体" w:hint="default"/>
                <w:spacing w:val="18"/>
                <w:sz w:val="18"/>
                <w:szCs w:val="18"/>
              </w:rPr>
              <w:t>该系统针对服务器配置检查需</w:t>
            </w:r>
            <w:r>
              <w:rPr>
                <w:rFonts w:ascii="宋体" w:hAnsi="宋体" w:cs="宋体" w:eastAsia="宋体" w:hint="default"/>
                <w:spacing w:val="-70"/>
                <w:sz w:val="18"/>
                <w:szCs w:val="18"/>
              </w:rPr>
              <w:t> </w:t>
            </w:r>
            <w:r>
              <w:rPr>
                <w:rFonts w:ascii="宋体" w:hAnsi="宋体" w:cs="宋体" w:eastAsia="宋体" w:hint="default"/>
                <w:spacing w:val="3"/>
                <w:sz w:val="18"/>
                <w:szCs w:val="18"/>
              </w:rPr>
              <w:t>求，提供合规检查规则库，支持根据</w:t>
            </w:r>
            <w:r>
              <w:rPr>
                <w:rFonts w:ascii="宋体" w:hAnsi="宋体" w:cs="宋体" w:eastAsia="宋体" w:hint="default"/>
                <w:sz w:val="18"/>
                <w:szCs w:val="18"/>
              </w:rPr>
            </w:r>
          </w:p>
        </w:tc>
        <w:tc>
          <w:tcPr>
            <w:tcW w:w="32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47" w:right="0"/>
              <w:jc w:val="left"/>
              <w:rPr>
                <w:rFonts w:ascii="宋体" w:hAnsi="宋体" w:cs="宋体" w:eastAsia="宋体" w:hint="default"/>
                <w:sz w:val="18"/>
                <w:szCs w:val="18"/>
              </w:rPr>
            </w:pPr>
            <w:r>
              <w:rPr>
                <w:rFonts w:ascii="宋体" w:hAnsi="宋体" w:cs="宋体" w:eastAsia="宋体" w:hint="default"/>
                <w:sz w:val="18"/>
                <w:szCs w:val="18"/>
              </w:rPr>
              <w:t>产品研发阶段</w:t>
            </w:r>
          </w:p>
        </w:tc>
      </w:tr>
    </w:tbl>
    <w:p>
      <w:pPr>
        <w:spacing w:after="0" w:line="240" w:lineRule="auto"/>
        <w:jc w:val="left"/>
        <w:rPr>
          <w:rFonts w:ascii="宋体" w:hAnsi="宋体" w:cs="宋体" w:eastAsia="宋体" w:hint="default"/>
          <w:sz w:val="18"/>
          <w:szCs w:val="18"/>
        </w:rPr>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2" w:type="dxa"/>
        <w:tblLayout w:type="fixed"/>
        <w:tblCellMar>
          <w:top w:w="0" w:type="dxa"/>
          <w:left w:w="0" w:type="dxa"/>
          <w:bottom w:w="0" w:type="dxa"/>
          <w:right w:w="0" w:type="dxa"/>
        </w:tblCellMar>
        <w:tblLook w:val="01E0"/>
      </w:tblPr>
      <w:tblGrid>
        <w:gridCol w:w="710"/>
        <w:gridCol w:w="2768"/>
        <w:gridCol w:w="2964"/>
        <w:gridCol w:w="3226"/>
      </w:tblGrid>
      <w:tr>
        <w:trPr>
          <w:trHeight w:val="337" w:hRule="exact"/>
        </w:trPr>
        <w:tc>
          <w:tcPr>
            <w:tcW w:w="710" w:type="dxa"/>
            <w:vMerge w:val="restart"/>
            <w:tcBorders>
              <w:top w:val="single" w:sz="12" w:space="0" w:color="000000"/>
              <w:left w:val="single" w:sz="12" w:space="0" w:color="000000"/>
              <w:right w:val="single" w:sz="4" w:space="0" w:color="000000"/>
            </w:tcBorders>
          </w:tcPr>
          <w:p>
            <w:pPr/>
          </w:p>
        </w:tc>
        <w:tc>
          <w:tcPr>
            <w:tcW w:w="2768" w:type="dxa"/>
            <w:vMerge w:val="restart"/>
            <w:tcBorders>
              <w:top w:val="single" w:sz="12" w:space="0" w:color="000000"/>
              <w:left w:val="single" w:sz="4" w:space="0" w:color="000000"/>
              <w:right w:val="single" w:sz="4" w:space="0" w:color="000000"/>
            </w:tcBorders>
          </w:tcPr>
          <w:p>
            <w:pPr/>
          </w:p>
        </w:tc>
        <w:tc>
          <w:tcPr>
            <w:tcW w:w="296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0"/>
              <w:ind w:left="4" w:right="-1"/>
              <w:jc w:val="left"/>
              <w:rPr>
                <w:rFonts w:ascii="宋体" w:hAnsi="宋体" w:cs="宋体" w:eastAsia="宋体" w:hint="default"/>
                <w:sz w:val="18"/>
                <w:szCs w:val="18"/>
              </w:rPr>
            </w:pPr>
            <w:r>
              <w:rPr>
                <w:rFonts w:ascii="宋体" w:hAnsi="宋体" w:cs="宋体" w:eastAsia="宋体" w:hint="default"/>
                <w:spacing w:val="3"/>
                <w:sz w:val="18"/>
                <w:szCs w:val="18"/>
              </w:rPr>
              <w:t>服务器上安装的操作系统版本、数据</w:t>
            </w:r>
            <w:r>
              <w:rPr>
                <w:rFonts w:ascii="宋体" w:hAnsi="宋体" w:cs="宋体" w:eastAsia="宋体" w:hint="default"/>
                <w:sz w:val="18"/>
                <w:szCs w:val="18"/>
              </w:rPr>
            </w:r>
          </w:p>
        </w:tc>
        <w:tc>
          <w:tcPr>
            <w:tcW w:w="3226" w:type="dxa"/>
            <w:vMerge w:val="restart"/>
            <w:tcBorders>
              <w:top w:val="single" w:sz="12" w:space="0" w:color="000000"/>
              <w:left w:val="single" w:sz="4" w:space="0" w:color="000000"/>
              <w:right w:val="single" w:sz="12" w:space="0" w:color="000000"/>
            </w:tcBorders>
          </w:tcPr>
          <w:p>
            <w:pPr/>
          </w:p>
        </w:tc>
      </w:tr>
      <w:tr>
        <w:trPr>
          <w:trHeight w:val="312" w:hRule="exact"/>
        </w:trPr>
        <w:tc>
          <w:tcPr>
            <w:tcW w:w="710" w:type="dxa"/>
            <w:vMerge/>
            <w:tcBorders>
              <w:left w:val="single" w:sz="12" w:space="0" w:color="000000"/>
              <w:right w:val="single" w:sz="4" w:space="0" w:color="000000"/>
            </w:tcBorders>
          </w:tcPr>
          <w:p>
            <w:pPr/>
          </w:p>
        </w:tc>
        <w:tc>
          <w:tcPr>
            <w:tcW w:w="2768" w:type="dxa"/>
            <w:vMerge/>
            <w:tcBorders>
              <w:left w:val="single" w:sz="4" w:space="0" w:color="000000"/>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库、应用系统等需求，灵活制定合规</w:t>
            </w:r>
            <w:r>
              <w:rPr>
                <w:rFonts w:ascii="宋体" w:hAnsi="宋体" w:cs="宋体" w:eastAsia="宋体" w:hint="default"/>
                <w:sz w:val="18"/>
                <w:szCs w:val="18"/>
              </w:rPr>
            </w:r>
          </w:p>
        </w:tc>
        <w:tc>
          <w:tcPr>
            <w:tcW w:w="3226" w:type="dxa"/>
            <w:vMerge/>
            <w:tcBorders>
              <w:left w:val="single" w:sz="4" w:space="0" w:color="000000"/>
              <w:right w:val="single" w:sz="12" w:space="0" w:color="000000"/>
            </w:tcBorders>
          </w:tcPr>
          <w:p>
            <w:pPr/>
          </w:p>
        </w:tc>
      </w:tr>
      <w:tr>
        <w:trPr>
          <w:trHeight w:val="312" w:hRule="exact"/>
        </w:trPr>
        <w:tc>
          <w:tcPr>
            <w:tcW w:w="710" w:type="dxa"/>
            <w:vMerge/>
            <w:tcBorders>
              <w:left w:val="single" w:sz="12" w:space="0" w:color="000000"/>
              <w:right w:val="single" w:sz="4" w:space="0" w:color="000000"/>
            </w:tcBorders>
          </w:tcPr>
          <w:p>
            <w:pPr/>
          </w:p>
        </w:tc>
        <w:tc>
          <w:tcPr>
            <w:tcW w:w="2768" w:type="dxa"/>
            <w:vMerge/>
            <w:tcBorders>
              <w:left w:val="single" w:sz="4" w:space="0" w:color="000000"/>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检查策略；支持自定义检查项，可以</w:t>
            </w:r>
            <w:r>
              <w:rPr>
                <w:rFonts w:ascii="宋体" w:hAnsi="宋体" w:cs="宋体" w:eastAsia="宋体" w:hint="default"/>
                <w:sz w:val="18"/>
                <w:szCs w:val="18"/>
              </w:rPr>
            </w:r>
          </w:p>
        </w:tc>
        <w:tc>
          <w:tcPr>
            <w:tcW w:w="3226" w:type="dxa"/>
            <w:vMerge/>
            <w:tcBorders>
              <w:left w:val="single" w:sz="4" w:space="0" w:color="000000"/>
              <w:right w:val="single" w:sz="12" w:space="0" w:color="000000"/>
            </w:tcBorders>
          </w:tcPr>
          <w:p>
            <w:pPr/>
          </w:p>
        </w:tc>
      </w:tr>
      <w:tr>
        <w:trPr>
          <w:trHeight w:val="312" w:hRule="exact"/>
        </w:trPr>
        <w:tc>
          <w:tcPr>
            <w:tcW w:w="710" w:type="dxa"/>
            <w:vMerge/>
            <w:tcBorders>
              <w:left w:val="single" w:sz="12" w:space="0" w:color="000000"/>
              <w:right w:val="single" w:sz="4" w:space="0" w:color="000000"/>
            </w:tcBorders>
          </w:tcPr>
          <w:p>
            <w:pPr/>
          </w:p>
        </w:tc>
        <w:tc>
          <w:tcPr>
            <w:tcW w:w="2768" w:type="dxa"/>
            <w:vMerge/>
            <w:tcBorders>
              <w:left w:val="single" w:sz="4" w:space="0" w:color="000000"/>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对应用的核心注册表路径和内容、系</w:t>
            </w:r>
            <w:r>
              <w:rPr>
                <w:rFonts w:ascii="宋体" w:hAnsi="宋体" w:cs="宋体" w:eastAsia="宋体" w:hint="default"/>
                <w:sz w:val="18"/>
                <w:szCs w:val="18"/>
              </w:rPr>
            </w:r>
          </w:p>
        </w:tc>
        <w:tc>
          <w:tcPr>
            <w:tcW w:w="3226" w:type="dxa"/>
            <w:vMerge/>
            <w:tcBorders>
              <w:left w:val="single" w:sz="4" w:space="0" w:color="000000"/>
              <w:right w:val="single" w:sz="12" w:space="0" w:color="000000"/>
            </w:tcBorders>
          </w:tcPr>
          <w:p>
            <w:pPr/>
          </w:p>
        </w:tc>
      </w:tr>
      <w:tr>
        <w:trPr>
          <w:trHeight w:val="317" w:hRule="exact"/>
        </w:trPr>
        <w:tc>
          <w:tcPr>
            <w:tcW w:w="710" w:type="dxa"/>
            <w:vMerge/>
            <w:tcBorders>
              <w:left w:val="single" w:sz="12" w:space="0" w:color="000000"/>
              <w:right w:val="single" w:sz="4" w:space="0" w:color="000000"/>
            </w:tcBorders>
          </w:tcPr>
          <w:p>
            <w:pPr/>
          </w:p>
        </w:tc>
        <w:tc>
          <w:tcPr>
            <w:tcW w:w="2768" w:type="dxa"/>
            <w:vMerge/>
            <w:tcBorders>
              <w:left w:val="single" w:sz="4" w:space="0" w:color="000000"/>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4"/>
                <w:sz w:val="18"/>
                <w:szCs w:val="18"/>
              </w:rPr>
              <w:t>统服务和关键进程运行状态、</w:t>
            </w:r>
            <w:r>
              <w:rPr>
                <w:rFonts w:ascii="Times New Roman" w:hAnsi="Times New Roman" w:cs="Times New Roman" w:eastAsia="Times New Roman" w:hint="default"/>
                <w:spacing w:val="4"/>
                <w:sz w:val="18"/>
                <w:szCs w:val="18"/>
              </w:rPr>
              <w:t>IE</w:t>
            </w:r>
            <w:r>
              <w:rPr>
                <w:rFonts w:ascii="宋体" w:hAnsi="宋体" w:cs="宋体" w:eastAsia="宋体" w:hint="default"/>
                <w:spacing w:val="4"/>
                <w:sz w:val="18"/>
                <w:szCs w:val="18"/>
              </w:rPr>
              <w:t>选项</w:t>
            </w:r>
            <w:r>
              <w:rPr>
                <w:rFonts w:ascii="宋体" w:hAnsi="宋体" w:cs="宋体" w:eastAsia="宋体" w:hint="default"/>
                <w:sz w:val="18"/>
                <w:szCs w:val="18"/>
              </w:rPr>
            </w:r>
          </w:p>
        </w:tc>
        <w:tc>
          <w:tcPr>
            <w:tcW w:w="3226" w:type="dxa"/>
            <w:vMerge/>
            <w:tcBorders>
              <w:left w:val="single" w:sz="4" w:space="0" w:color="000000"/>
              <w:right w:val="single" w:sz="12" w:space="0" w:color="000000"/>
            </w:tcBorders>
          </w:tcPr>
          <w:p>
            <w:pPr/>
          </w:p>
        </w:tc>
      </w:tr>
      <w:tr>
        <w:trPr>
          <w:trHeight w:val="307" w:hRule="exact"/>
        </w:trPr>
        <w:tc>
          <w:tcPr>
            <w:tcW w:w="710" w:type="dxa"/>
            <w:vMerge/>
            <w:tcBorders>
              <w:left w:val="single" w:sz="12" w:space="0" w:color="000000"/>
              <w:right w:val="single" w:sz="4" w:space="0" w:color="000000"/>
            </w:tcBorders>
          </w:tcPr>
          <w:p>
            <w:pPr/>
          </w:p>
        </w:tc>
        <w:tc>
          <w:tcPr>
            <w:tcW w:w="2768" w:type="dxa"/>
            <w:vMerge/>
            <w:tcBorders>
              <w:left w:val="single" w:sz="4" w:space="0" w:color="000000"/>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1"/>
              <w:jc w:val="left"/>
              <w:rPr>
                <w:rFonts w:ascii="宋体" w:hAnsi="宋体" w:cs="宋体" w:eastAsia="宋体" w:hint="default"/>
                <w:sz w:val="18"/>
                <w:szCs w:val="18"/>
              </w:rPr>
            </w:pPr>
            <w:r>
              <w:rPr>
                <w:rFonts w:ascii="宋体" w:hAnsi="宋体" w:cs="宋体" w:eastAsia="宋体" w:hint="default"/>
                <w:spacing w:val="3"/>
                <w:sz w:val="18"/>
                <w:szCs w:val="18"/>
              </w:rPr>
              <w:t>配置和插件程序等配置进行检查，满</w:t>
            </w:r>
            <w:r>
              <w:rPr>
                <w:rFonts w:ascii="宋体" w:hAnsi="宋体" w:cs="宋体" w:eastAsia="宋体" w:hint="default"/>
                <w:sz w:val="18"/>
                <w:szCs w:val="18"/>
              </w:rPr>
            </w:r>
          </w:p>
        </w:tc>
        <w:tc>
          <w:tcPr>
            <w:tcW w:w="3226" w:type="dxa"/>
            <w:vMerge/>
            <w:tcBorders>
              <w:left w:val="single" w:sz="4" w:space="0" w:color="000000"/>
              <w:right w:val="single" w:sz="12" w:space="0" w:color="000000"/>
            </w:tcBorders>
          </w:tcPr>
          <w:p>
            <w:pPr/>
          </w:p>
        </w:tc>
      </w:tr>
      <w:tr>
        <w:trPr>
          <w:trHeight w:val="312" w:hRule="exact"/>
        </w:trPr>
        <w:tc>
          <w:tcPr>
            <w:tcW w:w="710" w:type="dxa"/>
            <w:vMerge/>
            <w:tcBorders>
              <w:left w:val="single" w:sz="12" w:space="0" w:color="000000"/>
              <w:right w:val="single" w:sz="4" w:space="0" w:color="000000"/>
            </w:tcBorders>
          </w:tcPr>
          <w:p>
            <w:pPr/>
          </w:p>
        </w:tc>
        <w:tc>
          <w:tcPr>
            <w:tcW w:w="2768" w:type="dxa"/>
            <w:vMerge/>
            <w:tcBorders>
              <w:left w:val="single" w:sz="4" w:space="0" w:color="000000"/>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足企业对服务器各种安全运维的管理</w:t>
            </w:r>
            <w:r>
              <w:rPr>
                <w:rFonts w:ascii="宋体" w:hAnsi="宋体" w:cs="宋体" w:eastAsia="宋体" w:hint="default"/>
                <w:sz w:val="18"/>
                <w:szCs w:val="18"/>
              </w:rPr>
            </w:r>
          </w:p>
        </w:tc>
        <w:tc>
          <w:tcPr>
            <w:tcW w:w="3226" w:type="dxa"/>
            <w:vMerge/>
            <w:tcBorders>
              <w:left w:val="single" w:sz="4" w:space="0" w:color="000000"/>
              <w:right w:val="single" w:sz="12" w:space="0" w:color="000000"/>
            </w:tcBorders>
          </w:tcPr>
          <w:p>
            <w:pPr/>
          </w:p>
        </w:tc>
      </w:tr>
      <w:tr>
        <w:trPr>
          <w:trHeight w:val="328" w:hRule="exact"/>
        </w:trPr>
        <w:tc>
          <w:tcPr>
            <w:tcW w:w="710" w:type="dxa"/>
            <w:vMerge/>
            <w:tcBorders>
              <w:left w:val="single" w:sz="12" w:space="0" w:color="000000"/>
              <w:bottom w:val="single" w:sz="4" w:space="0" w:color="000000"/>
              <w:right w:val="single" w:sz="4" w:space="0" w:color="000000"/>
            </w:tcBorders>
          </w:tcPr>
          <w:p>
            <w:pPr/>
          </w:p>
        </w:tc>
        <w:tc>
          <w:tcPr>
            <w:tcW w:w="2768" w:type="dxa"/>
            <w:vMerge/>
            <w:tcBorders>
              <w:left w:val="single" w:sz="4" w:space="0" w:color="000000"/>
              <w:bottom w:val="single" w:sz="4" w:space="0" w:color="000000"/>
              <w:right w:val="single" w:sz="4" w:space="0" w:color="000000"/>
            </w:tcBorders>
          </w:tcPr>
          <w:p>
            <w:pPr/>
          </w:p>
        </w:tc>
        <w:tc>
          <w:tcPr>
            <w:tcW w:w="29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需求。</w:t>
            </w:r>
          </w:p>
        </w:tc>
        <w:tc>
          <w:tcPr>
            <w:tcW w:w="3226" w:type="dxa"/>
            <w:vMerge/>
            <w:tcBorders>
              <w:left w:val="single" w:sz="4" w:space="0" w:color="000000"/>
              <w:bottom w:val="single" w:sz="4" w:space="0" w:color="000000"/>
              <w:right w:val="single" w:sz="12" w:space="0" w:color="000000"/>
            </w:tcBorders>
          </w:tcPr>
          <w:p>
            <w:pPr/>
          </w:p>
        </w:tc>
      </w:tr>
      <w:tr>
        <w:trPr>
          <w:trHeight w:val="327" w:hRule="exact"/>
        </w:trPr>
        <w:tc>
          <w:tcPr>
            <w:tcW w:w="710" w:type="dxa"/>
            <w:tcBorders>
              <w:top w:val="single" w:sz="4" w:space="0" w:color="000000"/>
              <w:left w:val="single" w:sz="12" w:space="0" w:color="000000"/>
              <w:bottom w:val="nil" w:sz="6" w:space="0" w:color="auto"/>
              <w:right w:val="single" w:sz="4" w:space="0" w:color="000000"/>
            </w:tcBorders>
          </w:tcPr>
          <w:p>
            <w:pPr/>
          </w:p>
        </w:tc>
        <w:tc>
          <w:tcPr>
            <w:tcW w:w="2768" w:type="dxa"/>
            <w:tcBorders>
              <w:top w:val="single" w:sz="4" w:space="0" w:color="000000"/>
              <w:left w:val="single" w:sz="4" w:space="0" w:color="000000"/>
              <w:bottom w:val="nil" w:sz="6" w:space="0" w:color="auto"/>
              <w:right w:val="single" w:sz="4" w:space="0" w:color="000000"/>
            </w:tcBorders>
          </w:tcPr>
          <w:p>
            <w:pPr/>
          </w:p>
        </w:tc>
        <w:tc>
          <w:tcPr>
            <w:tcW w:w="29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pacing w:val="4"/>
                <w:sz w:val="18"/>
                <w:szCs w:val="18"/>
              </w:rPr>
              <w:t>安全免疫移动硬盘是一种用于保</w:t>
            </w:r>
            <w:r>
              <w:rPr>
                <w:rFonts w:ascii="宋体" w:hAnsi="宋体" w:cs="宋体" w:eastAsia="宋体" w:hint="default"/>
                <w:sz w:val="18"/>
                <w:szCs w:val="18"/>
              </w:rPr>
            </w:r>
          </w:p>
        </w:tc>
        <w:tc>
          <w:tcPr>
            <w:tcW w:w="3226" w:type="dxa"/>
            <w:tcBorders>
              <w:top w:val="single" w:sz="4" w:space="0" w:color="000000"/>
              <w:left w:val="single" w:sz="4" w:space="0" w:color="000000"/>
              <w:bottom w:val="nil" w:sz="6" w:space="0" w:color="auto"/>
              <w:right w:val="single" w:sz="12" w:space="0" w:color="000000"/>
            </w:tcBorders>
          </w:tcPr>
          <w:p>
            <w:pPr/>
          </w:p>
        </w:tc>
      </w:tr>
      <w:tr>
        <w:trPr>
          <w:trHeight w:val="317"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护数据安全的</w:t>
            </w:r>
            <w:r>
              <w:rPr>
                <w:rFonts w:ascii="Times New Roman" w:hAnsi="Times New Roman" w:cs="Times New Roman" w:eastAsia="Times New Roman" w:hint="default"/>
                <w:spacing w:val="3"/>
                <w:sz w:val="18"/>
                <w:szCs w:val="18"/>
              </w:rPr>
              <w:t>USB</w:t>
            </w:r>
            <w:r>
              <w:rPr>
                <w:rFonts w:ascii="宋体" w:hAnsi="宋体" w:cs="宋体" w:eastAsia="宋体" w:hint="default"/>
                <w:spacing w:val="3"/>
                <w:sz w:val="18"/>
                <w:szCs w:val="18"/>
              </w:rPr>
              <w:t>移动硬盘。除移动</w:t>
            </w:r>
            <w:r>
              <w:rPr>
                <w:rFonts w:ascii="宋体" w:hAnsi="宋体" w:cs="宋体" w:eastAsia="宋体" w:hint="default"/>
                <w:sz w:val="18"/>
                <w:szCs w:val="18"/>
              </w:rPr>
            </w:r>
          </w:p>
        </w:tc>
        <w:tc>
          <w:tcPr>
            <w:tcW w:w="3226" w:type="dxa"/>
            <w:tcBorders>
              <w:top w:val="nil" w:sz="6" w:space="0" w:color="auto"/>
              <w:left w:val="single" w:sz="4" w:space="0" w:color="000000"/>
              <w:bottom w:val="nil" w:sz="6" w:space="0" w:color="auto"/>
              <w:right w:val="single" w:sz="12" w:space="0" w:color="000000"/>
            </w:tcBorders>
          </w:tcPr>
          <w:p>
            <w:pPr/>
          </w:p>
        </w:tc>
      </w:tr>
      <w:tr>
        <w:trPr>
          <w:trHeight w:val="307"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1"/>
              <w:jc w:val="left"/>
              <w:rPr>
                <w:rFonts w:ascii="宋体" w:hAnsi="宋体" w:cs="宋体" w:eastAsia="宋体" w:hint="default"/>
                <w:sz w:val="18"/>
                <w:szCs w:val="18"/>
              </w:rPr>
            </w:pPr>
            <w:r>
              <w:rPr>
                <w:rFonts w:ascii="宋体" w:hAnsi="宋体" w:cs="宋体" w:eastAsia="宋体" w:hint="default"/>
                <w:spacing w:val="3"/>
                <w:sz w:val="18"/>
                <w:szCs w:val="18"/>
              </w:rPr>
              <w:t>硬盘外还包括采集信息工具，信息录</w:t>
            </w:r>
            <w:r>
              <w:rPr>
                <w:rFonts w:ascii="宋体" w:hAnsi="宋体" w:cs="宋体" w:eastAsia="宋体" w:hint="default"/>
                <w:sz w:val="18"/>
                <w:szCs w:val="18"/>
              </w:rPr>
            </w:r>
          </w:p>
        </w:tc>
        <w:tc>
          <w:tcPr>
            <w:tcW w:w="3226"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入平台，系统授权工具模块组成。安</w:t>
            </w:r>
            <w:r>
              <w:rPr>
                <w:rFonts w:ascii="宋体" w:hAnsi="宋体" w:cs="宋体" w:eastAsia="宋体" w:hint="default"/>
                <w:sz w:val="18"/>
                <w:szCs w:val="18"/>
              </w:rPr>
            </w:r>
          </w:p>
        </w:tc>
        <w:tc>
          <w:tcPr>
            <w:tcW w:w="3226" w:type="dxa"/>
            <w:tcBorders>
              <w:top w:val="nil" w:sz="6" w:space="0" w:color="auto"/>
              <w:left w:val="single" w:sz="4" w:space="0" w:color="000000"/>
              <w:bottom w:val="nil" w:sz="6" w:space="0" w:color="auto"/>
              <w:right w:val="single" w:sz="12" w:space="0" w:color="000000"/>
            </w:tcBorders>
          </w:tcPr>
          <w:p>
            <w:pPr/>
          </w:p>
        </w:tc>
      </w:tr>
      <w:tr>
        <w:trPr>
          <w:trHeight w:val="317" w:hRule="exact"/>
        </w:trPr>
        <w:tc>
          <w:tcPr>
            <w:tcW w:w="710" w:type="dxa"/>
            <w:tcBorders>
              <w:top w:val="nil" w:sz="6" w:space="0" w:color="auto"/>
              <w:left w:val="single" w:sz="12" w:space="0" w:color="000000"/>
              <w:bottom w:val="nil" w:sz="6" w:space="0" w:color="auto"/>
              <w:right w:val="single" w:sz="4" w:space="0" w:color="000000"/>
            </w:tcBorders>
          </w:tcPr>
          <w:p>
            <w:pPr>
              <w:pStyle w:val="TableParagraph"/>
              <w:spacing w:line="240" w:lineRule="auto" w:before="50"/>
              <w:ind w:left="300" w:right="0"/>
              <w:jc w:val="left"/>
              <w:rPr>
                <w:rFonts w:ascii="Times New Roman" w:hAnsi="Times New Roman" w:cs="Times New Roman" w:eastAsia="Times New Roman" w:hint="default"/>
                <w:sz w:val="18"/>
                <w:szCs w:val="18"/>
              </w:rPr>
            </w:pPr>
            <w:r>
              <w:rPr>
                <w:rFonts w:ascii="Times New Roman"/>
                <w:sz w:val="18"/>
              </w:rPr>
              <w:t>9</w:t>
            </w: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840" w:right="0"/>
              <w:jc w:val="left"/>
              <w:rPr>
                <w:rFonts w:ascii="宋体" w:hAnsi="宋体" w:cs="宋体" w:eastAsia="宋体" w:hint="default"/>
                <w:sz w:val="18"/>
                <w:szCs w:val="18"/>
              </w:rPr>
            </w:pPr>
            <w:r>
              <w:rPr>
                <w:rFonts w:ascii="宋体" w:hAnsi="宋体" w:cs="宋体" w:eastAsia="宋体" w:hint="default"/>
                <w:sz w:val="18"/>
                <w:szCs w:val="18"/>
              </w:rPr>
              <w:t>安全免疫移动硬盘</w:t>
            </w: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1"/>
                <w:sz w:val="18"/>
                <w:szCs w:val="18"/>
              </w:rPr>
              <w:t>全移动硬盘包括两种使用模式：</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内网</w:t>
            </w:r>
          </w:p>
        </w:tc>
        <w:tc>
          <w:tcPr>
            <w:tcW w:w="3226" w:type="dxa"/>
            <w:tcBorders>
              <w:top w:val="nil" w:sz="6" w:space="0" w:color="auto"/>
              <w:left w:val="single" w:sz="4" w:space="0" w:color="000000"/>
              <w:bottom w:val="nil" w:sz="6" w:space="0" w:color="auto"/>
              <w:right w:val="single" w:sz="12" w:space="0" w:color="000000"/>
            </w:tcBorders>
          </w:tcPr>
          <w:p>
            <w:pPr>
              <w:pStyle w:val="TableParagraph"/>
              <w:spacing w:line="240" w:lineRule="auto" w:before="10"/>
              <w:ind w:left="1084" w:right="0"/>
              <w:jc w:val="left"/>
              <w:rPr>
                <w:rFonts w:ascii="宋体" w:hAnsi="宋体" w:cs="宋体" w:eastAsia="宋体" w:hint="default"/>
                <w:sz w:val="18"/>
                <w:szCs w:val="18"/>
              </w:rPr>
            </w:pPr>
            <w:r>
              <w:rPr>
                <w:rFonts w:ascii="宋体" w:hAnsi="宋体" w:cs="宋体" w:eastAsia="宋体" w:hint="default"/>
                <w:sz w:val="18"/>
                <w:szCs w:val="18"/>
              </w:rPr>
              <w:t>产品研发阶段</w:t>
            </w:r>
          </w:p>
        </w:tc>
      </w:tr>
      <w:tr>
        <w:trPr>
          <w:trHeight w:val="312"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4"/>
                <w:sz w:val="18"/>
                <w:szCs w:val="18"/>
              </w:rPr>
              <w:t>专用安全移动硬盘</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单向导入安全</w:t>
            </w:r>
            <w:r>
              <w:rPr>
                <w:rFonts w:ascii="宋体" w:hAnsi="宋体" w:cs="宋体" w:eastAsia="宋体" w:hint="default"/>
                <w:sz w:val="18"/>
                <w:szCs w:val="18"/>
              </w:rPr>
            </w:r>
          </w:p>
        </w:tc>
        <w:tc>
          <w:tcPr>
            <w:tcW w:w="3226"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5"/>
              <w:jc w:val="left"/>
              <w:rPr>
                <w:rFonts w:ascii="宋体" w:hAnsi="宋体" w:cs="宋体" w:eastAsia="宋体" w:hint="default"/>
                <w:sz w:val="18"/>
                <w:szCs w:val="18"/>
              </w:rPr>
            </w:pPr>
            <w:r>
              <w:rPr>
                <w:rFonts w:ascii="宋体" w:hAnsi="宋体" w:cs="宋体" w:eastAsia="宋体" w:hint="default"/>
                <w:spacing w:val="10"/>
                <w:sz w:val="18"/>
                <w:szCs w:val="18"/>
              </w:rPr>
              <w:t>移动硬盘</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分别对应于内网数据备份</w:t>
            </w:r>
            <w:r>
              <w:rPr>
                <w:rFonts w:ascii="宋体" w:hAnsi="宋体" w:cs="宋体" w:eastAsia="宋体" w:hint="default"/>
                <w:sz w:val="18"/>
                <w:szCs w:val="18"/>
              </w:rPr>
            </w:r>
          </w:p>
        </w:tc>
        <w:tc>
          <w:tcPr>
            <w:tcW w:w="3226" w:type="dxa"/>
            <w:tcBorders>
              <w:top w:val="nil" w:sz="6" w:space="0" w:color="auto"/>
              <w:left w:val="single" w:sz="4" w:space="0" w:color="000000"/>
              <w:bottom w:val="nil" w:sz="6" w:space="0" w:color="auto"/>
              <w:right w:val="single" w:sz="12" w:space="0" w:color="000000"/>
            </w:tcBorders>
          </w:tcPr>
          <w:p>
            <w:pPr/>
          </w:p>
        </w:tc>
      </w:tr>
      <w:tr>
        <w:trPr>
          <w:trHeight w:val="307"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1"/>
              <w:jc w:val="left"/>
              <w:rPr>
                <w:rFonts w:ascii="宋体" w:hAnsi="宋体" w:cs="宋体" w:eastAsia="宋体" w:hint="default"/>
                <w:sz w:val="18"/>
                <w:szCs w:val="18"/>
              </w:rPr>
            </w:pPr>
            <w:r>
              <w:rPr>
                <w:rFonts w:ascii="宋体" w:hAnsi="宋体" w:cs="宋体" w:eastAsia="宋体" w:hint="default"/>
                <w:spacing w:val="3"/>
                <w:sz w:val="18"/>
                <w:szCs w:val="18"/>
              </w:rPr>
              <w:t>存储与内部流转场景和外部数据单向</w:t>
            </w:r>
            <w:r>
              <w:rPr>
                <w:rFonts w:ascii="宋体" w:hAnsi="宋体" w:cs="宋体" w:eastAsia="宋体" w:hint="default"/>
                <w:sz w:val="18"/>
                <w:szCs w:val="18"/>
              </w:rPr>
            </w:r>
          </w:p>
        </w:tc>
        <w:tc>
          <w:tcPr>
            <w:tcW w:w="3226" w:type="dxa"/>
            <w:tcBorders>
              <w:top w:val="nil" w:sz="6" w:space="0" w:color="auto"/>
              <w:left w:val="single" w:sz="4" w:space="0" w:color="000000"/>
              <w:bottom w:val="nil" w:sz="6" w:space="0" w:color="auto"/>
              <w:right w:val="single" w:sz="12" w:space="0" w:color="000000"/>
            </w:tcBorders>
          </w:tcPr>
          <w:p>
            <w:pPr/>
          </w:p>
        </w:tc>
      </w:tr>
      <w:tr>
        <w:trPr>
          <w:trHeight w:val="328" w:hRule="exact"/>
        </w:trPr>
        <w:tc>
          <w:tcPr>
            <w:tcW w:w="710" w:type="dxa"/>
            <w:tcBorders>
              <w:top w:val="nil" w:sz="6" w:space="0" w:color="auto"/>
              <w:left w:val="single" w:sz="12" w:space="0" w:color="000000"/>
              <w:bottom w:val="single" w:sz="4" w:space="0" w:color="000000"/>
              <w:right w:val="single" w:sz="4" w:space="0" w:color="000000"/>
            </w:tcBorders>
          </w:tcPr>
          <w:p>
            <w:pPr/>
          </w:p>
        </w:tc>
        <w:tc>
          <w:tcPr>
            <w:tcW w:w="2768" w:type="dxa"/>
            <w:tcBorders>
              <w:top w:val="nil" w:sz="6" w:space="0" w:color="auto"/>
              <w:left w:val="single" w:sz="4" w:space="0" w:color="000000"/>
              <w:bottom w:val="single" w:sz="4" w:space="0" w:color="000000"/>
              <w:right w:val="single" w:sz="4" w:space="0" w:color="000000"/>
            </w:tcBorders>
          </w:tcPr>
          <w:p>
            <w:pPr/>
          </w:p>
        </w:tc>
        <w:tc>
          <w:tcPr>
            <w:tcW w:w="29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导入防止内部数据外泄场景。</w:t>
            </w:r>
          </w:p>
        </w:tc>
        <w:tc>
          <w:tcPr>
            <w:tcW w:w="3226" w:type="dxa"/>
            <w:tcBorders>
              <w:top w:val="nil" w:sz="6" w:space="0" w:color="auto"/>
              <w:left w:val="single" w:sz="4" w:space="0" w:color="000000"/>
              <w:bottom w:val="single" w:sz="4" w:space="0" w:color="000000"/>
              <w:right w:val="single" w:sz="12" w:space="0" w:color="000000"/>
            </w:tcBorders>
          </w:tcPr>
          <w:p>
            <w:pPr/>
          </w:p>
        </w:tc>
      </w:tr>
      <w:tr>
        <w:trPr>
          <w:trHeight w:val="327" w:hRule="exact"/>
        </w:trPr>
        <w:tc>
          <w:tcPr>
            <w:tcW w:w="710" w:type="dxa"/>
            <w:tcBorders>
              <w:top w:val="single" w:sz="4" w:space="0" w:color="000000"/>
              <w:left w:val="single" w:sz="12" w:space="0" w:color="000000"/>
              <w:bottom w:val="nil" w:sz="6" w:space="0" w:color="auto"/>
              <w:right w:val="single" w:sz="4" w:space="0" w:color="000000"/>
            </w:tcBorders>
          </w:tcPr>
          <w:p>
            <w:pPr/>
          </w:p>
        </w:tc>
        <w:tc>
          <w:tcPr>
            <w:tcW w:w="2768" w:type="dxa"/>
            <w:tcBorders>
              <w:top w:val="single" w:sz="4" w:space="0" w:color="000000"/>
              <w:left w:val="single" w:sz="4" w:space="0" w:color="000000"/>
              <w:bottom w:val="nil" w:sz="6" w:space="0" w:color="auto"/>
              <w:right w:val="single" w:sz="4" w:space="0" w:color="000000"/>
            </w:tcBorders>
          </w:tcPr>
          <w:p>
            <w:pPr/>
          </w:p>
        </w:tc>
        <w:tc>
          <w:tcPr>
            <w:tcW w:w="29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pacing w:val="4"/>
                <w:sz w:val="18"/>
                <w:szCs w:val="18"/>
              </w:rPr>
              <w:t>北信源主机监控与审计系统是针</w:t>
            </w:r>
            <w:r>
              <w:rPr>
                <w:rFonts w:ascii="宋体" w:hAnsi="宋体" w:cs="宋体" w:eastAsia="宋体" w:hint="default"/>
                <w:sz w:val="18"/>
                <w:szCs w:val="18"/>
              </w:rPr>
            </w:r>
          </w:p>
        </w:tc>
        <w:tc>
          <w:tcPr>
            <w:tcW w:w="3226" w:type="dxa"/>
            <w:tcBorders>
              <w:top w:val="single" w:sz="4" w:space="0" w:color="000000"/>
              <w:left w:val="single" w:sz="4" w:space="0" w:color="000000"/>
              <w:bottom w:val="nil" w:sz="6" w:space="0" w:color="auto"/>
              <w:right w:val="single" w:sz="12" w:space="0" w:color="000000"/>
            </w:tcBorders>
          </w:tcPr>
          <w:p>
            <w:pPr/>
          </w:p>
        </w:tc>
      </w:tr>
      <w:tr>
        <w:trPr>
          <w:trHeight w:val="312"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对国产专用计算机推出的安全监控审</w:t>
            </w:r>
            <w:r>
              <w:rPr>
                <w:rFonts w:ascii="宋体" w:hAnsi="宋体" w:cs="宋体" w:eastAsia="宋体" w:hint="default"/>
                <w:sz w:val="18"/>
                <w:szCs w:val="18"/>
              </w:rPr>
            </w:r>
          </w:p>
        </w:tc>
        <w:tc>
          <w:tcPr>
            <w:tcW w:w="3226"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计产品，通过对主机运行监控和用户</w:t>
            </w:r>
            <w:r>
              <w:rPr>
                <w:rFonts w:ascii="宋体" w:hAnsi="宋体" w:cs="宋体" w:eastAsia="宋体" w:hint="default"/>
                <w:sz w:val="18"/>
                <w:szCs w:val="18"/>
              </w:rPr>
            </w:r>
          </w:p>
        </w:tc>
        <w:tc>
          <w:tcPr>
            <w:tcW w:w="3226"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访问行为审计，实现了专用计算机访</w:t>
            </w:r>
            <w:r>
              <w:rPr>
                <w:rFonts w:ascii="宋体" w:hAnsi="宋体" w:cs="宋体" w:eastAsia="宋体" w:hint="default"/>
                <w:sz w:val="18"/>
                <w:szCs w:val="18"/>
              </w:rPr>
            </w:r>
          </w:p>
        </w:tc>
        <w:tc>
          <w:tcPr>
            <w:tcW w:w="3226" w:type="dxa"/>
            <w:tcBorders>
              <w:top w:val="nil" w:sz="6" w:space="0" w:color="auto"/>
              <w:left w:val="single" w:sz="4" w:space="0" w:color="000000"/>
              <w:bottom w:val="nil" w:sz="6" w:space="0" w:color="auto"/>
              <w:right w:val="single" w:sz="12" w:space="0" w:color="000000"/>
            </w:tcBorders>
          </w:tcPr>
          <w:p>
            <w:pPr/>
          </w:p>
        </w:tc>
      </w:tr>
      <w:tr>
        <w:trPr>
          <w:trHeight w:val="941" w:hRule="exact"/>
        </w:trPr>
        <w:tc>
          <w:tcPr>
            <w:tcW w:w="710" w:type="dxa"/>
            <w:tcBorders>
              <w:top w:val="nil" w:sz="6" w:space="0" w:color="auto"/>
              <w:left w:val="single" w:sz="12"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55" w:right="0"/>
              <w:jc w:val="left"/>
              <w:rPr>
                <w:rFonts w:ascii="Times New Roman" w:hAnsi="Times New Roman" w:cs="Times New Roman" w:eastAsia="Times New Roman" w:hint="default"/>
                <w:sz w:val="18"/>
                <w:szCs w:val="18"/>
              </w:rPr>
            </w:pPr>
            <w:r>
              <w:rPr>
                <w:rFonts w:ascii="Times New Roman"/>
                <w:sz w:val="18"/>
              </w:rPr>
              <w:t>10</w:t>
            </w: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199" w:right="26" w:hanging="1170"/>
              <w:jc w:val="left"/>
              <w:rPr>
                <w:rFonts w:ascii="宋体" w:hAnsi="宋体" w:cs="宋体" w:eastAsia="宋体" w:hint="default"/>
                <w:sz w:val="18"/>
                <w:szCs w:val="18"/>
              </w:rPr>
            </w:pPr>
            <w:r>
              <w:rPr>
                <w:rFonts w:ascii="宋体" w:hAnsi="宋体" w:cs="宋体" w:eastAsia="宋体" w:hint="default"/>
                <w:sz w:val="18"/>
                <w:szCs w:val="18"/>
              </w:rPr>
              <w:t>主机监控与审计系统国产专用计算 机版</w:t>
            </w: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4" w:right="-1"/>
              <w:jc w:val="both"/>
              <w:rPr>
                <w:rFonts w:ascii="宋体" w:hAnsi="宋体" w:cs="宋体" w:eastAsia="宋体" w:hint="default"/>
                <w:sz w:val="18"/>
                <w:szCs w:val="18"/>
              </w:rPr>
            </w:pPr>
            <w:r>
              <w:rPr>
                <w:rFonts w:ascii="宋体" w:hAnsi="宋体" w:cs="宋体" w:eastAsia="宋体" w:hint="default"/>
                <w:spacing w:val="3"/>
                <w:sz w:val="18"/>
                <w:szCs w:val="18"/>
              </w:rPr>
              <w:t>问行为的全方位跟踪和审计。系统提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供了用户组织机构管理，终端注册管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理，在线客户端管理、离线客户端管</w:t>
            </w:r>
            <w:r>
              <w:rPr>
                <w:rFonts w:ascii="宋体" w:hAnsi="宋体" w:cs="宋体" w:eastAsia="宋体" w:hint="default"/>
                <w:sz w:val="18"/>
                <w:szCs w:val="18"/>
              </w:rPr>
            </w:r>
          </w:p>
        </w:tc>
        <w:tc>
          <w:tcPr>
            <w:tcW w:w="3226" w:type="dxa"/>
            <w:tcBorders>
              <w:top w:val="nil" w:sz="6" w:space="0" w:color="auto"/>
              <w:left w:val="single" w:sz="4"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34"/>
              <w:jc w:val="center"/>
              <w:rPr>
                <w:rFonts w:ascii="宋体" w:hAnsi="宋体" w:cs="宋体" w:eastAsia="宋体" w:hint="default"/>
                <w:sz w:val="18"/>
                <w:szCs w:val="18"/>
              </w:rPr>
            </w:pPr>
            <w:r>
              <w:rPr>
                <w:rFonts w:ascii="宋体" w:hAnsi="宋体" w:cs="宋体" w:eastAsia="宋体" w:hint="default"/>
                <w:sz w:val="18"/>
                <w:szCs w:val="18"/>
              </w:rPr>
              <w:t>产品研发阶段</w:t>
            </w:r>
          </w:p>
          <w:p>
            <w:pPr>
              <w:pStyle w:val="TableParagraph"/>
              <w:spacing w:line="240" w:lineRule="auto" w:before="76"/>
              <w:ind w:right="247"/>
              <w:jc w:val="center"/>
              <w:rPr>
                <w:rFonts w:ascii="宋体" w:hAnsi="宋体" w:cs="宋体" w:eastAsia="宋体" w:hint="default"/>
                <w:sz w:val="18"/>
                <w:szCs w:val="18"/>
              </w:rPr>
            </w:pPr>
            <w:r>
              <w:rPr>
                <w:rFonts w:ascii="Times New Roman" w:hAnsi="Times New Roman" w:cs="Times New Roman" w:eastAsia="Times New Roman" w:hint="default"/>
                <w:sz w:val="18"/>
                <w:szCs w:val="18"/>
              </w:rPr>
              <w:t>V1.2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进行产品优化改进</w:t>
            </w:r>
          </w:p>
        </w:tc>
      </w:tr>
      <w:tr>
        <w:trPr>
          <w:trHeight w:val="307"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1"/>
              <w:jc w:val="left"/>
              <w:rPr>
                <w:rFonts w:ascii="宋体" w:hAnsi="宋体" w:cs="宋体" w:eastAsia="宋体" w:hint="default"/>
                <w:sz w:val="18"/>
                <w:szCs w:val="18"/>
              </w:rPr>
            </w:pPr>
            <w:r>
              <w:rPr>
                <w:rFonts w:ascii="宋体" w:hAnsi="宋体" w:cs="宋体" w:eastAsia="宋体" w:hint="default"/>
                <w:spacing w:val="3"/>
                <w:sz w:val="18"/>
                <w:szCs w:val="18"/>
              </w:rPr>
              <w:t>理，统一策略制定，统一审计日志展</w:t>
            </w:r>
            <w:r>
              <w:rPr>
                <w:rFonts w:ascii="宋体" w:hAnsi="宋体" w:cs="宋体" w:eastAsia="宋体" w:hint="default"/>
                <w:sz w:val="18"/>
                <w:szCs w:val="18"/>
              </w:rPr>
            </w:r>
          </w:p>
        </w:tc>
        <w:tc>
          <w:tcPr>
            <w:tcW w:w="3226" w:type="dxa"/>
            <w:tcBorders>
              <w:top w:val="nil" w:sz="6" w:space="0" w:color="auto"/>
              <w:left w:val="single" w:sz="4" w:space="0" w:color="000000"/>
              <w:bottom w:val="nil" w:sz="6" w:space="0" w:color="auto"/>
              <w:right w:val="single" w:sz="12" w:space="0" w:color="000000"/>
            </w:tcBorders>
          </w:tcPr>
          <w:p>
            <w:pPr/>
          </w:p>
        </w:tc>
      </w:tr>
      <w:tr>
        <w:trPr>
          <w:trHeight w:val="317"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4"/>
                <w:sz w:val="18"/>
                <w:szCs w:val="18"/>
              </w:rPr>
              <w:t>示，</w:t>
            </w:r>
            <w:r>
              <w:rPr>
                <w:rFonts w:ascii="Times New Roman" w:hAnsi="Times New Roman" w:cs="Times New Roman" w:eastAsia="Times New Roman" w:hint="default"/>
                <w:spacing w:val="-4"/>
                <w:sz w:val="18"/>
                <w:szCs w:val="18"/>
              </w:rPr>
              <w:t>Syslog</w:t>
            </w:r>
            <w:r>
              <w:rPr>
                <w:rFonts w:ascii="宋体" w:hAnsi="宋体" w:cs="宋体" w:eastAsia="宋体" w:hint="default"/>
                <w:spacing w:val="-4"/>
                <w:sz w:val="18"/>
                <w:szCs w:val="18"/>
              </w:rPr>
              <w:t>日志接收与上报，接收第三</w:t>
            </w:r>
          </w:p>
        </w:tc>
        <w:tc>
          <w:tcPr>
            <w:tcW w:w="3226" w:type="dxa"/>
            <w:tcBorders>
              <w:top w:val="nil" w:sz="6" w:space="0" w:color="auto"/>
              <w:left w:val="single" w:sz="4" w:space="0" w:color="000000"/>
              <w:bottom w:val="nil" w:sz="6" w:space="0" w:color="auto"/>
              <w:right w:val="single" w:sz="12" w:space="0" w:color="000000"/>
            </w:tcBorders>
          </w:tcPr>
          <w:p>
            <w:pPr/>
          </w:p>
        </w:tc>
      </w:tr>
      <w:tr>
        <w:trPr>
          <w:trHeight w:val="307"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1"/>
              <w:jc w:val="left"/>
              <w:rPr>
                <w:rFonts w:ascii="宋体" w:hAnsi="宋体" w:cs="宋体" w:eastAsia="宋体" w:hint="default"/>
                <w:sz w:val="18"/>
                <w:szCs w:val="18"/>
              </w:rPr>
            </w:pPr>
            <w:r>
              <w:rPr>
                <w:rFonts w:ascii="宋体" w:hAnsi="宋体" w:cs="宋体" w:eastAsia="宋体" w:hint="default"/>
                <w:spacing w:val="3"/>
                <w:sz w:val="18"/>
                <w:szCs w:val="18"/>
              </w:rPr>
              <w:t>方软件审计，如：三合一审计日志、</w:t>
            </w:r>
            <w:r>
              <w:rPr>
                <w:rFonts w:ascii="宋体" w:hAnsi="宋体" w:cs="宋体" w:eastAsia="宋体" w:hint="default"/>
                <w:sz w:val="18"/>
                <w:szCs w:val="18"/>
              </w:rPr>
            </w:r>
          </w:p>
        </w:tc>
        <w:tc>
          <w:tcPr>
            <w:tcW w:w="3226" w:type="dxa"/>
            <w:tcBorders>
              <w:top w:val="nil" w:sz="6" w:space="0" w:color="auto"/>
              <w:left w:val="single" w:sz="4" w:space="0" w:color="000000"/>
              <w:bottom w:val="nil" w:sz="6" w:space="0" w:color="auto"/>
              <w:right w:val="single" w:sz="12" w:space="0" w:color="000000"/>
            </w:tcBorders>
          </w:tcPr>
          <w:p>
            <w:pPr/>
          </w:p>
        </w:tc>
      </w:tr>
      <w:tr>
        <w:trPr>
          <w:trHeight w:val="328" w:hRule="exact"/>
        </w:trPr>
        <w:tc>
          <w:tcPr>
            <w:tcW w:w="710" w:type="dxa"/>
            <w:tcBorders>
              <w:top w:val="nil" w:sz="6" w:space="0" w:color="auto"/>
              <w:left w:val="single" w:sz="12" w:space="0" w:color="000000"/>
              <w:bottom w:val="single" w:sz="4" w:space="0" w:color="000000"/>
              <w:right w:val="single" w:sz="4" w:space="0" w:color="000000"/>
            </w:tcBorders>
          </w:tcPr>
          <w:p>
            <w:pPr/>
          </w:p>
        </w:tc>
        <w:tc>
          <w:tcPr>
            <w:tcW w:w="2768" w:type="dxa"/>
            <w:tcBorders>
              <w:top w:val="nil" w:sz="6" w:space="0" w:color="auto"/>
              <w:left w:val="single" w:sz="4" w:space="0" w:color="000000"/>
              <w:bottom w:val="single" w:sz="4" w:space="0" w:color="000000"/>
              <w:right w:val="single" w:sz="4" w:space="0" w:color="000000"/>
            </w:tcBorders>
          </w:tcPr>
          <w:p>
            <w:pPr/>
          </w:p>
        </w:tc>
        <w:tc>
          <w:tcPr>
            <w:tcW w:w="29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配置管理审计日志等。</w:t>
            </w:r>
          </w:p>
        </w:tc>
        <w:tc>
          <w:tcPr>
            <w:tcW w:w="3226" w:type="dxa"/>
            <w:tcBorders>
              <w:top w:val="nil" w:sz="6" w:space="0" w:color="auto"/>
              <w:left w:val="single" w:sz="4" w:space="0" w:color="000000"/>
              <w:bottom w:val="single" w:sz="4" w:space="0" w:color="000000"/>
              <w:right w:val="single" w:sz="12" w:space="0" w:color="000000"/>
            </w:tcBorders>
          </w:tcPr>
          <w:p>
            <w:pPr/>
          </w:p>
        </w:tc>
      </w:tr>
      <w:tr>
        <w:trPr>
          <w:trHeight w:val="326" w:hRule="exact"/>
        </w:trPr>
        <w:tc>
          <w:tcPr>
            <w:tcW w:w="710" w:type="dxa"/>
            <w:tcBorders>
              <w:top w:val="single" w:sz="4" w:space="0" w:color="000000"/>
              <w:left w:val="single" w:sz="12" w:space="0" w:color="000000"/>
              <w:bottom w:val="nil" w:sz="6" w:space="0" w:color="auto"/>
              <w:right w:val="single" w:sz="4" w:space="0" w:color="000000"/>
            </w:tcBorders>
          </w:tcPr>
          <w:p>
            <w:pPr/>
          </w:p>
        </w:tc>
        <w:tc>
          <w:tcPr>
            <w:tcW w:w="2768" w:type="dxa"/>
            <w:tcBorders>
              <w:top w:val="single" w:sz="4" w:space="0" w:color="000000"/>
              <w:left w:val="single" w:sz="4" w:space="0" w:color="000000"/>
              <w:bottom w:val="nil" w:sz="6" w:space="0" w:color="auto"/>
              <w:right w:val="single" w:sz="4" w:space="0" w:color="000000"/>
            </w:tcBorders>
          </w:tcPr>
          <w:p>
            <w:pPr/>
          </w:p>
        </w:tc>
        <w:tc>
          <w:tcPr>
            <w:tcW w:w="29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pacing w:val="4"/>
                <w:sz w:val="18"/>
                <w:szCs w:val="18"/>
              </w:rPr>
              <w:t>北信源虚拟化终端安全管理系统</w:t>
            </w:r>
            <w:r>
              <w:rPr>
                <w:rFonts w:ascii="宋体" w:hAnsi="宋体" w:cs="宋体" w:eastAsia="宋体" w:hint="default"/>
                <w:sz w:val="18"/>
                <w:szCs w:val="18"/>
              </w:rPr>
            </w:r>
          </w:p>
        </w:tc>
        <w:tc>
          <w:tcPr>
            <w:tcW w:w="3226" w:type="dxa"/>
            <w:tcBorders>
              <w:top w:val="single" w:sz="4" w:space="0" w:color="000000"/>
              <w:left w:val="single" w:sz="4" w:space="0" w:color="000000"/>
              <w:bottom w:val="nil" w:sz="6" w:space="0" w:color="auto"/>
              <w:right w:val="single" w:sz="12" w:space="0" w:color="000000"/>
            </w:tcBorders>
          </w:tcPr>
          <w:p>
            <w:pPr/>
          </w:p>
        </w:tc>
      </w:tr>
      <w:tr>
        <w:trPr>
          <w:trHeight w:val="312"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是北信源总结多年在桌面终端安全管</w:t>
            </w:r>
            <w:r>
              <w:rPr>
                <w:rFonts w:ascii="宋体" w:hAnsi="宋体" w:cs="宋体" w:eastAsia="宋体" w:hint="default"/>
                <w:sz w:val="18"/>
                <w:szCs w:val="18"/>
              </w:rPr>
            </w:r>
          </w:p>
        </w:tc>
        <w:tc>
          <w:tcPr>
            <w:tcW w:w="3226"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理领域开发、实施经验，针对当前虚</w:t>
            </w:r>
            <w:r>
              <w:rPr>
                <w:rFonts w:ascii="宋体" w:hAnsi="宋体" w:cs="宋体" w:eastAsia="宋体" w:hint="default"/>
                <w:sz w:val="18"/>
                <w:szCs w:val="18"/>
              </w:rPr>
            </w:r>
          </w:p>
        </w:tc>
        <w:tc>
          <w:tcPr>
            <w:tcW w:w="3226"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拟化环境下所面临的安全问题提出的</w:t>
            </w:r>
            <w:r>
              <w:rPr>
                <w:rFonts w:ascii="宋体" w:hAnsi="宋体" w:cs="宋体" w:eastAsia="宋体" w:hint="default"/>
                <w:sz w:val="18"/>
                <w:szCs w:val="18"/>
              </w:rPr>
            </w:r>
          </w:p>
        </w:tc>
        <w:tc>
          <w:tcPr>
            <w:tcW w:w="3226" w:type="dxa"/>
            <w:tcBorders>
              <w:top w:val="nil" w:sz="6" w:space="0" w:color="auto"/>
              <w:left w:val="single" w:sz="4" w:space="0" w:color="000000"/>
              <w:bottom w:val="nil" w:sz="6" w:space="0" w:color="auto"/>
              <w:right w:val="single" w:sz="12" w:space="0" w:color="000000"/>
            </w:tcBorders>
          </w:tcPr>
          <w:p>
            <w:pPr/>
          </w:p>
        </w:tc>
      </w:tr>
      <w:tr>
        <w:trPr>
          <w:trHeight w:val="936" w:hRule="exact"/>
        </w:trPr>
        <w:tc>
          <w:tcPr>
            <w:tcW w:w="710" w:type="dxa"/>
            <w:tcBorders>
              <w:top w:val="nil" w:sz="6" w:space="0" w:color="auto"/>
              <w:left w:val="single" w:sz="12"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55" w:right="0"/>
              <w:jc w:val="left"/>
              <w:rPr>
                <w:rFonts w:ascii="Times New Roman" w:hAnsi="Times New Roman" w:cs="Times New Roman" w:eastAsia="Times New Roman" w:hint="default"/>
                <w:sz w:val="18"/>
                <w:szCs w:val="18"/>
              </w:rPr>
            </w:pPr>
            <w:r>
              <w:rPr>
                <w:rFonts w:ascii="Times New Roman"/>
                <w:sz w:val="18"/>
              </w:rPr>
              <w:t>11</w:t>
            </w: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386"/>
              <w:jc w:val="right"/>
              <w:rPr>
                <w:rFonts w:ascii="宋体" w:hAnsi="宋体" w:cs="宋体" w:eastAsia="宋体" w:hint="default"/>
                <w:sz w:val="18"/>
                <w:szCs w:val="18"/>
              </w:rPr>
            </w:pPr>
            <w:r>
              <w:rPr>
                <w:rFonts w:ascii="宋体" w:hAnsi="宋体" w:cs="宋体" w:eastAsia="宋体" w:hint="default"/>
                <w:sz w:val="18"/>
                <w:szCs w:val="18"/>
              </w:rPr>
              <w:t>虚拟化终端安全管理系统</w:t>
            </w: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4" w:right="-1"/>
              <w:jc w:val="both"/>
              <w:rPr>
                <w:rFonts w:ascii="宋体" w:hAnsi="宋体" w:cs="宋体" w:eastAsia="宋体" w:hint="default"/>
                <w:sz w:val="18"/>
                <w:szCs w:val="18"/>
              </w:rPr>
            </w:pPr>
            <w:r>
              <w:rPr>
                <w:rFonts w:ascii="宋体" w:hAnsi="宋体" w:cs="宋体" w:eastAsia="宋体" w:hint="default"/>
                <w:spacing w:val="3"/>
                <w:sz w:val="18"/>
                <w:szCs w:val="18"/>
              </w:rPr>
              <w:t>安全解决方案。该方案参照国家有关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终端安全管理标准规范和虚拟化相关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要求，从虚拟终端安全管控和虚拟化</w:t>
            </w:r>
            <w:r>
              <w:rPr>
                <w:rFonts w:ascii="宋体" w:hAnsi="宋体" w:cs="宋体" w:eastAsia="宋体" w:hint="default"/>
                <w:sz w:val="18"/>
                <w:szCs w:val="18"/>
              </w:rPr>
            </w:r>
          </w:p>
        </w:tc>
        <w:tc>
          <w:tcPr>
            <w:tcW w:w="3226" w:type="dxa"/>
            <w:tcBorders>
              <w:top w:val="nil" w:sz="6" w:space="0" w:color="auto"/>
              <w:left w:val="single" w:sz="4" w:space="0" w:color="000000"/>
              <w:bottom w:val="nil" w:sz="6" w:space="0" w:color="auto"/>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174" w:right="0"/>
              <w:jc w:val="left"/>
              <w:rPr>
                <w:rFonts w:ascii="宋体" w:hAnsi="宋体" w:cs="宋体" w:eastAsia="宋体" w:hint="default"/>
                <w:sz w:val="18"/>
                <w:szCs w:val="18"/>
              </w:rPr>
            </w:pPr>
            <w:r>
              <w:rPr>
                <w:rFonts w:ascii="宋体" w:hAnsi="宋体" w:cs="宋体" w:eastAsia="宋体" w:hint="default"/>
                <w:sz w:val="18"/>
                <w:szCs w:val="18"/>
              </w:rPr>
              <w:t>产品发布阶段</w:t>
            </w:r>
          </w:p>
          <w:p>
            <w:pPr>
              <w:pStyle w:val="TableParagraph"/>
              <w:spacing w:line="240" w:lineRule="auto" w:before="76"/>
              <w:ind w:left="1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V3.2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已正式发布</w:t>
            </w:r>
          </w:p>
        </w:tc>
      </w:tr>
      <w:tr>
        <w:trPr>
          <w:trHeight w:val="312"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综合审计两个方面入手，实现对虚拟</w:t>
            </w:r>
            <w:r>
              <w:rPr>
                <w:rFonts w:ascii="宋体" w:hAnsi="宋体" w:cs="宋体" w:eastAsia="宋体" w:hint="default"/>
                <w:sz w:val="18"/>
                <w:szCs w:val="18"/>
              </w:rPr>
            </w:r>
          </w:p>
        </w:tc>
        <w:tc>
          <w:tcPr>
            <w:tcW w:w="3226"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4"/>
              <w:jc w:val="left"/>
              <w:rPr>
                <w:rFonts w:ascii="宋体" w:hAnsi="宋体" w:cs="宋体" w:eastAsia="宋体" w:hint="default"/>
                <w:sz w:val="18"/>
                <w:szCs w:val="18"/>
              </w:rPr>
            </w:pPr>
            <w:r>
              <w:rPr>
                <w:rFonts w:ascii="宋体" w:hAnsi="宋体" w:cs="宋体" w:eastAsia="宋体" w:hint="default"/>
                <w:spacing w:val="16"/>
                <w:sz w:val="18"/>
                <w:szCs w:val="18"/>
              </w:rPr>
              <w:t>化终端的安全管理和虚拟化全面审</w:t>
            </w:r>
            <w:r>
              <w:rPr>
                <w:rFonts w:ascii="宋体" w:hAnsi="宋体" w:cs="宋体" w:eastAsia="宋体" w:hint="default"/>
                <w:spacing w:val="-72"/>
                <w:sz w:val="18"/>
                <w:szCs w:val="18"/>
              </w:rPr>
              <w:t> </w:t>
            </w:r>
            <w:r>
              <w:rPr>
                <w:rFonts w:ascii="宋体" w:hAnsi="宋体" w:cs="宋体" w:eastAsia="宋体" w:hint="default"/>
                <w:sz w:val="18"/>
                <w:szCs w:val="18"/>
              </w:rPr>
            </w:r>
          </w:p>
        </w:tc>
        <w:tc>
          <w:tcPr>
            <w:tcW w:w="3226"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计，满足用户合规审计要求，保障虚</w:t>
            </w:r>
            <w:r>
              <w:rPr>
                <w:rFonts w:ascii="宋体" w:hAnsi="宋体" w:cs="宋体" w:eastAsia="宋体" w:hint="default"/>
                <w:sz w:val="18"/>
                <w:szCs w:val="18"/>
              </w:rPr>
            </w:r>
          </w:p>
        </w:tc>
        <w:tc>
          <w:tcPr>
            <w:tcW w:w="3226" w:type="dxa"/>
            <w:tcBorders>
              <w:top w:val="nil" w:sz="6" w:space="0" w:color="auto"/>
              <w:left w:val="single" w:sz="4" w:space="0" w:color="000000"/>
              <w:bottom w:val="nil" w:sz="6" w:space="0" w:color="auto"/>
              <w:right w:val="single" w:sz="12" w:space="0" w:color="000000"/>
            </w:tcBorders>
          </w:tcPr>
          <w:p>
            <w:pPr/>
          </w:p>
        </w:tc>
      </w:tr>
      <w:tr>
        <w:trPr>
          <w:trHeight w:val="328" w:hRule="exact"/>
        </w:trPr>
        <w:tc>
          <w:tcPr>
            <w:tcW w:w="710" w:type="dxa"/>
            <w:tcBorders>
              <w:top w:val="nil" w:sz="6" w:space="0" w:color="auto"/>
              <w:left w:val="single" w:sz="12" w:space="0" w:color="000000"/>
              <w:bottom w:val="single" w:sz="4" w:space="0" w:color="000000"/>
              <w:right w:val="single" w:sz="4" w:space="0" w:color="000000"/>
            </w:tcBorders>
          </w:tcPr>
          <w:p>
            <w:pPr/>
          </w:p>
        </w:tc>
        <w:tc>
          <w:tcPr>
            <w:tcW w:w="2768" w:type="dxa"/>
            <w:tcBorders>
              <w:top w:val="nil" w:sz="6" w:space="0" w:color="auto"/>
              <w:left w:val="single" w:sz="4" w:space="0" w:color="000000"/>
              <w:bottom w:val="single" w:sz="4" w:space="0" w:color="000000"/>
              <w:right w:val="single" w:sz="4" w:space="0" w:color="000000"/>
            </w:tcBorders>
          </w:tcPr>
          <w:p>
            <w:pPr/>
          </w:p>
        </w:tc>
        <w:tc>
          <w:tcPr>
            <w:tcW w:w="29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拟终端安全。</w:t>
            </w:r>
          </w:p>
        </w:tc>
        <w:tc>
          <w:tcPr>
            <w:tcW w:w="3226" w:type="dxa"/>
            <w:tcBorders>
              <w:top w:val="nil" w:sz="6" w:space="0" w:color="auto"/>
              <w:left w:val="single" w:sz="4" w:space="0" w:color="000000"/>
              <w:bottom w:val="single" w:sz="4" w:space="0" w:color="000000"/>
              <w:right w:val="single" w:sz="12" w:space="0" w:color="000000"/>
            </w:tcBorders>
          </w:tcPr>
          <w:p>
            <w:pPr/>
          </w:p>
        </w:tc>
      </w:tr>
      <w:tr>
        <w:trPr>
          <w:trHeight w:val="326" w:hRule="exact"/>
        </w:trPr>
        <w:tc>
          <w:tcPr>
            <w:tcW w:w="710" w:type="dxa"/>
            <w:tcBorders>
              <w:top w:val="single" w:sz="4" w:space="0" w:color="000000"/>
              <w:left w:val="single" w:sz="12" w:space="0" w:color="000000"/>
              <w:bottom w:val="nil" w:sz="6" w:space="0" w:color="auto"/>
              <w:right w:val="single" w:sz="4" w:space="0" w:color="000000"/>
            </w:tcBorders>
          </w:tcPr>
          <w:p>
            <w:pPr/>
          </w:p>
        </w:tc>
        <w:tc>
          <w:tcPr>
            <w:tcW w:w="2768" w:type="dxa"/>
            <w:tcBorders>
              <w:top w:val="single" w:sz="4" w:space="0" w:color="000000"/>
              <w:left w:val="single" w:sz="4" w:space="0" w:color="000000"/>
              <w:bottom w:val="nil" w:sz="6" w:space="0" w:color="auto"/>
              <w:right w:val="single" w:sz="4" w:space="0" w:color="000000"/>
            </w:tcBorders>
          </w:tcPr>
          <w:p>
            <w:pPr/>
          </w:p>
        </w:tc>
        <w:tc>
          <w:tcPr>
            <w:tcW w:w="29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pacing w:val="4"/>
                <w:sz w:val="18"/>
                <w:szCs w:val="18"/>
              </w:rPr>
              <w:t>服务器安全加固，就是在服务器</w:t>
            </w:r>
            <w:r>
              <w:rPr>
                <w:rFonts w:ascii="宋体" w:hAnsi="宋体" w:cs="宋体" w:eastAsia="宋体" w:hint="default"/>
                <w:sz w:val="18"/>
                <w:szCs w:val="18"/>
              </w:rPr>
            </w:r>
          </w:p>
        </w:tc>
        <w:tc>
          <w:tcPr>
            <w:tcW w:w="3226" w:type="dxa"/>
            <w:tcBorders>
              <w:top w:val="single" w:sz="4" w:space="0" w:color="000000"/>
              <w:left w:val="single" w:sz="4" w:space="0" w:color="000000"/>
              <w:bottom w:val="nil" w:sz="6" w:space="0" w:color="auto"/>
              <w:right w:val="single" w:sz="12" w:space="0" w:color="000000"/>
            </w:tcBorders>
          </w:tcPr>
          <w:p>
            <w:pPr/>
          </w:p>
        </w:tc>
      </w:tr>
      <w:tr>
        <w:trPr>
          <w:trHeight w:val="628" w:hRule="exact"/>
        </w:trPr>
        <w:tc>
          <w:tcPr>
            <w:tcW w:w="710" w:type="dxa"/>
            <w:tcBorders>
              <w:top w:val="nil" w:sz="6" w:space="0" w:color="auto"/>
              <w:left w:val="single" w:sz="12"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55" w:right="0"/>
              <w:jc w:val="left"/>
              <w:rPr>
                <w:rFonts w:ascii="Times New Roman" w:hAnsi="Times New Roman" w:cs="Times New Roman" w:eastAsia="Times New Roman" w:hint="default"/>
                <w:sz w:val="18"/>
                <w:szCs w:val="18"/>
              </w:rPr>
            </w:pPr>
            <w:r>
              <w:rPr>
                <w:rFonts w:ascii="Times New Roman"/>
                <w:sz w:val="18"/>
              </w:rPr>
              <w:t>12</w:t>
            </w: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386"/>
              <w:jc w:val="right"/>
              <w:rPr>
                <w:rFonts w:ascii="宋体" w:hAnsi="宋体" w:cs="宋体" w:eastAsia="宋体" w:hint="default"/>
                <w:sz w:val="18"/>
                <w:szCs w:val="18"/>
              </w:rPr>
            </w:pPr>
            <w:r>
              <w:rPr>
                <w:rFonts w:ascii="宋体" w:hAnsi="宋体" w:cs="宋体" w:eastAsia="宋体" w:hint="default"/>
                <w:sz w:val="18"/>
                <w:szCs w:val="18"/>
              </w:rPr>
              <w:t>服务器安全运营管理平台</w:t>
            </w: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4" w:right="-14"/>
              <w:jc w:val="left"/>
              <w:rPr>
                <w:rFonts w:ascii="宋体" w:hAnsi="宋体" w:cs="宋体" w:eastAsia="宋体" w:hint="default"/>
                <w:sz w:val="18"/>
                <w:szCs w:val="18"/>
              </w:rPr>
            </w:pPr>
            <w:r>
              <w:rPr>
                <w:rFonts w:ascii="宋体" w:hAnsi="宋体" w:cs="宋体" w:eastAsia="宋体" w:hint="default"/>
                <w:spacing w:val="3"/>
                <w:sz w:val="18"/>
                <w:szCs w:val="18"/>
              </w:rPr>
              <w:t>操作系统的基础上，通过安装安全类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6"/>
                <w:sz w:val="18"/>
                <w:szCs w:val="18"/>
              </w:rPr>
              <w:t>软件或手动修改操作系统配置的形</w:t>
            </w:r>
            <w:r>
              <w:rPr>
                <w:rFonts w:ascii="宋体" w:hAnsi="宋体" w:cs="宋体" w:eastAsia="宋体" w:hint="default"/>
                <w:spacing w:val="-72"/>
                <w:sz w:val="18"/>
                <w:szCs w:val="18"/>
              </w:rPr>
              <w:t> </w:t>
            </w:r>
            <w:r>
              <w:rPr>
                <w:rFonts w:ascii="宋体" w:hAnsi="宋体" w:cs="宋体" w:eastAsia="宋体" w:hint="default"/>
                <w:sz w:val="18"/>
                <w:szCs w:val="18"/>
              </w:rPr>
            </w:r>
          </w:p>
        </w:tc>
        <w:tc>
          <w:tcPr>
            <w:tcW w:w="3226" w:type="dxa"/>
            <w:tcBorders>
              <w:top w:val="nil" w:sz="6" w:space="0" w:color="auto"/>
              <w:left w:val="single" w:sz="4" w:space="0" w:color="000000"/>
              <w:bottom w:val="nil" w:sz="6" w:space="0" w:color="auto"/>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34"/>
              <w:jc w:val="center"/>
              <w:rPr>
                <w:rFonts w:ascii="宋体" w:hAnsi="宋体" w:cs="宋体" w:eastAsia="宋体" w:hint="default"/>
                <w:sz w:val="18"/>
                <w:szCs w:val="18"/>
              </w:rPr>
            </w:pPr>
            <w:r>
              <w:rPr>
                <w:rFonts w:ascii="宋体" w:hAnsi="宋体" w:cs="宋体" w:eastAsia="宋体" w:hint="default"/>
                <w:sz w:val="18"/>
                <w:szCs w:val="18"/>
              </w:rPr>
              <w:t>销售阶段</w:t>
            </w:r>
          </w:p>
        </w:tc>
      </w:tr>
      <w:tr>
        <w:trPr>
          <w:trHeight w:val="308"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1"/>
              <w:jc w:val="left"/>
              <w:rPr>
                <w:rFonts w:ascii="宋体" w:hAnsi="宋体" w:cs="宋体" w:eastAsia="宋体" w:hint="default"/>
                <w:sz w:val="18"/>
                <w:szCs w:val="18"/>
              </w:rPr>
            </w:pPr>
            <w:r>
              <w:rPr>
                <w:rFonts w:ascii="宋体" w:hAnsi="宋体" w:cs="宋体" w:eastAsia="宋体" w:hint="default"/>
                <w:spacing w:val="3"/>
                <w:sz w:val="18"/>
                <w:szCs w:val="18"/>
              </w:rPr>
              <w:t>式，从安全管理、运行安全、数据安</w:t>
            </w:r>
            <w:r>
              <w:rPr>
                <w:rFonts w:ascii="宋体" w:hAnsi="宋体" w:cs="宋体" w:eastAsia="宋体" w:hint="default"/>
                <w:sz w:val="18"/>
                <w:szCs w:val="18"/>
              </w:rPr>
            </w:r>
          </w:p>
        </w:tc>
        <w:tc>
          <w:tcPr>
            <w:tcW w:w="3226" w:type="dxa"/>
            <w:tcBorders>
              <w:top w:val="nil" w:sz="6" w:space="0" w:color="auto"/>
              <w:left w:val="single" w:sz="4" w:space="0" w:color="000000"/>
              <w:bottom w:val="nil" w:sz="6" w:space="0" w:color="auto"/>
              <w:right w:val="single" w:sz="12" w:space="0" w:color="000000"/>
            </w:tcBorders>
          </w:tcPr>
          <w:p>
            <w:pPr/>
          </w:p>
        </w:tc>
      </w:tr>
      <w:tr>
        <w:trPr>
          <w:trHeight w:val="338" w:hRule="exact"/>
        </w:trPr>
        <w:tc>
          <w:tcPr>
            <w:tcW w:w="710" w:type="dxa"/>
            <w:tcBorders>
              <w:top w:val="nil" w:sz="6" w:space="0" w:color="auto"/>
              <w:left w:val="single" w:sz="12" w:space="0" w:color="000000"/>
              <w:bottom w:val="single" w:sz="12" w:space="0" w:color="000000"/>
              <w:right w:val="single" w:sz="4" w:space="0" w:color="000000"/>
            </w:tcBorders>
          </w:tcPr>
          <w:p>
            <w:pPr/>
          </w:p>
        </w:tc>
        <w:tc>
          <w:tcPr>
            <w:tcW w:w="2768" w:type="dxa"/>
            <w:tcBorders>
              <w:top w:val="nil" w:sz="6" w:space="0" w:color="auto"/>
              <w:left w:val="single" w:sz="4" w:space="0" w:color="000000"/>
              <w:bottom w:val="single" w:sz="12" w:space="0" w:color="000000"/>
              <w:right w:val="single" w:sz="4" w:space="0" w:color="000000"/>
            </w:tcBorders>
          </w:tcPr>
          <w:p>
            <w:pPr/>
          </w:p>
        </w:tc>
        <w:tc>
          <w:tcPr>
            <w:tcW w:w="296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left="4" w:right="-14"/>
              <w:jc w:val="left"/>
              <w:rPr>
                <w:rFonts w:ascii="宋体" w:hAnsi="宋体" w:cs="宋体" w:eastAsia="宋体" w:hint="default"/>
                <w:sz w:val="18"/>
                <w:szCs w:val="18"/>
              </w:rPr>
            </w:pPr>
            <w:r>
              <w:rPr>
                <w:rFonts w:ascii="宋体" w:hAnsi="宋体" w:cs="宋体" w:eastAsia="宋体" w:hint="default"/>
                <w:spacing w:val="16"/>
                <w:sz w:val="18"/>
                <w:szCs w:val="18"/>
              </w:rPr>
              <w:t>全等角度提升操作系统安全防护强</w:t>
            </w:r>
            <w:r>
              <w:rPr>
                <w:rFonts w:ascii="宋体" w:hAnsi="宋体" w:cs="宋体" w:eastAsia="宋体" w:hint="default"/>
                <w:spacing w:val="-72"/>
                <w:sz w:val="18"/>
                <w:szCs w:val="18"/>
              </w:rPr>
              <w:t> </w:t>
            </w:r>
            <w:r>
              <w:rPr>
                <w:rFonts w:ascii="宋体" w:hAnsi="宋体" w:cs="宋体" w:eastAsia="宋体" w:hint="default"/>
                <w:sz w:val="18"/>
                <w:szCs w:val="18"/>
              </w:rPr>
            </w:r>
          </w:p>
        </w:tc>
        <w:tc>
          <w:tcPr>
            <w:tcW w:w="3226" w:type="dxa"/>
            <w:tcBorders>
              <w:top w:val="nil" w:sz="6" w:space="0" w:color="auto"/>
              <w:left w:val="single" w:sz="4" w:space="0" w:color="000000"/>
              <w:bottom w:val="single" w:sz="12" w:space="0" w:color="000000"/>
              <w:right w:val="single" w:sz="12" w:space="0" w:color="000000"/>
            </w:tcBorders>
          </w:tcPr>
          <w:p>
            <w:pPr/>
          </w:p>
        </w:tc>
      </w:tr>
    </w:tbl>
    <w:p>
      <w:pPr>
        <w:spacing w:after="0"/>
        <w:sectPr>
          <w:pgSz w:w="11910" w:h="16840"/>
          <w:pgMar w:header="747" w:footer="1190"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2" w:type="dxa"/>
        <w:tblLayout w:type="fixed"/>
        <w:tblCellMar>
          <w:top w:w="0" w:type="dxa"/>
          <w:left w:w="0" w:type="dxa"/>
          <w:bottom w:w="0" w:type="dxa"/>
          <w:right w:w="0" w:type="dxa"/>
        </w:tblCellMar>
        <w:tblLook w:val="01E0"/>
      </w:tblPr>
      <w:tblGrid>
        <w:gridCol w:w="710"/>
        <w:gridCol w:w="2768"/>
        <w:gridCol w:w="2964"/>
        <w:gridCol w:w="629"/>
        <w:gridCol w:w="2597"/>
      </w:tblGrid>
      <w:tr>
        <w:trPr>
          <w:trHeight w:val="337" w:hRule="exact"/>
        </w:trPr>
        <w:tc>
          <w:tcPr>
            <w:tcW w:w="710" w:type="dxa"/>
            <w:vMerge w:val="restart"/>
            <w:tcBorders>
              <w:top w:val="single" w:sz="12" w:space="0" w:color="000000"/>
              <w:left w:val="single" w:sz="12" w:space="0" w:color="000000"/>
              <w:right w:val="single" w:sz="4" w:space="0" w:color="000000"/>
            </w:tcBorders>
          </w:tcPr>
          <w:p>
            <w:pPr/>
          </w:p>
        </w:tc>
        <w:tc>
          <w:tcPr>
            <w:tcW w:w="2768" w:type="dxa"/>
            <w:vMerge w:val="restart"/>
            <w:tcBorders>
              <w:top w:val="single" w:sz="12" w:space="0" w:color="000000"/>
              <w:left w:val="single" w:sz="4" w:space="0" w:color="000000"/>
              <w:right w:val="single" w:sz="4" w:space="0" w:color="000000"/>
            </w:tcBorders>
          </w:tcPr>
          <w:p>
            <w:pPr/>
          </w:p>
        </w:tc>
        <w:tc>
          <w:tcPr>
            <w:tcW w:w="296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0"/>
              <w:ind w:left="4" w:right="-1"/>
              <w:jc w:val="left"/>
              <w:rPr>
                <w:rFonts w:ascii="宋体" w:hAnsi="宋体" w:cs="宋体" w:eastAsia="宋体" w:hint="default"/>
                <w:sz w:val="18"/>
                <w:szCs w:val="18"/>
              </w:rPr>
            </w:pPr>
            <w:r>
              <w:rPr>
                <w:rFonts w:ascii="宋体" w:hAnsi="宋体" w:cs="宋体" w:eastAsia="宋体" w:hint="default"/>
                <w:spacing w:val="3"/>
                <w:sz w:val="18"/>
                <w:szCs w:val="18"/>
              </w:rPr>
              <w:t>度，保障重要信息系统安全。通过构</w:t>
            </w:r>
            <w:r>
              <w:rPr>
                <w:rFonts w:ascii="宋体" w:hAnsi="宋体" w:cs="宋体" w:eastAsia="宋体" w:hint="default"/>
                <w:sz w:val="18"/>
                <w:szCs w:val="18"/>
              </w:rPr>
            </w:r>
          </w:p>
        </w:tc>
        <w:tc>
          <w:tcPr>
            <w:tcW w:w="3226" w:type="dxa"/>
            <w:gridSpan w:val="2"/>
            <w:vMerge w:val="restart"/>
            <w:tcBorders>
              <w:top w:val="single" w:sz="12" w:space="0" w:color="000000"/>
              <w:left w:val="single" w:sz="4" w:space="0" w:color="000000"/>
              <w:right w:val="single" w:sz="12" w:space="0" w:color="000000"/>
            </w:tcBorders>
          </w:tcPr>
          <w:p>
            <w:pPr/>
          </w:p>
        </w:tc>
      </w:tr>
      <w:tr>
        <w:trPr>
          <w:trHeight w:val="312" w:hRule="exact"/>
        </w:trPr>
        <w:tc>
          <w:tcPr>
            <w:tcW w:w="710" w:type="dxa"/>
            <w:vMerge/>
            <w:tcBorders>
              <w:left w:val="single" w:sz="12" w:space="0" w:color="000000"/>
              <w:right w:val="single" w:sz="4" w:space="0" w:color="000000"/>
            </w:tcBorders>
          </w:tcPr>
          <w:p>
            <w:pPr/>
          </w:p>
        </w:tc>
        <w:tc>
          <w:tcPr>
            <w:tcW w:w="2768" w:type="dxa"/>
            <w:vMerge/>
            <w:tcBorders>
              <w:left w:val="single" w:sz="4" w:space="0" w:color="000000"/>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4"/>
              <w:jc w:val="left"/>
              <w:rPr>
                <w:rFonts w:ascii="宋体" w:hAnsi="宋体" w:cs="宋体" w:eastAsia="宋体" w:hint="default"/>
                <w:sz w:val="18"/>
                <w:szCs w:val="18"/>
              </w:rPr>
            </w:pPr>
            <w:r>
              <w:rPr>
                <w:rFonts w:ascii="宋体" w:hAnsi="宋体" w:cs="宋体" w:eastAsia="宋体" w:hint="default"/>
                <w:spacing w:val="16"/>
                <w:sz w:val="18"/>
                <w:szCs w:val="18"/>
              </w:rPr>
              <w:t>建统一安全管理平台（安全管理中</w:t>
            </w:r>
            <w:r>
              <w:rPr>
                <w:rFonts w:ascii="宋体" w:hAnsi="宋体" w:cs="宋体" w:eastAsia="宋体" w:hint="default"/>
                <w:spacing w:val="-72"/>
                <w:sz w:val="18"/>
                <w:szCs w:val="18"/>
              </w:rPr>
              <w:t> </w:t>
            </w:r>
            <w:r>
              <w:rPr>
                <w:rFonts w:ascii="宋体" w:hAnsi="宋体" w:cs="宋体" w:eastAsia="宋体" w:hint="default"/>
                <w:sz w:val="18"/>
                <w:szCs w:val="18"/>
              </w:rPr>
            </w:r>
          </w:p>
        </w:tc>
        <w:tc>
          <w:tcPr>
            <w:tcW w:w="3226" w:type="dxa"/>
            <w:gridSpan w:val="2"/>
            <w:vMerge/>
            <w:tcBorders>
              <w:left w:val="single" w:sz="4" w:space="0" w:color="000000"/>
              <w:right w:val="single" w:sz="12" w:space="0" w:color="000000"/>
            </w:tcBorders>
          </w:tcPr>
          <w:p>
            <w:pPr/>
          </w:p>
        </w:tc>
      </w:tr>
      <w:tr>
        <w:trPr>
          <w:trHeight w:val="312" w:hRule="exact"/>
        </w:trPr>
        <w:tc>
          <w:tcPr>
            <w:tcW w:w="710" w:type="dxa"/>
            <w:vMerge/>
            <w:tcBorders>
              <w:left w:val="single" w:sz="12" w:space="0" w:color="000000"/>
              <w:right w:val="single" w:sz="4" w:space="0" w:color="000000"/>
            </w:tcBorders>
          </w:tcPr>
          <w:p>
            <w:pPr/>
          </w:p>
        </w:tc>
        <w:tc>
          <w:tcPr>
            <w:tcW w:w="2768" w:type="dxa"/>
            <w:vMerge/>
            <w:tcBorders>
              <w:left w:val="single" w:sz="4" w:space="0" w:color="000000"/>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心），对整个网络系统的服务器统一</w:t>
            </w:r>
            <w:r>
              <w:rPr>
                <w:rFonts w:ascii="宋体" w:hAnsi="宋体" w:cs="宋体" w:eastAsia="宋体" w:hint="default"/>
                <w:sz w:val="18"/>
                <w:szCs w:val="18"/>
              </w:rPr>
            </w:r>
          </w:p>
        </w:tc>
        <w:tc>
          <w:tcPr>
            <w:tcW w:w="3226" w:type="dxa"/>
            <w:gridSpan w:val="2"/>
            <w:vMerge/>
            <w:tcBorders>
              <w:left w:val="single" w:sz="4" w:space="0" w:color="000000"/>
              <w:right w:val="single" w:sz="12" w:space="0" w:color="000000"/>
            </w:tcBorders>
          </w:tcPr>
          <w:p>
            <w:pPr/>
          </w:p>
        </w:tc>
      </w:tr>
      <w:tr>
        <w:trPr>
          <w:trHeight w:val="312" w:hRule="exact"/>
        </w:trPr>
        <w:tc>
          <w:tcPr>
            <w:tcW w:w="710" w:type="dxa"/>
            <w:vMerge/>
            <w:tcBorders>
              <w:left w:val="single" w:sz="12" w:space="0" w:color="000000"/>
              <w:right w:val="single" w:sz="4" w:space="0" w:color="000000"/>
            </w:tcBorders>
          </w:tcPr>
          <w:p>
            <w:pPr/>
          </w:p>
        </w:tc>
        <w:tc>
          <w:tcPr>
            <w:tcW w:w="2768" w:type="dxa"/>
            <w:vMerge/>
            <w:tcBorders>
              <w:left w:val="single" w:sz="4" w:space="0" w:color="000000"/>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管理、集中控制，保证各项安全机制</w:t>
            </w:r>
            <w:r>
              <w:rPr>
                <w:rFonts w:ascii="宋体" w:hAnsi="宋体" w:cs="宋体" w:eastAsia="宋体" w:hint="default"/>
                <w:sz w:val="18"/>
                <w:szCs w:val="18"/>
              </w:rPr>
            </w:r>
          </w:p>
        </w:tc>
        <w:tc>
          <w:tcPr>
            <w:tcW w:w="3226" w:type="dxa"/>
            <w:gridSpan w:val="2"/>
            <w:vMerge/>
            <w:tcBorders>
              <w:left w:val="single" w:sz="4" w:space="0" w:color="000000"/>
              <w:right w:val="single" w:sz="12" w:space="0" w:color="000000"/>
            </w:tcBorders>
          </w:tcPr>
          <w:p>
            <w:pPr/>
          </w:p>
        </w:tc>
      </w:tr>
      <w:tr>
        <w:trPr>
          <w:trHeight w:val="312" w:hRule="exact"/>
        </w:trPr>
        <w:tc>
          <w:tcPr>
            <w:tcW w:w="710" w:type="dxa"/>
            <w:vMerge/>
            <w:tcBorders>
              <w:left w:val="single" w:sz="12" w:space="0" w:color="000000"/>
              <w:right w:val="single" w:sz="4" w:space="0" w:color="000000"/>
            </w:tcBorders>
          </w:tcPr>
          <w:p>
            <w:pPr/>
          </w:p>
        </w:tc>
        <w:tc>
          <w:tcPr>
            <w:tcW w:w="2768" w:type="dxa"/>
            <w:vMerge/>
            <w:tcBorders>
              <w:left w:val="single" w:sz="4" w:space="0" w:color="000000"/>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的高度协调统一。消除各个服务器由</w:t>
            </w:r>
            <w:r>
              <w:rPr>
                <w:rFonts w:ascii="宋体" w:hAnsi="宋体" w:cs="宋体" w:eastAsia="宋体" w:hint="default"/>
                <w:sz w:val="18"/>
                <w:szCs w:val="18"/>
              </w:rPr>
            </w:r>
          </w:p>
        </w:tc>
        <w:tc>
          <w:tcPr>
            <w:tcW w:w="3226" w:type="dxa"/>
            <w:gridSpan w:val="2"/>
            <w:vMerge/>
            <w:tcBorders>
              <w:left w:val="single" w:sz="4" w:space="0" w:color="000000"/>
              <w:right w:val="single" w:sz="12" w:space="0" w:color="000000"/>
            </w:tcBorders>
          </w:tcPr>
          <w:p>
            <w:pPr/>
          </w:p>
        </w:tc>
      </w:tr>
      <w:tr>
        <w:trPr>
          <w:trHeight w:val="312" w:hRule="exact"/>
        </w:trPr>
        <w:tc>
          <w:tcPr>
            <w:tcW w:w="710" w:type="dxa"/>
            <w:vMerge/>
            <w:tcBorders>
              <w:left w:val="single" w:sz="12" w:space="0" w:color="000000"/>
              <w:right w:val="single" w:sz="4" w:space="0" w:color="000000"/>
            </w:tcBorders>
          </w:tcPr>
          <w:p>
            <w:pPr/>
          </w:p>
        </w:tc>
        <w:tc>
          <w:tcPr>
            <w:tcW w:w="2768" w:type="dxa"/>
            <w:vMerge/>
            <w:tcBorders>
              <w:left w:val="single" w:sz="4" w:space="0" w:color="000000"/>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于配置不同造成的安全隐患，最终构</w:t>
            </w:r>
            <w:r>
              <w:rPr>
                <w:rFonts w:ascii="宋体" w:hAnsi="宋体" w:cs="宋体" w:eastAsia="宋体" w:hint="default"/>
                <w:sz w:val="18"/>
                <w:szCs w:val="18"/>
              </w:rPr>
            </w:r>
          </w:p>
        </w:tc>
        <w:tc>
          <w:tcPr>
            <w:tcW w:w="3226" w:type="dxa"/>
            <w:gridSpan w:val="2"/>
            <w:vMerge/>
            <w:tcBorders>
              <w:left w:val="single" w:sz="4" w:space="0" w:color="000000"/>
              <w:right w:val="single" w:sz="12" w:space="0" w:color="000000"/>
            </w:tcBorders>
          </w:tcPr>
          <w:p>
            <w:pPr/>
          </w:p>
        </w:tc>
      </w:tr>
      <w:tr>
        <w:trPr>
          <w:trHeight w:val="312" w:hRule="exact"/>
        </w:trPr>
        <w:tc>
          <w:tcPr>
            <w:tcW w:w="710" w:type="dxa"/>
            <w:vMerge/>
            <w:tcBorders>
              <w:left w:val="single" w:sz="12" w:space="0" w:color="000000"/>
              <w:right w:val="single" w:sz="4" w:space="0" w:color="000000"/>
            </w:tcBorders>
          </w:tcPr>
          <w:p>
            <w:pPr/>
          </w:p>
        </w:tc>
        <w:tc>
          <w:tcPr>
            <w:tcW w:w="2768" w:type="dxa"/>
            <w:vMerge/>
            <w:tcBorders>
              <w:left w:val="single" w:sz="4" w:space="0" w:color="000000"/>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建一道针对整个服务器系统的整体安</w:t>
            </w:r>
            <w:r>
              <w:rPr>
                <w:rFonts w:ascii="宋体" w:hAnsi="宋体" w:cs="宋体" w:eastAsia="宋体" w:hint="default"/>
                <w:sz w:val="18"/>
                <w:szCs w:val="18"/>
              </w:rPr>
            </w:r>
          </w:p>
        </w:tc>
        <w:tc>
          <w:tcPr>
            <w:tcW w:w="3226" w:type="dxa"/>
            <w:gridSpan w:val="2"/>
            <w:vMerge/>
            <w:tcBorders>
              <w:left w:val="single" w:sz="4" w:space="0" w:color="000000"/>
              <w:right w:val="single" w:sz="12" w:space="0" w:color="000000"/>
            </w:tcBorders>
          </w:tcPr>
          <w:p>
            <w:pPr/>
          </w:p>
        </w:tc>
      </w:tr>
      <w:tr>
        <w:trPr>
          <w:trHeight w:val="312" w:hRule="exact"/>
        </w:trPr>
        <w:tc>
          <w:tcPr>
            <w:tcW w:w="710" w:type="dxa"/>
            <w:vMerge/>
            <w:tcBorders>
              <w:left w:val="single" w:sz="12" w:space="0" w:color="000000"/>
              <w:right w:val="single" w:sz="4" w:space="0" w:color="000000"/>
            </w:tcBorders>
          </w:tcPr>
          <w:p>
            <w:pPr/>
          </w:p>
        </w:tc>
        <w:tc>
          <w:tcPr>
            <w:tcW w:w="2768" w:type="dxa"/>
            <w:vMerge/>
            <w:tcBorders>
              <w:left w:val="single" w:sz="4" w:space="0" w:color="000000"/>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全防线，有效保护服务器系统中的信</w:t>
            </w:r>
            <w:r>
              <w:rPr>
                <w:rFonts w:ascii="宋体" w:hAnsi="宋体" w:cs="宋体" w:eastAsia="宋体" w:hint="default"/>
                <w:sz w:val="18"/>
                <w:szCs w:val="18"/>
              </w:rPr>
            </w:r>
          </w:p>
        </w:tc>
        <w:tc>
          <w:tcPr>
            <w:tcW w:w="3226" w:type="dxa"/>
            <w:gridSpan w:val="2"/>
            <w:vMerge/>
            <w:tcBorders>
              <w:left w:val="single" w:sz="4" w:space="0" w:color="000000"/>
              <w:right w:val="single" w:sz="12" w:space="0" w:color="000000"/>
            </w:tcBorders>
          </w:tcPr>
          <w:p>
            <w:pPr/>
          </w:p>
        </w:tc>
      </w:tr>
      <w:tr>
        <w:trPr>
          <w:trHeight w:val="328" w:hRule="exact"/>
        </w:trPr>
        <w:tc>
          <w:tcPr>
            <w:tcW w:w="710" w:type="dxa"/>
            <w:vMerge/>
            <w:tcBorders>
              <w:left w:val="single" w:sz="12" w:space="0" w:color="000000"/>
              <w:bottom w:val="single" w:sz="4" w:space="0" w:color="000000"/>
              <w:right w:val="single" w:sz="4" w:space="0" w:color="000000"/>
            </w:tcBorders>
          </w:tcPr>
          <w:p>
            <w:pPr/>
          </w:p>
        </w:tc>
        <w:tc>
          <w:tcPr>
            <w:tcW w:w="2768" w:type="dxa"/>
            <w:vMerge/>
            <w:tcBorders>
              <w:left w:val="single" w:sz="4" w:space="0" w:color="000000"/>
              <w:bottom w:val="single" w:sz="4" w:space="0" w:color="000000"/>
              <w:right w:val="single" w:sz="4" w:space="0" w:color="000000"/>
            </w:tcBorders>
          </w:tcPr>
          <w:p>
            <w:pPr/>
          </w:p>
        </w:tc>
        <w:tc>
          <w:tcPr>
            <w:tcW w:w="29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息安全。</w:t>
            </w:r>
          </w:p>
        </w:tc>
        <w:tc>
          <w:tcPr>
            <w:tcW w:w="3226" w:type="dxa"/>
            <w:gridSpan w:val="2"/>
            <w:vMerge/>
            <w:tcBorders>
              <w:left w:val="single" w:sz="4" w:space="0" w:color="000000"/>
              <w:bottom w:val="single" w:sz="4" w:space="0" w:color="000000"/>
              <w:right w:val="single" w:sz="12" w:space="0" w:color="000000"/>
            </w:tcBorders>
          </w:tcPr>
          <w:p>
            <w:pPr/>
          </w:p>
        </w:tc>
      </w:tr>
      <w:tr>
        <w:trPr>
          <w:trHeight w:val="327" w:hRule="exact"/>
        </w:trPr>
        <w:tc>
          <w:tcPr>
            <w:tcW w:w="710" w:type="dxa"/>
            <w:tcBorders>
              <w:top w:val="single" w:sz="4" w:space="0" w:color="000000"/>
              <w:left w:val="single" w:sz="12" w:space="0" w:color="000000"/>
              <w:bottom w:val="nil" w:sz="6" w:space="0" w:color="auto"/>
              <w:right w:val="single" w:sz="4" w:space="0" w:color="000000"/>
            </w:tcBorders>
          </w:tcPr>
          <w:p>
            <w:pPr/>
          </w:p>
        </w:tc>
        <w:tc>
          <w:tcPr>
            <w:tcW w:w="2768" w:type="dxa"/>
            <w:tcBorders>
              <w:top w:val="single" w:sz="4" w:space="0" w:color="000000"/>
              <w:left w:val="single" w:sz="4" w:space="0" w:color="000000"/>
              <w:bottom w:val="nil" w:sz="6" w:space="0" w:color="auto"/>
              <w:right w:val="single" w:sz="4" w:space="0" w:color="000000"/>
            </w:tcBorders>
          </w:tcPr>
          <w:p>
            <w:pPr/>
          </w:p>
        </w:tc>
        <w:tc>
          <w:tcPr>
            <w:tcW w:w="29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pacing w:val="4"/>
                <w:sz w:val="18"/>
                <w:szCs w:val="18"/>
              </w:rPr>
              <w:t>特权账号生命周期管控系统软件</w:t>
            </w:r>
            <w:r>
              <w:rPr>
                <w:rFonts w:ascii="宋体" w:hAnsi="宋体" w:cs="宋体" w:eastAsia="宋体" w:hint="default"/>
                <w:sz w:val="18"/>
                <w:szCs w:val="18"/>
              </w:rPr>
            </w:r>
          </w:p>
        </w:tc>
        <w:tc>
          <w:tcPr>
            <w:tcW w:w="629" w:type="dxa"/>
            <w:tcBorders>
              <w:top w:val="single" w:sz="4" w:space="0" w:color="000000"/>
              <w:left w:val="single" w:sz="4" w:space="0" w:color="000000"/>
              <w:bottom w:val="nil" w:sz="6" w:space="0" w:color="auto"/>
              <w:right w:val="nil" w:sz="6" w:space="0" w:color="auto"/>
            </w:tcBorders>
          </w:tcPr>
          <w:p>
            <w:pPr/>
          </w:p>
        </w:tc>
        <w:tc>
          <w:tcPr>
            <w:tcW w:w="2597" w:type="dxa"/>
            <w:tcBorders>
              <w:top w:val="single" w:sz="4" w:space="0" w:color="000000"/>
              <w:left w:val="nil" w:sz="6" w:space="0" w:color="auto"/>
              <w:bottom w:val="nil" w:sz="6" w:space="0" w:color="auto"/>
              <w:right w:val="single" w:sz="12" w:space="0" w:color="000000"/>
            </w:tcBorders>
          </w:tcPr>
          <w:p>
            <w:pPr/>
          </w:p>
        </w:tc>
      </w:tr>
      <w:tr>
        <w:trPr>
          <w:trHeight w:val="312"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可以使信息系统管理人员或用户更加</w:t>
            </w:r>
            <w:r>
              <w:rPr>
                <w:rFonts w:ascii="宋体" w:hAnsi="宋体" w:cs="宋体" w:eastAsia="宋体" w:hint="default"/>
                <w:sz w:val="18"/>
                <w:szCs w:val="18"/>
              </w:rPr>
            </w:r>
          </w:p>
        </w:tc>
        <w:tc>
          <w:tcPr>
            <w:tcW w:w="629" w:type="dxa"/>
            <w:tcBorders>
              <w:top w:val="nil" w:sz="6" w:space="0" w:color="auto"/>
              <w:left w:val="single" w:sz="4" w:space="0" w:color="000000"/>
              <w:bottom w:val="nil" w:sz="6" w:space="0" w:color="auto"/>
              <w:right w:val="nil" w:sz="6" w:space="0" w:color="auto"/>
            </w:tcBorders>
          </w:tcPr>
          <w:p>
            <w:pPr/>
          </w:p>
        </w:tc>
        <w:tc>
          <w:tcPr>
            <w:tcW w:w="2597" w:type="dxa"/>
            <w:tcBorders>
              <w:top w:val="nil" w:sz="6" w:space="0" w:color="auto"/>
              <w:left w:val="nil" w:sz="6" w:space="0" w:color="auto"/>
              <w:bottom w:val="nil" w:sz="6" w:space="0" w:color="auto"/>
              <w:right w:val="single" w:sz="12" w:space="0" w:color="000000"/>
            </w:tcBorders>
          </w:tcPr>
          <w:p>
            <w:pPr/>
          </w:p>
        </w:tc>
      </w:tr>
      <w:tr>
        <w:trPr>
          <w:trHeight w:val="312"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安全的管理信息系统内部存在的特权</w:t>
            </w:r>
            <w:r>
              <w:rPr>
                <w:rFonts w:ascii="宋体" w:hAnsi="宋体" w:cs="宋体" w:eastAsia="宋体" w:hint="default"/>
                <w:sz w:val="18"/>
                <w:szCs w:val="18"/>
              </w:rPr>
            </w:r>
          </w:p>
        </w:tc>
        <w:tc>
          <w:tcPr>
            <w:tcW w:w="629" w:type="dxa"/>
            <w:tcBorders>
              <w:top w:val="nil" w:sz="6" w:space="0" w:color="auto"/>
              <w:left w:val="single" w:sz="4" w:space="0" w:color="000000"/>
              <w:bottom w:val="nil" w:sz="6" w:space="0" w:color="auto"/>
              <w:right w:val="nil" w:sz="6" w:space="0" w:color="auto"/>
            </w:tcBorders>
          </w:tcPr>
          <w:p>
            <w:pPr/>
          </w:p>
        </w:tc>
        <w:tc>
          <w:tcPr>
            <w:tcW w:w="2597" w:type="dxa"/>
            <w:tcBorders>
              <w:top w:val="nil" w:sz="6" w:space="0" w:color="auto"/>
              <w:left w:val="nil" w:sz="6" w:space="0" w:color="auto"/>
              <w:bottom w:val="nil" w:sz="6" w:space="0" w:color="auto"/>
              <w:right w:val="single" w:sz="12" w:space="0" w:color="000000"/>
            </w:tcBorders>
          </w:tcPr>
          <w:p>
            <w:pPr/>
          </w:p>
        </w:tc>
      </w:tr>
      <w:tr>
        <w:trPr>
          <w:trHeight w:val="312"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帐号，同时可基于各种运维需求，实</w:t>
            </w:r>
            <w:r>
              <w:rPr>
                <w:rFonts w:ascii="宋体" w:hAnsi="宋体" w:cs="宋体" w:eastAsia="宋体" w:hint="default"/>
                <w:sz w:val="18"/>
                <w:szCs w:val="18"/>
              </w:rPr>
            </w:r>
          </w:p>
        </w:tc>
        <w:tc>
          <w:tcPr>
            <w:tcW w:w="629" w:type="dxa"/>
            <w:tcBorders>
              <w:top w:val="nil" w:sz="6" w:space="0" w:color="auto"/>
              <w:left w:val="single" w:sz="4" w:space="0" w:color="000000"/>
              <w:bottom w:val="nil" w:sz="6" w:space="0" w:color="auto"/>
              <w:right w:val="nil" w:sz="6" w:space="0" w:color="auto"/>
            </w:tcBorders>
          </w:tcPr>
          <w:p>
            <w:pPr/>
          </w:p>
        </w:tc>
        <w:tc>
          <w:tcPr>
            <w:tcW w:w="2597" w:type="dxa"/>
            <w:tcBorders>
              <w:top w:val="nil" w:sz="6" w:space="0" w:color="auto"/>
              <w:left w:val="nil" w:sz="6" w:space="0" w:color="auto"/>
              <w:bottom w:val="nil" w:sz="6" w:space="0" w:color="auto"/>
              <w:right w:val="single" w:sz="12" w:space="0" w:color="000000"/>
            </w:tcBorders>
          </w:tcPr>
          <w:p>
            <w:pPr/>
          </w:p>
        </w:tc>
      </w:tr>
      <w:tr>
        <w:trPr>
          <w:trHeight w:val="316" w:hRule="exact"/>
        </w:trPr>
        <w:tc>
          <w:tcPr>
            <w:tcW w:w="710" w:type="dxa"/>
            <w:tcBorders>
              <w:top w:val="nil" w:sz="6" w:space="0" w:color="auto"/>
              <w:left w:val="single" w:sz="12" w:space="0" w:color="000000"/>
              <w:bottom w:val="nil" w:sz="6" w:space="0" w:color="auto"/>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13</w:t>
            </w: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特权账号监管系统</w:t>
            </w: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现对特权帐号的使用授权、认证、审</w:t>
            </w:r>
            <w:r>
              <w:rPr>
                <w:rFonts w:ascii="宋体" w:hAnsi="宋体" w:cs="宋体" w:eastAsia="宋体" w:hint="default"/>
                <w:sz w:val="18"/>
                <w:szCs w:val="18"/>
              </w:rPr>
            </w:r>
          </w:p>
        </w:tc>
        <w:tc>
          <w:tcPr>
            <w:tcW w:w="629" w:type="dxa"/>
            <w:tcBorders>
              <w:top w:val="nil" w:sz="6" w:space="0" w:color="auto"/>
              <w:left w:val="single" w:sz="4" w:space="0" w:color="000000"/>
              <w:bottom w:val="nil" w:sz="6" w:space="0" w:color="auto"/>
              <w:right w:val="nil" w:sz="6" w:space="0" w:color="auto"/>
            </w:tcBorders>
          </w:tcPr>
          <w:p>
            <w:pPr/>
          </w:p>
        </w:tc>
        <w:tc>
          <w:tcPr>
            <w:tcW w:w="2597" w:type="dxa"/>
            <w:tcBorders>
              <w:top w:val="nil" w:sz="6" w:space="0" w:color="auto"/>
              <w:left w:val="nil" w:sz="6" w:space="0" w:color="auto"/>
              <w:bottom w:val="nil" w:sz="6" w:space="0" w:color="auto"/>
              <w:right w:val="single" w:sz="12" w:space="0" w:color="000000"/>
            </w:tcBorders>
          </w:tcPr>
          <w:p>
            <w:pPr>
              <w:pStyle w:val="TableParagraph"/>
              <w:spacing w:line="240" w:lineRule="auto" w:before="10"/>
              <w:ind w:left="550" w:right="0"/>
              <w:jc w:val="left"/>
              <w:rPr>
                <w:rFonts w:ascii="宋体" w:hAnsi="宋体" w:cs="宋体" w:eastAsia="宋体" w:hint="default"/>
                <w:sz w:val="18"/>
                <w:szCs w:val="18"/>
              </w:rPr>
            </w:pPr>
            <w:r>
              <w:rPr>
                <w:rFonts w:ascii="宋体" w:hAnsi="宋体" w:cs="宋体" w:eastAsia="宋体" w:hint="default"/>
                <w:sz w:val="18"/>
                <w:szCs w:val="18"/>
              </w:rPr>
              <w:t>销售阶段</w:t>
            </w:r>
          </w:p>
        </w:tc>
      </w:tr>
      <w:tr>
        <w:trPr>
          <w:trHeight w:val="308"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1"/>
              <w:jc w:val="left"/>
              <w:rPr>
                <w:rFonts w:ascii="宋体" w:hAnsi="宋体" w:cs="宋体" w:eastAsia="宋体" w:hint="default"/>
                <w:sz w:val="18"/>
                <w:szCs w:val="18"/>
              </w:rPr>
            </w:pPr>
            <w:r>
              <w:rPr>
                <w:rFonts w:ascii="宋体" w:hAnsi="宋体" w:cs="宋体" w:eastAsia="宋体" w:hint="default"/>
                <w:spacing w:val="3"/>
                <w:sz w:val="18"/>
                <w:szCs w:val="18"/>
              </w:rPr>
              <w:t>计及操作权限控制，并提供实时审计</w:t>
            </w:r>
            <w:r>
              <w:rPr>
                <w:rFonts w:ascii="宋体" w:hAnsi="宋体" w:cs="宋体" w:eastAsia="宋体" w:hint="default"/>
                <w:sz w:val="18"/>
                <w:szCs w:val="18"/>
              </w:rPr>
            </w:r>
          </w:p>
        </w:tc>
        <w:tc>
          <w:tcPr>
            <w:tcW w:w="629" w:type="dxa"/>
            <w:tcBorders>
              <w:top w:val="nil" w:sz="6" w:space="0" w:color="auto"/>
              <w:left w:val="single" w:sz="4" w:space="0" w:color="000000"/>
              <w:bottom w:val="nil" w:sz="6" w:space="0" w:color="auto"/>
              <w:right w:val="nil" w:sz="6" w:space="0" w:color="auto"/>
            </w:tcBorders>
          </w:tcPr>
          <w:p>
            <w:pPr/>
          </w:p>
        </w:tc>
        <w:tc>
          <w:tcPr>
            <w:tcW w:w="2597" w:type="dxa"/>
            <w:tcBorders>
              <w:top w:val="nil" w:sz="6" w:space="0" w:color="auto"/>
              <w:left w:val="nil" w:sz="6" w:space="0" w:color="auto"/>
              <w:bottom w:val="nil" w:sz="6" w:space="0" w:color="auto"/>
              <w:right w:val="single" w:sz="12" w:space="0" w:color="000000"/>
            </w:tcBorders>
          </w:tcPr>
          <w:p>
            <w:pPr/>
          </w:p>
        </w:tc>
      </w:tr>
      <w:tr>
        <w:trPr>
          <w:trHeight w:val="312"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日志及会话监控功能，实现内部特权</w:t>
            </w:r>
            <w:r>
              <w:rPr>
                <w:rFonts w:ascii="宋体" w:hAnsi="宋体" w:cs="宋体" w:eastAsia="宋体" w:hint="default"/>
                <w:sz w:val="18"/>
                <w:szCs w:val="18"/>
              </w:rPr>
            </w:r>
          </w:p>
        </w:tc>
        <w:tc>
          <w:tcPr>
            <w:tcW w:w="629" w:type="dxa"/>
            <w:tcBorders>
              <w:top w:val="nil" w:sz="6" w:space="0" w:color="auto"/>
              <w:left w:val="single" w:sz="4" w:space="0" w:color="000000"/>
              <w:bottom w:val="nil" w:sz="6" w:space="0" w:color="auto"/>
              <w:right w:val="nil" w:sz="6" w:space="0" w:color="auto"/>
            </w:tcBorders>
          </w:tcPr>
          <w:p>
            <w:pPr/>
          </w:p>
        </w:tc>
        <w:tc>
          <w:tcPr>
            <w:tcW w:w="2597" w:type="dxa"/>
            <w:tcBorders>
              <w:top w:val="nil" w:sz="6" w:space="0" w:color="auto"/>
              <w:left w:val="nil" w:sz="6" w:space="0" w:color="auto"/>
              <w:bottom w:val="nil" w:sz="6" w:space="0" w:color="auto"/>
              <w:right w:val="single" w:sz="12" w:space="0" w:color="000000"/>
            </w:tcBorders>
          </w:tcPr>
          <w:p>
            <w:pPr/>
          </w:p>
        </w:tc>
      </w:tr>
      <w:tr>
        <w:trPr>
          <w:trHeight w:val="312"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帐号使用可控、权限可控、操作可查</w:t>
            </w:r>
          </w:p>
        </w:tc>
        <w:tc>
          <w:tcPr>
            <w:tcW w:w="629"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w:t>
            </w:r>
          </w:p>
        </w:tc>
        <w:tc>
          <w:tcPr>
            <w:tcW w:w="2597" w:type="dxa"/>
            <w:tcBorders>
              <w:top w:val="nil" w:sz="6" w:space="0" w:color="auto"/>
              <w:left w:val="nil" w:sz="6" w:space="0" w:color="auto"/>
              <w:bottom w:val="nil" w:sz="6" w:space="0" w:color="auto"/>
              <w:right w:val="single" w:sz="12" w:space="0" w:color="000000"/>
            </w:tcBorders>
          </w:tcPr>
          <w:p>
            <w:pPr/>
          </w:p>
        </w:tc>
      </w:tr>
      <w:tr>
        <w:trPr>
          <w:trHeight w:val="328" w:hRule="exact"/>
        </w:trPr>
        <w:tc>
          <w:tcPr>
            <w:tcW w:w="710" w:type="dxa"/>
            <w:tcBorders>
              <w:top w:val="nil" w:sz="6" w:space="0" w:color="auto"/>
              <w:left w:val="single" w:sz="12" w:space="0" w:color="000000"/>
              <w:bottom w:val="single" w:sz="4" w:space="0" w:color="000000"/>
              <w:right w:val="single" w:sz="4" w:space="0" w:color="000000"/>
            </w:tcBorders>
          </w:tcPr>
          <w:p>
            <w:pPr/>
          </w:p>
        </w:tc>
        <w:tc>
          <w:tcPr>
            <w:tcW w:w="2768" w:type="dxa"/>
            <w:tcBorders>
              <w:top w:val="nil" w:sz="6" w:space="0" w:color="auto"/>
              <w:left w:val="single" w:sz="4" w:space="0" w:color="000000"/>
              <w:bottom w:val="single" w:sz="4" w:space="0" w:color="000000"/>
              <w:right w:val="single" w:sz="4" w:space="0" w:color="000000"/>
            </w:tcBorders>
          </w:tcPr>
          <w:p>
            <w:pPr/>
          </w:p>
        </w:tc>
        <w:tc>
          <w:tcPr>
            <w:tcW w:w="29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违规可举证的目的。</w:t>
            </w:r>
          </w:p>
        </w:tc>
        <w:tc>
          <w:tcPr>
            <w:tcW w:w="629" w:type="dxa"/>
            <w:tcBorders>
              <w:top w:val="nil" w:sz="6" w:space="0" w:color="auto"/>
              <w:left w:val="single" w:sz="4" w:space="0" w:color="000000"/>
              <w:bottom w:val="single" w:sz="4" w:space="0" w:color="000000"/>
              <w:right w:val="nil" w:sz="6" w:space="0" w:color="auto"/>
            </w:tcBorders>
          </w:tcPr>
          <w:p>
            <w:pPr/>
          </w:p>
        </w:tc>
        <w:tc>
          <w:tcPr>
            <w:tcW w:w="2597" w:type="dxa"/>
            <w:tcBorders>
              <w:top w:val="nil" w:sz="6" w:space="0" w:color="auto"/>
              <w:left w:val="nil" w:sz="6" w:space="0" w:color="auto"/>
              <w:bottom w:val="single" w:sz="4" w:space="0" w:color="000000"/>
              <w:right w:val="single" w:sz="12" w:space="0" w:color="000000"/>
            </w:tcBorders>
          </w:tcPr>
          <w:p>
            <w:pPr/>
          </w:p>
        </w:tc>
      </w:tr>
      <w:tr>
        <w:trPr>
          <w:trHeight w:val="331" w:hRule="exact"/>
        </w:trPr>
        <w:tc>
          <w:tcPr>
            <w:tcW w:w="710" w:type="dxa"/>
            <w:tcBorders>
              <w:top w:val="single" w:sz="4" w:space="0" w:color="000000"/>
              <w:left w:val="single" w:sz="12" w:space="0" w:color="000000"/>
              <w:bottom w:val="nil" w:sz="6" w:space="0" w:color="auto"/>
              <w:right w:val="single" w:sz="4" w:space="0" w:color="000000"/>
            </w:tcBorders>
          </w:tcPr>
          <w:p>
            <w:pPr/>
          </w:p>
        </w:tc>
        <w:tc>
          <w:tcPr>
            <w:tcW w:w="2768" w:type="dxa"/>
            <w:tcBorders>
              <w:top w:val="single" w:sz="4" w:space="0" w:color="000000"/>
              <w:left w:val="single" w:sz="4" w:space="0" w:color="000000"/>
              <w:bottom w:val="nil" w:sz="6" w:space="0" w:color="auto"/>
              <w:right w:val="single" w:sz="4" w:space="0" w:color="000000"/>
            </w:tcBorders>
          </w:tcPr>
          <w:p>
            <w:pPr/>
          </w:p>
        </w:tc>
        <w:tc>
          <w:tcPr>
            <w:tcW w:w="29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hAnsi="宋体" w:cs="宋体" w:eastAsia="宋体" w:hint="default"/>
                <w:spacing w:val="3"/>
                <w:sz w:val="18"/>
                <w:szCs w:val="18"/>
              </w:rPr>
              <w:t>主机</w:t>
            </w:r>
            <w:r>
              <w:rPr>
                <w:rFonts w:ascii="Times New Roman" w:hAnsi="Times New Roman" w:cs="Times New Roman" w:eastAsia="Times New Roman" w:hint="default"/>
                <w:spacing w:val="3"/>
                <w:sz w:val="18"/>
                <w:szCs w:val="18"/>
              </w:rPr>
              <w:t>EDR</w:t>
            </w:r>
            <w:r>
              <w:rPr>
                <w:rFonts w:ascii="宋体" w:hAnsi="宋体" w:cs="宋体" w:eastAsia="宋体" w:hint="default"/>
                <w:spacing w:val="3"/>
                <w:sz w:val="18"/>
                <w:szCs w:val="18"/>
              </w:rPr>
              <w:t>系统，将主机系统和业</w:t>
            </w:r>
          </w:p>
        </w:tc>
        <w:tc>
          <w:tcPr>
            <w:tcW w:w="3226" w:type="dxa"/>
            <w:gridSpan w:val="2"/>
            <w:tcBorders>
              <w:top w:val="single" w:sz="4" w:space="0" w:color="000000"/>
              <w:left w:val="single" w:sz="4" w:space="0" w:color="000000"/>
              <w:bottom w:val="nil" w:sz="6" w:space="0" w:color="auto"/>
              <w:right w:val="single" w:sz="12" w:space="0" w:color="000000"/>
            </w:tcBorders>
          </w:tcPr>
          <w:p>
            <w:pPr/>
          </w:p>
        </w:tc>
      </w:tr>
      <w:tr>
        <w:trPr>
          <w:trHeight w:val="307"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1"/>
              <w:jc w:val="left"/>
              <w:rPr>
                <w:rFonts w:ascii="宋体" w:hAnsi="宋体" w:cs="宋体" w:eastAsia="宋体" w:hint="default"/>
                <w:sz w:val="18"/>
                <w:szCs w:val="18"/>
              </w:rPr>
            </w:pPr>
            <w:r>
              <w:rPr>
                <w:rFonts w:ascii="宋体" w:hAnsi="宋体" w:cs="宋体" w:eastAsia="宋体" w:hint="default"/>
                <w:spacing w:val="3"/>
                <w:sz w:val="18"/>
                <w:szCs w:val="18"/>
              </w:rPr>
              <w:t>务软件上常见的安全问题整合起来，</w:t>
            </w:r>
            <w:r>
              <w:rPr>
                <w:rFonts w:ascii="宋体" w:hAnsi="宋体" w:cs="宋体" w:eastAsia="宋体" w:hint="default"/>
                <w:sz w:val="18"/>
                <w:szCs w:val="18"/>
              </w:rPr>
            </w:r>
          </w:p>
        </w:tc>
        <w:tc>
          <w:tcPr>
            <w:tcW w:w="3226" w:type="dxa"/>
            <w:gridSpan w:val="2"/>
            <w:tcBorders>
              <w:top w:val="nil" w:sz="6" w:space="0" w:color="auto"/>
              <w:left w:val="single" w:sz="4" w:space="0" w:color="000000"/>
              <w:bottom w:val="nil" w:sz="6" w:space="0" w:color="auto"/>
              <w:right w:val="single" w:sz="12" w:space="0" w:color="000000"/>
            </w:tcBorders>
          </w:tcPr>
          <w:p>
            <w:pPr/>
          </w:p>
        </w:tc>
      </w:tr>
      <w:tr>
        <w:trPr>
          <w:trHeight w:val="312"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集成了资产管理、漏洞检查、安全配</w:t>
            </w:r>
            <w:r>
              <w:rPr>
                <w:rFonts w:ascii="宋体" w:hAnsi="宋体" w:cs="宋体" w:eastAsia="宋体" w:hint="default"/>
                <w:sz w:val="18"/>
                <w:szCs w:val="18"/>
              </w:rPr>
            </w:r>
          </w:p>
        </w:tc>
        <w:tc>
          <w:tcPr>
            <w:tcW w:w="3226" w:type="dxa"/>
            <w:gridSpan w:val="2"/>
            <w:tcBorders>
              <w:top w:val="nil" w:sz="6" w:space="0" w:color="auto"/>
              <w:left w:val="single" w:sz="4" w:space="0" w:color="000000"/>
              <w:bottom w:val="nil" w:sz="6" w:space="0" w:color="auto"/>
              <w:right w:val="single" w:sz="12" w:space="0" w:color="000000"/>
            </w:tcBorders>
          </w:tcPr>
          <w:p>
            <w:pPr/>
          </w:p>
        </w:tc>
      </w:tr>
      <w:tr>
        <w:trPr>
          <w:trHeight w:val="312"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置等多方面的安全检测于一体，对不</w:t>
            </w:r>
            <w:r>
              <w:rPr>
                <w:rFonts w:ascii="宋体" w:hAnsi="宋体" w:cs="宋体" w:eastAsia="宋体" w:hint="default"/>
                <w:sz w:val="18"/>
                <w:szCs w:val="18"/>
              </w:rPr>
            </w:r>
          </w:p>
        </w:tc>
        <w:tc>
          <w:tcPr>
            <w:tcW w:w="3226" w:type="dxa"/>
            <w:gridSpan w:val="2"/>
            <w:tcBorders>
              <w:top w:val="nil" w:sz="6" w:space="0" w:color="auto"/>
              <w:left w:val="single" w:sz="4" w:space="0" w:color="000000"/>
              <w:bottom w:val="nil" w:sz="6" w:space="0" w:color="auto"/>
              <w:right w:val="single" w:sz="12" w:space="0" w:color="000000"/>
            </w:tcBorders>
          </w:tcPr>
          <w:p>
            <w:pPr/>
          </w:p>
        </w:tc>
      </w:tr>
      <w:tr>
        <w:trPr>
          <w:trHeight w:val="312"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同主机系统上的安全状态进行集中统</w:t>
            </w:r>
            <w:r>
              <w:rPr>
                <w:rFonts w:ascii="宋体" w:hAnsi="宋体" w:cs="宋体" w:eastAsia="宋体" w:hint="default"/>
                <w:sz w:val="18"/>
                <w:szCs w:val="18"/>
              </w:rPr>
            </w:r>
          </w:p>
        </w:tc>
        <w:tc>
          <w:tcPr>
            <w:tcW w:w="3226" w:type="dxa"/>
            <w:gridSpan w:val="2"/>
            <w:tcBorders>
              <w:top w:val="nil" w:sz="6" w:space="0" w:color="auto"/>
              <w:left w:val="single" w:sz="4" w:space="0" w:color="000000"/>
              <w:bottom w:val="nil" w:sz="6" w:space="0" w:color="auto"/>
              <w:right w:val="single" w:sz="12" w:space="0" w:color="000000"/>
            </w:tcBorders>
          </w:tcPr>
          <w:p>
            <w:pPr/>
          </w:p>
        </w:tc>
      </w:tr>
      <w:tr>
        <w:trPr>
          <w:trHeight w:val="317" w:hRule="exact"/>
        </w:trPr>
        <w:tc>
          <w:tcPr>
            <w:tcW w:w="710" w:type="dxa"/>
            <w:tcBorders>
              <w:top w:val="nil" w:sz="6" w:space="0" w:color="auto"/>
              <w:left w:val="single" w:sz="12" w:space="0" w:color="000000"/>
              <w:bottom w:val="nil" w:sz="6" w:space="0" w:color="auto"/>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14</w:t>
            </w: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主机</w:t>
            </w:r>
            <w:r>
              <w:rPr>
                <w:rFonts w:ascii="Times New Roman" w:hAnsi="Times New Roman" w:cs="Times New Roman" w:eastAsia="Times New Roman" w:hint="default"/>
                <w:sz w:val="18"/>
                <w:szCs w:val="18"/>
              </w:rPr>
              <w:t>EDR</w:t>
            </w:r>
            <w:r>
              <w:rPr>
                <w:rFonts w:ascii="宋体" w:hAnsi="宋体" w:cs="宋体" w:eastAsia="宋体" w:hint="default"/>
                <w:sz w:val="18"/>
                <w:szCs w:val="18"/>
              </w:rPr>
              <w:t>系统</w:t>
            </w: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一管理和控制，通过特征检测及可视</w:t>
            </w:r>
            <w:r>
              <w:rPr>
                <w:rFonts w:ascii="宋体" w:hAnsi="宋体" w:cs="宋体" w:eastAsia="宋体" w:hint="default"/>
                <w:sz w:val="18"/>
                <w:szCs w:val="18"/>
              </w:rPr>
            </w:r>
          </w:p>
        </w:tc>
        <w:tc>
          <w:tcPr>
            <w:tcW w:w="3226" w:type="dxa"/>
            <w:gridSpan w:val="2"/>
            <w:tcBorders>
              <w:top w:val="nil" w:sz="6" w:space="0" w:color="auto"/>
              <w:left w:val="single" w:sz="4" w:space="0" w:color="000000"/>
              <w:bottom w:val="nil" w:sz="6" w:space="0" w:color="auto"/>
              <w:right w:val="single" w:sz="12" w:space="0" w:color="000000"/>
            </w:tcBorders>
          </w:tcPr>
          <w:p>
            <w:pPr>
              <w:pStyle w:val="TableParagraph"/>
              <w:spacing w:line="240" w:lineRule="auto" w:before="10"/>
              <w:ind w:right="134"/>
              <w:jc w:val="center"/>
              <w:rPr>
                <w:rFonts w:ascii="宋体" w:hAnsi="宋体" w:cs="宋体" w:eastAsia="宋体" w:hint="default"/>
                <w:sz w:val="18"/>
                <w:szCs w:val="18"/>
              </w:rPr>
            </w:pPr>
            <w:r>
              <w:rPr>
                <w:rFonts w:ascii="宋体" w:hAnsi="宋体" w:cs="宋体" w:eastAsia="宋体" w:hint="default"/>
                <w:sz w:val="18"/>
                <w:szCs w:val="18"/>
              </w:rPr>
              <w:t>研发阶段</w:t>
            </w:r>
          </w:p>
        </w:tc>
      </w:tr>
      <w:tr>
        <w:trPr>
          <w:trHeight w:val="307"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1"/>
              <w:jc w:val="left"/>
              <w:rPr>
                <w:rFonts w:ascii="宋体" w:hAnsi="宋体" w:cs="宋体" w:eastAsia="宋体" w:hint="default"/>
                <w:sz w:val="18"/>
                <w:szCs w:val="18"/>
              </w:rPr>
            </w:pPr>
            <w:r>
              <w:rPr>
                <w:rFonts w:ascii="宋体" w:hAnsi="宋体" w:cs="宋体" w:eastAsia="宋体" w:hint="default"/>
                <w:spacing w:val="3"/>
                <w:sz w:val="18"/>
                <w:szCs w:val="18"/>
              </w:rPr>
              <w:t>化展示等手段，针对主机建立完善的</w:t>
            </w:r>
            <w:r>
              <w:rPr>
                <w:rFonts w:ascii="宋体" w:hAnsi="宋体" w:cs="宋体" w:eastAsia="宋体" w:hint="default"/>
                <w:sz w:val="18"/>
                <w:szCs w:val="18"/>
              </w:rPr>
            </w:r>
          </w:p>
        </w:tc>
        <w:tc>
          <w:tcPr>
            <w:tcW w:w="3226" w:type="dxa"/>
            <w:gridSpan w:val="2"/>
            <w:tcBorders>
              <w:top w:val="nil" w:sz="6" w:space="0" w:color="auto"/>
              <w:left w:val="single" w:sz="4" w:space="0" w:color="000000"/>
              <w:bottom w:val="nil" w:sz="6" w:space="0" w:color="auto"/>
              <w:right w:val="single" w:sz="12" w:space="0" w:color="000000"/>
            </w:tcBorders>
          </w:tcPr>
          <w:p>
            <w:pPr/>
          </w:p>
        </w:tc>
      </w:tr>
      <w:tr>
        <w:trPr>
          <w:trHeight w:val="312"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安全态势全面监控、安全威胁实时预</w:t>
            </w:r>
            <w:r>
              <w:rPr>
                <w:rFonts w:ascii="宋体" w:hAnsi="宋体" w:cs="宋体" w:eastAsia="宋体" w:hint="default"/>
                <w:sz w:val="18"/>
                <w:szCs w:val="18"/>
              </w:rPr>
            </w:r>
          </w:p>
        </w:tc>
        <w:tc>
          <w:tcPr>
            <w:tcW w:w="3226" w:type="dxa"/>
            <w:gridSpan w:val="2"/>
            <w:tcBorders>
              <w:top w:val="nil" w:sz="6" w:space="0" w:color="auto"/>
              <w:left w:val="single" w:sz="4" w:space="0" w:color="000000"/>
              <w:bottom w:val="nil" w:sz="6" w:space="0" w:color="auto"/>
              <w:right w:val="single" w:sz="12" w:space="0" w:color="000000"/>
            </w:tcBorders>
          </w:tcPr>
          <w:p>
            <w:pPr/>
          </w:p>
        </w:tc>
      </w:tr>
      <w:tr>
        <w:trPr>
          <w:trHeight w:val="312"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警、安全事故紧急响应的能力，通过</w:t>
            </w:r>
            <w:r>
              <w:rPr>
                <w:rFonts w:ascii="宋体" w:hAnsi="宋体" w:cs="宋体" w:eastAsia="宋体" w:hint="default"/>
                <w:sz w:val="18"/>
                <w:szCs w:val="18"/>
              </w:rPr>
            </w:r>
          </w:p>
        </w:tc>
        <w:tc>
          <w:tcPr>
            <w:tcW w:w="3226" w:type="dxa"/>
            <w:gridSpan w:val="2"/>
            <w:tcBorders>
              <w:top w:val="nil" w:sz="6" w:space="0" w:color="auto"/>
              <w:left w:val="single" w:sz="4" w:space="0" w:color="000000"/>
              <w:bottom w:val="nil" w:sz="6" w:space="0" w:color="auto"/>
              <w:right w:val="single" w:sz="12" w:space="0" w:color="000000"/>
            </w:tcBorders>
          </w:tcPr>
          <w:p>
            <w:pPr/>
          </w:p>
        </w:tc>
      </w:tr>
      <w:tr>
        <w:trPr>
          <w:trHeight w:val="312" w:hRule="exact"/>
        </w:trPr>
        <w:tc>
          <w:tcPr>
            <w:tcW w:w="710" w:type="dxa"/>
            <w:tcBorders>
              <w:top w:val="nil" w:sz="6" w:space="0" w:color="auto"/>
              <w:left w:val="single" w:sz="12"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
        </w:tc>
        <w:tc>
          <w:tcPr>
            <w:tcW w:w="2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独立的自适应体系结构协助安全管理</w:t>
            </w:r>
            <w:r>
              <w:rPr>
                <w:rFonts w:ascii="宋体" w:hAnsi="宋体" w:cs="宋体" w:eastAsia="宋体" w:hint="default"/>
                <w:sz w:val="18"/>
                <w:szCs w:val="18"/>
              </w:rPr>
            </w:r>
          </w:p>
        </w:tc>
        <w:tc>
          <w:tcPr>
            <w:tcW w:w="3226" w:type="dxa"/>
            <w:gridSpan w:val="2"/>
            <w:tcBorders>
              <w:top w:val="nil" w:sz="6" w:space="0" w:color="auto"/>
              <w:left w:val="single" w:sz="4" w:space="0" w:color="000000"/>
              <w:bottom w:val="nil" w:sz="6" w:space="0" w:color="auto"/>
              <w:right w:val="single" w:sz="12" w:space="0" w:color="000000"/>
            </w:tcBorders>
          </w:tcPr>
          <w:p>
            <w:pPr/>
          </w:p>
        </w:tc>
      </w:tr>
      <w:tr>
        <w:trPr>
          <w:trHeight w:val="338" w:hRule="exact"/>
        </w:trPr>
        <w:tc>
          <w:tcPr>
            <w:tcW w:w="710" w:type="dxa"/>
            <w:tcBorders>
              <w:top w:val="nil" w:sz="6" w:space="0" w:color="auto"/>
              <w:left w:val="single" w:sz="12" w:space="0" w:color="000000"/>
              <w:bottom w:val="single" w:sz="12" w:space="0" w:color="000000"/>
              <w:right w:val="single" w:sz="4" w:space="0" w:color="000000"/>
            </w:tcBorders>
          </w:tcPr>
          <w:p>
            <w:pPr/>
          </w:p>
        </w:tc>
        <w:tc>
          <w:tcPr>
            <w:tcW w:w="2768" w:type="dxa"/>
            <w:tcBorders>
              <w:top w:val="nil" w:sz="6" w:space="0" w:color="auto"/>
              <w:left w:val="single" w:sz="4" w:space="0" w:color="000000"/>
              <w:bottom w:val="single" w:sz="12" w:space="0" w:color="000000"/>
              <w:right w:val="single" w:sz="4" w:space="0" w:color="000000"/>
            </w:tcBorders>
          </w:tcPr>
          <w:p>
            <w:pPr/>
          </w:p>
        </w:tc>
        <w:tc>
          <w:tcPr>
            <w:tcW w:w="296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员快速发现和分析安全问题。</w:t>
            </w:r>
          </w:p>
        </w:tc>
        <w:tc>
          <w:tcPr>
            <w:tcW w:w="3226" w:type="dxa"/>
            <w:gridSpan w:val="2"/>
            <w:tcBorders>
              <w:top w:val="nil" w:sz="6" w:space="0" w:color="auto"/>
              <w:left w:val="single" w:sz="4" w:space="0" w:color="000000"/>
              <w:bottom w:val="single" w:sz="12" w:space="0" w:color="000000"/>
              <w:right w:val="single" w:sz="12" w:space="0" w:color="000000"/>
            </w:tcBorders>
          </w:tcPr>
          <w:p>
            <w:pPr/>
          </w:p>
        </w:tc>
      </w:tr>
    </w:tbl>
    <w:p>
      <w:pPr>
        <w:pStyle w:val="BodyText"/>
        <w:spacing w:line="357" w:lineRule="auto" w:before="51"/>
        <w:ind w:left="534" w:right="0" w:hanging="381"/>
        <w:jc w:val="left"/>
      </w:pPr>
      <w:r>
        <w:rPr/>
        <w:t>以上项目对公司未来发展的影响： 信源豆豆是新一代互联网安全聚合通道，采用服务端、通道、客户端三端加密，通信、存储、访问、使用模式四重防</w:t>
      </w:r>
    </w:p>
    <w:p>
      <w:pPr>
        <w:pStyle w:val="BodyText"/>
        <w:spacing w:line="224" w:lineRule="exact"/>
        <w:ind w:left="153" w:right="0"/>
        <w:jc w:val="both"/>
      </w:pPr>
      <w:r>
        <w:rPr/>
        <w:t>护，真正实现即时通信和移动办公的数据安全。信源豆豆不仅仅是安全的即时通信，也是一个应用支撑平台，可为企业办公</w:t>
      </w:r>
    </w:p>
    <w:p>
      <w:pPr>
        <w:pStyle w:val="BodyText"/>
        <w:spacing w:line="319" w:lineRule="auto" w:before="76"/>
        <w:ind w:left="153" w:right="1129"/>
        <w:jc w:val="both"/>
      </w:pPr>
      <w:r>
        <w:rPr>
          <w:spacing w:val="-2"/>
        </w:rPr>
        <w:t>自动化、企业或组织的业务应用系统、互联网应用等提供统一的安全通信和办公平台。信源豆豆更是新一代互联网安全聚合</w:t>
      </w:r>
      <w:r>
        <w:rPr>
          <w:spacing w:val="-66"/>
        </w:rPr>
        <w:t> </w:t>
      </w:r>
      <w:r>
        <w:rPr>
          <w:spacing w:val="-66"/>
        </w:rPr>
      </w:r>
      <w:r>
        <w:rPr>
          <w:spacing w:val="-2"/>
        </w:rPr>
        <w:t>通道，可以与物联网融合，可以在网络通信中嵌入智能机器人，实现基于会话内容的对话助手，构建基于信源豆豆的基础社</w:t>
      </w:r>
      <w:r>
        <w:rPr>
          <w:spacing w:val="-66"/>
        </w:rPr>
        <w:t> </w:t>
      </w:r>
      <w:r>
        <w:rPr>
          <w:spacing w:val="-66"/>
        </w:rPr>
      </w:r>
      <w:r>
        <w:rPr/>
        <w:t>交网络的聚合应用平台，进一步拓展社交网络通信系统的</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功能。</w:t>
      </w:r>
    </w:p>
    <w:p>
      <w:pPr>
        <w:pStyle w:val="BodyText"/>
        <w:spacing w:line="312" w:lineRule="auto" w:before="36"/>
        <w:ind w:left="153" w:right="1129" w:firstLine="373"/>
        <w:jc w:val="both"/>
      </w:pPr>
      <w:r>
        <w:rPr/>
        <w:t>网络安全应急协调联动平台由一个核心平台和两类支撑系统组成，以核心平台（三个子系统）为核心支撑，以安全事 件</w:t>
      </w:r>
      <w:r>
        <w:rPr>
          <w:rFonts w:ascii="Times New Roman" w:hAnsi="Times New Roman" w:cs="Times New Roman" w:eastAsia="Times New Roman" w:hint="default"/>
        </w:rPr>
        <w:t>/</w:t>
      </w:r>
      <w:r>
        <w:rPr/>
        <w:t>风险上报、研判、处置、督促、反馈、预案管理等为基本功能，形成多级应急联动处置体系，以监测预警类系统（监测</w:t>
      </w:r>
      <w:r>
        <w:rPr>
          <w:spacing w:val="-51"/>
        </w:rPr>
        <w:t> </w:t>
      </w:r>
      <w:r>
        <w:rPr>
          <w:spacing w:val="-51"/>
        </w:rPr>
      </w:r>
      <w:r>
        <w:rPr>
          <w:spacing w:val="-2"/>
        </w:rPr>
        <w:t>系统和资产发现系统）和现场应急处置类系统（应急工具和服务）为技术支撑，形成完整的应急联动处置机制。使各行业用</w:t>
      </w:r>
      <w:r>
        <w:rPr>
          <w:spacing w:val="-66"/>
        </w:rPr>
        <w:t> </w:t>
      </w:r>
      <w:r>
        <w:rPr>
          <w:spacing w:val="-66"/>
        </w:rPr>
      </w:r>
      <w:r>
        <w:rPr/>
        <w:t>户单位能够采用技术手段构建一套网络安全应急事件的联动处理工作平台，提高应急联动协同处置能力。</w:t>
      </w:r>
    </w:p>
    <w:p>
      <w:pPr>
        <w:pStyle w:val="BodyText"/>
        <w:spacing w:line="309" w:lineRule="auto" w:before="22"/>
        <w:ind w:right="1035" w:firstLine="360"/>
        <w:jc w:val="left"/>
      </w:pPr>
      <w:r>
        <w:rPr>
          <w:spacing w:val="-3"/>
        </w:rPr>
        <w:t>智慧终端一体化管理平台采用</w:t>
      </w:r>
      <w:r>
        <w:rPr>
          <w:rFonts w:ascii="Times New Roman" w:hAnsi="Times New Roman" w:cs="Times New Roman" w:eastAsia="Times New Roman" w:hint="default"/>
          <w:spacing w:val="-3"/>
        </w:rPr>
        <w:t>“</w:t>
      </w:r>
      <w:r>
        <w:rPr>
          <w:spacing w:val="-3"/>
        </w:rPr>
        <w:t>云管端</w:t>
      </w:r>
      <w:r>
        <w:rPr>
          <w:rFonts w:ascii="Times New Roman" w:hAnsi="Times New Roman" w:cs="Times New Roman" w:eastAsia="Times New Roman" w:hint="default"/>
          <w:spacing w:val="-3"/>
        </w:rPr>
        <w:t>”</w:t>
      </w:r>
      <w:r>
        <w:rPr>
          <w:spacing w:val="-3"/>
        </w:rPr>
        <w:t>的理念，应用面向服务的</w:t>
      </w:r>
      <w:r>
        <w:rPr>
          <w:rFonts w:ascii="Times New Roman" w:hAnsi="Times New Roman" w:cs="Times New Roman" w:eastAsia="Times New Roman" w:hint="default"/>
          <w:spacing w:val="-3"/>
        </w:rPr>
        <w:t>SQA</w:t>
      </w:r>
      <w:r>
        <w:rPr>
          <w:spacing w:val="-3"/>
        </w:rPr>
        <w:t>架构，构建具备水平扩展能力的云计算和存储平台，</w:t>
      </w:r>
      <w:r>
        <w:rPr/>
        <w:t> </w:t>
      </w:r>
      <w:r>
        <w:rPr>
          <w:spacing w:val="-2"/>
        </w:rPr>
        <w:t>实现数据、策略、展示一体化管理。同时，通过对各类型终端功能和逻辑的抽象，形成统一的轻量级泛终端框架，支持安全</w:t>
      </w:r>
      <w:r>
        <w:rPr>
          <w:spacing w:val="-68"/>
        </w:rPr>
        <w:t> </w:t>
      </w:r>
      <w:r>
        <w:rPr>
          <w:spacing w:val="-68"/>
        </w:rPr>
      </w:r>
      <w:r>
        <w:rPr/>
        <w:t>策略的按需弹性动态部署和执行，实现了终端的一体化管理。</w:t>
      </w:r>
    </w:p>
    <w:p>
      <w:pPr>
        <w:pStyle w:val="BodyText"/>
        <w:spacing w:line="316" w:lineRule="auto" w:before="24"/>
        <w:ind w:right="1119" w:firstLine="360"/>
        <w:jc w:val="left"/>
      </w:pPr>
      <w:r>
        <w:rPr>
          <w:spacing w:val="-2"/>
        </w:rPr>
        <w:t>智慧数据安全防护系统和智慧边界接入控制系统是基于智慧终端一体化管理平台产品。这两类产品使得业务信息系统安</w:t>
      </w:r>
      <w:r>
        <w:rPr/>
        <w:t> 全边界更加清晰，数据安全策略的定制、分发和执行变得更为简单，有效降低业务终端、网络、存储的载荷，</w:t>
      </w:r>
      <w:r>
        <w:rPr>
          <w:spacing w:val="1"/>
        </w:rPr>
        <w:t> </w:t>
      </w:r>
      <w:r>
        <w:rPr/>
        <w:t>从而为用户</w:t>
      </w:r>
    </w:p>
    <w:p>
      <w:pPr>
        <w:spacing w:after="0" w:line="316" w:lineRule="auto"/>
        <w:jc w:val="left"/>
        <w:sectPr>
          <w:pgSz w:w="11910" w:h="16840"/>
          <w:pgMar w:header="747" w:footer="1190" w:top="1060" w:bottom="13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43" w:right="0" w:hanging="390"/>
        <w:jc w:val="left"/>
      </w:pPr>
      <w:r>
        <w:rPr/>
        <w:t>提供更绿色、更快捷、更安全、更稳定的安全防护应用。 网络与终端安全和行为大数据分析系统采集系统基础数据、终端行为数据、终端通信数据、网络协议数据、用户使用</w:t>
      </w:r>
    </w:p>
    <w:p>
      <w:pPr>
        <w:pStyle w:val="BodyText"/>
        <w:spacing w:line="316" w:lineRule="auto" w:before="19"/>
        <w:ind w:left="153" w:right="1031"/>
        <w:jc w:val="left"/>
      </w:pPr>
      <w:r>
        <w:rPr>
          <w:spacing w:val="-4"/>
        </w:rPr>
        <w:t>行为等实时信息和历史数据，进行收集、转换和存储，进而进行数据挖掘和机器学习，实现未知攻击、僵尸网络、数据异常、</w:t>
      </w:r>
      <w:r>
        <w:rPr>
          <w:spacing w:val="-44"/>
        </w:rPr>
        <w:t> </w:t>
      </w:r>
      <w:r>
        <w:rPr>
          <w:spacing w:val="-44"/>
        </w:rPr>
      </w:r>
      <w:r>
        <w:rPr>
          <w:spacing w:val="-2"/>
        </w:rPr>
        <w:t>未知漏洞利用等风险识别及分析，达到安全数据取证功能和海量数据综合分析能力，为企业的战略决策，提供了可靠的数据</w:t>
      </w:r>
      <w:r>
        <w:rPr>
          <w:spacing w:val="-66"/>
        </w:rPr>
        <w:t> </w:t>
      </w:r>
      <w:r>
        <w:rPr>
          <w:spacing w:val="-66"/>
        </w:rPr>
      </w:r>
      <w:r>
        <w:rPr/>
        <w:t>支持。</w:t>
      </w:r>
    </w:p>
    <w:p>
      <w:pPr>
        <w:pStyle w:val="BodyText"/>
        <w:spacing w:line="300" w:lineRule="auto" w:before="19"/>
        <w:ind w:left="153" w:right="1128" w:firstLine="373"/>
        <w:jc w:val="both"/>
      </w:pPr>
      <w:r>
        <w:rPr/>
        <w:t>打印复印及刻录安全监控与审计系统针对涉密单位打印、复印、光盘刻录管控要求，实现四集中管控：</w:t>
      </w:r>
      <w:r>
        <w:rPr>
          <w:rFonts w:ascii="Times New Roman" w:hAnsi="Times New Roman" w:cs="Times New Roman" w:eastAsia="Times New Roman" w:hint="default"/>
        </w:rPr>
        <w:t>“</w:t>
      </w:r>
      <w:r>
        <w:rPr/>
        <w:t>集中管控打印 机、复印机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集中涉密载体管理</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集中管控刻录机</w:t>
      </w:r>
      <w:r>
        <w:rPr>
          <w:rFonts w:ascii="Times New Roman" w:hAnsi="Times New Roman" w:cs="Times New Roman" w:eastAsia="Times New Roman" w:hint="default"/>
        </w:rPr>
        <w:t>”</w:t>
      </w:r>
      <w:r>
        <w:rPr/>
        <w:t>，基于条码技术，从文件的产生、流转、归档、销毁的全生命周期</w:t>
      </w:r>
      <w:r>
        <w:rPr>
          <w:spacing w:val="-44"/>
        </w:rPr>
        <w:t> </w:t>
      </w:r>
      <w:r>
        <w:rPr>
          <w:spacing w:val="-44"/>
        </w:rPr>
      </w:r>
      <w:r>
        <w:rPr/>
        <w:t>的各环节进行安全处理和管控，同时建立全生命周期过程中的审计、日志系统，对文件的安全流转进行全程监控。</w:t>
      </w:r>
    </w:p>
    <w:p>
      <w:pPr>
        <w:pStyle w:val="BodyText"/>
        <w:spacing w:line="312" w:lineRule="auto" w:before="31"/>
        <w:ind w:left="153" w:right="1130" w:firstLine="360"/>
        <w:jc w:val="both"/>
      </w:pPr>
      <w:r>
        <w:rPr>
          <w:spacing w:val="-2"/>
        </w:rPr>
        <w:t>服务器配置检查系统是专门针对服务器系统开发的一款配置检查系统，可以帮助企业</w:t>
      </w:r>
      <w:r>
        <w:rPr>
          <w:rFonts w:ascii="Times New Roman" w:hAnsi="Times New Roman" w:cs="Times New Roman" w:eastAsia="Times New Roman" w:hint="default"/>
          <w:spacing w:val="-2"/>
        </w:rPr>
        <w:t>IT</w:t>
      </w:r>
      <w:r>
        <w:rPr>
          <w:spacing w:val="-2"/>
        </w:rPr>
        <w:t>管理员即时掌握所有服务器的最</w:t>
      </w:r>
      <w:r>
        <w:rPr/>
        <w:t> </w:t>
      </w:r>
      <w:r>
        <w:rPr>
          <w:spacing w:val="-2"/>
        </w:rPr>
        <w:t>新配置状态，针对不合规的配置项，采取有效措施，快速消除风险隐患，有效提高企业的服务器配置管理水平。配置检查服</w:t>
      </w:r>
      <w:r>
        <w:rPr>
          <w:spacing w:val="-66"/>
        </w:rPr>
        <w:t> </w:t>
      </w:r>
      <w:r>
        <w:rPr>
          <w:spacing w:val="-66"/>
        </w:rPr>
      </w:r>
      <w:r>
        <w:rPr>
          <w:spacing w:val="-2"/>
        </w:rPr>
        <w:t>务主要包括漏洞检查、端口扫描、配置基线、杀毒软件、安全合规检查、痕迹检查、用户账户和配置检查扩展接口等。通过</w:t>
      </w:r>
      <w:r>
        <w:rPr>
          <w:spacing w:val="-65"/>
        </w:rPr>
        <w:t> </w:t>
      </w:r>
      <w:r>
        <w:rPr>
          <w:spacing w:val="-65"/>
        </w:rPr>
      </w:r>
      <w:r>
        <w:rPr/>
        <w:t>服务器配置检查系统自动化的检查手段做保障，提升服务器配置检查效率，从而快速应对企业安全发展需要。</w:t>
      </w:r>
    </w:p>
    <w:p>
      <w:pPr>
        <w:pStyle w:val="BodyText"/>
        <w:spacing w:line="307" w:lineRule="auto" w:before="22"/>
        <w:ind w:left="153" w:right="1031" w:firstLine="360"/>
        <w:jc w:val="left"/>
      </w:pPr>
      <w:r>
        <w:rPr>
          <w:spacing w:val="-2"/>
        </w:rPr>
        <w:t>安全免疫移动硬盘是一种用于保护数据安全的</w:t>
      </w:r>
      <w:r>
        <w:rPr>
          <w:rFonts w:ascii="Times New Roman" w:hAnsi="Times New Roman" w:cs="Times New Roman" w:eastAsia="Times New Roman" w:hint="default"/>
          <w:spacing w:val="-2"/>
        </w:rPr>
        <w:t>USB</w:t>
      </w:r>
      <w:r>
        <w:rPr>
          <w:spacing w:val="-2"/>
        </w:rPr>
        <w:t>移动硬盘，除移动硬盘基本功能外还包括采集信息工具、信息录入工</w:t>
      </w:r>
      <w:r>
        <w:rPr/>
        <w:t> 具、系统授权工具等模块组成，具有两种使用模式：</w:t>
      </w:r>
      <w:r>
        <w:rPr>
          <w:rFonts w:ascii="Times New Roman" w:hAnsi="Times New Roman" w:cs="Times New Roman" w:eastAsia="Times New Roman" w:hint="default"/>
        </w:rPr>
        <w:t>“</w:t>
      </w:r>
      <w:r>
        <w:rPr/>
        <w:t>内网专用安全移动硬盘</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单向导入安全移动硬盘</w:t>
      </w:r>
      <w:r>
        <w:rPr>
          <w:rFonts w:ascii="Times New Roman" w:hAnsi="Times New Roman" w:cs="Times New Roman" w:eastAsia="Times New Roman" w:hint="default"/>
        </w:rPr>
        <w:t>”</w:t>
      </w:r>
      <w:r>
        <w:rPr/>
        <w:t>。内网专用安全移 动硬盘主要用于内网数据备份存储与内部流转场景，单向导入安全移动硬盘用于外部数据单向导入防止内部数据外泄场景。 安全免疫移动硬盘可有效解决由计算机病毒、系统漏洞、隐蔽访问通道、黑客攻击等造成敏感数据泄密等问题。</w:t>
      </w:r>
    </w:p>
    <w:p>
      <w:pPr>
        <w:pStyle w:val="BodyText"/>
        <w:spacing w:line="309" w:lineRule="auto" w:before="26"/>
        <w:ind w:right="1129" w:firstLine="360"/>
        <w:jc w:val="both"/>
      </w:pPr>
      <w:r>
        <w:rPr>
          <w:spacing w:val="-2"/>
        </w:rPr>
        <w:t>主机监控与审计系统国产专用计算机版作为实现国家信息安全战略</w:t>
      </w:r>
      <w:r>
        <w:rPr>
          <w:rFonts w:ascii="Times New Roman" w:hAnsi="Times New Roman" w:cs="Times New Roman" w:eastAsia="Times New Roman" w:hint="default"/>
          <w:spacing w:val="-2"/>
        </w:rPr>
        <w:t>“</w:t>
      </w:r>
      <w:r>
        <w:rPr>
          <w:spacing w:val="-2"/>
        </w:rPr>
        <w:t>安全可控</w:t>
      </w:r>
      <w:r>
        <w:rPr>
          <w:rFonts w:ascii="Times New Roman" w:hAnsi="Times New Roman" w:cs="Times New Roman" w:eastAsia="Times New Roman" w:hint="default"/>
          <w:spacing w:val="-2"/>
        </w:rPr>
        <w:t>”</w:t>
      </w:r>
      <w:r>
        <w:rPr>
          <w:spacing w:val="-2"/>
        </w:rPr>
        <w:t>的一部分，在国产化专用计算下应用场景</w:t>
      </w:r>
      <w:r>
        <w:rPr/>
        <w:t> </w:t>
      </w:r>
      <w:r>
        <w:rPr>
          <w:spacing w:val="-2"/>
        </w:rPr>
        <w:t>下，实现对主机运行、用户访问行为的细粒度审计和管理。实现了专用计算机的运行安全管理、运行状态监视、终端用户对</w:t>
      </w:r>
      <w:r>
        <w:rPr>
          <w:spacing w:val="-66"/>
        </w:rPr>
        <w:t> </w:t>
      </w:r>
      <w:r>
        <w:rPr>
          <w:spacing w:val="-66"/>
        </w:rPr>
      </w:r>
      <w:r>
        <w:rPr>
          <w:spacing w:val="-2"/>
        </w:rPr>
        <w:t>系统和文件访问行为、文档输出行为、系统账户事件等进行全程跟踪审计，为安全事件追踪分析提供分析依据。已完成了对</w:t>
      </w:r>
      <w:r>
        <w:rPr>
          <w:spacing w:val="-66"/>
        </w:rPr>
        <w:t> </w:t>
      </w:r>
      <w:r>
        <w:rPr>
          <w:spacing w:val="-66"/>
        </w:rPr>
      </w:r>
      <w:r>
        <w:rPr>
          <w:spacing w:val="-2"/>
        </w:rPr>
        <w:t>国产化安全可控的硬件和软件环境的适配，从芯片、</w:t>
      </w:r>
      <w:r>
        <w:rPr>
          <w:rFonts w:ascii="Times New Roman" w:hAnsi="Times New Roman" w:cs="Times New Roman" w:eastAsia="Times New Roman" w:hint="default"/>
          <w:spacing w:val="-2"/>
        </w:rPr>
        <w:t>CPU</w:t>
      </w:r>
      <w:r>
        <w:rPr>
          <w:spacing w:val="-2"/>
        </w:rPr>
        <w:t>到板卡，从操作系统、数据库到应用软件，实现了真正意义上的国</w:t>
      </w:r>
      <w:r>
        <w:rPr>
          <w:spacing w:val="-57"/>
        </w:rPr>
        <w:t> </w:t>
      </w:r>
      <w:r>
        <w:rPr>
          <w:spacing w:val="-57"/>
        </w:rPr>
      </w:r>
      <w:r>
        <w:rPr/>
        <w:t>产、安全、可控，有效保护了信息资产的安全。</w:t>
      </w:r>
    </w:p>
    <w:p>
      <w:pPr>
        <w:pStyle w:val="BodyText"/>
        <w:spacing w:line="314" w:lineRule="auto" w:before="24"/>
        <w:ind w:right="1128" w:firstLine="360"/>
        <w:jc w:val="both"/>
      </w:pPr>
      <w:r>
        <w:rPr>
          <w:spacing w:val="-2"/>
        </w:rPr>
        <w:t>虚拟化终端安全管理系统针对虚拟化环境下的新型安全问题，以虚拟机为核心保护对象进行全面管控，从边界安全、主</w:t>
      </w:r>
      <w:r>
        <w:rPr/>
        <w:t> </w:t>
      </w:r>
      <w:r>
        <w:rPr>
          <w:spacing w:val="-2"/>
        </w:rPr>
        <w:t>机安全、数据安全、安全监控和安全审计多维度实现安全防护，保障虚拟桌面终端和企业信息资产的安全。该系统通过与虚</w:t>
      </w:r>
      <w:r>
        <w:rPr>
          <w:spacing w:val="-66"/>
        </w:rPr>
        <w:t> </w:t>
      </w:r>
      <w:r>
        <w:rPr>
          <w:spacing w:val="-66"/>
        </w:rPr>
      </w:r>
      <w:r>
        <w:rPr>
          <w:spacing w:val="-2"/>
        </w:rPr>
        <w:t>拟化平台深度结合，采用在虚拟化领用领先的</w:t>
      </w:r>
      <w:r>
        <w:rPr>
          <w:rFonts w:ascii="Times New Roman" w:hAnsi="Times New Roman" w:cs="Times New Roman" w:eastAsia="Times New Roman" w:hint="default"/>
          <w:spacing w:val="-2"/>
        </w:rPr>
        <w:t>“</w:t>
      </w:r>
      <w:r>
        <w:rPr>
          <w:spacing w:val="-2"/>
        </w:rPr>
        <w:t>无代理、轻代理</w:t>
      </w:r>
      <w:r>
        <w:rPr>
          <w:rFonts w:ascii="Times New Roman" w:hAnsi="Times New Roman" w:cs="Times New Roman" w:eastAsia="Times New Roman" w:hint="default"/>
          <w:spacing w:val="-2"/>
        </w:rPr>
        <w:t>”</w:t>
      </w:r>
      <w:r>
        <w:rPr>
          <w:spacing w:val="-2"/>
        </w:rPr>
        <w:t>的技术实现思路，确保虚拟主机安全的同时极大的降低了对</w:t>
      </w:r>
      <w:r>
        <w:rPr>
          <w:spacing w:val="-44"/>
        </w:rPr>
        <w:t> </w:t>
      </w:r>
      <w:r>
        <w:rPr>
          <w:spacing w:val="-44"/>
        </w:rPr>
      </w:r>
      <w:r>
        <w:rPr>
          <w:spacing w:val="-2"/>
        </w:rPr>
        <w:t>系统资源和网络带宽资源的消耗，该系统安全功能实现覆盖了虚拟化环境下的三种不同的虚拟主机类型（在线虚拟机、离线</w:t>
      </w:r>
      <w:r>
        <w:rPr>
          <w:spacing w:val="-66"/>
        </w:rPr>
        <w:t> </w:t>
      </w:r>
      <w:r>
        <w:rPr>
          <w:spacing w:val="-66"/>
        </w:rPr>
      </w:r>
      <w:r>
        <w:rPr>
          <w:spacing w:val="-2"/>
        </w:rPr>
        <w:t>虚拟机、虚拟机模板），为用户管理提供灵活选择。实现对异构虚拟化平台的支持，支持国内外主流虚拟化厂商产品，极大</w:t>
      </w:r>
      <w:r>
        <w:rPr>
          <w:spacing w:val="-68"/>
        </w:rPr>
        <w:t> </w:t>
      </w:r>
      <w:r>
        <w:rPr>
          <w:spacing w:val="-68"/>
        </w:rPr>
      </w:r>
      <w:r>
        <w:rPr/>
        <w:t>保护了用户信息化投资。</w:t>
      </w:r>
    </w:p>
    <w:p>
      <w:pPr>
        <w:pStyle w:val="BodyText"/>
        <w:spacing w:line="316" w:lineRule="auto" w:before="61"/>
        <w:ind w:right="0" w:firstLine="360"/>
        <w:jc w:val="left"/>
      </w:pPr>
      <w:r>
        <w:rPr>
          <w:spacing w:val="-2"/>
        </w:rPr>
        <w:t>服务器安全运营管理平台，针对传统的安全防护体系容易忽略主机自身安全防护的问题，以服务器加固为核心在服务器</w:t>
      </w:r>
      <w:r>
        <w:rPr/>
        <w:t> </w:t>
      </w:r>
      <w:r>
        <w:rPr>
          <w:spacing w:val="-2"/>
        </w:rPr>
        <w:t>操作系统的基础上，通过安装安全类软件或手动修改操作系统配置的形式，从安全管理、运行安全、数据安全等角度提升操</w:t>
      </w:r>
      <w:r>
        <w:rPr>
          <w:spacing w:val="-66"/>
        </w:rPr>
        <w:t> </w:t>
      </w:r>
      <w:r>
        <w:rPr>
          <w:spacing w:val="-66"/>
        </w:rPr>
      </w:r>
      <w:r>
        <w:rPr>
          <w:spacing w:val="-2"/>
        </w:rPr>
        <w:t>作系统安全防护强度，保障重要信息系统安全。通过对服务器的操作系统进行安全加固，从系统底层为出发点，以可信计算</w:t>
      </w:r>
      <w:r>
        <w:rPr>
          <w:spacing w:val="-66"/>
        </w:rPr>
        <w:t> </w:t>
      </w:r>
      <w:r>
        <w:rPr>
          <w:spacing w:val="-66"/>
        </w:rPr>
      </w:r>
      <w:r>
        <w:rPr>
          <w:spacing w:val="-2"/>
        </w:rPr>
        <w:t>技术为基础、访问控制为核心，保证服务器的安全，形成严密的安全保护环境，抵御病毒木马等恶意代码的入侵行为。通过</w:t>
      </w:r>
      <w:r>
        <w:rPr>
          <w:spacing w:val="-66"/>
        </w:rPr>
        <w:t> </w:t>
      </w:r>
      <w:r>
        <w:rPr>
          <w:spacing w:val="-66"/>
        </w:rPr>
      </w:r>
      <w:r>
        <w:rPr>
          <w:spacing w:val="-4"/>
        </w:rPr>
        <w:t>对用户行为的控制，有效的防止非授权用户访问和授权用户的越权访问行为的发生，确保信息和信息系统的机密性和完整性，</w:t>
      </w:r>
      <w:r>
        <w:rPr>
          <w:spacing w:val="-44"/>
        </w:rPr>
        <w:t> </w:t>
      </w:r>
      <w:r>
        <w:rPr>
          <w:spacing w:val="-44"/>
        </w:rPr>
      </w:r>
      <w:r>
        <w:rPr>
          <w:spacing w:val="-4"/>
        </w:rPr>
        <w:t>从而为应用系统的正常运行和免遭恶意破坏提供支撑和保障。通过对操作系统本身的安全加固，打造服务器本身的免疫系统。</w:t>
      </w:r>
      <w:r>
        <w:rPr>
          <w:spacing w:val="-44"/>
        </w:rPr>
        <w:t> </w:t>
      </w:r>
      <w:r>
        <w:rPr>
          <w:spacing w:val="-44"/>
        </w:rPr>
      </w:r>
      <w:r>
        <w:rPr>
          <w:spacing w:val="-2"/>
        </w:rPr>
        <w:t>可以有效的规避因打补丁给服务器带来的风险，切断黑客的攻击途径。同时，本方案通过主动防御和防网络攻击等功能弥补</w:t>
      </w:r>
      <w:r>
        <w:rPr>
          <w:spacing w:val="-66"/>
        </w:rPr>
        <w:t> </w:t>
      </w:r>
      <w:r>
        <w:rPr>
          <w:spacing w:val="-66"/>
        </w:rPr>
      </w:r>
      <w:r>
        <w:rPr>
          <w:spacing w:val="-2"/>
        </w:rPr>
        <w:t>了传统安全产品的不足，避免出现信息安全的短板效应，提高了系统的整体防御能力。通过构建统一安全管理平台（安全管</w:t>
      </w:r>
      <w:r>
        <w:rPr>
          <w:spacing w:val="-66"/>
        </w:rPr>
        <w:t> </w:t>
      </w:r>
      <w:r>
        <w:rPr>
          <w:spacing w:val="-66"/>
        </w:rPr>
      </w:r>
      <w:r>
        <w:rPr>
          <w:spacing w:val="-2"/>
        </w:rPr>
        <w:t>理中心），对整个网络系统的服务器统一管理、集中控制，保证各项安全机制的高度协调统一。消除各个服务器由于配置不</w:t>
      </w:r>
      <w:r>
        <w:rPr>
          <w:spacing w:val="-65"/>
        </w:rPr>
        <w:t> </w:t>
      </w:r>
      <w:r>
        <w:rPr>
          <w:spacing w:val="-65"/>
        </w:rPr>
      </w:r>
      <w:r>
        <w:rPr/>
        <w:t>同造成的安全隐患，最终构建一道针对整个服务器系统的整体安全防线，有效保护服务器系统中的信息安全。</w:t>
      </w:r>
    </w:p>
    <w:p>
      <w:pPr>
        <w:pStyle w:val="BodyText"/>
        <w:spacing w:line="319" w:lineRule="auto" w:before="58"/>
        <w:ind w:right="1129" w:firstLine="360"/>
        <w:jc w:val="both"/>
      </w:pPr>
      <w:r>
        <w:rPr>
          <w:spacing w:val="-2"/>
        </w:rPr>
        <w:t>特权账号生命周期管控系统提供了从账号发现、账号自动改密、密码安全存储、账号授权到账号回收的特权账号全生命</w:t>
      </w:r>
      <w:r>
        <w:rPr/>
        <w:t> </w:t>
      </w:r>
      <w:r>
        <w:rPr>
          <w:spacing w:val="-2"/>
        </w:rPr>
        <w:t>周期管控，产品作为运维的统一入口，提供单点登录功能，登录时自动回填用户名密码，通过对账号权限的配置，实现特权</w:t>
      </w:r>
      <w:r>
        <w:rPr>
          <w:spacing w:val="-66"/>
        </w:rPr>
        <w:t> </w:t>
      </w:r>
      <w:r>
        <w:rPr>
          <w:spacing w:val="-66"/>
        </w:rPr>
      </w:r>
      <w:r>
        <w:rPr>
          <w:spacing w:val="-2"/>
        </w:rPr>
        <w:t>账号最小权限，同时强化运维人员的身份认证，确保只有符合要求的运维用户才能够进行安全运维，从而加强对后端资产的</w:t>
      </w:r>
      <w:r>
        <w:rPr>
          <w:spacing w:val="-66"/>
        </w:rPr>
        <w:t> </w:t>
      </w:r>
      <w:r>
        <w:rPr>
          <w:spacing w:val="-66"/>
        </w:rPr>
      </w:r>
      <w:r>
        <w:rPr>
          <w:spacing w:val="-2"/>
        </w:rPr>
        <w:t>安全保护。同时，提供全程运维审计功能，通过审计功能可对运维用户的操作行为进行检索及全程回放，保障违规操作可溯</w:t>
      </w:r>
      <w:r>
        <w:rPr>
          <w:spacing w:val="-66"/>
        </w:rPr>
        <w:t> </w:t>
      </w:r>
      <w:r>
        <w:rPr>
          <w:spacing w:val="-66"/>
        </w:rPr>
      </w:r>
      <w:r>
        <w:rPr/>
        <w:t>源，构建账号可管理、权限可控制、身份可认证、行为可审计、事件可溯源、违规可举证、事故可追责的安全平台。</w:t>
      </w:r>
    </w:p>
    <w:p>
      <w:pPr>
        <w:pStyle w:val="BodyText"/>
        <w:spacing w:line="300" w:lineRule="auto" w:before="55"/>
        <w:ind w:right="1129" w:firstLine="360"/>
        <w:jc w:val="both"/>
      </w:pPr>
      <w:r>
        <w:rPr>
          <w:spacing w:val="-2"/>
        </w:rPr>
        <w:t>主机</w:t>
      </w:r>
      <w:r>
        <w:rPr>
          <w:rFonts w:ascii="Times New Roman" w:hAnsi="Times New Roman" w:cs="Times New Roman" w:eastAsia="Times New Roman" w:hint="default"/>
          <w:spacing w:val="-2"/>
        </w:rPr>
        <w:t>EDR</w:t>
      </w:r>
      <w:r>
        <w:rPr>
          <w:spacing w:val="-2"/>
        </w:rPr>
        <w:t>系统通过主机检测引擎和主机修复引擎采集主机系统中的文件、进程、配置、软件等相关信息，交由主机安全</w:t>
      </w:r>
      <w:r>
        <w:rPr/>
        <w:t> </w:t>
      </w:r>
      <w:r>
        <w:rPr>
          <w:spacing w:val="-2"/>
        </w:rPr>
        <w:t>管理平台进行集中管理和维护，从而能够资产管理、安全基线管理、弱口令管理、主机漏洞管理、网站漏洞管理等多方面及</w:t>
      </w:r>
    </w:p>
    <w:p>
      <w:pPr>
        <w:spacing w:after="0" w:line="300" w:lineRule="auto"/>
        <w:jc w:val="both"/>
        <w:sectPr>
          <w:footerReference w:type="default" r:id="rId14"/>
          <w:pgSz w:w="11910" w:h="16840"/>
          <w:pgMar w:footer="1190" w:header="747" w:top="1060" w:bottom="1380" w:left="980" w:right="0"/>
          <w:pgNumType w:start="29"/>
        </w:sectPr>
      </w:pPr>
    </w:p>
    <w:p>
      <w:pPr>
        <w:spacing w:line="240" w:lineRule="auto" w:before="12"/>
        <w:rPr>
          <w:rFonts w:ascii="宋体" w:hAnsi="宋体" w:cs="宋体" w:eastAsia="宋体" w:hint="default"/>
          <w:sz w:val="25"/>
          <w:szCs w:val="25"/>
        </w:rPr>
      </w:pPr>
    </w:p>
    <w:p>
      <w:pPr>
        <w:pStyle w:val="BodyText"/>
        <w:spacing w:line="309" w:lineRule="auto" w:before="44"/>
        <w:ind w:left="153" w:right="1131"/>
        <w:jc w:val="both"/>
      </w:pPr>
      <w:r>
        <w:rPr>
          <w:spacing w:val="-2"/>
        </w:rPr>
        <w:t>时有效的发现主机系统存在的安全问题。主机</w:t>
      </w:r>
      <w:r>
        <w:rPr>
          <w:rFonts w:ascii="Times New Roman" w:hAnsi="Times New Roman" w:cs="Times New Roman" w:eastAsia="Times New Roman" w:hint="default"/>
          <w:spacing w:val="-2"/>
        </w:rPr>
        <w:t>EDR</w:t>
      </w:r>
      <w:r>
        <w:rPr>
          <w:spacing w:val="-2"/>
        </w:rPr>
        <w:t>系统能够从主机安全的多方面出发，全面监控系统的安全状态。不仅能够</w:t>
      </w:r>
      <w:r>
        <w:rPr>
          <w:spacing w:val="-65"/>
        </w:rPr>
        <w:t> </w:t>
      </w:r>
      <w:r>
        <w:rPr>
          <w:spacing w:val="-65"/>
        </w:rPr>
      </w:r>
      <w:r>
        <w:rPr>
          <w:spacing w:val="-2"/>
        </w:rPr>
        <w:t>针对主机进行某一方面的安全检测，还提供对整个主机安全状况的全面测评，生成专家级的主机安全统计分析报告，方便用</w:t>
      </w:r>
      <w:r>
        <w:rPr>
          <w:spacing w:val="-66"/>
        </w:rPr>
        <w:t> </w:t>
      </w:r>
      <w:r>
        <w:rPr>
          <w:spacing w:val="-66"/>
        </w:rPr>
      </w:r>
      <w:r>
        <w:rPr/>
        <w:t>户追踪和定位主机中存在的安全问题。</w:t>
      </w:r>
    </w:p>
    <w:p>
      <w:pPr>
        <w:pStyle w:val="BodyText"/>
        <w:spacing w:line="316" w:lineRule="auto" w:before="62"/>
        <w:ind w:left="153" w:right="0" w:firstLine="360"/>
        <w:jc w:val="left"/>
      </w:pPr>
      <w:r>
        <w:rPr>
          <w:spacing w:val="-2"/>
        </w:rPr>
        <w:t>上述研发项目的研发将大大提升公司现有产品面的整体竞争力，为公司提供更为优质的销售资源，开拓业务增长点，提</w:t>
      </w:r>
      <w:r>
        <w:rPr/>
        <w:t> 升公司整体业绩和品牌形象。</w:t>
      </w:r>
    </w:p>
    <w:p>
      <w:pPr>
        <w:pStyle w:val="BodyText"/>
        <w:spacing w:line="240" w:lineRule="auto" w:before="59"/>
        <w:ind w:left="153" w:right="0"/>
        <w:jc w:val="both"/>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119,995,094.78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101,050,908.99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77,200,657.66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50,133,213.33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41,142,993.54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24,728,808.89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30.82%</w:t>
            </w:r>
          </w:p>
        </w:tc>
      </w:tr>
    </w:tbl>
    <w:p>
      <w:pPr>
        <w:pStyle w:val="BodyText"/>
        <w:spacing w:line="240" w:lineRule="auto" w:before="51"/>
        <w:ind w:right="0"/>
        <w:jc w:val="left"/>
      </w:pPr>
      <w:r>
        <w:rPr/>
        <w:t>研发投入总额占营业收入的比重较上年发生显著变化的原因</w:t>
      </w:r>
    </w:p>
    <w:p>
      <w:pPr>
        <w:pStyle w:val="BodyText"/>
        <w:spacing w:line="338" w:lineRule="auto" w:before="117"/>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440,915,751.78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403,982,758.47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528,149,262.97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492,198,084.67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-87,233,511.19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-88,215,326.20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2,903,846,255.88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5,903,600,942.11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3,204,834,795.42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6,152,876,995.42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-300,988,539.54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-249,276,053.31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58,408,846.21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24,215,765.73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141.20%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-58,408,846.21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18,784,234.27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-410.95%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-446,602,444.57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-318,593,402.94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相关数据同比发生重大变动的主要影响因素说明</w:t>
      </w:r>
    </w:p>
    <w:p>
      <w:pPr>
        <w:pStyle w:val="BodyText"/>
        <w:spacing w:line="240" w:lineRule="auto" w:before="116"/>
        <w:ind w:left="153" w:right="0"/>
        <w:jc w:val="left"/>
      </w:pPr>
      <w:r>
        <w:rPr/>
        <w:t>√ 适用 □ 不适用</w:t>
      </w:r>
    </w:p>
    <w:p>
      <w:pPr>
        <w:pStyle w:val="BodyText"/>
        <w:spacing w:line="316" w:lineRule="auto" w:before="116"/>
        <w:ind w:left="153" w:right="1094"/>
        <w:jc w:val="both"/>
      </w:pPr>
      <w:r>
        <w:rPr/>
        <w:t>1、投资活动产生的现金流量：（1）流入减少</w:t>
      </w:r>
      <w:r>
        <w:rPr>
          <w:spacing w:val="-46"/>
        </w:rPr>
        <w:t> </w:t>
      </w:r>
      <w:r>
        <w:rPr/>
        <w:t>50.81%，流出减少</w:t>
      </w:r>
      <w:r>
        <w:rPr>
          <w:spacing w:val="-46"/>
        </w:rPr>
        <w:t> </w:t>
      </w:r>
      <w:r>
        <w:rPr/>
        <w:t>47.91%，主要原因是：本年购买和收回的募集资金现金管</w:t>
      </w:r>
      <w:r>
        <w:rPr/>
        <w:t> 理产品累计金额降低所致；（2）投资活动产生的现金流量净额同比减少</w:t>
      </w:r>
      <w:r>
        <w:rPr>
          <w:spacing w:val="-46"/>
        </w:rPr>
        <w:t> </w:t>
      </w:r>
      <w:r>
        <w:rPr/>
        <w:t>20.75%，主要原因是：本年支付“北信源（南京）</w:t>
      </w:r>
      <w:r>
        <w:rPr/>
        <w:t> 研发运营基地项目”项目款项所致。</w:t>
      </w:r>
    </w:p>
    <w:p>
      <w:pPr>
        <w:pStyle w:val="BodyText"/>
        <w:spacing w:line="338" w:lineRule="auto" w:before="59"/>
        <w:ind w:left="153" w:right="1124"/>
        <w:jc w:val="left"/>
      </w:pPr>
      <w:r>
        <w:rPr>
          <w:spacing w:val="-3"/>
        </w:rPr>
        <w:t>2、筹资活动产生的现金流量净额同比减少</w:t>
      </w:r>
      <w:r>
        <w:rPr>
          <w:spacing w:val="-44"/>
        </w:rPr>
        <w:t> </w:t>
      </w:r>
      <w:r>
        <w:rPr>
          <w:spacing w:val="-10"/>
        </w:rPr>
        <w:t>410.95%，主要原因是：（1）流入减少</w:t>
      </w:r>
      <w:r>
        <w:rPr>
          <w:spacing w:val="-44"/>
        </w:rPr>
        <w:t> </w:t>
      </w:r>
      <w:r>
        <w:rPr>
          <w:spacing w:val="-8"/>
        </w:rPr>
        <w:t>100%，公司</w:t>
      </w:r>
      <w:r>
        <w:rPr>
          <w:spacing w:val="-44"/>
        </w:rPr>
        <w:t> </w:t>
      </w:r>
      <w:r>
        <w:rPr/>
        <w:t>2017</w:t>
      </w:r>
      <w:r>
        <w:rPr>
          <w:spacing w:val="-44"/>
        </w:rPr>
        <w:t> </w:t>
      </w:r>
      <w:r>
        <w:rPr/>
        <w:t>年进行银行债务融资</w:t>
      </w:r>
      <w:r>
        <w:rPr>
          <w:spacing w:val="-44"/>
        </w:rPr>
        <w:t> </w:t>
      </w:r>
      <w:r>
        <w:rPr/>
        <w:t>4,000</w:t>
      </w:r>
      <w:r>
        <w:rPr/>
        <w:t> 万元，2018</w:t>
      </w:r>
      <w:r>
        <w:rPr>
          <w:spacing w:val="-46"/>
        </w:rPr>
        <w:t> </w:t>
      </w:r>
      <w:r>
        <w:rPr/>
        <w:t>年未发生；（2）流出增加</w:t>
      </w:r>
      <w:r>
        <w:rPr>
          <w:spacing w:val="-46"/>
        </w:rPr>
        <w:t> </w:t>
      </w:r>
      <w:r>
        <w:rPr/>
        <w:t>141.20%，2018</w:t>
      </w:r>
      <w:r>
        <w:rPr>
          <w:spacing w:val="-46"/>
        </w:rPr>
        <w:t> </w:t>
      </w:r>
      <w:r>
        <w:rPr/>
        <w:t>年偿还银行借款</w:t>
      </w:r>
      <w:r>
        <w:rPr>
          <w:spacing w:val="-46"/>
        </w:rPr>
        <w:t> </w:t>
      </w:r>
      <w:r>
        <w:rPr/>
        <w:t>4,000</w:t>
      </w:r>
      <w:r>
        <w:rPr>
          <w:spacing w:val="-46"/>
        </w:rPr>
        <w:t> </w:t>
      </w:r>
      <w:r>
        <w:rPr/>
        <w:t>万元。</w:t>
      </w:r>
      <w:r>
        <w:rPr/>
        <w:t> 报告期内公司经营活动产生的现金净流量与本年度净利润存在重大差异的原因说明</w:t>
      </w:r>
    </w:p>
    <w:p>
      <w:pPr>
        <w:pStyle w:val="BodyText"/>
        <w:spacing w:line="240" w:lineRule="auto" w:before="4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三、非主营业务情况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363"/>
        <w:gridCol w:w="1182"/>
        <w:gridCol w:w="1056"/>
        <w:gridCol w:w="1315"/>
        <w:gridCol w:w="1056"/>
        <w:gridCol w:w="787"/>
        <w:gridCol w:w="2934"/>
      </w:tblGrid>
      <w:tr>
        <w:trPr>
          <w:trHeight w:val="383" w:hRule="exact"/>
        </w:trPr>
        <w:tc>
          <w:tcPr>
            <w:tcW w:w="1363" w:type="dxa"/>
            <w:vMerge w:val="restart"/>
            <w:tcBorders>
              <w:top w:val="single" w:sz="4" w:space="0" w:color="000000"/>
              <w:left w:val="single" w:sz="4" w:space="0" w:color="000000"/>
              <w:right w:val="single" w:sz="4" w:space="0" w:color="000000"/>
            </w:tcBorders>
            <w:shd w:val="clear" w:color="auto" w:fill="D3D3D3"/>
          </w:tcPr>
          <w:p>
            <w:pPr/>
          </w:p>
        </w:tc>
        <w:tc>
          <w:tcPr>
            <w:tcW w:w="223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37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3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2" w:hRule="exact"/>
        </w:trPr>
        <w:tc>
          <w:tcPr>
            <w:tcW w:w="1363" w:type="dxa"/>
            <w:vMerge/>
            <w:tcBorders>
              <w:left w:val="single" w:sz="4" w:space="0" w:color="000000"/>
              <w:right w:val="single" w:sz="4" w:space="0" w:color="000000"/>
            </w:tcBorders>
            <w:shd w:val="clear" w:color="auto" w:fill="D3D3D3"/>
          </w:tcPr>
          <w:p>
            <w:pPr/>
          </w:p>
        </w:tc>
        <w:tc>
          <w:tcPr>
            <w:tcW w:w="118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432" w:right="72"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3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431" w:right="72"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87" w:type="dxa"/>
            <w:vMerge/>
            <w:tcBorders>
              <w:left w:val="single" w:sz="4" w:space="0" w:color="000000"/>
              <w:right w:val="single" w:sz="4" w:space="0" w:color="000000"/>
            </w:tcBorders>
            <w:shd w:val="clear" w:color="auto" w:fill="D3D3D3"/>
          </w:tcPr>
          <w:p>
            <w:pPr/>
          </w:p>
        </w:tc>
        <w:tc>
          <w:tcPr>
            <w:tcW w:w="29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left="92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1" w:hRule="exact"/>
        </w:trPr>
        <w:tc>
          <w:tcPr>
            <w:tcW w:w="1363" w:type="dxa"/>
            <w:vMerge/>
            <w:tcBorders>
              <w:left w:val="single" w:sz="4" w:space="0" w:color="000000"/>
              <w:bottom w:val="single" w:sz="4" w:space="0" w:color="000000"/>
              <w:right w:val="single" w:sz="4" w:space="0" w:color="000000"/>
            </w:tcBorders>
            <w:shd w:val="clear" w:color="auto" w:fill="D3D3D3"/>
          </w:tcPr>
          <w:p>
            <w:pPr/>
          </w:p>
        </w:tc>
        <w:tc>
          <w:tcPr>
            <w:tcW w:w="1182" w:type="dxa"/>
            <w:vMerge/>
            <w:tcBorders>
              <w:left w:val="single" w:sz="4" w:space="0" w:color="000000"/>
              <w:bottom w:val="single" w:sz="4" w:space="0" w:color="000000"/>
              <w:right w:val="single" w:sz="4" w:space="0" w:color="000000"/>
            </w:tcBorders>
            <w:shd w:val="clear" w:color="auto" w:fill="D3D3D3"/>
          </w:tcPr>
          <w:p>
            <w:pPr/>
          </w:p>
        </w:tc>
        <w:tc>
          <w:tcPr>
            <w:tcW w:w="1056" w:type="dxa"/>
            <w:vMerge/>
            <w:tcBorders>
              <w:left w:val="single" w:sz="4" w:space="0" w:color="000000"/>
              <w:bottom w:val="single" w:sz="4" w:space="0" w:color="000000"/>
              <w:right w:val="single" w:sz="4" w:space="0" w:color="000000"/>
            </w:tcBorders>
            <w:shd w:val="clear" w:color="auto" w:fill="D3D3D3"/>
          </w:tcPr>
          <w:p>
            <w:pPr/>
          </w:p>
        </w:tc>
        <w:tc>
          <w:tcPr>
            <w:tcW w:w="1315" w:type="dxa"/>
            <w:vMerge/>
            <w:tcBorders>
              <w:left w:val="single" w:sz="4" w:space="0" w:color="000000"/>
              <w:bottom w:val="single" w:sz="4" w:space="0" w:color="000000"/>
              <w:right w:val="single" w:sz="4" w:space="0" w:color="000000"/>
            </w:tcBorders>
            <w:shd w:val="clear" w:color="auto" w:fill="D3D3D3"/>
          </w:tcPr>
          <w:p>
            <w:pPr/>
          </w:p>
        </w:tc>
        <w:tc>
          <w:tcPr>
            <w:tcW w:w="1056" w:type="dxa"/>
            <w:vMerge/>
            <w:tcBorders>
              <w:left w:val="single" w:sz="4" w:space="0" w:color="000000"/>
              <w:bottom w:val="single" w:sz="4" w:space="0" w:color="000000"/>
              <w:right w:val="single" w:sz="4" w:space="0" w:color="000000"/>
            </w:tcBorders>
            <w:shd w:val="clear" w:color="auto" w:fill="D3D3D3"/>
          </w:tcPr>
          <w:p>
            <w:pPr/>
          </w:p>
        </w:tc>
        <w:tc>
          <w:tcPr>
            <w:tcW w:w="787" w:type="dxa"/>
            <w:vMerge/>
            <w:tcBorders>
              <w:left w:val="single" w:sz="4" w:space="0" w:color="000000"/>
              <w:bottom w:val="single" w:sz="4" w:space="0" w:color="000000"/>
              <w:right w:val="single" w:sz="4" w:space="0" w:color="000000"/>
            </w:tcBorders>
            <w:shd w:val="clear" w:color="auto" w:fill="D3D3D3"/>
          </w:tcPr>
          <w:p>
            <w:pPr/>
          </w:p>
        </w:tc>
        <w:tc>
          <w:tcPr>
            <w:tcW w:w="293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595,222,418.63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1,048,197,943.20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42.02%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-18.95%</w:t>
            </w:r>
          </w:p>
        </w:tc>
        <w:tc>
          <w:tcPr>
            <w:tcW w:w="29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929,901,515.76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36.04%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732,866,568.44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29.38%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6.66%</w:t>
            </w:r>
          </w:p>
        </w:tc>
        <w:tc>
          <w:tcPr>
            <w:tcW w:w="29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87,813,241.31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69,623,995.52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0.61%</w:t>
            </w:r>
          </w:p>
        </w:tc>
        <w:tc>
          <w:tcPr>
            <w:tcW w:w="29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21,603,826.14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0.84%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11,223,788.00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0.45%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0.39%</w:t>
            </w:r>
          </w:p>
        </w:tc>
        <w:tc>
          <w:tcPr>
            <w:tcW w:w="29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95,489,397.15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79,554,945.35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0.51%</w:t>
            </w:r>
          </w:p>
        </w:tc>
        <w:tc>
          <w:tcPr>
            <w:tcW w:w="29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71,724,078.50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26,979,737.02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w:t>
            </w:r>
          </w:p>
        </w:tc>
        <w:tc>
          <w:tcPr>
            <w:tcW w:w="293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w:t>
            </w:r>
          </w:p>
        </w:tc>
        <w:tc>
          <w:tcPr>
            <w:tcW w:w="29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left="153" w:right="1053" w:firstLine="338"/>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日，公司的所有权或者使用权受到限制的资产共</w:t>
      </w:r>
      <w:r>
        <w:rPr>
          <w:rFonts w:ascii="Times New Roman" w:hAnsi="Times New Roman" w:cs="Times New Roman" w:eastAsia="Times New Roman" w:hint="default"/>
        </w:rPr>
        <w:t>28,411,827.00</w:t>
      </w:r>
      <w:r>
        <w:rPr/>
        <w:t>元，其中货币资金为人民币</w:t>
      </w:r>
      <w:r>
        <w:rPr>
          <w:rFonts w:ascii="Times New Roman" w:hAnsi="Times New Roman" w:cs="Times New Roman" w:eastAsia="Times New Roman" w:hint="default"/>
        </w:rPr>
        <w:t>4,403,238.00</w:t>
      </w:r>
      <w:r>
        <w:rPr/>
        <w:t>元， 为保函保证金、票据保证金；固定资产</w:t>
      </w:r>
      <w:r>
        <w:rPr>
          <w:rFonts w:ascii="Times New Roman" w:hAnsi="Times New Roman" w:cs="Times New Roman" w:eastAsia="Times New Roman" w:hint="default"/>
        </w:rPr>
        <w:t>24,008,589.00</w:t>
      </w:r>
      <w:r>
        <w:rPr/>
        <w:t>元，为未办妥产权证书的房产。</w:t>
      </w:r>
    </w:p>
    <w:p>
      <w:pPr>
        <w:spacing w:after="0" w:line="302" w:lineRule="auto"/>
        <w:jc w:val="left"/>
        <w:sectPr>
          <w:pgSz w:w="11910" w:h="16840"/>
          <w:pgMar w:header="747" w:footer="1190" w:top="1060" w:bottom="138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66,260,576.00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56,800,000.00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16.66%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662"/>
        <w:gridCol w:w="662"/>
        <w:gridCol w:w="658"/>
        <w:gridCol w:w="655"/>
        <w:gridCol w:w="658"/>
        <w:gridCol w:w="629"/>
        <w:gridCol w:w="739"/>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5"/>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57" w:hRule="exact"/>
        </w:trPr>
        <w:tc>
          <w:tcPr>
            <w:tcW w:w="694" w:type="dxa"/>
            <w:tcBorders>
              <w:top w:val="single" w:sz="4" w:space="0" w:color="000000"/>
              <w:left w:val="single" w:sz="4" w:space="0" w:color="000000"/>
              <w:bottom w:val="nil" w:sz="6" w:space="0" w:color="auto"/>
              <w:right w:val="single" w:sz="4" w:space="0" w:color="000000"/>
            </w:tcBorders>
          </w:tcPr>
          <w:p>
            <w:pPr/>
          </w:p>
        </w:tc>
        <w:tc>
          <w:tcPr>
            <w:tcW w:w="6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技术推</w:t>
            </w:r>
          </w:p>
        </w:tc>
        <w:tc>
          <w:tcPr>
            <w:tcW w:w="662" w:type="dxa"/>
            <w:tcBorders>
              <w:top w:val="single" w:sz="4" w:space="0" w:color="000000"/>
              <w:left w:val="single" w:sz="4" w:space="0" w:color="000000"/>
              <w:bottom w:val="nil" w:sz="6" w:space="0" w:color="auto"/>
              <w:right w:val="single" w:sz="4" w:space="0" w:color="000000"/>
            </w:tcBorders>
          </w:tcPr>
          <w:p>
            <w:pPr/>
          </w:p>
        </w:tc>
        <w:tc>
          <w:tcPr>
            <w:tcW w:w="661"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
        </w:tc>
        <w:tc>
          <w:tcPr>
            <w:tcW w:w="655"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
        </w:tc>
        <w:tc>
          <w:tcPr>
            <w:tcW w:w="629"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3" w:type="dxa"/>
            <w:tcBorders>
              <w:top w:val="single" w:sz="4" w:space="0" w:color="000000"/>
              <w:left w:val="single" w:sz="4" w:space="0" w:color="000000"/>
              <w:bottom w:val="nil" w:sz="6" w:space="0" w:color="auto"/>
              <w:right w:val="single" w:sz="4" w:space="0" w:color="000000"/>
            </w:tcBorders>
          </w:tcPr>
          <w:p>
            <w:pPr/>
          </w:p>
        </w:tc>
        <w:tc>
          <w:tcPr>
            <w:tcW w:w="72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广服务</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
        </w:tc>
      </w:tr>
      <w:tr>
        <w:trPr>
          <w:trHeight w:val="1876" w:hRule="exact"/>
        </w:trPr>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北京信 源健和 科技有 限责任 公司</w:t>
            </w: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货物进 </w:t>
            </w:r>
            <w:r>
              <w:rPr>
                <w:rFonts w:ascii="宋体" w:hAnsi="宋体" w:cs="宋体" w:eastAsia="宋体" w:hint="default"/>
                <w:spacing w:val="-21"/>
                <w:sz w:val="18"/>
                <w:szCs w:val="18"/>
              </w:rPr>
              <w:t>出口；代</w:t>
            </w:r>
            <w:r>
              <w:rPr>
                <w:rFonts w:ascii="宋体" w:hAnsi="宋体" w:cs="宋体" w:eastAsia="宋体" w:hint="default"/>
                <w:sz w:val="18"/>
                <w:szCs w:val="18"/>
              </w:rPr>
              <w:t> 理进出 </w:t>
            </w:r>
            <w:r>
              <w:rPr>
                <w:rFonts w:ascii="宋体" w:hAnsi="宋体" w:cs="宋体" w:eastAsia="宋体" w:hint="default"/>
                <w:spacing w:val="-21"/>
                <w:sz w:val="18"/>
                <w:szCs w:val="18"/>
              </w:rPr>
              <w:t>口；技术</w:t>
            </w:r>
            <w:r>
              <w:rPr>
                <w:rFonts w:ascii="宋体" w:hAnsi="宋体" w:cs="宋体" w:eastAsia="宋体" w:hint="default"/>
                <w:sz w:val="18"/>
                <w:szCs w:val="18"/>
              </w:rPr>
              <w:t> 进出口 互联网</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51" w:right="0"/>
              <w:jc w:val="center"/>
              <w:rPr>
                <w:rFonts w:ascii="Times New Roman" w:hAnsi="Times New Roman" w:cs="Times New Roman" w:eastAsia="Times New Roman" w:hint="default"/>
                <w:sz w:val="18"/>
                <w:szCs w:val="18"/>
              </w:rPr>
            </w:pPr>
            <w:r>
              <w:rPr>
                <w:rFonts w:ascii="Times New Roman"/>
                <w:sz w:val="18"/>
              </w:rPr>
              <w:t>40.00%</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2" w:right="89"/>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83"/>
              <w:jc w:val="left"/>
              <w:rPr>
                <w:rFonts w:ascii="宋体" w:hAnsi="宋体" w:cs="宋体" w:eastAsia="宋体" w:hint="default"/>
                <w:sz w:val="18"/>
                <w:szCs w:val="18"/>
              </w:rPr>
            </w:pPr>
            <w:r>
              <w:rPr>
                <w:rFonts w:ascii="宋体" w:hAnsi="宋体" w:cs="宋体" w:eastAsia="宋体" w:hint="default"/>
                <w:sz w:val="18"/>
                <w:szCs w:val="18"/>
              </w:rPr>
              <w:t>珠海健 行投资 管理企 业（有 限合 伙）等</w:t>
            </w:r>
          </w:p>
        </w:tc>
        <w:tc>
          <w:tcPr>
            <w:tcW w:w="6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63"/>
              <w:jc w:val="righ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0.00</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-2,590,8</w:t>
            </w:r>
          </w:p>
          <w:p>
            <w:pPr>
              <w:pStyle w:val="TableParagraph"/>
              <w:spacing w:line="240" w:lineRule="auto" w:before="105"/>
              <w:ind w:left="278" w:right="0"/>
              <w:jc w:val="center"/>
              <w:rPr>
                <w:rFonts w:ascii="Times New Roman" w:hAnsi="Times New Roman" w:cs="Times New Roman" w:eastAsia="Times New Roman" w:hint="default"/>
                <w:sz w:val="18"/>
                <w:szCs w:val="18"/>
              </w:rPr>
            </w:pPr>
            <w:r>
              <w:rPr>
                <w:rFonts w:ascii="Times New Roman"/>
                <w:sz w:val="18"/>
              </w:rPr>
              <w:t>85.02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nil" w:sz="6" w:space="0" w:color="auto"/>
              <w:left w:val="single" w:sz="4" w:space="0" w:color="000000"/>
              <w:bottom w:val="nil" w:sz="6" w:space="0" w:color="auto"/>
              <w:right w:val="single" w:sz="4" w:space="0" w:color="000000"/>
            </w:tcBorders>
          </w:tcPr>
          <w:p>
            <w:pPr>
              <w:pStyle w:val="TableParagraph"/>
              <w:spacing w:line="338" w:lineRule="auto" w:before="51"/>
              <w:ind w:left="24" w:right="45"/>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www.cni</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nfo.com.</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w:t>
            </w:r>
          </w:p>
          <w:p>
            <w:pPr>
              <w:pStyle w:val="TableParagraph"/>
              <w:spacing w:line="217" w:lineRule="exact"/>
              <w:ind w:left="24" w:right="0"/>
              <w:jc w:val="both"/>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6"/>
              <w:ind w:left="24" w:right="0"/>
              <w:jc w:val="both"/>
              <w:rPr>
                <w:rFonts w:ascii="Times New Roman" w:hAnsi="Times New Roman" w:cs="Times New Roman" w:eastAsia="Times New Roman" w:hint="default"/>
                <w:sz w:val="18"/>
                <w:szCs w:val="18"/>
              </w:rPr>
            </w:pPr>
            <w:r>
              <w:rPr>
                <w:rFonts w:ascii="Times New Roman"/>
                <w:sz w:val="18"/>
              </w:rPr>
              <w:t>2018-03</w:t>
            </w:r>
          </w:p>
          <w:p>
            <w:pPr>
              <w:pStyle w:val="TableParagraph"/>
              <w:spacing w:line="240" w:lineRule="auto" w:before="106"/>
              <w:ind w:left="24" w:right="0"/>
              <w:jc w:val="both"/>
              <w:rPr>
                <w:rFonts w:ascii="Times New Roman" w:hAnsi="Times New Roman" w:cs="Times New Roman" w:eastAsia="Times New Roman" w:hint="default"/>
                <w:sz w:val="18"/>
                <w:szCs w:val="18"/>
              </w:rPr>
            </w:pPr>
            <w:r>
              <w:rPr>
                <w:rFonts w:ascii="Times New Roman"/>
                <w:sz w:val="18"/>
              </w:rPr>
              <w:t>8</w:t>
            </w:r>
          </w:p>
        </w:tc>
      </w:tr>
      <w:tr>
        <w:trPr>
          <w:trHeight w:val="308"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信息服</w:t>
            </w: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694" w:type="dxa"/>
            <w:tcBorders>
              <w:top w:val="nil" w:sz="6" w:space="0" w:color="auto"/>
              <w:left w:val="single" w:sz="4" w:space="0" w:color="000000"/>
              <w:bottom w:val="single" w:sz="4" w:space="0" w:color="000000"/>
              <w:right w:val="single" w:sz="4" w:space="0" w:color="000000"/>
            </w:tcBorders>
          </w:tcPr>
          <w:p>
            <w:pPr/>
          </w:p>
        </w:tc>
        <w:tc>
          <w:tcPr>
            <w:tcW w:w="6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662" w:type="dxa"/>
            <w:tcBorders>
              <w:top w:val="nil" w:sz="6" w:space="0" w:color="auto"/>
              <w:left w:val="single" w:sz="4" w:space="0" w:color="000000"/>
              <w:bottom w:val="single" w:sz="4" w:space="0" w:color="000000"/>
              <w:right w:val="single" w:sz="4" w:space="0" w:color="000000"/>
            </w:tcBorders>
          </w:tcPr>
          <w:p>
            <w:pPr/>
          </w:p>
        </w:tc>
        <w:tc>
          <w:tcPr>
            <w:tcW w:w="661"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
        </w:tc>
        <w:tc>
          <w:tcPr>
            <w:tcW w:w="655"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
        </w:tc>
        <w:tc>
          <w:tcPr>
            <w:tcW w:w="629"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3" w:type="dxa"/>
            <w:tcBorders>
              <w:top w:val="nil" w:sz="6" w:space="0" w:color="auto"/>
              <w:left w:val="single" w:sz="4" w:space="0" w:color="000000"/>
              <w:bottom w:val="single" w:sz="4" w:space="0" w:color="000000"/>
              <w:right w:val="single" w:sz="4" w:space="0" w:color="000000"/>
            </w:tcBorders>
          </w:tcPr>
          <w:p>
            <w:pPr/>
          </w:p>
        </w:tc>
        <w:tc>
          <w:tcPr>
            <w:tcW w:w="724"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2"/>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2"/>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-2,590,8</w:t>
            </w:r>
          </w:p>
          <w:p>
            <w:pPr>
              <w:pStyle w:val="TableParagraph"/>
              <w:spacing w:line="240" w:lineRule="auto" w:before="105"/>
              <w:ind w:left="278" w:right="0"/>
              <w:jc w:val="center"/>
              <w:rPr>
                <w:rFonts w:ascii="Times New Roman" w:hAnsi="Times New Roman" w:cs="Times New Roman" w:eastAsia="Times New Roman" w:hint="default"/>
                <w:sz w:val="18"/>
                <w:szCs w:val="18"/>
              </w:rPr>
            </w:pPr>
            <w:r>
              <w:rPr>
                <w:rFonts w:ascii="Times New Roman"/>
                <w:sz w:val="18"/>
              </w:rPr>
              <w:t>85.02</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pict>
          <v:group style="position:absolute;margin-left:126.300003pt;margin-top:-208.766037pt;width:32.6pt;height:160.050pt;mso-position-horizontal-relative:page;mso-position-vertical-relative:paragraph;z-index:-977920" coordorigin="2526,-4175" coordsize="652,3201">
            <v:group style="position:absolute;left:2526;top:-4175;width:652;height:3201" coordorigin="2526,-4175" coordsize="652,3201">
              <v:shape style="position:absolute;left:2526;top:-4175;width:652;height:3201" coordorigin="2526,-4175" coordsize="652,3201" path="m2526,-975l3178,-975,3178,-4175,2526,-4175,2526,-975xe" filled="true" fillcolor="#ffffff" stroked="false">
                <v:path arrowok="t"/>
                <v:fill type="solid"/>
              </v:shape>
            </v:group>
            <v:group style="position:absolute;left:2549;top:-2771;width:606;height:393" coordorigin="2549,-2771" coordsize="606,393">
              <v:shape style="position:absolute;left:2549;top:-2771;width:606;height:393" coordorigin="2549,-2771" coordsize="606,393" path="m2549,-2379l3155,-2379,3155,-2771,2549,-2771,2549,-2379xe" filled="true" fillcolor="#ffffff" stroked="false">
                <v:path arrowok="t"/>
                <v:fill type="solid"/>
              </v:shape>
            </v:group>
            <w10:wrap type="none"/>
          </v:group>
        </w:pict>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1190" w:top="1060" w:bottom="13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44"/>
        <w:ind w:left="0" w:right="1039"/>
        <w:jc w:val="right"/>
      </w:pPr>
      <w:r>
        <w:rPr/>
        <w:pict>
          <v:shape style="position:absolute;margin-left:55.080002pt;margin-top:-252.817978pt;width:485.4pt;height:321.4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77"/>
                    <w:gridCol w:w="882"/>
                    <w:gridCol w:w="882"/>
                    <w:gridCol w:w="882"/>
                    <w:gridCol w:w="882"/>
                    <w:gridCol w:w="881"/>
                    <w:gridCol w:w="882"/>
                    <w:gridCol w:w="882"/>
                    <w:gridCol w:w="882"/>
                    <w:gridCol w:w="882"/>
                    <w:gridCol w:w="880"/>
                  </w:tblGrid>
                  <w:tr>
                    <w:trPr>
                      <w:trHeight w:val="1337" w:hRule="exact"/>
                    </w:trPr>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3"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3"/>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3"/>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5" w:right="73"/>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5" w:right="74"/>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4"/>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4" w:right="73"/>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962"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123,687.09</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56,234.34</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76,004.27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29,168.53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29,168.53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23.58%</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47,682.82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7"/>
                          <w:jc w:val="both"/>
                          <w:rPr>
                            <w:rFonts w:ascii="宋体" w:hAnsi="宋体" w:cs="宋体" w:eastAsia="宋体" w:hint="default"/>
                            <w:sz w:val="18"/>
                            <w:szCs w:val="18"/>
                          </w:rPr>
                        </w:pPr>
                        <w:r>
                          <w:rPr>
                            <w:rFonts w:ascii="宋体" w:hAnsi="宋体" w:cs="宋体" w:eastAsia="宋体" w:hint="default"/>
                            <w:sz w:val="18"/>
                            <w:szCs w:val="18"/>
                          </w:rPr>
                          <w:t>尚未使用 的募集资 金存放在 公司银行 募集资金 专户中</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 w:right="0"/>
                          <w:jc w:val="center"/>
                          <w:rPr>
                            <w:rFonts w:ascii="Times New Roman" w:hAnsi="Times New Roman" w:cs="Times New Roman" w:eastAsia="Times New Roman" w:hint="default"/>
                            <w:sz w:val="18"/>
                            <w:szCs w:val="18"/>
                          </w:rPr>
                        </w:pPr>
                        <w:r>
                          <w:rPr>
                            <w:rFonts w:ascii="Times New Roman"/>
                            <w:sz w:val="18"/>
                          </w:rPr>
                          <w:t>123,687.09</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56,234.34</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76,004.27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29,168.53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29,168.53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23.58%</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47,682.82</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69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315" w:hRule="exact"/>
                    </w:trPr>
                    <w:tc>
                      <w:tcPr>
                        <w:tcW w:w="969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19" w:firstLine="360"/>
                          <w:jc w:val="left"/>
                          <w:rPr>
                            <w:rFonts w:ascii="宋体" w:hAnsi="宋体" w:cs="宋体" w:eastAsia="宋体" w:hint="default"/>
                            <w:sz w:val="18"/>
                            <w:szCs w:val="18"/>
                          </w:rPr>
                        </w:pPr>
                        <w:r>
                          <w:rPr>
                            <w:rFonts w:ascii="宋体" w:hAnsi="宋体" w:cs="宋体" w:eastAsia="宋体" w:hint="default"/>
                            <w:spacing w:val="-2"/>
                            <w:sz w:val="18"/>
                            <w:szCs w:val="18"/>
                          </w:rPr>
                          <w:t>经中国证券监督管理委员会《关于核准北京北信源软件股份有限公司非公开发行股票的批复》（证监许可〔</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987</w:t>
                        </w:r>
                        <w:r>
                          <w:rPr>
                            <w:rFonts w:ascii="Times New Roman" w:hAnsi="Times New Roman" w:cs="Times New Roman" w:eastAsia="Times New Roman" w:hint="default"/>
                            <w:sz w:val="18"/>
                            <w:szCs w:val="18"/>
                          </w:rPr>
                          <w:t> </w:t>
                        </w:r>
                        <w:r>
                          <w:rPr>
                            <w:rFonts w:ascii="宋体" w:hAnsi="宋体" w:cs="宋体" w:eastAsia="宋体" w:hint="default"/>
                            <w:sz w:val="18"/>
                            <w:szCs w:val="18"/>
                          </w:rPr>
                          <w:t>号）核准公司非公开发行普通股 </w:t>
                        </w:r>
                        <w:r>
                          <w:rPr>
                            <w:rFonts w:ascii="Times New Roman" w:hAnsi="Times New Roman" w:cs="Times New Roman" w:eastAsia="Times New Roman" w:hint="default"/>
                            <w:sz w:val="18"/>
                            <w:szCs w:val="18"/>
                          </w:rPr>
                          <w:t>66,500,000  </w:t>
                        </w:r>
                        <w:r>
                          <w:rPr>
                            <w:rFonts w:ascii="宋体" w:hAnsi="宋体" w:cs="宋体" w:eastAsia="宋体" w:hint="default"/>
                            <w:sz w:val="18"/>
                            <w:szCs w:val="18"/>
                          </w:rPr>
                          <w:t>股，每股发行价格为人民币 </w:t>
                        </w:r>
                        <w:r>
                          <w:rPr>
                            <w:rFonts w:ascii="Times New Roman" w:hAnsi="Times New Roman" w:cs="Times New Roman" w:eastAsia="Times New Roman" w:hint="default"/>
                            <w:sz w:val="18"/>
                            <w:szCs w:val="18"/>
                          </w:rPr>
                          <w:t>18.98</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元，公司本次非公开募集资金总额</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1,262,170,000.00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元，扣除承销费、保荐费、验资费、律师费等发行费用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25,299,060.00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元后，实际募集资金净额为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1,236,870,940.00 </w:t>
                        </w:r>
                        <w:r>
                          <w:rPr>
                            <w:rFonts w:ascii="宋体" w:hAnsi="宋体" w:cs="宋体" w:eastAsia="宋体" w:hint="default"/>
                            <w:spacing w:val="-5"/>
                            <w:sz w:val="18"/>
                            <w:szCs w:val="18"/>
                          </w:rPr>
                          <w:t>元，上述募集资金已于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日汇入公司募集资金专户，并经中喜会计师事务所（特殊普通合伙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审验并于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出</w:t>
                        </w:r>
                        <w:r>
                          <w:rPr>
                            <w:rFonts w:ascii="宋体" w:hAnsi="宋体" w:cs="宋体" w:eastAsia="宋体" w:hint="default"/>
                            <w:sz w:val="18"/>
                            <w:szCs w:val="18"/>
                          </w:rPr>
                          <w:t>具《验资报告</w:t>
                        </w:r>
                        <w:r>
                          <w:rPr>
                            <w:rFonts w:ascii="宋体" w:hAnsi="宋体" w:cs="宋体" w:eastAsia="宋体" w:hint="default"/>
                            <w:spacing w:val="-90"/>
                            <w:sz w:val="18"/>
                            <w:szCs w:val="18"/>
                          </w:rPr>
                          <w:t>》</w:t>
                        </w:r>
                        <w:r>
                          <w:rPr>
                            <w:rFonts w:ascii="宋体" w:hAnsi="宋体" w:cs="宋体" w:eastAsia="宋体" w:hint="default"/>
                            <w:sz w:val="18"/>
                            <w:szCs w:val="18"/>
                          </w:rPr>
                          <w:t>（中喜验字（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0414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01"/>
                          <w:ind w:left="38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日，公司本年度使用募集资金人民币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562,343,386.43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元，累计使用募集资金总额人民币</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760,042,653.40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元，尚未使用募集资金存放于募集资金专户和用于现金管理产品。</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单位：万元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697"/>
        <w:gridCol w:w="894"/>
        <w:gridCol w:w="700"/>
        <w:gridCol w:w="866"/>
        <w:gridCol w:w="776"/>
        <w:gridCol w:w="776"/>
        <w:gridCol w:w="775"/>
        <w:gridCol w:w="702"/>
        <w:gridCol w:w="702"/>
        <w:gridCol w:w="702"/>
        <w:gridCol w:w="702"/>
        <w:gridCol w:w="702"/>
        <w:gridCol w:w="698"/>
      </w:tblGrid>
      <w:tr>
        <w:trPr>
          <w:trHeight w:val="1650" w:hRule="exact"/>
        </w:trPr>
        <w:tc>
          <w:tcPr>
            <w:tcW w:w="15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40" w:right="68"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45" w:right="42"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8" w:right="66"/>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8"/>
              <w:ind w:left="24"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 w:right="59"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7"/>
              <w:ind w:left="111" w:right="0"/>
              <w:jc w:val="both"/>
              <w:rPr>
                <w:rFonts w:ascii="Times New Roman" w:hAnsi="Times New Roman" w:cs="Times New Roman" w:eastAsia="Times New Roman" w:hint="default"/>
                <w:sz w:val="18"/>
                <w:szCs w:val="18"/>
              </w:rPr>
            </w:pPr>
            <w:r>
              <w:rPr>
                <w:rFonts w:ascii="Times New Roman"/>
                <w:sz w:val="18"/>
              </w:rPr>
              <w:t>(2)/(1)</w:t>
            </w:r>
          </w:p>
        </w:tc>
        <w:tc>
          <w:tcPr>
            <w:tcW w:w="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3"/>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6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4" w:right="72"/>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694"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、新一代互联网安 全聚合通道项目</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63,481.16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34,312.64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21,044.19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37,526.26</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109.37%</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1,732.54</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4,270.21</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、北信源（南京） 研发运营基地项目</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60,205.93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60,205.93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15,874.29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19,162.15</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31.83%</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2"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123,687.09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94,518.57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36,918.48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56,688.41</w:t>
            </w:r>
          </w:p>
        </w:tc>
        <w:tc>
          <w:tcPr>
            <w:tcW w:w="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1,732.54</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4,270.21</w:t>
            </w:r>
          </w:p>
        </w:tc>
        <w:tc>
          <w:tcPr>
            <w:tcW w:w="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6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996"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591"/>
        <w:gridCol w:w="700"/>
        <w:gridCol w:w="866"/>
        <w:gridCol w:w="776"/>
        <w:gridCol w:w="776"/>
        <w:gridCol w:w="775"/>
        <w:gridCol w:w="702"/>
        <w:gridCol w:w="702"/>
        <w:gridCol w:w="702"/>
        <w:gridCol w:w="703"/>
        <w:gridCol w:w="701"/>
        <w:gridCol w:w="698"/>
      </w:tblGrid>
      <w:tr>
        <w:trPr>
          <w:trHeight w:val="402" w:hRule="exact"/>
        </w:trPr>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123,687.09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94,518.57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36,918.48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56,688.41</w:t>
            </w:r>
          </w:p>
        </w:tc>
        <w:tc>
          <w:tcPr>
            <w:tcW w:w="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1,732.54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4,270.21</w:t>
            </w:r>
          </w:p>
        </w:tc>
        <w:tc>
          <w:tcPr>
            <w:tcW w:w="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2274" w:hRule="exact"/>
        </w:trPr>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16"/>
              <w:jc w:val="both"/>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7403"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公司第三届董事会第十次临时会议、</w:t>
            </w:r>
            <w:r>
              <w:rPr>
                <w:rFonts w:ascii="Times New Roman" w:hAnsi="Times New Roman" w:cs="Times New Roman" w:eastAsia="Times New Roman" w:hint="default"/>
                <w:spacing w:val="-2"/>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年第二次临时股东大会审议通过《关于变更部分募集</w:t>
            </w:r>
            <w:r>
              <w:rPr>
                <w:rFonts w:ascii="宋体" w:hAnsi="宋体" w:cs="宋体" w:eastAsia="宋体" w:hint="default"/>
                <w:sz w:val="18"/>
                <w:szCs w:val="18"/>
              </w:rPr>
              <w:t> </w:t>
            </w:r>
            <w:r>
              <w:rPr>
                <w:rFonts w:ascii="宋体" w:hAnsi="宋体" w:cs="宋体" w:eastAsia="宋体" w:hint="default"/>
                <w:spacing w:val="-3"/>
                <w:sz w:val="18"/>
                <w:szCs w:val="18"/>
              </w:rPr>
              <w:t>资金用途并永久补充流动资金的议案》，同意将非公开发行募集资金投资项目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新一代互联网安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全聚合通道项目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结余募集资金中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万元变更用于</w:t>
            </w:r>
            <w:r>
              <w:rPr>
                <w:rFonts w:ascii="Times New Roman" w:hAnsi="Times New Roman" w:cs="Times New Roman" w:eastAsia="Times New Roman" w:hint="default"/>
                <w:sz w:val="18"/>
                <w:szCs w:val="18"/>
              </w:rPr>
              <w:t>“</w:t>
            </w:r>
            <w:r>
              <w:rPr>
                <w:rFonts w:ascii="宋体" w:hAnsi="宋体" w:cs="宋体" w:eastAsia="宋体" w:hint="default"/>
                <w:sz w:val="18"/>
                <w:szCs w:val="18"/>
              </w:rPr>
              <w:t>面向国产化计算机的终端安全管理平</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建设，并将剩余募集资金</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19,093.29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万元（含利息等收益以及前次暂时补充流动资金的闲置</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募集资金）永久补充流动资金。该项目具体变更详见公司分别于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日在巨潮资资讯网（</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）上披露的公告（公告编号：</w:t>
            </w:r>
            <w:r>
              <w:rPr>
                <w:rFonts w:ascii="Times New Roman" w:hAnsi="Times New Roman" w:cs="Times New Roman" w:eastAsia="Times New Roman" w:hint="default"/>
                <w:sz w:val="18"/>
                <w:szCs w:val="18"/>
              </w:rPr>
              <w:t>2018-107</w:t>
            </w:r>
            <w:r>
              <w:rPr>
                <w:rFonts w:ascii="宋体" w:hAnsi="宋体" w:cs="宋体" w:eastAsia="宋体" w:hint="default"/>
                <w:sz w:val="18"/>
                <w:szCs w:val="18"/>
              </w:rPr>
              <w:t>、</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2018-111</w:t>
            </w:r>
            <w:r>
              <w:rPr>
                <w:rFonts w:ascii="宋体" w:hAnsi="宋体" w:cs="宋体" w:eastAsia="宋体" w:hint="default"/>
                <w:sz w:val="18"/>
                <w:szCs w:val="18"/>
              </w:rPr>
              <w:t>）</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40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59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2" w:right="20"/>
              <w:jc w:val="left"/>
              <w:rPr>
                <w:rFonts w:ascii="宋体" w:hAnsi="宋体" w:cs="宋体" w:eastAsia="宋体" w:hint="default"/>
                <w:sz w:val="18"/>
                <w:szCs w:val="18"/>
              </w:rPr>
            </w:pPr>
            <w:r>
              <w:rPr>
                <w:rFonts w:ascii="宋体" w:hAnsi="宋体" w:cs="宋体" w:eastAsia="宋体" w:hint="default"/>
                <w:spacing w:val="-10"/>
                <w:sz w:val="18"/>
                <w:szCs w:val="18"/>
              </w:rPr>
              <w:t>超募资金的金额、用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途及使用进展情况</w:t>
            </w: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40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591" w:type="dxa"/>
            <w:vMerge/>
            <w:tcBorders>
              <w:left w:val="single" w:sz="4" w:space="0" w:color="000000"/>
              <w:bottom w:val="single" w:sz="4" w:space="0" w:color="000000"/>
              <w:right w:val="single" w:sz="4" w:space="0" w:color="000000"/>
            </w:tcBorders>
            <w:shd w:val="clear" w:color="auto" w:fill="D3D3D3"/>
          </w:tcPr>
          <w:p>
            <w:pP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403"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22" w:right="116"/>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40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591" w:type="dxa"/>
            <w:vMerge/>
            <w:tcBorders>
              <w:left w:val="single" w:sz="4" w:space="0" w:color="000000"/>
              <w:right w:val="single" w:sz="4" w:space="0" w:color="000000"/>
            </w:tcBorders>
            <w:shd w:val="clear" w:color="auto" w:fill="D3D3D3"/>
          </w:tcPr>
          <w:p>
            <w:pP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403"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1" w:type="dxa"/>
            <w:vMerge/>
            <w:tcBorders>
              <w:left w:val="single" w:sz="4" w:space="0" w:color="000000"/>
              <w:bottom w:val="single" w:sz="4" w:space="0" w:color="000000"/>
              <w:right w:val="single" w:sz="4" w:space="0" w:color="000000"/>
            </w:tcBorders>
            <w:shd w:val="clear" w:color="auto" w:fill="D3D3D3"/>
          </w:tcPr>
          <w:p>
            <w:pP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403"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22" w:right="116"/>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40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591" w:type="dxa"/>
            <w:vMerge/>
            <w:tcBorders>
              <w:left w:val="single" w:sz="4" w:space="0" w:color="000000"/>
              <w:right w:val="single" w:sz="4" w:space="0" w:color="000000"/>
            </w:tcBorders>
            <w:shd w:val="clear" w:color="auto" w:fill="D3D3D3"/>
          </w:tcPr>
          <w:p>
            <w:pP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403"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1" w:type="dxa"/>
            <w:vMerge/>
            <w:tcBorders>
              <w:left w:val="single" w:sz="4" w:space="0" w:color="000000"/>
              <w:bottom w:val="single" w:sz="4" w:space="0" w:color="000000"/>
              <w:right w:val="single" w:sz="4" w:space="0" w:color="000000"/>
            </w:tcBorders>
            <w:shd w:val="clear" w:color="auto" w:fill="D3D3D3"/>
          </w:tcPr>
          <w:p>
            <w:pP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403"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16" w:lineRule="auto"/>
              <w:ind w:left="22" w:right="116"/>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40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591" w:type="dxa"/>
            <w:vMerge/>
            <w:tcBorders>
              <w:left w:val="single" w:sz="4" w:space="0" w:color="000000"/>
              <w:bottom w:val="single" w:sz="4" w:space="0" w:color="000000"/>
              <w:right w:val="single" w:sz="4" w:space="0" w:color="000000"/>
            </w:tcBorders>
            <w:shd w:val="clear" w:color="auto" w:fill="D3D3D3"/>
          </w:tcPr>
          <w:p>
            <w:pP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40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日本公司以自筹资金预先投入新一代互联网安全聚合通道项目</w:t>
            </w:r>
          </w:p>
          <w:p>
            <w:pPr>
              <w:pStyle w:val="TableParagraph"/>
              <w:spacing w:line="307" w:lineRule="auto" w:before="63"/>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34,222,772.59 </w:t>
            </w:r>
            <w:r>
              <w:rPr>
                <w:rFonts w:ascii="宋体" w:hAnsi="宋体" w:cs="宋体" w:eastAsia="宋体" w:hint="default"/>
                <w:sz w:val="18"/>
                <w:szCs w:val="18"/>
              </w:rPr>
              <w:t>元，本期根据瑞华会计师事务所出具的瑞华核字</w:t>
            </w:r>
            <w:r>
              <w:rPr>
                <w:rFonts w:ascii="Times New Roman" w:hAnsi="Times New Roman" w:cs="Times New Roman" w:eastAsia="Times New Roman" w:hint="default"/>
                <w:sz w:val="18"/>
                <w:szCs w:val="18"/>
              </w:rPr>
              <w:t>[2016]01660044</w:t>
            </w:r>
            <w:r>
              <w:rPr>
                <w:rFonts w:ascii="Times New Roman" w:hAnsi="Times New Roman" w:cs="Times New Roman" w:eastAsia="Times New Roman" w:hint="default"/>
                <w:spacing w:val="16"/>
                <w:sz w:val="18"/>
                <w:szCs w:val="18"/>
              </w:rPr>
              <w:t> </w:t>
            </w:r>
            <w:r>
              <w:rPr>
                <w:rFonts w:ascii="宋体" w:hAnsi="宋体" w:cs="宋体" w:eastAsia="宋体" w:hint="default"/>
                <w:spacing w:val="-5"/>
                <w:sz w:val="18"/>
                <w:szCs w:val="18"/>
              </w:rPr>
              <w:t>号《北京北信源</w:t>
            </w:r>
            <w:r>
              <w:rPr>
                <w:rFonts w:ascii="宋体" w:hAnsi="宋体" w:cs="宋体" w:eastAsia="宋体" w:hint="default"/>
                <w:sz w:val="18"/>
                <w:szCs w:val="18"/>
              </w:rPr>
              <w:t> 软件股份有限公司以自筹资金预先投入募集资金投资项目情况报告的鉴证报告》进行置换 </w:t>
            </w:r>
            <w:r>
              <w:rPr>
                <w:rFonts w:ascii="Times New Roman" w:hAnsi="Times New Roman" w:cs="Times New Roman" w:eastAsia="Times New Roman" w:hint="default"/>
                <w:sz w:val="18"/>
                <w:szCs w:val="18"/>
              </w:rPr>
              <w:t>34,222,772.59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w:t>
            </w: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日本公司以自筹资金预先投入北信源（南京）研发 运营基地项目</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1,728,647.73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元，本期根据瑞华会计师事务所出具的瑞华核字</w:t>
            </w:r>
            <w:r>
              <w:rPr>
                <w:rFonts w:ascii="Times New Roman" w:hAnsi="Times New Roman" w:cs="Times New Roman" w:eastAsia="Times New Roman" w:hint="default"/>
                <w:sz w:val="18"/>
                <w:szCs w:val="18"/>
              </w:rPr>
              <w:t>[2016]01660044</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号</w:t>
            </w:r>
          </w:p>
          <w:p>
            <w:pPr>
              <w:pStyle w:val="TableParagraph"/>
              <w:spacing w:line="319" w:lineRule="auto" w:before="7"/>
              <w:ind w:left="22" w:right="-10"/>
              <w:jc w:val="left"/>
              <w:rPr>
                <w:rFonts w:ascii="宋体" w:hAnsi="宋体" w:cs="宋体" w:eastAsia="宋体" w:hint="default"/>
                <w:sz w:val="18"/>
                <w:szCs w:val="18"/>
              </w:rPr>
            </w:pPr>
            <w:r>
              <w:rPr>
                <w:rFonts w:ascii="宋体" w:hAnsi="宋体" w:cs="宋体" w:eastAsia="宋体" w:hint="default"/>
                <w:sz w:val="18"/>
                <w:szCs w:val="18"/>
              </w:rPr>
              <w:t>《北京北信源软件股份有限公司以自筹资金预先投入募集资金投资项目情况报告的鉴证报告》 进行置换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1,728,647.73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2" w:hRule="exact"/>
        </w:trPr>
        <w:tc>
          <w:tcPr>
            <w:tcW w:w="15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2" w:right="116"/>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40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10" w:hRule="exact"/>
        </w:trPr>
        <w:tc>
          <w:tcPr>
            <w:tcW w:w="1591" w:type="dxa"/>
            <w:vMerge/>
            <w:tcBorders>
              <w:left w:val="single" w:sz="4" w:space="0" w:color="000000"/>
              <w:bottom w:val="single" w:sz="4" w:space="0" w:color="000000"/>
              <w:right w:val="single" w:sz="4" w:space="0" w:color="000000"/>
            </w:tcBorders>
            <w:shd w:val="clear" w:color="auto" w:fill="D3D3D3"/>
          </w:tcPr>
          <w:p>
            <w:pP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403"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日召开了第三届董事会第六次会议审议通过《关于使用非公开发行部分闲置募 </w:t>
            </w:r>
            <w:r>
              <w:rPr>
                <w:rFonts w:ascii="宋体" w:hAnsi="宋体" w:cs="宋体" w:eastAsia="宋体" w:hint="default"/>
                <w:spacing w:val="-3"/>
                <w:sz w:val="18"/>
                <w:szCs w:val="18"/>
              </w:rPr>
              <w:t>集资金暂时补充流动资金的议案》，同意公司在保证非公开发行募集资金（以下简称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募集资</w:t>
            </w:r>
            <w:r>
              <w:rPr>
                <w:rFonts w:ascii="宋体" w:hAnsi="宋体" w:cs="宋体" w:eastAsia="宋体" w:hint="default"/>
                <w:spacing w:val="-57"/>
                <w:sz w:val="18"/>
                <w:szCs w:val="18"/>
              </w:rPr>
              <w:t> </w:t>
            </w: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）投资项目建设的资金需求以及募集资金投资项目正常进行的前提下，使用部分闲置募集 资金人民币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万元暂时补充流动资金，使用期限为自公司董事会审议通过之日起不超过</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个月。该部分资金为公司非公开发行募集资金投资项目的暂时闲置资金，若募集资金投资项目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因发展需要，公司将及时归还。</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日召开的第三届董事会第十次临时会议审议通 </w:t>
            </w:r>
            <w:r>
              <w:rPr>
                <w:rFonts w:ascii="宋体" w:hAnsi="宋体" w:cs="宋体" w:eastAsia="宋体" w:hint="default"/>
                <w:spacing w:val="-3"/>
                <w:sz w:val="18"/>
                <w:szCs w:val="18"/>
              </w:rPr>
              <w:t>过《关于变更部分募集资金用途并永久补充流动资金的议案》，同意将非公开发行募集资金投</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新一代互联网安全聚合通道项目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结余募集资金中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万元变更用于</w:t>
            </w:r>
            <w:r>
              <w:rPr>
                <w:rFonts w:ascii="Times New Roman" w:hAnsi="Times New Roman" w:cs="Times New Roman" w:eastAsia="Times New Roman" w:hint="default"/>
                <w:sz w:val="18"/>
                <w:szCs w:val="18"/>
              </w:rPr>
              <w:t>“</w:t>
            </w:r>
            <w:r>
              <w:rPr>
                <w:rFonts w:ascii="宋体" w:hAnsi="宋体" w:cs="宋体" w:eastAsia="宋体" w:hint="default"/>
                <w:sz w:val="18"/>
                <w:szCs w:val="18"/>
              </w:rPr>
              <w:t>面向国产化计</w:t>
            </w:r>
          </w:p>
          <w:p>
            <w:pPr>
              <w:pStyle w:val="TableParagraph"/>
              <w:spacing w:line="302"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算机的终端安全管理平台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建设，并将剩余募集资金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19,093.29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万元（含利息等收益以及前次暂 时补充流动资金的闲置募集资金）永久补充流动资金。</w:t>
            </w:r>
          </w:p>
        </w:tc>
      </w:tr>
      <w:tr>
        <w:trPr>
          <w:trHeight w:val="402" w:hRule="exact"/>
        </w:trPr>
        <w:tc>
          <w:tcPr>
            <w:tcW w:w="159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2" w:right="116"/>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40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24" w:hRule="exact"/>
        </w:trPr>
        <w:tc>
          <w:tcPr>
            <w:tcW w:w="1591" w:type="dxa"/>
            <w:vMerge/>
            <w:tcBorders>
              <w:left w:val="single" w:sz="4" w:space="0" w:color="000000"/>
              <w:bottom w:val="single" w:sz="4" w:space="0" w:color="000000"/>
              <w:right w:val="single" w:sz="4" w:space="0" w:color="000000"/>
            </w:tcBorders>
            <w:shd w:val="clear" w:color="auto" w:fill="D3D3D3"/>
          </w:tcPr>
          <w:p>
            <w:pP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40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新一代互联网安全聚合通道</w:t>
            </w:r>
            <w:r>
              <w:rPr>
                <w:rFonts w:ascii="Times New Roman" w:hAnsi="Times New Roman" w:cs="Times New Roman" w:eastAsia="Times New Roman" w:hint="default"/>
                <w:sz w:val="18"/>
                <w:szCs w:val="18"/>
              </w:rPr>
              <w:t>”</w:t>
            </w:r>
            <w:r>
              <w:rPr>
                <w:rFonts w:ascii="宋体" w:hAnsi="宋体" w:cs="宋体" w:eastAsia="宋体" w:hint="default"/>
                <w:sz w:val="18"/>
                <w:szCs w:val="18"/>
              </w:rPr>
              <w:t>项目已完成投入，经董事会、股东大会审议通过已结项并将结余</w:t>
            </w:r>
          </w:p>
        </w:tc>
      </w:tr>
    </w:tbl>
    <w:p>
      <w:pPr>
        <w:spacing w:after="0" w:line="240" w:lineRule="auto"/>
        <w:jc w:val="left"/>
        <w:rPr>
          <w:rFonts w:ascii="宋体" w:hAnsi="宋体" w:cs="宋体" w:eastAsia="宋体" w:hint="default"/>
          <w:sz w:val="18"/>
          <w:szCs w:val="18"/>
        </w:rPr>
        <w:sectPr>
          <w:pgSz w:w="11910" w:h="16840"/>
          <w:pgMar w:header="747" w:footer="1190"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0"/>
          <w:szCs w:val="20"/>
        </w:rPr>
      </w:pPr>
    </w:p>
    <w:p>
      <w:pPr>
        <w:pStyle w:val="BodyText"/>
        <w:spacing w:line="240" w:lineRule="auto" w:before="44"/>
        <w:ind w:left="0" w:right="1039"/>
        <w:jc w:val="right"/>
      </w:pPr>
      <w:r>
        <w:rPr/>
        <w:pict>
          <v:shape style="position:absolute;margin-left:55.080002pt;margin-top:-96.908012pt;width:485.4pt;height:183.6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1"/>
                    <w:gridCol w:w="700"/>
                    <w:gridCol w:w="7403"/>
                  </w:tblGrid>
                  <w:tr>
                    <w:trPr>
                      <w:trHeight w:val="986" w:hRule="exact"/>
                    </w:trPr>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募集资金中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元变更用于</w:t>
                        </w:r>
                        <w:r>
                          <w:rPr>
                            <w:rFonts w:ascii="Times New Roman" w:hAnsi="Times New Roman" w:cs="Times New Roman" w:eastAsia="Times New Roman" w:hint="default"/>
                            <w:sz w:val="18"/>
                            <w:szCs w:val="18"/>
                          </w:rPr>
                          <w:t>“</w:t>
                        </w:r>
                        <w:r>
                          <w:rPr>
                            <w:rFonts w:ascii="宋体" w:hAnsi="宋体" w:cs="宋体" w:eastAsia="宋体" w:hint="default"/>
                            <w:sz w:val="18"/>
                            <w:szCs w:val="18"/>
                          </w:rPr>
                          <w:t>面向国产化计算机的终端安全管理平台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建设，并将剩</w:t>
                        </w:r>
                      </w:p>
                      <w:p>
                        <w:pPr>
                          <w:pStyle w:val="TableParagraph"/>
                          <w:spacing w:line="302" w:lineRule="auto" w:before="63"/>
                          <w:ind w:left="22" w:right="33"/>
                          <w:jc w:val="left"/>
                          <w:rPr>
                            <w:rFonts w:ascii="宋体" w:hAnsi="宋体" w:cs="宋体" w:eastAsia="宋体" w:hint="default"/>
                            <w:sz w:val="18"/>
                            <w:szCs w:val="18"/>
                          </w:rPr>
                        </w:pPr>
                        <w:r>
                          <w:rPr>
                            <w:rFonts w:ascii="宋体" w:hAnsi="宋体" w:cs="宋体" w:eastAsia="宋体" w:hint="default"/>
                            <w:sz w:val="18"/>
                            <w:szCs w:val="18"/>
                          </w:rPr>
                          <w:t>余募集资金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190,932,943.43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元（含利息等收益以及前次暂时补充流动资金的闲置募集资金）永 久补充流动资金。</w:t>
                        </w:r>
                      </w:p>
                    </w:tc>
                  </w:tr>
                  <w:tr>
                    <w:trPr>
                      <w:trHeight w:val="1650" w:hRule="exact"/>
                    </w:trPr>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16"/>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5"/>
                            <w:sz w:val="18"/>
                            <w:szCs w:val="18"/>
                          </w:rPr>
                          <w:t>日，募集资金余额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537,174,482.98 </w:t>
                        </w:r>
                        <w:r>
                          <w:rPr>
                            <w:rFonts w:ascii="宋体" w:hAnsi="宋体" w:cs="宋体" w:eastAsia="宋体" w:hint="default"/>
                            <w:spacing w:val="-3"/>
                            <w:sz w:val="18"/>
                            <w:szCs w:val="18"/>
                          </w:rPr>
                          <w:t>元，其中存放招商银行股份有限公司北</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京双榆树支行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110906881610206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98,526,700.00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元；存放招商银行股份有限公司南京新城科技</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园支行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125904801410809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278,647,782.98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元；存放招商银行股份有限公司南京新城科技园支</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12590480148000020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10,000,000.00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元，为七天通知存款；中信收益凭证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26" w:hRule="exact"/>
                    </w:trPr>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6"/>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公司已披露的相关信息不存在未及时、真实、准确、完整披露的情况。</w:t>
                        </w:r>
                      </w:p>
                    </w:tc>
                  </w:tr>
                </w:tbl>
                <w:p>
                  <w:pPr/>
                </w:p>
              </w:txbxContent>
            </v:textbox>
            <w10:wrap type="none"/>
          </v:shape>
        </w:pict>
      </w:r>
      <w:r>
        <w:rPr>
          <w:spacing w:val="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0"/>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6"/>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0"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面向国产化 计算机的终 端安全管理 平台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新一代互联 网安全聚合 通道项目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147.33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147.33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新一代互联 网安全聚合 通道项目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19,168.53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19,168.53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19,168.53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29,168.53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19,315.86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19,315.86</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13"/>
              <w:jc w:val="righ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227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8"/>
              <w:jc w:val="left"/>
              <w:rPr>
                <w:rFonts w:ascii="宋体" w:hAnsi="宋体" w:cs="宋体" w:eastAsia="宋体" w:hint="default"/>
                <w:sz w:val="18"/>
                <w:szCs w:val="18"/>
              </w:rPr>
            </w:pPr>
            <w:r>
              <w:rPr>
                <w:rFonts w:ascii="宋体" w:hAnsi="宋体" w:cs="宋体" w:eastAsia="宋体" w:hint="default"/>
                <w:spacing w:val="-1"/>
                <w:sz w:val="18"/>
                <w:szCs w:val="18"/>
              </w:rPr>
              <w:t>根据公司发展战略，从实际情况出发，为提高公司募集资金使用效率，变更部分募集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资金投资项目。经公司第三届董事会第十次临时会议审议，</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年第二次临时股东大</w:t>
            </w:r>
            <w:r>
              <w:rPr>
                <w:rFonts w:ascii="宋体" w:hAnsi="宋体" w:cs="宋体" w:eastAsia="宋体" w:hint="default"/>
                <w:spacing w:val="-83"/>
                <w:sz w:val="18"/>
                <w:szCs w:val="18"/>
              </w:rPr>
              <w:t> </w:t>
            </w:r>
            <w:r>
              <w:rPr>
                <w:rFonts w:ascii="宋体" w:hAnsi="宋体" w:cs="宋体" w:eastAsia="宋体" w:hint="default"/>
                <w:spacing w:val="-3"/>
                <w:sz w:val="18"/>
                <w:szCs w:val="18"/>
              </w:rPr>
              <w:t>会决议通过《关于变更部分募集资金用途并永久补充流动资金的议案》，同意将非公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开发行募集资金投资项目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新一代互联网安全聚合通道项目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结余募集资金中</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 元变更用于</w:t>
            </w:r>
            <w:r>
              <w:rPr>
                <w:rFonts w:ascii="Times New Roman" w:hAnsi="Times New Roman" w:cs="Times New Roman" w:eastAsia="Times New Roman" w:hint="default"/>
                <w:sz w:val="18"/>
                <w:szCs w:val="18"/>
              </w:rPr>
              <w:t>“</w:t>
            </w:r>
            <w:r>
              <w:rPr>
                <w:rFonts w:ascii="宋体" w:hAnsi="宋体" w:cs="宋体" w:eastAsia="宋体" w:hint="default"/>
                <w:sz w:val="18"/>
                <w:szCs w:val="18"/>
              </w:rPr>
              <w:t>面向国产化计算机的终端安全管理平台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建设，并将剩余募集资金 </w:t>
            </w:r>
            <w:r>
              <w:rPr>
                <w:rFonts w:ascii="Times New Roman" w:hAnsi="Times New Roman" w:cs="Times New Roman" w:eastAsia="Times New Roman" w:hint="default"/>
                <w:sz w:val="18"/>
                <w:szCs w:val="18"/>
              </w:rPr>
              <w:t>19,093.29 </w:t>
            </w:r>
            <w:r>
              <w:rPr>
                <w:rFonts w:ascii="宋体" w:hAnsi="宋体" w:cs="宋体" w:eastAsia="宋体" w:hint="default"/>
                <w:spacing w:val="-2"/>
                <w:sz w:val="18"/>
                <w:szCs w:val="18"/>
              </w:rPr>
              <w:t>万元（含利息等收益以及前次暂时补充流动资金的闲置募集资金）永久补充</w:t>
            </w:r>
          </w:p>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流动资金。该项目变更具体内容详见本公司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2018-107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1190" w:top="1060" w:bottom="138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1190" w:top="1060" w:bottom="138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380" w:left="980" w:right="0"/>
          <w:cols w:num="2" w:equalWidth="0">
            <w:col w:w="4849" w:space="4070"/>
            <w:col w:w="2011"/>
          </w:cols>
        </w:sectPr>
      </w:pP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042"/>
        <w:gridCol w:w="1186"/>
        <w:gridCol w:w="1033"/>
        <w:gridCol w:w="1091"/>
        <w:gridCol w:w="1092"/>
        <w:gridCol w:w="1091"/>
        <w:gridCol w:w="1091"/>
        <w:gridCol w:w="1033"/>
        <w:gridCol w:w="1036"/>
      </w:tblGrid>
      <w:tr>
        <w:trPr>
          <w:trHeight w:val="402" w:hRule="exact"/>
        </w:trPr>
        <w:tc>
          <w:tcPr>
            <w:tcW w:w="10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北京中软华 泰信息技术 有限责任公 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97"/>
              <w:jc w:val="both"/>
              <w:rPr>
                <w:rFonts w:ascii="宋体" w:hAnsi="宋体" w:cs="宋体" w:eastAsia="宋体" w:hint="default"/>
                <w:sz w:val="18"/>
                <w:szCs w:val="18"/>
              </w:rPr>
            </w:pPr>
            <w:r>
              <w:rPr>
                <w:rFonts w:ascii="宋体" w:hAnsi="宋体" w:cs="宋体" w:eastAsia="宋体" w:hint="default"/>
                <w:sz w:val="18"/>
                <w:szCs w:val="18"/>
              </w:rPr>
              <w:t>服务器加固 和咨询服务 等</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15,865,384.70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81,194,872.91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66,184,978.68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29,029,598.23</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8,907,549.19</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7,867,595.99</w:t>
            </w:r>
          </w:p>
        </w:tc>
      </w:tr>
    </w:tbl>
    <w:p>
      <w:pPr>
        <w:pStyle w:val="BodyText"/>
        <w:spacing w:line="240" w:lineRule="auto" w:before="51"/>
        <w:ind w:right="0"/>
        <w:jc w:val="left"/>
      </w:pPr>
      <w:r>
        <w:rPr/>
        <w:t>报告期内取得和处置子公司的情况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before="44"/>
        <w:ind w:left="0" w:right="1071"/>
        <w:jc w:val="right"/>
      </w:pPr>
      <w:r>
        <w:rPr/>
        <w:pict>
          <v:shape style="position:absolute;margin-left:55.080002pt;margin-top:-20.947950pt;width:485.4pt;height:87.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63"/>
                    <w:gridCol w:w="2695"/>
                    <w:gridCol w:w="4135"/>
                  </w:tblGrid>
                  <w:tr>
                    <w:trPr>
                      <w:trHeight w:val="402" w:hRule="exact"/>
                    </w:trPr>
                    <w:tc>
                      <w:tcPr>
                        <w:tcW w:w="2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4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91"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358" w:hRule="exact"/>
                    </w:trPr>
                    <w:tc>
                      <w:tcPr>
                        <w:tcW w:w="2863" w:type="dxa"/>
                        <w:tcBorders>
                          <w:top w:val="single" w:sz="4" w:space="0" w:color="000000"/>
                          <w:left w:val="single" w:sz="4" w:space="0" w:color="000000"/>
                          <w:bottom w:val="nil" w:sz="6" w:space="0" w:color="auto"/>
                          <w:right w:val="single" w:sz="4" w:space="0" w:color="000000"/>
                        </w:tcBorders>
                      </w:tcPr>
                      <w:p>
                        <w:pPr/>
                      </w:p>
                    </w:tc>
                    <w:tc>
                      <w:tcPr>
                        <w:tcW w:w="2695" w:type="dxa"/>
                        <w:tcBorders>
                          <w:top w:val="single" w:sz="4" w:space="0" w:color="000000"/>
                          <w:left w:val="single" w:sz="4" w:space="0" w:color="000000"/>
                          <w:bottom w:val="nil" w:sz="6" w:space="0" w:color="auto"/>
                          <w:right w:val="single" w:sz="4" w:space="0" w:color="000000"/>
                        </w:tcBorders>
                      </w:tcPr>
                      <w:p>
                        <w:pPr/>
                      </w:p>
                    </w:tc>
                    <w:tc>
                      <w:tcPr>
                        <w:tcW w:w="4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新设公司将打造成为国产化安全替代服务区域中心</w:t>
                        </w:r>
                      </w:p>
                    </w:tc>
                  </w:tr>
                  <w:tr>
                    <w:trPr>
                      <w:trHeight w:val="625" w:hRule="exact"/>
                    </w:trPr>
                    <w:tc>
                      <w:tcPr>
                        <w:tcW w:w="28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北信源信息技术（青岛）有限公司</w:t>
                        </w:r>
                      </w:p>
                    </w:tc>
                    <w:tc>
                      <w:tcPr>
                        <w:tcW w:w="26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新设全资子公司</w:t>
                        </w:r>
                      </w:p>
                    </w:tc>
                    <w:tc>
                      <w:tcPr>
                        <w:tcW w:w="413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安全移动办公产品研发中心、集成业务区域运营中 </w:t>
                        </w:r>
                        <w:r>
                          <w:rPr>
                            <w:rFonts w:ascii="宋体" w:hAnsi="宋体" w:cs="宋体" w:eastAsia="宋体" w:hint="default"/>
                            <w:spacing w:val="-3"/>
                            <w:sz w:val="18"/>
                            <w:szCs w:val="18"/>
                          </w:rPr>
                          <w:t>心，将公司的服务区域和范围进一步扩大，为公司拓</w:t>
                        </w:r>
                      </w:p>
                    </w:tc>
                  </w:tr>
                  <w:tr>
                    <w:trPr>
                      <w:trHeight w:val="356" w:hRule="exact"/>
                    </w:trPr>
                    <w:tc>
                      <w:tcPr>
                        <w:tcW w:w="2863" w:type="dxa"/>
                        <w:tcBorders>
                          <w:top w:val="nil" w:sz="6" w:space="0" w:color="auto"/>
                          <w:left w:val="single" w:sz="4" w:space="0" w:color="000000"/>
                          <w:bottom w:val="single" w:sz="4" w:space="0" w:color="000000"/>
                          <w:right w:val="single" w:sz="4" w:space="0" w:color="000000"/>
                        </w:tcBorders>
                      </w:tcPr>
                      <w:p>
                        <w:pPr/>
                      </w:p>
                    </w:tc>
                    <w:tc>
                      <w:tcPr>
                        <w:tcW w:w="2695" w:type="dxa"/>
                        <w:tcBorders>
                          <w:top w:val="nil" w:sz="6" w:space="0" w:color="auto"/>
                          <w:left w:val="single" w:sz="4" w:space="0" w:color="000000"/>
                          <w:bottom w:val="single" w:sz="4" w:space="0" w:color="000000"/>
                          <w:right w:val="single" w:sz="4" w:space="0" w:color="000000"/>
                        </w:tcBorders>
                      </w:tcPr>
                      <w:p>
                        <w:pPr/>
                      </w:p>
                    </w:tc>
                    <w:tc>
                      <w:tcPr>
                        <w:tcW w:w="4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展国产化、集成业务等多个市场提供有力的支撑。</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357" w:lineRule="auto" w:before="44"/>
        <w:ind w:left="497" w:right="1137" w:hanging="344"/>
        <w:jc w:val="left"/>
      </w:pPr>
      <w:r>
        <w:rPr/>
        <w:t>主要控股参股公司情况说明 </w:t>
      </w:r>
      <w:r>
        <w:rPr>
          <w:color w:val="242424"/>
        </w:rPr>
        <w:t>为进一步开拓业务领域，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日，公司召开第三届董事会第六次会议审议通过《关于对外投资设立合资公司的</w:t>
      </w:r>
    </w:p>
    <w:p>
      <w:pPr>
        <w:pStyle w:val="BodyText"/>
        <w:spacing w:line="214" w:lineRule="exact"/>
        <w:ind w:right="0"/>
        <w:jc w:val="left"/>
      </w:pPr>
      <w:r>
        <w:rPr/>
        <w:t>议案》，</w:t>
      </w:r>
      <w:r>
        <w:rPr>
          <w:color w:val="242424"/>
        </w:rPr>
        <w:t>拟使用自有资金</w:t>
      </w:r>
      <w:r>
        <w:rPr>
          <w:rFonts w:ascii="Times New Roman" w:hAnsi="Times New Roman" w:cs="Times New Roman" w:eastAsia="Times New Roman" w:hint="default"/>
          <w:color w:val="242424"/>
        </w:rPr>
        <w:t>4,000</w:t>
      </w:r>
      <w:r>
        <w:rPr>
          <w:color w:val="242424"/>
        </w:rPr>
        <w:t>万元人民币</w:t>
      </w:r>
      <w:r>
        <w:rPr/>
        <w:t>与珠海健行投资管理企业（有限合伙）等共同投资设立北京信源健和科技有限责</w:t>
      </w:r>
    </w:p>
    <w:p>
      <w:pPr>
        <w:pStyle w:val="BodyText"/>
        <w:spacing w:line="240" w:lineRule="auto" w:before="64"/>
        <w:ind w:right="0"/>
        <w:jc w:val="left"/>
      </w:pPr>
      <w:r>
        <w:rPr/>
        <w:t>任公司，完成出资后持股</w:t>
      </w:r>
      <w:r>
        <w:rPr>
          <w:rFonts w:ascii="Times New Roman" w:hAnsi="Times New Roman" w:cs="Times New Roman" w:eastAsia="Times New Roman" w:hint="default"/>
        </w:rPr>
        <w:t>40%</w:t>
      </w:r>
      <w:r>
        <w:rPr/>
        <w:t>，截至报告期末，公司实际支付投资款</w:t>
      </w:r>
      <w:r>
        <w:rPr>
          <w:rFonts w:ascii="Times New Roman" w:hAnsi="Times New Roman" w:cs="Times New Roman" w:eastAsia="Times New Roman" w:hint="default"/>
        </w:rPr>
        <w:t>2,000</w:t>
      </w:r>
      <w:r>
        <w:rPr/>
        <w:t>万元人民币。</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80"/>
        <w:jc w:val="left"/>
      </w:pPr>
      <w:r>
        <w:rPr/>
        <w:t>作为国内信息安全行业领军企业之一，公司继续扩大和巩固在国内信息安全行业的领先优势，持续地完善和优化公司 </w:t>
      </w:r>
      <w:r>
        <w:rPr>
          <w:spacing w:val="-4"/>
        </w:rPr>
        <w:t>的市场战略布局、技术研发体系、产品生产体系、服务支撑体系和运营管理，稳步提升公司在国内信息安全行业的市场份额；</w:t>
      </w:r>
      <w:r>
        <w:rPr>
          <w:spacing w:val="-46"/>
        </w:rPr>
        <w:t> </w:t>
      </w:r>
      <w:r>
        <w:rPr>
          <w:spacing w:val="-46"/>
        </w:rPr>
      </w:r>
      <w:r>
        <w:rPr/>
        <w:t>同时积极开拓国际市场，致力于将公司打造成为在全球范围内具有影响力的信息安全企业。</w:t>
      </w:r>
    </w:p>
    <w:p>
      <w:pPr>
        <w:spacing w:after="0" w:line="316" w:lineRule="auto"/>
        <w:jc w:val="left"/>
        <w:sectPr>
          <w:type w:val="continuous"/>
          <w:pgSz w:w="11910" w:h="16840"/>
          <w:pgMar w:top="1060" w:bottom="13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0" w:firstLine="1"/>
        <w:jc w:val="left"/>
      </w:pPr>
      <w:r>
        <w:rPr>
          <w:rFonts w:ascii="宋体" w:hAnsi="宋体" w:cs="宋体" w:eastAsia="宋体" w:hint="default"/>
          <w:b/>
          <w:bCs/>
        </w:rPr>
        <w:t>（一）公司发展战略</w:t>
      </w:r>
      <w:r>
        <w:rPr>
          <w:rFonts w:ascii="宋体" w:hAnsi="宋体" w:cs="宋体" w:eastAsia="宋体" w:hint="default"/>
          <w:b/>
          <w:bCs/>
          <w:spacing w:val="1"/>
          <w:w w:val="99"/>
        </w:rPr>
        <w:t> </w:t>
      </w:r>
      <w:r>
        <w:rPr>
          <w:spacing w:val="-2"/>
        </w:rPr>
        <w:t>公司始终秉承</w:t>
      </w:r>
      <w:r>
        <w:rPr>
          <w:rFonts w:ascii="Times New Roman" w:hAnsi="Times New Roman" w:cs="Times New Roman" w:eastAsia="Times New Roman" w:hint="default"/>
          <w:spacing w:val="-2"/>
        </w:rPr>
        <w:t>“</w:t>
      </w:r>
      <w:r>
        <w:rPr>
          <w:spacing w:val="-2"/>
        </w:rPr>
        <w:t>信息之源、信誉之源、信心之源</w:t>
      </w:r>
      <w:r>
        <w:rPr>
          <w:rFonts w:ascii="Times New Roman" w:hAnsi="Times New Roman" w:cs="Times New Roman" w:eastAsia="Times New Roman" w:hint="default"/>
          <w:spacing w:val="-2"/>
        </w:rPr>
        <w:t>”</w:t>
      </w:r>
      <w:r>
        <w:rPr>
          <w:spacing w:val="-2"/>
        </w:rPr>
        <w:t>的核心理念，长期专注于信息安全领域，坚持技术创新，力求为客户提</w:t>
      </w:r>
    </w:p>
    <w:p>
      <w:pPr>
        <w:pStyle w:val="BodyText"/>
        <w:spacing w:line="300" w:lineRule="auto"/>
        <w:ind w:right="1131"/>
        <w:jc w:val="both"/>
      </w:pPr>
      <w:r>
        <w:rPr>
          <w:spacing w:val="-2"/>
        </w:rPr>
        <w:t>供优质的产品及服务。未来，公司将继续紧跟国家政策方向，顺应技术发展和市场趋势，围绕</w:t>
      </w:r>
      <w:r>
        <w:rPr>
          <w:rFonts w:ascii="Times New Roman" w:hAnsi="Times New Roman" w:cs="Times New Roman" w:eastAsia="Times New Roman" w:hint="default"/>
          <w:spacing w:val="-2"/>
        </w:rPr>
        <w:t>“</w:t>
      </w:r>
      <w:r>
        <w:rPr>
          <w:spacing w:val="-2"/>
        </w:rPr>
        <w:t>信息安全、大数据、互联网</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t>三大方向开展业务，三大业务相辅相成、相互推进。</w:t>
      </w:r>
    </w:p>
    <w:p>
      <w:pPr>
        <w:pStyle w:val="BodyText"/>
        <w:spacing w:line="300" w:lineRule="auto" w:before="31"/>
        <w:ind w:right="1128" w:firstLine="360"/>
        <w:jc w:val="both"/>
      </w:pPr>
      <w:r>
        <w:rPr>
          <w:spacing w:val="-2"/>
        </w:rPr>
        <w:t>公司将以信息安全为基础，依循</w:t>
      </w:r>
      <w:r>
        <w:rPr>
          <w:rFonts w:ascii="Times New Roman" w:hAnsi="Times New Roman" w:cs="Times New Roman" w:eastAsia="Times New Roman" w:hint="default"/>
          <w:spacing w:val="-2"/>
        </w:rPr>
        <w:t>“</w:t>
      </w:r>
      <w:r>
        <w:rPr>
          <w:spacing w:val="-2"/>
        </w:rPr>
        <w:t>安全可控</w:t>
      </w:r>
      <w:r>
        <w:rPr>
          <w:rFonts w:ascii="Times New Roman" w:hAnsi="Times New Roman" w:cs="Times New Roman" w:eastAsia="Times New Roman" w:hint="default"/>
          <w:spacing w:val="-2"/>
        </w:rPr>
        <w:t>”</w:t>
      </w:r>
      <w:r>
        <w:rPr>
          <w:spacing w:val="-2"/>
        </w:rPr>
        <w:t>这一国家安全的核心发展方向，充分借力大数据平台和技术，进一步完善和</w:t>
      </w:r>
      <w:r>
        <w:rPr/>
        <w:t> </w:t>
      </w:r>
      <w:r>
        <w:rPr>
          <w:spacing w:val="-2"/>
        </w:rPr>
        <w:t>提升终端安全体系防护能力，提高信息系统的</w:t>
      </w:r>
      <w:r>
        <w:rPr>
          <w:rFonts w:ascii="Times New Roman" w:hAnsi="Times New Roman" w:cs="Times New Roman" w:eastAsia="Times New Roman" w:hint="default"/>
          <w:spacing w:val="-2"/>
        </w:rPr>
        <w:t>IT</w:t>
      </w:r>
      <w:r>
        <w:rPr>
          <w:spacing w:val="-2"/>
        </w:rPr>
        <w:t>运维水平；以安全即时通信为基础，打造移动安全互联平台，实现对网络应</w:t>
      </w:r>
      <w:r>
        <w:rPr>
          <w:spacing w:val="-52"/>
        </w:rPr>
        <w:t> </w:t>
      </w:r>
      <w:r>
        <w:rPr>
          <w:spacing w:val="-52"/>
        </w:rPr>
      </w:r>
      <w:r>
        <w:rPr/>
        <w:t>用和媒体等内容的聚合，通过人工智能相关技术的支撑，多维度助力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，打造</w:t>
      </w:r>
      <w:r>
        <w:rPr>
          <w:rFonts w:ascii="Times New Roman" w:hAnsi="Times New Roman" w:cs="Times New Roman" w:eastAsia="Times New Roman" w:hint="default"/>
        </w:rPr>
        <w:t>“</w:t>
      </w:r>
      <w:r>
        <w:rPr/>
        <w:t>安全的智能</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智能的安全</w:t>
      </w:r>
      <w:r>
        <w:rPr>
          <w:rFonts w:ascii="Times New Roman" w:hAnsi="Times New Roman" w:cs="Times New Roman" w:eastAsia="Times New Roman" w:hint="default"/>
        </w:rPr>
        <w:t>”</w:t>
      </w:r>
      <w:r>
        <w:rPr/>
        <w:t>创新产</w:t>
      </w:r>
      <w:r>
        <w:rPr>
          <w:spacing w:val="-45"/>
        </w:rPr>
        <w:t> </w:t>
      </w:r>
      <w:r>
        <w:rPr/>
        <w:t>品和服务。</w:t>
      </w:r>
    </w:p>
    <w:p>
      <w:pPr>
        <w:pStyle w:val="BodyText"/>
        <w:spacing w:line="316" w:lineRule="auto" w:before="31"/>
        <w:ind w:right="1129" w:firstLine="360"/>
        <w:jc w:val="both"/>
      </w:pPr>
      <w:r>
        <w:rPr>
          <w:spacing w:val="-2"/>
        </w:rPr>
        <w:t>公司的战略目标是抓住信息安全行业良好的发展机遇和扩张空间，巩固公司在技术门槛、行业资源以及市场基础方面建</w:t>
      </w:r>
      <w:r>
        <w:rPr/>
        <w:t> </w:t>
      </w:r>
      <w:r>
        <w:rPr>
          <w:spacing w:val="-2"/>
        </w:rPr>
        <w:t>立起来的优势，同时持续完善和优化公司的技术研发体系、产品生产体系、服务支撑体系和运营管理流程，进一步提升公司</w:t>
      </w:r>
      <w:r>
        <w:rPr>
          <w:spacing w:val="-66"/>
        </w:rPr>
        <w:t> </w:t>
      </w:r>
      <w:r>
        <w:rPr>
          <w:spacing w:val="-66"/>
        </w:rPr>
      </w:r>
      <w:r>
        <w:rPr/>
        <w:t>在国内信息安全行业的市场地位和市场份额。</w:t>
      </w:r>
    </w:p>
    <w:p>
      <w:pPr>
        <w:pStyle w:val="BodyText"/>
        <w:spacing w:line="309" w:lineRule="auto" w:before="19"/>
        <w:ind w:right="1032" w:firstLine="360"/>
        <w:jc w:val="left"/>
      </w:pPr>
      <w:r>
        <w:rPr>
          <w:spacing w:val="-3"/>
        </w:rPr>
        <w:t>公司将积极践行国家</w:t>
      </w:r>
      <w:r>
        <w:rPr>
          <w:rFonts w:ascii="Times New Roman" w:hAnsi="Times New Roman" w:cs="Times New Roman" w:eastAsia="Times New Roman" w:hint="default"/>
          <w:spacing w:val="-3"/>
        </w:rPr>
        <w:t>“</w:t>
      </w:r>
      <w:r>
        <w:rPr>
          <w:spacing w:val="-3"/>
        </w:rPr>
        <w:t>一带一路</w:t>
      </w:r>
      <w:r>
        <w:rPr>
          <w:rFonts w:ascii="Times New Roman" w:hAnsi="Times New Roman" w:cs="Times New Roman" w:eastAsia="Times New Roman" w:hint="default"/>
          <w:spacing w:val="-3"/>
        </w:rPr>
        <w:t>”</w:t>
      </w:r>
      <w:r>
        <w:rPr>
          <w:spacing w:val="-3"/>
        </w:rPr>
        <w:t>战略，逐步开拓国际市场，致力于成为在全球范围内具有影响力的信息安全企业。另外，</w:t>
      </w:r>
      <w:r>
        <w:rPr/>
        <w:t> </w:t>
      </w:r>
      <w:r>
        <w:rPr>
          <w:spacing w:val="-2"/>
        </w:rPr>
        <w:t>公司将充分借力资本市场，围绕核心业务完善布局，努力实现跨越式发展，为我国的信息安全建设与安全可控战略发展积极</w:t>
      </w:r>
      <w:r>
        <w:rPr>
          <w:spacing w:val="-66"/>
        </w:rPr>
        <w:t> </w:t>
      </w:r>
      <w:r>
        <w:rPr>
          <w:spacing w:val="-66"/>
        </w:rPr>
      </w:r>
      <w:r>
        <w:rPr/>
        <w:t>贡献力量。</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（二）经营规划</w:t>
      </w:r>
      <w:r>
        <w:rPr>
          <w:b w:val="0"/>
          <w:bCs w:val="0"/>
        </w:rPr>
      </w:r>
    </w:p>
    <w:p>
      <w:pPr>
        <w:pStyle w:val="BodyText"/>
        <w:spacing w:line="240" w:lineRule="auto" w:before="76"/>
        <w:ind w:left="514" w:right="0"/>
        <w:jc w:val="left"/>
      </w:pPr>
      <w:r>
        <w:rPr>
          <w:rFonts w:ascii="Times New Roman" w:hAnsi="Times New Roman" w:cs="Times New Roman" w:eastAsia="Times New Roman" w:hint="default"/>
        </w:rPr>
        <w:t>2019</w:t>
      </w:r>
      <w:r>
        <w:rPr/>
        <w:t>年，公司将紧随国家产业政策和行业发展趋势。为实现经营目标，公司将重点从以下方面开展工作：</w:t>
      </w:r>
    </w:p>
    <w:p>
      <w:pPr>
        <w:pStyle w:val="BodyText"/>
        <w:spacing w:line="300" w:lineRule="auto" w:before="63"/>
        <w:ind w:left="514" w:right="0"/>
        <w:jc w:val="left"/>
      </w:pPr>
      <w:r>
        <w:rPr>
          <w:rFonts w:ascii="Times New Roman" w:hAnsi="Times New Roman" w:cs="Times New Roman" w:eastAsia="Times New Roman" w:hint="default"/>
        </w:rPr>
        <w:t>1</w:t>
      </w:r>
      <w:r>
        <w:rPr/>
        <w:t>、坚持技术创新，增强核心竞争力 </w:t>
      </w:r>
      <w:r>
        <w:rPr>
          <w:spacing w:val="-1"/>
        </w:rPr>
        <w:t>公司持续围绕</w:t>
      </w:r>
      <w:r>
        <w:rPr>
          <w:rFonts w:ascii="Times New Roman" w:hAnsi="Times New Roman" w:cs="Times New Roman" w:eastAsia="Times New Roman" w:hint="default"/>
          <w:spacing w:val="-1"/>
        </w:rPr>
        <w:t>“</w:t>
      </w:r>
      <w:r>
        <w:rPr>
          <w:spacing w:val="-1"/>
        </w:rPr>
        <w:t>信息安全、大数据、互联网</w:t>
      </w:r>
      <w:r>
        <w:rPr>
          <w:rFonts w:ascii="Times New Roman" w:hAnsi="Times New Roman" w:cs="Times New Roman" w:eastAsia="Times New Roman" w:hint="default"/>
          <w:spacing w:val="-1"/>
        </w:rPr>
        <w:t>”</w:t>
      </w:r>
      <w:r>
        <w:rPr>
          <w:spacing w:val="-1"/>
        </w:rPr>
        <w:t>的技术主线，对于已有产品继续贯彻</w:t>
      </w:r>
      <w:r>
        <w:rPr>
          <w:rFonts w:ascii="Times New Roman" w:hAnsi="Times New Roman" w:cs="Times New Roman" w:eastAsia="Times New Roman" w:hint="default"/>
          <w:spacing w:val="-1"/>
        </w:rPr>
        <w:t>“</w:t>
      </w:r>
      <w:r>
        <w:rPr>
          <w:spacing w:val="-1"/>
        </w:rPr>
        <w:t>一体化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标准化</w:t>
      </w:r>
      <w:r>
        <w:rPr>
          <w:rFonts w:ascii="Times New Roman" w:hAnsi="Times New Roman" w:cs="Times New Roman" w:eastAsia="Times New Roman" w:hint="default"/>
          <w:spacing w:val="-1"/>
        </w:rPr>
        <w:t>”</w:t>
      </w:r>
      <w:r>
        <w:rPr>
          <w:spacing w:val="-1"/>
        </w:rPr>
        <w:t>的理念，不断迭代</w:t>
      </w:r>
    </w:p>
    <w:p>
      <w:pPr>
        <w:pStyle w:val="BodyText"/>
        <w:spacing w:line="316" w:lineRule="auto" w:before="13"/>
        <w:ind w:right="1131"/>
        <w:jc w:val="both"/>
      </w:pPr>
      <w:r>
        <w:rPr>
          <w:spacing w:val="-2"/>
        </w:rPr>
        <w:t>升级。同时，为适应快速发展的产品和技术需求，公司坚持自主创新与吸收引进相结合，在优化已有优势产品的基础上，继</w:t>
      </w:r>
      <w:r>
        <w:rPr>
          <w:spacing w:val="-66"/>
        </w:rPr>
        <w:t> </w:t>
      </w:r>
      <w:r>
        <w:rPr>
          <w:spacing w:val="-66"/>
        </w:rPr>
      </w:r>
      <w:r>
        <w:rPr>
          <w:spacing w:val="-2"/>
        </w:rPr>
        <w:t>续加大研发投入，积极推动技术和产品的不断升级，致力于成为物联网时代下智慧安全的全面解决方案提供商。同时利用控</w:t>
      </w:r>
      <w:r>
        <w:rPr>
          <w:spacing w:val="-66"/>
        </w:rPr>
        <w:t> </w:t>
      </w:r>
      <w:r>
        <w:rPr>
          <w:spacing w:val="-66"/>
        </w:rPr>
      </w:r>
      <w:r>
        <w:rPr>
          <w:spacing w:val="-2"/>
        </w:rPr>
        <w:t>股和参股公司及战略合作合伙的先进技术，在产品技术、应用技术等多个层面完善公司的研发体系，提升公司的研发及预研</w:t>
      </w:r>
      <w:r>
        <w:rPr>
          <w:spacing w:val="-66"/>
        </w:rPr>
        <w:t> </w:t>
      </w:r>
      <w:r>
        <w:rPr>
          <w:spacing w:val="-66"/>
        </w:rPr>
      </w:r>
      <w:r>
        <w:rPr/>
        <w:t>能力。</w:t>
      </w:r>
    </w:p>
    <w:p>
      <w:pPr>
        <w:pStyle w:val="BodyText"/>
        <w:spacing w:line="300" w:lineRule="auto" w:before="19"/>
        <w:ind w:left="514" w:right="0"/>
        <w:jc w:val="left"/>
      </w:pPr>
      <w:r>
        <w:rPr>
          <w:rFonts w:ascii="Times New Roman" w:hAnsi="Times New Roman" w:cs="Times New Roman" w:eastAsia="Times New Roman" w:hint="default"/>
        </w:rPr>
        <w:t>2</w:t>
      </w:r>
      <w:r>
        <w:rPr/>
        <w:t>、深化行业布局，探索业务增长空间 </w:t>
      </w:r>
      <w:r>
        <w:rPr>
          <w:spacing w:val="-2"/>
        </w:rPr>
        <w:t>公司持续深化以</w:t>
      </w:r>
      <w:r>
        <w:rPr>
          <w:rFonts w:ascii="Times New Roman" w:hAnsi="Times New Roman" w:cs="Times New Roman" w:eastAsia="Times New Roman" w:hint="default"/>
          <w:spacing w:val="-2"/>
        </w:rPr>
        <w:t>“</w:t>
      </w:r>
      <w:r>
        <w:rPr>
          <w:spacing w:val="-2"/>
        </w:rPr>
        <w:t>信息安全、大数据、互联网</w:t>
      </w:r>
      <w:r>
        <w:rPr>
          <w:rFonts w:ascii="Times New Roman" w:hAnsi="Times New Roman" w:cs="Times New Roman" w:eastAsia="Times New Roman" w:hint="default"/>
          <w:spacing w:val="-2"/>
        </w:rPr>
        <w:t>”</w:t>
      </w:r>
      <w:r>
        <w:rPr>
          <w:spacing w:val="-2"/>
        </w:rPr>
        <w:t>的三大发展战略，在巩固现有客户与行业的基础上，优化销售布局，加强</w:t>
      </w:r>
    </w:p>
    <w:p>
      <w:pPr>
        <w:pStyle w:val="BodyText"/>
        <w:spacing w:line="316" w:lineRule="auto" w:before="13"/>
        <w:ind w:right="1129"/>
        <w:jc w:val="both"/>
      </w:pPr>
      <w:r>
        <w:rPr>
          <w:spacing w:val="-2"/>
        </w:rPr>
        <w:t>营销渠道建设，提升客户服务能力，积极拓展新行业、新领域，在医疗大健康等重点行业的核心业务领域不断取得突破和进</w:t>
      </w:r>
      <w:r>
        <w:rPr>
          <w:spacing w:val="-66"/>
        </w:rPr>
        <w:t> </w:t>
      </w:r>
      <w:r>
        <w:rPr>
          <w:spacing w:val="-66"/>
        </w:rPr>
      </w:r>
      <w:r>
        <w:rPr/>
        <w:t>步，丰富业务范围。同时，公司紧跟安全可控发展趋势，布局新技术带来的新的市场需求，不断适应新的市场变化趋势。</w:t>
      </w:r>
    </w:p>
    <w:p>
      <w:pPr>
        <w:pStyle w:val="BodyText"/>
        <w:spacing w:line="300" w:lineRule="auto" w:before="19"/>
        <w:ind w:left="514" w:right="0"/>
        <w:jc w:val="left"/>
      </w:pPr>
      <w:r>
        <w:rPr>
          <w:rFonts w:ascii="Times New Roman" w:hAnsi="Times New Roman" w:cs="Times New Roman" w:eastAsia="Times New Roman" w:hint="default"/>
        </w:rPr>
        <w:t>3</w:t>
      </w:r>
      <w:r>
        <w:rPr/>
        <w:t>、借力资本市场，完善战略布局 </w:t>
      </w:r>
      <w:r>
        <w:rPr>
          <w:spacing w:val="-2"/>
        </w:rPr>
        <w:t>未来，公司将充分利用上市公司的平台，围绕企业核心业务，适时的通过实施并购重组将企业做大、做优、做强，实现</w:t>
      </w:r>
    </w:p>
    <w:p>
      <w:pPr>
        <w:pStyle w:val="BodyText"/>
        <w:spacing w:line="316" w:lineRule="auto" w:before="31"/>
        <w:ind w:right="1131"/>
        <w:jc w:val="both"/>
      </w:pPr>
      <w:r>
        <w:rPr>
          <w:spacing w:val="-2"/>
        </w:rPr>
        <w:t>跨越式发展。同时，在合理控制风险的前提下，积极寻找优秀的行业合作伙伴，实现合作共赢和持续发展，进一步完善公司</w:t>
      </w:r>
      <w:r>
        <w:rPr>
          <w:spacing w:val="-66"/>
        </w:rPr>
        <w:t> </w:t>
      </w:r>
      <w:r>
        <w:rPr>
          <w:spacing w:val="-66"/>
        </w:rPr>
      </w:r>
      <w:r>
        <w:rPr/>
        <w:t>产业链布局，提高公司的行业地位和综合竞争力。</w:t>
      </w:r>
    </w:p>
    <w:p>
      <w:pPr>
        <w:pStyle w:val="BodyText"/>
        <w:spacing w:line="300" w:lineRule="auto" w:before="19"/>
        <w:ind w:left="514" w:right="0"/>
        <w:jc w:val="left"/>
      </w:pPr>
      <w:r>
        <w:rPr>
          <w:rFonts w:ascii="Times New Roman" w:hAnsi="Times New Roman" w:cs="Times New Roman" w:eastAsia="Times New Roman" w:hint="default"/>
        </w:rPr>
        <w:t>4</w:t>
      </w:r>
      <w:r>
        <w:rPr/>
        <w:t>、提升公司品牌管理，丰富市场营销渠道 </w:t>
      </w:r>
      <w:r>
        <w:rPr>
          <w:spacing w:val="-2"/>
        </w:rPr>
        <w:t>品牌整合营销是推动企业发展的无形力量。</w:t>
      </w:r>
      <w:r>
        <w:rPr>
          <w:rFonts w:ascii="Times New Roman" w:hAnsi="Times New Roman" w:cs="Times New Roman" w:eastAsia="Times New Roman" w:hint="default"/>
          <w:spacing w:val="-2"/>
        </w:rPr>
        <w:t>2019</w:t>
      </w:r>
      <w:r>
        <w:rPr>
          <w:spacing w:val="-2"/>
        </w:rPr>
        <w:t>年，公司将继续深化多渠道、多元化的品牌整合营销，提升企业与产品</w:t>
      </w:r>
    </w:p>
    <w:p>
      <w:pPr>
        <w:pStyle w:val="BodyText"/>
        <w:spacing w:line="316" w:lineRule="auto" w:before="13"/>
        <w:ind w:right="1131"/>
        <w:jc w:val="both"/>
      </w:pPr>
      <w:r>
        <w:rPr>
          <w:spacing w:val="-2"/>
        </w:rPr>
        <w:t>的知名度和覆盖面；以多种方式扩大产品的市场营销网络，提升公司产品的品牌影响力，树立公司信息安全行业领导者的品</w:t>
      </w:r>
      <w:r>
        <w:rPr>
          <w:spacing w:val="-66"/>
        </w:rPr>
        <w:t> </w:t>
      </w:r>
      <w:r>
        <w:rPr>
          <w:spacing w:val="-66"/>
        </w:rPr>
      </w:r>
      <w:r>
        <w:rPr/>
        <w:t>牌形象。</w:t>
      </w:r>
    </w:p>
    <w:p>
      <w:pPr>
        <w:pStyle w:val="BodyText"/>
        <w:spacing w:line="300" w:lineRule="auto" w:before="19"/>
        <w:ind w:left="514" w:right="0"/>
        <w:jc w:val="left"/>
      </w:pPr>
      <w:r>
        <w:rPr>
          <w:rFonts w:ascii="Times New Roman" w:hAnsi="Times New Roman" w:cs="Times New Roman" w:eastAsia="Times New Roman" w:hint="default"/>
        </w:rPr>
        <w:t>5</w:t>
      </w:r>
      <w:r>
        <w:rPr/>
        <w:t>、优化人才结构，提升公司治理水平 </w:t>
      </w:r>
      <w:r>
        <w:rPr>
          <w:spacing w:val="-2"/>
        </w:rPr>
        <w:t>人才是企业发展重要的战略性资源，人才队伍的建设是一直公司的核心工作之一。为适应发展需要，公司将继续加大人</w:t>
      </w:r>
    </w:p>
    <w:p>
      <w:pPr>
        <w:pStyle w:val="BodyText"/>
        <w:spacing w:line="316" w:lineRule="auto" w:before="31"/>
        <w:ind w:right="1129"/>
        <w:jc w:val="both"/>
      </w:pPr>
      <w:r>
        <w:rPr>
          <w:spacing w:val="-2"/>
        </w:rPr>
        <w:t>才培养力度，完善的薪酬考核体系，制定合理且具有竞争力的薪酬激励方案，提升公司人才团队的稳定性及人才吸引力；在</w:t>
      </w:r>
      <w:r>
        <w:rPr>
          <w:spacing w:val="-66"/>
        </w:rPr>
        <w:t> </w:t>
      </w:r>
      <w:r>
        <w:rPr>
          <w:spacing w:val="-66"/>
        </w:rPr>
      </w:r>
      <w:r>
        <w:rPr>
          <w:spacing w:val="-2"/>
        </w:rPr>
        <w:t>人才培训培养方面，公司将定期组织大规模的研发与销售分享培训，提升公司人员整体业务技术水平，不断优化人才队伍结</w:t>
      </w:r>
      <w:r>
        <w:rPr>
          <w:spacing w:val="-66"/>
        </w:rPr>
        <w:t> </w:t>
      </w:r>
      <w:r>
        <w:rPr>
          <w:spacing w:val="-66"/>
        </w:rPr>
      </w:r>
      <w:r>
        <w:rPr>
          <w:spacing w:val="-2"/>
        </w:rPr>
        <w:t>构，开辟多元化的职业发展规划，为员工提供广阔平台，拓宽员工成长空间，为企业创造价值的同时实现员工自身价值的不</w:t>
      </w:r>
      <w:r>
        <w:rPr>
          <w:spacing w:val="-66"/>
        </w:rPr>
        <w:t> </w:t>
      </w:r>
      <w:r>
        <w:rPr>
          <w:spacing w:val="-66"/>
        </w:rPr>
      </w:r>
      <w:r>
        <w:rPr/>
        <w:t>断提升。</w:t>
      </w:r>
    </w:p>
    <w:p>
      <w:pPr>
        <w:pStyle w:val="BodyText"/>
        <w:spacing w:line="300" w:lineRule="auto" w:before="19"/>
        <w:ind w:right="1128" w:firstLine="360"/>
        <w:jc w:val="both"/>
      </w:pPr>
      <w:r>
        <w:rPr>
          <w:rFonts w:ascii="Times New Roman" w:hAnsi="Times New Roman" w:cs="Times New Roman" w:eastAsia="Times New Roman" w:hint="default"/>
          <w:spacing w:val="-2"/>
        </w:rPr>
        <w:t>2019</w:t>
      </w:r>
      <w:r>
        <w:rPr>
          <w:spacing w:val="-2"/>
        </w:rPr>
        <w:t>年，公司将继续提升公司治理水平，进一步规范内部控制制度，完善信息化管理系统，在产品线、销售线、人力资</w:t>
      </w:r>
      <w:r>
        <w:rPr/>
        <w:t> 源、技术资源等方面实现资源共享和协同发展，增强公司风险控制和防范能力，保护全体股东合法权益。</w:t>
      </w:r>
    </w:p>
    <w:p>
      <w:pPr>
        <w:pStyle w:val="BodyText"/>
        <w:spacing w:line="240" w:lineRule="auto" w:before="31"/>
        <w:ind w:left="513" w:right="0"/>
        <w:jc w:val="left"/>
      </w:pPr>
      <w:r>
        <w:rPr>
          <w:rFonts w:ascii="Times New Roman" w:hAnsi="Times New Roman" w:cs="Times New Roman" w:eastAsia="Times New Roman" w:hint="default"/>
        </w:rPr>
        <w:t>6</w:t>
      </w:r>
      <w:r>
        <w:rPr/>
        <w:t>、加强预算管理</w:t>
      </w:r>
    </w:p>
    <w:p>
      <w:pPr>
        <w:spacing w:after="0" w:line="240" w:lineRule="auto"/>
        <w:jc w:val="left"/>
        <w:sectPr>
          <w:pgSz w:w="11910" w:h="16840"/>
          <w:pgMar w:header="747" w:footer="1190" w:top="1060" w:bottom="1380" w:left="980" w:right="0"/>
        </w:sectPr>
      </w:pPr>
    </w:p>
    <w:p>
      <w:pPr>
        <w:spacing w:line="240" w:lineRule="auto" w:before="13"/>
        <w:rPr>
          <w:rFonts w:ascii="宋体" w:hAnsi="宋体" w:cs="宋体" w:eastAsia="宋体" w:hint="default"/>
          <w:sz w:val="25"/>
          <w:szCs w:val="25"/>
        </w:rPr>
      </w:pPr>
    </w:p>
    <w:p>
      <w:pPr>
        <w:pStyle w:val="BodyText"/>
        <w:spacing w:line="300" w:lineRule="auto" w:before="44"/>
        <w:ind w:left="153" w:right="1131" w:firstLine="380"/>
        <w:jc w:val="both"/>
      </w:pPr>
      <w:r>
        <w:rPr>
          <w:rFonts w:ascii="Times New Roman" w:hAnsi="Times New Roman" w:cs="Times New Roman" w:eastAsia="Times New Roman" w:hint="default"/>
          <w:spacing w:val="-2"/>
        </w:rPr>
        <w:t>2019</w:t>
      </w:r>
      <w:r>
        <w:rPr>
          <w:spacing w:val="-2"/>
        </w:rPr>
        <w:t>年重点围绕</w:t>
      </w:r>
      <w:r>
        <w:rPr>
          <w:rFonts w:ascii="Times New Roman" w:hAnsi="Times New Roman" w:cs="Times New Roman" w:eastAsia="Times New Roman" w:hint="default"/>
          <w:spacing w:val="-2"/>
        </w:rPr>
        <w:t>“</w:t>
      </w:r>
      <w:r>
        <w:rPr>
          <w:spacing w:val="-2"/>
        </w:rPr>
        <w:t>增效益、深挖掘、降成本</w:t>
      </w:r>
      <w:r>
        <w:rPr>
          <w:rFonts w:ascii="Times New Roman" w:hAnsi="Times New Roman" w:cs="Times New Roman" w:eastAsia="Times New Roman" w:hint="default"/>
          <w:spacing w:val="-2"/>
        </w:rPr>
        <w:t>”</w:t>
      </w:r>
      <w:r>
        <w:rPr>
          <w:spacing w:val="-2"/>
        </w:rPr>
        <w:t>，不断健全经营管理和运行体系，强化执行和监督，全面提高管理水平、效</w:t>
      </w:r>
      <w:r>
        <w:rPr/>
        <w:t> 率和计划，公司将进一步加强预算管理，切实强化对预算的执行跟踪、预警、管控，降本增效。</w:t>
      </w:r>
    </w:p>
    <w:p>
      <w:pPr>
        <w:pStyle w:val="BodyText"/>
        <w:spacing w:line="300" w:lineRule="auto" w:before="70"/>
        <w:ind w:left="513" w:right="0"/>
        <w:jc w:val="left"/>
      </w:pPr>
      <w:r>
        <w:rPr>
          <w:rFonts w:ascii="Times New Roman" w:hAnsi="Times New Roman" w:cs="Times New Roman" w:eastAsia="Times New Roman" w:hint="default"/>
        </w:rPr>
        <w:t>7</w:t>
      </w:r>
      <w:r>
        <w:rPr/>
        <w:t>、强化市值管理，加强投资者沟通 </w:t>
      </w:r>
      <w:r>
        <w:rPr>
          <w:spacing w:val="-2"/>
        </w:rPr>
        <w:t>公司将积极探索适合公司的市值管理模式，提升投资者关系管理水平。通过搭建多样化的沟通平台，进一步加强与投资</w:t>
      </w:r>
    </w:p>
    <w:p>
      <w:pPr>
        <w:pStyle w:val="BodyText"/>
        <w:spacing w:line="316" w:lineRule="auto" w:before="31"/>
        <w:ind w:left="153" w:right="1131"/>
        <w:jc w:val="both"/>
      </w:pPr>
      <w:r>
        <w:rPr>
          <w:spacing w:val="-2"/>
        </w:rPr>
        <w:t>者之间的互动与沟通，加深投资者对公司的了解与认同，促进公司与投资者之间形成长期、稳定的良好互动关系，提升公司</w:t>
      </w:r>
      <w:r>
        <w:rPr>
          <w:spacing w:val="-66"/>
        </w:rPr>
        <w:t> </w:t>
      </w:r>
      <w:r>
        <w:rPr>
          <w:spacing w:val="-66"/>
        </w:rPr>
      </w:r>
      <w:r>
        <w:rPr/>
        <w:t>的诚信度，树立良好的资本市场形象，最终实现公司价值最大化和投资者利益最大化。</w:t>
      </w:r>
    </w:p>
    <w:p>
      <w:pPr>
        <w:pStyle w:val="BodyText"/>
        <w:spacing w:line="300" w:lineRule="auto" w:before="19"/>
        <w:ind w:left="513" w:right="0"/>
        <w:jc w:val="left"/>
      </w:pPr>
      <w:r>
        <w:rPr>
          <w:rFonts w:ascii="Times New Roman" w:hAnsi="Times New Roman" w:cs="Times New Roman" w:eastAsia="Times New Roman" w:hint="default"/>
        </w:rPr>
        <w:t>8</w:t>
      </w:r>
      <w:r>
        <w:rPr/>
        <w:t>、积极拓展国际业务 </w:t>
      </w:r>
      <w:r>
        <w:rPr>
          <w:spacing w:val="-2"/>
        </w:rPr>
        <w:t>公司将加强对外战略合作，适时的在当地设立代理机构或分支机构，同时加大国内外研发创新合作，逐步建立并完善国</w:t>
      </w:r>
    </w:p>
    <w:p>
      <w:pPr>
        <w:spacing w:line="636" w:lineRule="auto" w:before="31"/>
        <w:ind w:left="513" w:right="1896" w:hanging="360"/>
        <w:jc w:val="left"/>
        <w:rPr>
          <w:rFonts w:ascii="宋体" w:hAnsi="宋体" w:cs="宋体" w:eastAsia="宋体" w:hint="default"/>
          <w:sz w:val="18"/>
          <w:szCs w:val="18"/>
        </w:rPr>
      </w:pPr>
      <w:r>
        <w:rPr>
          <w:rFonts w:ascii="宋体" w:hAnsi="宋体" w:cs="宋体" w:eastAsia="宋体" w:hint="default"/>
          <w:sz w:val="18"/>
          <w:szCs w:val="18"/>
        </w:rPr>
        <w:t>际营销网络，力争成为国际著名的大型信息安全企业。 </w:t>
      </w:r>
      <w:r>
        <w:rPr>
          <w:rFonts w:ascii="宋体" w:hAnsi="宋体" w:cs="宋体" w:eastAsia="宋体" w:hint="default"/>
          <w:b/>
          <w:bCs/>
          <w:sz w:val="18"/>
          <w:szCs w:val="18"/>
        </w:rPr>
        <w:t>上述计划并不代表公司对2019年度的盈利预测，不构成公司对投资者的实质承诺，请投资者注意投资风险。</w:t>
      </w:r>
      <w:r>
        <w:rPr>
          <w:rFonts w:ascii="宋体" w:hAnsi="宋体" w:cs="宋体" w:eastAsia="宋体" w:hint="default"/>
          <w:sz w:val="18"/>
          <w:szCs w:val="18"/>
        </w:rPr>
      </w:r>
    </w:p>
    <w:p>
      <w:pPr>
        <w:pStyle w:val="Heading4"/>
        <w:spacing w:line="240" w:lineRule="auto" w:before="91"/>
        <w:ind w:left="425" w:right="0"/>
        <w:jc w:val="left"/>
        <w:rPr>
          <w:b w:val="0"/>
          <w:bCs w:val="0"/>
        </w:rPr>
      </w:pPr>
      <w:r>
        <w:rPr/>
        <w:t>（三）可能面临的风险</w:t>
      </w:r>
      <w:r>
        <w:rPr>
          <w:b w:val="0"/>
          <w:bCs w:val="0"/>
        </w:rPr>
      </w:r>
    </w:p>
    <w:p>
      <w:pPr>
        <w:pStyle w:val="BodyText"/>
        <w:spacing w:line="300" w:lineRule="auto" w:before="76"/>
        <w:ind w:left="516" w:right="0"/>
        <w:jc w:val="left"/>
      </w:pPr>
      <w:r>
        <w:rPr>
          <w:rFonts w:ascii="Times New Roman" w:hAnsi="Times New Roman" w:cs="Times New Roman" w:eastAsia="Times New Roman" w:hint="default"/>
        </w:rPr>
        <w:t>1</w:t>
      </w:r>
      <w:r>
        <w:rPr/>
        <w:t>、应收账款风险 </w:t>
      </w:r>
      <w:r>
        <w:rPr>
          <w:spacing w:val="-2"/>
        </w:rPr>
        <w:t>随着公司业务规模扩大，应收账款余额较大。如果应收账款不能及时收回，将对公司财务状况产生不利影响，同时会降</w:t>
      </w:r>
    </w:p>
    <w:p>
      <w:pPr>
        <w:pStyle w:val="BodyText"/>
        <w:spacing w:line="316" w:lineRule="auto" w:before="31"/>
        <w:ind w:left="153" w:right="1130"/>
        <w:jc w:val="both"/>
      </w:pPr>
      <w:r>
        <w:rPr>
          <w:spacing w:val="-2"/>
        </w:rPr>
        <w:t>低公司资金周转速度与运营效率，从而限制公司经营活动的正常开展，影响经营业绩。对此公司拟采取下列应对措施：加强</w:t>
      </w:r>
      <w:r>
        <w:rPr>
          <w:spacing w:val="-66"/>
        </w:rPr>
        <w:t> </w:t>
      </w:r>
      <w:r>
        <w:rPr>
          <w:spacing w:val="-66"/>
        </w:rPr>
      </w:r>
      <w:r>
        <w:rPr>
          <w:spacing w:val="-2"/>
        </w:rPr>
        <w:t>重大项目的预评估，谨慎选择项目；主管领导加强对业务部门的应收款工作管理，有效控制应收账款占比，降低对公司经营</w:t>
      </w:r>
      <w:r>
        <w:rPr>
          <w:spacing w:val="-66"/>
        </w:rPr>
        <w:t> </w:t>
      </w:r>
      <w:r>
        <w:rPr>
          <w:spacing w:val="-66"/>
        </w:rPr>
      </w:r>
      <w:r>
        <w:rPr/>
        <w:t>资金周转的影响；同时出于谨慎考虑，对应收账款实施合理的坏账计提，以有效防范坏账可能给公司带来的风险。</w:t>
      </w:r>
    </w:p>
    <w:p>
      <w:pPr>
        <w:pStyle w:val="BodyText"/>
        <w:spacing w:line="300" w:lineRule="auto" w:before="19"/>
        <w:ind w:left="513" w:right="0" w:firstLine="13"/>
        <w:jc w:val="left"/>
      </w:pPr>
      <w:r>
        <w:rPr>
          <w:rFonts w:ascii="Times New Roman" w:hAnsi="Times New Roman" w:cs="Times New Roman" w:eastAsia="Times New Roman" w:hint="default"/>
        </w:rPr>
        <w:t>2</w:t>
      </w:r>
      <w:r>
        <w:rPr/>
        <w:t>、产品销售季节不均衡风险 </w:t>
      </w:r>
      <w:r>
        <w:rPr>
          <w:spacing w:val="-2"/>
        </w:rPr>
        <w:t>公司主要客户为政府、军队、军工、能源、金融等重要领域的大型国有企业和事业单位，这些客户通常采取预算管理制</w:t>
      </w:r>
    </w:p>
    <w:p>
      <w:pPr>
        <w:pStyle w:val="BodyText"/>
        <w:spacing w:line="316" w:lineRule="auto" w:before="31"/>
        <w:ind w:left="153" w:right="1130"/>
        <w:jc w:val="both"/>
      </w:pPr>
      <w:r>
        <w:rPr>
          <w:spacing w:val="-2"/>
        </w:rPr>
        <w:t>度和产品集中采购制度，一般下半年制定次年年度预算和投资计划，审批通常集中在次年的上半年，采购招标则安排在次年</w:t>
      </w:r>
      <w:r>
        <w:rPr>
          <w:spacing w:val="-66"/>
        </w:rPr>
        <w:t> </w:t>
      </w:r>
      <w:r>
        <w:rPr>
          <w:spacing w:val="-66"/>
        </w:rPr>
      </w:r>
      <w:r>
        <w:rPr>
          <w:spacing w:val="-2"/>
        </w:rPr>
        <w:t>年中或下半年。因此，公司每年上半年存在销售较少的可能性，销售主要集中在下半年尤其是第四季度。公司的销售收入呈</w:t>
      </w:r>
      <w:r>
        <w:rPr>
          <w:spacing w:val="-66"/>
        </w:rPr>
        <w:t> </w:t>
      </w:r>
      <w:r>
        <w:rPr>
          <w:spacing w:val="-66"/>
        </w:rPr>
      </w:r>
      <w:r>
        <w:rPr>
          <w:spacing w:val="-2"/>
        </w:rPr>
        <w:t>现显著的季节性特征，且主要在第四季度实现，而费用在年度内较为均衡地发生，因而可能会造成公司第一季度、半年度或</w:t>
      </w:r>
      <w:r>
        <w:rPr>
          <w:spacing w:val="-66"/>
        </w:rPr>
        <w:t> </w:t>
      </w:r>
      <w:r>
        <w:rPr>
          <w:spacing w:val="-66"/>
        </w:rPr>
      </w:r>
      <w:r>
        <w:rPr/>
        <w:t>第三季度出现季节性波动或亏损，投资者不宜以半年度或季度的数据推测全年盈利状况。</w:t>
      </w:r>
    </w:p>
    <w:p>
      <w:pPr>
        <w:pStyle w:val="BodyText"/>
        <w:spacing w:line="300" w:lineRule="auto" w:before="19"/>
        <w:ind w:left="513" w:right="1117" w:firstLine="38"/>
        <w:jc w:val="left"/>
      </w:pPr>
      <w:r>
        <w:rPr>
          <w:rFonts w:ascii="Times New Roman" w:hAnsi="Times New Roman" w:cs="Times New Roman" w:eastAsia="Times New Roman" w:hint="default"/>
        </w:rPr>
        <w:t>3</w:t>
      </w:r>
      <w:r>
        <w:rPr/>
        <w:t>、管理风险 </w:t>
      </w:r>
      <w:r>
        <w:rPr>
          <w:spacing w:val="-2"/>
        </w:rPr>
        <w:t>随着公司业务规模的扩大，在市场营销、技术研发、人力资源等方面对公司提出了更高的要求，公司营运管理、财务管</w:t>
      </w:r>
    </w:p>
    <w:p>
      <w:pPr>
        <w:pStyle w:val="BodyText"/>
        <w:spacing w:line="316" w:lineRule="auto" w:before="31"/>
        <w:ind w:left="153" w:right="1130"/>
        <w:jc w:val="both"/>
      </w:pPr>
      <w:r>
        <w:rPr>
          <w:spacing w:val="-2"/>
        </w:rPr>
        <w:t>理和内部控制等管理风险逐渐增加。若不能及时提高管理能力以及培养以适应未来的成长需要和市场环境的变化，将会给公</w:t>
      </w:r>
      <w:r>
        <w:rPr>
          <w:spacing w:val="-64"/>
        </w:rPr>
        <w:t> </w:t>
      </w:r>
      <w:r>
        <w:rPr>
          <w:spacing w:val="-64"/>
        </w:rPr>
      </w:r>
      <w:r>
        <w:rPr/>
        <w:t>司带来相应的管理风险。</w:t>
      </w:r>
    </w:p>
    <w:p>
      <w:pPr>
        <w:pStyle w:val="BodyText"/>
        <w:spacing w:line="316" w:lineRule="auto" w:before="19"/>
        <w:ind w:left="153" w:right="1131" w:firstLine="360"/>
        <w:jc w:val="both"/>
      </w:pPr>
      <w:r>
        <w:rPr>
          <w:spacing w:val="-2"/>
        </w:rPr>
        <w:t>公司将根据业务发展需要，持续优化组织架构和管理流程，通过业务培训、管理培训、岗位轮换等各种措施培养、选拔</w:t>
      </w:r>
      <w:r>
        <w:rPr/>
        <w:t> </w:t>
      </w:r>
      <w:r>
        <w:rPr>
          <w:spacing w:val="-2"/>
        </w:rPr>
        <w:t>和任用管理人才，以及锻炼和提升与其管理岗位相适应的管理能力；公司将积极引进管理人才，以满足公司发展过程中的管</w:t>
      </w:r>
      <w:r>
        <w:rPr>
          <w:spacing w:val="-66"/>
        </w:rPr>
        <w:t> </w:t>
      </w:r>
      <w:r>
        <w:rPr>
          <w:spacing w:val="-66"/>
        </w:rPr>
      </w:r>
      <w:r>
        <w:rPr/>
        <w:t>理需求。</w:t>
      </w:r>
    </w:p>
    <w:p>
      <w:pPr>
        <w:pStyle w:val="BodyText"/>
        <w:spacing w:line="396" w:lineRule="auto" w:before="119"/>
        <w:ind w:left="513" w:right="0" w:hanging="70"/>
        <w:jc w:val="left"/>
      </w:pPr>
      <w:r>
        <w:rPr>
          <w:rFonts w:ascii="Times New Roman" w:hAnsi="Times New Roman" w:cs="Times New Roman" w:eastAsia="Times New Roman" w:hint="default"/>
        </w:rPr>
        <w:t>4</w:t>
      </w:r>
      <w:r>
        <w:rPr/>
        <w:t>、研发技术风险 </w:t>
      </w:r>
      <w:r>
        <w:rPr>
          <w:spacing w:val="-2"/>
        </w:rPr>
        <w:t>经过多年的技术积累和创新，公司拥有众多核心软件产品和行业应用解决方案，公司依托自主研发的构建平台，形成了</w:t>
      </w:r>
    </w:p>
    <w:p>
      <w:pPr>
        <w:pStyle w:val="BodyText"/>
        <w:spacing w:line="195" w:lineRule="exact"/>
        <w:ind w:left="153" w:right="0"/>
        <w:jc w:val="both"/>
      </w:pPr>
      <w:r>
        <w:rPr/>
        <w:t>多项核心软件和行业应用解决方案，技术优势明显。但软件行业属于技术高速发展的行业，公司在新技术、新产品研发上面</w:t>
      </w:r>
    </w:p>
    <w:p>
      <w:pPr>
        <w:pStyle w:val="BodyText"/>
        <w:spacing w:line="319" w:lineRule="auto" w:before="76"/>
        <w:ind w:left="153" w:right="1130"/>
        <w:jc w:val="both"/>
      </w:pPr>
      <w:r>
        <w:rPr>
          <w:spacing w:val="-2"/>
        </w:rPr>
        <w:t>临着一定程度的投入高、更新换代快的风险。公司在继续保持技术预研和产品研发高投入的同时，不断完善技术研发、技术</w:t>
      </w:r>
      <w:r>
        <w:rPr>
          <w:spacing w:val="-66"/>
        </w:rPr>
        <w:t> </w:t>
      </w:r>
      <w:r>
        <w:rPr>
          <w:spacing w:val="-66"/>
        </w:rPr>
      </w:r>
      <w:r>
        <w:rPr>
          <w:spacing w:val="-2"/>
        </w:rPr>
        <w:t>创新体系。紧跟行业技术发展趋势，把握产品和技术研发方向，让技术研发面向市场，及时根据市场变化和客户需求推出新</w:t>
      </w:r>
      <w:r>
        <w:rPr>
          <w:spacing w:val="-66"/>
        </w:rPr>
        <w:t> </w:t>
      </w:r>
      <w:r>
        <w:rPr>
          <w:spacing w:val="-66"/>
        </w:rPr>
      </w:r>
      <w:r>
        <w:rPr/>
        <w:t>产品和解决方案，保障技术的创新性和领先性，保证公司的市场竞争力。</w:t>
      </w:r>
    </w:p>
    <w:p>
      <w:pPr>
        <w:pStyle w:val="BodyText"/>
        <w:spacing w:line="319" w:lineRule="auto" w:before="115"/>
        <w:ind w:left="153" w:right="1131" w:firstLine="360"/>
        <w:jc w:val="both"/>
      </w:pPr>
      <w:r>
        <w:rPr>
          <w:spacing w:val="-2"/>
        </w:rPr>
        <w:t>技术优势是公司在行业中保持竞争优势的最主要因素之一，目前，公司拥有的计算机软件著作权、专利、产品、在研技</w:t>
      </w:r>
      <w:r>
        <w:rPr/>
        <w:t> </w:t>
      </w:r>
      <w:r>
        <w:rPr>
          <w:spacing w:val="-2"/>
        </w:rPr>
        <w:t>术等均属于公司的核心技术，上述核心技术是公司平稳快速发展的基础，如果公司核心技术泄密，则会对公司生产经营造成</w:t>
      </w:r>
      <w:r>
        <w:rPr>
          <w:spacing w:val="-66"/>
        </w:rPr>
        <w:t> </w:t>
      </w:r>
      <w:r>
        <w:rPr>
          <w:spacing w:val="-66"/>
        </w:rPr>
      </w:r>
      <w:r>
        <w:rPr>
          <w:spacing w:val="-2"/>
        </w:rPr>
        <w:t>较大负面影响。为控制核心技术泄密，公司在与员工签订劳动合同的同时签订保密协议书，要求员工严格遵守公司制定的保</w:t>
      </w:r>
      <w:r>
        <w:rPr>
          <w:spacing w:val="-66"/>
        </w:rPr>
        <w:t> </w:t>
      </w:r>
      <w:r>
        <w:rPr>
          <w:spacing w:val="-66"/>
        </w:rPr>
      </w:r>
      <w:r>
        <w:rPr>
          <w:spacing w:val="-2"/>
        </w:rPr>
        <w:t>密制度；为防范技术被侵权，公司及时将已开发的技术或产品在国家知识产权管理机构登记，通过法律手段保护公司的知识</w:t>
      </w:r>
      <w:r>
        <w:rPr>
          <w:spacing w:val="-66"/>
        </w:rPr>
        <w:t> </w:t>
      </w:r>
      <w:r>
        <w:rPr>
          <w:spacing w:val="-66"/>
        </w:rPr>
      </w:r>
      <w:r>
        <w:rPr/>
        <w:t>产权。</w:t>
      </w:r>
    </w:p>
    <w:p>
      <w:pPr>
        <w:pStyle w:val="BodyText"/>
        <w:spacing w:line="240" w:lineRule="auto" w:before="118"/>
        <w:ind w:left="527" w:right="0"/>
        <w:jc w:val="left"/>
      </w:pPr>
      <w:r>
        <w:rPr>
          <w:rFonts w:ascii="Times New Roman" w:hAnsi="Times New Roman" w:cs="Times New Roman" w:eastAsia="Times New Roman" w:hint="default"/>
        </w:rPr>
        <w:t>5</w:t>
      </w:r>
      <w:r>
        <w:rPr/>
        <w:t>、其他风险</w:t>
      </w:r>
    </w:p>
    <w:p>
      <w:pPr>
        <w:spacing w:after="0" w:line="240" w:lineRule="auto"/>
        <w:jc w:val="left"/>
        <w:sectPr>
          <w:pgSz w:w="11910" w:h="16840"/>
          <w:pgMar w:header="747" w:footer="1190" w:top="1060" w:bottom="13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497" w:right="0"/>
        <w:jc w:val="left"/>
      </w:pPr>
      <w:r>
        <w:rPr/>
        <w:t>公司不排除因政治、经济、自然灾害等其他不可控因素带来不利影响的可能性。</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2207"/>
        <w:gridCol w:w="2206"/>
        <w:gridCol w:w="2207"/>
        <w:gridCol w:w="3074"/>
      </w:tblGrid>
      <w:tr>
        <w:trPr>
          <w:trHeight w:val="401" w:hRule="exact"/>
        </w:trPr>
        <w:tc>
          <w:tcPr>
            <w:tcW w:w="2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37"/>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2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3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402" w:hRule="exact"/>
        </w:trPr>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3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402" w:hRule="exact"/>
        </w:trPr>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3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403" w:hRule="exact"/>
        </w:trPr>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3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hyperlink r:id="rId9">
              <w:r>
                <w:rPr>
                  <w:rFonts w:ascii="Times New Roman"/>
                  <w:sz w:val="18"/>
                </w:rPr>
                <w:t>http://www.cninfo.com.cn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0"/>
        <w:rPr>
          <w:rFonts w:ascii="宋体" w:hAnsi="宋体" w:cs="宋体" w:eastAsia="宋体" w:hint="default"/>
          <w:sz w:val="20"/>
          <w:szCs w:val="20"/>
        </w:rPr>
      </w:pPr>
      <w:r>
        <w:rPr/>
        <w:pict>
          <v:shape style="position:absolute;margin-left:218.640915pt;margin-top:646.320007pt;width:316.2pt;height:19.650pt;mso-position-horizontal-relative:page;mso-position-vertical-relative:page;z-index:-977824" type="#_x0000_t202" filled="false" stroked="false">
            <v:textbox inset="0,0,0,0">
              <w:txbxContent>
                <w:p>
                  <w:pPr>
                    <w:pStyle w:val="BodyText"/>
                    <w:spacing w:line="240" w:lineRule="auto" w:before="51"/>
                    <w:ind w:left="0" w:right="0"/>
                    <w:jc w:val="left"/>
                  </w:pPr>
                  <w:r>
                    <w:rPr/>
                    <w:t>（元）</w:t>
                  </w:r>
                </w:p>
              </w:txbxContent>
            </v:textbox>
            <w10:wrap type="none"/>
          </v:shape>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345"/>
        <w:jc w:val="center"/>
        <w:rPr>
          <w:b w:val="0"/>
          <w:bCs w:val="0"/>
        </w:rPr>
      </w:pPr>
      <w:bookmarkStart w:name="_TOC_250007" w:id="5"/>
      <w:r>
        <w:rPr/>
        <w:t>第五节</w:t>
      </w:r>
      <w:r>
        <w:rPr>
          <w:spacing w:val="-5"/>
        </w:rPr>
        <w:t> </w:t>
      </w:r>
      <w:r>
        <w:rPr/>
        <w:t>重要事项</w:t>
      </w:r>
      <w:bookmarkEnd w:id="5"/>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left="534" w:right="1190" w:hanging="3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报告期内，公司严格按照《公司章程》相关利润分配政策和审议程序实施利润分配方案，分红标准和分红比例明确清</w:t>
      </w:r>
    </w:p>
    <w:p>
      <w:pPr>
        <w:pStyle w:val="BodyText"/>
        <w:spacing w:line="316" w:lineRule="auto" w:before="2"/>
        <w:ind w:right="0"/>
        <w:jc w:val="left"/>
      </w:pPr>
      <w:r>
        <w:rPr>
          <w:spacing w:val="-2"/>
        </w:rPr>
        <w:t>晰，相关的决策程序和机制完备。公司利润分配方案经由董事会、监事会审议过后提交股东大会审议，并由独立董事发表独</w:t>
      </w:r>
      <w:r>
        <w:rPr>
          <w:spacing w:val="-66"/>
        </w:rPr>
        <w:t> </w:t>
      </w:r>
      <w:r>
        <w:rPr>
          <w:spacing w:val="-66"/>
        </w:rPr>
      </w:r>
      <w:r>
        <w:rPr/>
        <w:t>立意见，审议通过后在规定时间内进行实施，切实保证了全体股东的利益。</w:t>
      </w:r>
    </w:p>
    <w:p>
      <w:pPr>
        <w:pStyle w:val="BodyText"/>
        <w:spacing w:line="300" w:lineRule="auto" w:before="19"/>
        <w:ind w:left="153" w:right="1119" w:firstLine="362"/>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w:t>
      </w:r>
      <w:r>
        <w:rPr>
          <w:rFonts w:ascii="Times New Roman" w:hAnsi="Times New Roman" w:cs="Times New Roman" w:eastAsia="Times New Roman" w:hint="default"/>
        </w:rPr>
        <w:t>2017</w:t>
      </w:r>
      <w:r>
        <w:rPr/>
        <w:t>年度股东大会审议通过了《关于</w:t>
      </w:r>
      <w:r>
        <w:rPr>
          <w:rFonts w:ascii="Times New Roman" w:hAnsi="Times New Roman" w:cs="Times New Roman" w:eastAsia="Times New Roman" w:hint="default"/>
        </w:rPr>
        <w:t>2017</w:t>
      </w:r>
      <w:r>
        <w:rPr/>
        <w:t>年度利润分配预案的议案》，以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 股本</w:t>
      </w:r>
      <w:r>
        <w:rPr>
          <w:rFonts w:ascii="Times New Roman" w:hAnsi="Times New Roman" w:cs="Times New Roman" w:eastAsia="Times New Roman" w:hint="default"/>
        </w:rPr>
        <w:t>1,449,824,087</w:t>
      </w:r>
      <w:r>
        <w:rPr/>
        <w:t>股为基数，向全体股东每</w:t>
      </w:r>
      <w:r>
        <w:rPr>
          <w:rFonts w:ascii="Times New Roman" w:hAnsi="Times New Roman" w:cs="Times New Roman" w:eastAsia="Times New Roman" w:hint="default"/>
        </w:rPr>
        <w:t>10</w:t>
      </w:r>
      <w:r>
        <w:rPr/>
        <w:t>股派人民币</w:t>
      </w:r>
      <w:r>
        <w:rPr>
          <w:rFonts w:ascii="Times New Roman" w:hAnsi="Times New Roman" w:cs="Times New Roman" w:eastAsia="Times New Roman" w:hint="default"/>
        </w:rPr>
        <w:t>0.12</w:t>
      </w:r>
      <w:r>
        <w:rPr/>
        <w:t>元（含税）现金</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不进行资本公积金转增股本，不送红股。本 次权益分派股权登记日为：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日，除权除息日为：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w:t>
      </w: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4"/>
        <w:ind w:right="0"/>
        <w:jc w:val="left"/>
      </w:pPr>
      <w:r>
        <w:rPr/>
        <w:t>公司报告期利润分配预案及资本公积金转增股本预案与公司章程和分红管理办法等的相关规定一致</w:t>
      </w:r>
    </w:p>
    <w:p>
      <w:pPr>
        <w:pStyle w:val="BodyText"/>
        <w:spacing w:line="348" w:lineRule="auto" w:before="117"/>
        <w:ind w:right="42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本年度利润分配及资本公积金转增股本情况</w:t>
      </w:r>
    </w:p>
    <w:tbl>
      <w:tblPr>
        <w:tblW w:w="0" w:type="auto"/>
        <w:jc w:val="left"/>
        <w:tblInd w:w="149" w:type="dxa"/>
        <w:tblLayout w:type="fixed"/>
        <w:tblCellMar>
          <w:top w:w="0" w:type="dxa"/>
          <w:left w:w="0" w:type="dxa"/>
          <w:bottom w:w="0" w:type="dxa"/>
          <w:right w:w="0" w:type="dxa"/>
        </w:tblCellMar>
        <w:tblLook w:val="01E0"/>
      </w:tblPr>
      <w:tblGrid>
        <w:gridCol w:w="3718"/>
        <w:gridCol w:w="5850"/>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1,449,824,087</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14,498,240.87</w:t>
            </w:r>
          </w:p>
        </w:tc>
      </w:tr>
      <w:tr>
        <w:trPr>
          <w:trHeight w:val="402" w:hRule="exact"/>
        </w:trPr>
        <w:tc>
          <w:tcPr>
            <w:tcW w:w="371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5850"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14,498,240.87</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母公司可分配利润</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433,028,880.07</w:t>
            </w:r>
          </w:p>
        </w:tc>
      </w:tr>
      <w:tr>
        <w:trPr>
          <w:trHeight w:val="714"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after="0" w:line="240" w:lineRule="auto"/>
        <w:jc w:val="center"/>
        <w:rPr>
          <w:rFonts w:ascii="宋体" w:hAnsi="宋体" w:cs="宋体" w:eastAsia="宋体" w:hint="default"/>
          <w:sz w:val="18"/>
          <w:szCs w:val="18"/>
        </w:rPr>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68"/>
      </w:tblGrid>
      <w:tr>
        <w:trPr>
          <w:trHeight w:val="402" w:hRule="exact"/>
        </w:trPr>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公司利润分配预案，以截至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1,449,824,087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元（含税）现金</w:t>
            </w:r>
            <w:r>
              <w:rPr>
                <w:rFonts w:ascii="Times New Roman" w:hAnsi="Times New Roman" w:cs="Times New Roman" w:eastAsia="Times New Roman" w:hint="default"/>
                <w:sz w:val="18"/>
                <w:szCs w:val="18"/>
              </w:rPr>
              <w:t>,</w:t>
            </w:r>
            <w:r>
              <w:rPr>
                <w:rFonts w:ascii="宋体" w:hAnsi="宋体" w:cs="宋体" w:eastAsia="宋体" w:hint="default"/>
                <w:sz w:val="18"/>
                <w:szCs w:val="18"/>
              </w:rPr>
              <w:t>合计派发</w:t>
            </w:r>
            <w:r>
              <w:rPr>
                <w:rFonts w:ascii="宋体" w:hAnsi="宋体" w:cs="宋体" w:eastAsia="宋体" w:hint="default"/>
                <w:spacing w:val="-2"/>
                <w:sz w:val="18"/>
                <w:szCs w:val="18"/>
              </w:rPr>
              <w:t>现</w:t>
            </w:r>
            <w:r>
              <w:rPr>
                <w:rFonts w:ascii="宋体" w:hAnsi="宋体" w:cs="宋体" w:eastAsia="宋体" w:hint="default"/>
                <w:sz w:val="18"/>
                <w:szCs w:val="18"/>
              </w:rPr>
              <w:t>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14,498,24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.87</w:t>
            </w:r>
            <w:r>
              <w:rPr>
                <w:rFonts w:ascii="宋体" w:hAnsi="宋体" w:cs="宋体" w:eastAsia="宋体" w:hint="default"/>
                <w:spacing w:val="-2"/>
                <w:sz w:val="18"/>
                <w:szCs w:val="18"/>
              </w:rPr>
              <w:t>（</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z w:val="18"/>
                <w:szCs w:val="18"/>
              </w:rPr>
              <w:t>；本年度不进行资本公积金转增股本，不送红股。</w:t>
            </w:r>
          </w:p>
        </w:tc>
      </w:tr>
    </w:tbl>
    <w:p>
      <w:pPr>
        <w:pStyle w:val="BodyText"/>
        <w:spacing w:line="240" w:lineRule="auto" w:before="51"/>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2"/>
        <w:ind w:left="534" w:right="0"/>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t>年度利润分配及资本公积金转增股本方案：以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579,929,635</w:t>
      </w:r>
      <w:r>
        <w:rPr/>
        <w:t>股为基数，向全体股东每</w:t>
      </w:r>
      <w:r>
        <w:rPr>
          <w:rFonts w:ascii="Times New Roman" w:hAnsi="Times New Roman" w:cs="Times New Roman" w:eastAsia="Times New Roman" w:hint="default"/>
        </w:rPr>
        <w:t>10</w:t>
      </w:r>
    </w:p>
    <w:p>
      <w:pPr>
        <w:pStyle w:val="BodyText"/>
        <w:spacing w:line="240" w:lineRule="auto" w:before="63"/>
        <w:ind w:right="0"/>
        <w:jc w:val="left"/>
      </w:pPr>
      <w:r>
        <w:rPr/>
        <w:t>股派发现金</w:t>
      </w:r>
      <w:r>
        <w:rPr>
          <w:rFonts w:ascii="Times New Roman" w:hAnsi="Times New Roman" w:cs="Times New Roman" w:eastAsia="Times New Roman" w:hint="default"/>
        </w:rPr>
        <w:t>0.4</w:t>
      </w:r>
      <w:r>
        <w:rPr/>
        <w:t>元（含税），同时进行资本公积金转增股本每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股。该权益分配已于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月实施完毕。</w:t>
      </w:r>
    </w:p>
    <w:p>
      <w:pPr>
        <w:pStyle w:val="BodyText"/>
        <w:spacing w:line="300" w:lineRule="auto" w:before="63"/>
        <w:ind w:right="0" w:firstLine="380"/>
        <w:jc w:val="left"/>
      </w:pPr>
      <w:r>
        <w:rPr>
          <w:rFonts w:ascii="Times New Roman" w:hAnsi="Times New Roman" w:cs="Times New Roman" w:eastAsia="Times New Roman" w:hint="default"/>
          <w:spacing w:val="-1"/>
        </w:rPr>
        <w:t>2017</w:t>
      </w:r>
      <w:r>
        <w:rPr>
          <w:spacing w:val="-1"/>
        </w:rPr>
        <w:t>年度利润分配方案：以</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1,449,824,087</w:t>
      </w:r>
      <w:r>
        <w:rPr>
          <w:spacing w:val="-1"/>
        </w:rPr>
        <w:t>股为基数，向全体股东每</w:t>
      </w:r>
      <w:r>
        <w:rPr>
          <w:rFonts w:ascii="Times New Roman" w:hAnsi="Times New Roman" w:cs="Times New Roman" w:eastAsia="Times New Roman" w:hint="default"/>
          <w:spacing w:val="-1"/>
        </w:rPr>
        <w:t>10</w:t>
      </w:r>
      <w:r>
        <w:rPr>
          <w:spacing w:val="-1"/>
        </w:rPr>
        <w:t>股派发现金</w:t>
      </w:r>
      <w:r>
        <w:rPr>
          <w:rFonts w:ascii="Times New Roman" w:hAnsi="Times New Roman" w:cs="Times New Roman" w:eastAsia="Times New Roman" w:hint="default"/>
          <w:spacing w:val="-1"/>
        </w:rPr>
        <w:t>0.12</w:t>
      </w:r>
      <w:r>
        <w:rPr>
          <w:spacing w:val="-1"/>
        </w:rPr>
        <w:t>元（含</w:t>
      </w:r>
      <w:r>
        <w:rPr/>
        <w:t> 税），本年度不进行资本公积金转增股本，不送红股。</w:t>
      </w:r>
    </w:p>
    <w:p>
      <w:pPr>
        <w:pStyle w:val="BodyText"/>
        <w:spacing w:line="300" w:lineRule="auto" w:before="31"/>
        <w:ind w:right="0" w:firstLine="380"/>
        <w:jc w:val="left"/>
      </w:pPr>
      <w:r>
        <w:rPr>
          <w:rFonts w:ascii="Times New Roman" w:hAnsi="Times New Roman" w:cs="Times New Roman" w:eastAsia="Times New Roman" w:hint="default"/>
          <w:spacing w:val="-1"/>
        </w:rPr>
        <w:t>2018</w:t>
      </w:r>
      <w:r>
        <w:rPr>
          <w:spacing w:val="-1"/>
        </w:rPr>
        <w:t>年度利润分配预案：以</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1,449,824,087</w:t>
      </w:r>
      <w:r>
        <w:rPr>
          <w:spacing w:val="-1"/>
        </w:rPr>
        <w:t>股为基数，向全体股东每</w:t>
      </w:r>
      <w:r>
        <w:rPr>
          <w:rFonts w:ascii="Times New Roman" w:hAnsi="Times New Roman" w:cs="Times New Roman" w:eastAsia="Times New Roman" w:hint="default"/>
          <w:spacing w:val="-1"/>
        </w:rPr>
        <w:t>10</w:t>
      </w:r>
      <w:r>
        <w:rPr>
          <w:spacing w:val="-1"/>
        </w:rPr>
        <w:t>股派发现金</w:t>
      </w:r>
      <w:r>
        <w:rPr>
          <w:rFonts w:ascii="Times New Roman" w:hAnsi="Times New Roman" w:cs="Times New Roman" w:eastAsia="Times New Roman" w:hint="default"/>
          <w:spacing w:val="-1"/>
        </w:rPr>
        <w:t>0.10</w:t>
      </w:r>
      <w:r>
        <w:rPr>
          <w:spacing w:val="-1"/>
        </w:rPr>
        <w:t>元（含</w:t>
      </w:r>
      <w:r>
        <w:rPr/>
        <w:t> 税），本年度不进行资本公积金转增股本，不送红股。</w:t>
      </w:r>
    </w:p>
    <w:p>
      <w:pPr>
        <w:pStyle w:val="BodyText"/>
        <w:spacing w:line="240" w:lineRule="auto" w:before="72"/>
        <w:ind w:right="0"/>
        <w:jc w:val="left"/>
      </w:pPr>
      <w:r>
        <w:rPr/>
        <w:t>公司近三年（包括本报告期）普通股现金分红情况表</w:t>
      </w:r>
    </w:p>
    <w:p>
      <w:pPr>
        <w:pStyle w:val="BodyText"/>
        <w:spacing w:line="240" w:lineRule="auto" w:before="117"/>
        <w:ind w:left="0" w:right="1129"/>
        <w:jc w:val="right"/>
      </w:pPr>
      <w:r>
        <w:rPr/>
        <w:t>单位：元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213"/>
        <w:gridCol w:w="1208"/>
        <w:gridCol w:w="1212"/>
        <w:gridCol w:w="1212"/>
        <w:gridCol w:w="1212"/>
        <w:gridCol w:w="1212"/>
        <w:gridCol w:w="1212"/>
        <w:gridCol w:w="1212"/>
      </w:tblGrid>
      <w:tr>
        <w:trPr>
          <w:trHeight w:val="2274" w:hRule="exact"/>
        </w:trPr>
        <w:tc>
          <w:tcPr>
            <w:tcW w:w="12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0" w:right="6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0" w:right="6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60" w:right="60"/>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0" w:right="6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0" w:right="150"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9" w:right="60"/>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14,498,240.87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94,090,073.34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14,498,240.87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15.41%</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17,397,889.04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91,451,980.39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17,397,889.04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19.02%</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23,197,185.40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80,347,228.14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23,197,185.40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28.87%</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861"/>
        <w:gridCol w:w="1140"/>
        <w:gridCol w:w="1140"/>
        <w:gridCol w:w="1140"/>
        <w:gridCol w:w="1140"/>
        <w:gridCol w:w="1136"/>
        <w:gridCol w:w="1124"/>
      </w:tblGrid>
      <w:tr>
        <w:trPr>
          <w:trHeight w:val="402" w:hRule="exact"/>
        </w:trPr>
        <w:tc>
          <w:tcPr>
            <w:tcW w:w="2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38"/>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40" w:type="dxa"/>
            <w:tcBorders>
              <w:top w:val="single" w:sz="4" w:space="0" w:color="000000"/>
              <w:left w:val="single" w:sz="9" w:space="0" w:color="D3D3D3"/>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r>
      <w:tr>
        <w:trPr>
          <w:trHeight w:val="608" w:hRule="exact"/>
        </w:trPr>
        <w:tc>
          <w:tcPr>
            <w:tcW w:w="2861" w:type="dxa"/>
            <w:tcBorders>
              <w:top w:val="single" w:sz="4" w:space="0" w:color="000000"/>
              <w:left w:val="single" w:sz="4" w:space="0" w:color="000000"/>
              <w:bottom w:val="nil" w:sz="6" w:space="0" w:color="auto"/>
              <w:right w:val="single" w:sz="4" w:space="0" w:color="000000"/>
            </w:tcBorders>
            <w:shd w:val="clear" w:color="auto" w:fill="D3D3D3"/>
          </w:tcPr>
          <w:p>
            <w:pP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马永清</w:t>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1140"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自本次新增股 份上市之日 </w:t>
            </w:r>
            <w:r>
              <w:rPr>
                <w:rFonts w:ascii="宋体" w:hAnsi="宋体" w:cs="宋体" w:eastAsia="宋体" w:hint="default"/>
                <w:spacing w:val="-29"/>
                <w:sz w:val="18"/>
                <w:szCs w:val="18"/>
              </w:rPr>
              <w:t>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届满之日和本 人在《业绩补</w:t>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自本次新增股 份上市之日 </w:t>
            </w:r>
            <w:r>
              <w:rPr>
                <w:rFonts w:ascii="宋体" w:hAnsi="宋体" w:cs="宋体" w:eastAsia="宋体" w:hint="default"/>
                <w:spacing w:val="-30"/>
                <w:sz w:val="18"/>
                <w:szCs w:val="18"/>
              </w:rPr>
              <w:t>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届满之日和本 人在《业绩补</w:t>
            </w:r>
          </w:p>
        </w:tc>
        <w:tc>
          <w:tcPr>
            <w:tcW w:w="112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22" w:right="11"/>
              <w:jc w:val="left"/>
              <w:rPr>
                <w:rFonts w:ascii="宋体" w:hAnsi="宋体" w:cs="宋体" w:eastAsia="宋体" w:hint="default"/>
                <w:sz w:val="18"/>
                <w:szCs w:val="18"/>
              </w:rPr>
            </w:pPr>
            <w:r>
              <w:rPr>
                <w:rFonts w:ascii="宋体" w:hAnsi="宋体" w:cs="宋体" w:eastAsia="宋体" w:hint="default"/>
                <w:sz w:val="18"/>
                <w:szCs w:val="18"/>
              </w:rPr>
              <w:t>严格履行中， 无违反承诺 的情形。</w:t>
            </w:r>
          </w:p>
        </w:tc>
      </w:tr>
      <w:tr>
        <w:trPr>
          <w:trHeight w:val="392" w:hRule="exact"/>
        </w:trPr>
        <w:tc>
          <w:tcPr>
            <w:tcW w:w="28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608" w:hRule="exact"/>
        </w:trPr>
        <w:tc>
          <w:tcPr>
            <w:tcW w:w="2861" w:type="dxa"/>
            <w:tcBorders>
              <w:top w:val="nil" w:sz="6" w:space="0" w:color="auto"/>
              <w:left w:val="single" w:sz="4" w:space="0" w:color="000000"/>
              <w:bottom w:val="single" w:sz="4" w:space="0" w:color="000000"/>
              <w:right w:val="single" w:sz="4" w:space="0" w:color="000000"/>
            </w:tcBorders>
            <w:shd w:val="clear" w:color="auto" w:fill="D3D3D3"/>
          </w:tcPr>
          <w:p>
            <w:pPr/>
          </w:p>
        </w:tc>
        <w:tc>
          <w:tcPr>
            <w:tcW w:w="1140" w:type="dxa"/>
            <w:vMerge/>
            <w:tcBorders>
              <w:left w:val="single" w:sz="4" w:space="0" w:color="000000"/>
              <w:bottom w:val="single" w:sz="4" w:space="0" w:color="000000"/>
              <w:right w:val="single" w:sz="4" w:space="0" w:color="000000"/>
            </w:tcBorders>
          </w:tcPr>
          <w:p>
            <w:pPr/>
          </w:p>
        </w:tc>
        <w:tc>
          <w:tcPr>
            <w:tcW w:w="1140" w:type="dxa"/>
            <w:vMerge/>
            <w:tcBorders>
              <w:left w:val="single" w:sz="4" w:space="0" w:color="000000"/>
              <w:bottom w:val="single" w:sz="4" w:space="0" w:color="000000"/>
              <w:right w:val="single" w:sz="4" w:space="0" w:color="000000"/>
            </w:tcBorders>
          </w:tcPr>
          <w:p>
            <w:pPr/>
          </w:p>
        </w:tc>
        <w:tc>
          <w:tcPr>
            <w:tcW w:w="1140" w:type="dxa"/>
            <w:vMerge/>
            <w:tcBorders>
              <w:left w:val="single" w:sz="4" w:space="0" w:color="000000"/>
              <w:bottom w:val="single" w:sz="4" w:space="0" w:color="000000"/>
              <w:right w:val="single" w:sz="4" w:space="0" w:color="000000"/>
            </w:tcBorders>
          </w:tcPr>
          <w:p>
            <w:pPr/>
          </w:p>
        </w:tc>
        <w:tc>
          <w:tcPr>
            <w:tcW w:w="1140"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2873"/>
        <w:gridCol w:w="1140"/>
        <w:gridCol w:w="1140"/>
        <w:gridCol w:w="1140"/>
        <w:gridCol w:w="1140"/>
        <w:gridCol w:w="1136"/>
        <w:gridCol w:w="1124"/>
      </w:tblGrid>
      <w:tr>
        <w:trPr>
          <w:trHeight w:val="317" w:hRule="exact"/>
        </w:trPr>
        <w:tc>
          <w:tcPr>
            <w:tcW w:w="2873" w:type="dxa"/>
            <w:vMerge w:val="restart"/>
            <w:tcBorders>
              <w:top w:val="single" w:sz="4" w:space="0" w:color="000000"/>
              <w:left w:val="single" w:sz="4" w:space="0" w:color="000000"/>
              <w:right w:val="single" w:sz="4" w:space="0" w:color="000000"/>
            </w:tcBorders>
            <w:shd w:val="clear" w:color="auto" w:fill="D3D3D3"/>
          </w:tcPr>
          <w:p>
            <w:pPr/>
          </w:p>
        </w:tc>
        <w:tc>
          <w:tcPr>
            <w:tcW w:w="1140" w:type="dxa"/>
            <w:vMerge w:val="restart"/>
            <w:tcBorders>
              <w:top w:val="single" w:sz="4" w:space="0" w:color="000000"/>
              <w:left w:val="single" w:sz="4" w:space="0" w:color="000000"/>
              <w:right w:val="single" w:sz="4" w:space="0" w:color="000000"/>
            </w:tcBorders>
          </w:tcPr>
          <w:p>
            <w:pPr/>
          </w:p>
        </w:tc>
        <w:tc>
          <w:tcPr>
            <w:tcW w:w="1140" w:type="dxa"/>
            <w:vMerge w:val="restart"/>
            <w:tcBorders>
              <w:top w:val="single" w:sz="4" w:space="0" w:color="000000"/>
              <w:left w:val="single" w:sz="4" w:space="0" w:color="000000"/>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偿协议》中利</w:t>
            </w:r>
          </w:p>
        </w:tc>
        <w:tc>
          <w:tcPr>
            <w:tcW w:w="1140" w:type="dxa"/>
            <w:vMerge w:val="restart"/>
            <w:tcBorders>
              <w:top w:val="single" w:sz="4" w:space="0" w:color="000000"/>
              <w:left w:val="single" w:sz="4" w:space="0" w:color="000000"/>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偿协议》中利</w:t>
            </w:r>
          </w:p>
        </w:tc>
        <w:tc>
          <w:tcPr>
            <w:tcW w:w="1124" w:type="dxa"/>
            <w:vMerge w:val="restart"/>
            <w:tcBorders>
              <w:top w:val="single" w:sz="4" w:space="0" w:color="000000"/>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润补偿义务履</w:t>
            </w:r>
          </w:p>
        </w:tc>
        <w:tc>
          <w:tcPr>
            <w:tcW w:w="1140"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润补偿义务履</w:t>
            </w: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行完毕之日中</w:t>
            </w:r>
          </w:p>
        </w:tc>
        <w:tc>
          <w:tcPr>
            <w:tcW w:w="1140"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行完毕之日中</w:t>
            </w: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的较晚日之</w:t>
            </w:r>
          </w:p>
        </w:tc>
        <w:tc>
          <w:tcPr>
            <w:tcW w:w="1140"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的较晚日之</w:t>
            </w:r>
          </w:p>
        </w:tc>
        <w:tc>
          <w:tcPr>
            <w:tcW w:w="1124" w:type="dxa"/>
            <w:vMerge/>
            <w:tcBorders>
              <w:left w:val="single" w:sz="4" w:space="0" w:color="000000"/>
              <w:right w:val="single" w:sz="4" w:space="0" w:color="000000"/>
            </w:tcBorders>
          </w:tcPr>
          <w:p>
            <w:pPr/>
          </w:p>
        </w:tc>
      </w:tr>
      <w:tr>
        <w:trPr>
          <w:trHeight w:val="313"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前，不转让本</w:t>
            </w:r>
          </w:p>
        </w:tc>
        <w:tc>
          <w:tcPr>
            <w:tcW w:w="1140"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前。</w:t>
            </w:r>
          </w:p>
        </w:tc>
        <w:tc>
          <w:tcPr>
            <w:tcW w:w="1124" w:type="dxa"/>
            <w:vMerge/>
            <w:tcBorders>
              <w:left w:val="single" w:sz="4" w:space="0" w:color="000000"/>
              <w:right w:val="single" w:sz="4" w:space="0" w:color="000000"/>
            </w:tcBorders>
          </w:tcPr>
          <w:p>
            <w:pPr/>
          </w:p>
        </w:tc>
      </w:tr>
      <w:tr>
        <w:trPr>
          <w:trHeight w:val="311"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人持有的本次</w:t>
            </w:r>
          </w:p>
        </w:tc>
        <w:tc>
          <w:tcPr>
            <w:tcW w:w="1140"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发行取得的上</w:t>
            </w:r>
          </w:p>
        </w:tc>
        <w:tc>
          <w:tcPr>
            <w:tcW w:w="1140"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市公司新增股</w:t>
            </w:r>
          </w:p>
        </w:tc>
        <w:tc>
          <w:tcPr>
            <w:tcW w:w="1140"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88"/>
                <w:sz w:val="18"/>
                <w:szCs w:val="18"/>
              </w:rPr>
              <w:t>，</w:t>
            </w:r>
            <w:r>
              <w:rPr>
                <w:rFonts w:ascii="宋体" w:hAnsi="宋体" w:cs="宋体" w:eastAsia="宋体" w:hint="default"/>
                <w:sz w:val="18"/>
                <w:szCs w:val="18"/>
              </w:rPr>
              <w:t>但按</w:t>
            </w:r>
            <w:r>
              <w:rPr>
                <w:rFonts w:ascii="宋体" w:hAnsi="宋体" w:cs="宋体" w:eastAsia="宋体" w:hint="default"/>
                <w:spacing w:val="-88"/>
                <w:sz w:val="18"/>
                <w:szCs w:val="18"/>
              </w:rPr>
              <w:t>照</w:t>
            </w:r>
            <w:r>
              <w:rPr>
                <w:rFonts w:ascii="宋体" w:hAnsi="宋体" w:cs="宋体" w:eastAsia="宋体" w:hint="default"/>
                <w:sz w:val="18"/>
                <w:szCs w:val="18"/>
              </w:rPr>
              <w:t>《业</w:t>
            </w:r>
          </w:p>
        </w:tc>
        <w:tc>
          <w:tcPr>
            <w:tcW w:w="1140"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绩补偿协议》</w:t>
            </w:r>
          </w:p>
        </w:tc>
        <w:tc>
          <w:tcPr>
            <w:tcW w:w="1140"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进行回购的股</w:t>
            </w:r>
          </w:p>
        </w:tc>
        <w:tc>
          <w:tcPr>
            <w:tcW w:w="1140"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份除外；上述</w:t>
            </w:r>
          </w:p>
        </w:tc>
        <w:tc>
          <w:tcPr>
            <w:tcW w:w="1140"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锁定期满后，</w:t>
            </w:r>
          </w:p>
        </w:tc>
        <w:tc>
          <w:tcPr>
            <w:tcW w:w="1140"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如本人在中软</w:t>
            </w:r>
          </w:p>
        </w:tc>
        <w:tc>
          <w:tcPr>
            <w:tcW w:w="1140"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华泰或者上市</w:t>
            </w:r>
          </w:p>
        </w:tc>
        <w:tc>
          <w:tcPr>
            <w:tcW w:w="1140"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公司担任董</w:t>
            </w:r>
          </w:p>
        </w:tc>
        <w:tc>
          <w:tcPr>
            <w:tcW w:w="1140"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事、监事或高</w:t>
            </w:r>
          </w:p>
        </w:tc>
        <w:tc>
          <w:tcPr>
            <w:tcW w:w="1140"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40"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的，任职期间</w:t>
            </w:r>
          </w:p>
        </w:tc>
        <w:tc>
          <w:tcPr>
            <w:tcW w:w="1140"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内，本人每年</w:t>
            </w:r>
          </w:p>
        </w:tc>
        <w:tc>
          <w:tcPr>
            <w:tcW w:w="1140"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转让的上市公</w:t>
            </w:r>
          </w:p>
        </w:tc>
        <w:tc>
          <w:tcPr>
            <w:tcW w:w="1140"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司股份不超过</w:t>
            </w:r>
          </w:p>
        </w:tc>
        <w:tc>
          <w:tcPr>
            <w:tcW w:w="1140"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本人持有上市</w:t>
            </w:r>
          </w:p>
        </w:tc>
        <w:tc>
          <w:tcPr>
            <w:tcW w:w="1140"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r>
      <w:tr>
        <w:trPr>
          <w:trHeight w:val="313"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公司股份总数</w:t>
            </w:r>
          </w:p>
        </w:tc>
        <w:tc>
          <w:tcPr>
            <w:tcW w:w="1140"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r>
      <w:tr>
        <w:trPr>
          <w:trHeight w:val="357"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bottom w:val="single" w:sz="4" w:space="0" w:color="000000"/>
              <w:right w:val="single" w:sz="4" w:space="0" w:color="000000"/>
            </w:tcBorders>
          </w:tcPr>
          <w:p>
            <w:pPr/>
          </w:p>
        </w:tc>
        <w:tc>
          <w:tcPr>
            <w:tcW w:w="1140" w:type="dxa"/>
            <w:vMerge/>
            <w:tcBorders>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140" w:type="dxa"/>
            <w:vMerge/>
            <w:tcBorders>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r>
      <w:tr>
        <w:trPr>
          <w:trHeight w:val="357" w:hRule="exact"/>
        </w:trPr>
        <w:tc>
          <w:tcPr>
            <w:tcW w:w="2873" w:type="dxa"/>
            <w:vMerge/>
            <w:tcBorders>
              <w:left w:val="single" w:sz="4" w:space="0" w:color="000000"/>
              <w:right w:val="single" w:sz="4" w:space="0" w:color="000000"/>
            </w:tcBorders>
            <w:shd w:val="clear" w:color="auto" w:fill="D3D3D3"/>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自本次新增股</w:t>
            </w:r>
          </w:p>
        </w:tc>
        <w:tc>
          <w:tcPr>
            <w:tcW w:w="1140"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73" w:type="dxa"/>
            <w:vMerge/>
            <w:tcBorders>
              <w:left w:val="single" w:sz="4" w:space="0" w:color="000000"/>
              <w:right w:val="single" w:sz="4" w:space="0" w:color="000000"/>
            </w:tcBorders>
            <w:shd w:val="clear" w:color="auto" w:fill="D3D3D3"/>
          </w:tcPr>
          <w:p>
            <w:pPr/>
          </w:p>
        </w:tc>
        <w:tc>
          <w:tcPr>
            <w:tcW w:w="114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份上市之日</w:t>
            </w:r>
          </w:p>
        </w:tc>
        <w:tc>
          <w:tcPr>
            <w:tcW w:w="1140"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73" w:type="dxa"/>
            <w:vMerge/>
            <w:tcBorders>
              <w:left w:val="single" w:sz="4" w:space="0" w:color="000000"/>
              <w:right w:val="single" w:sz="4" w:space="0" w:color="000000"/>
            </w:tcBorders>
            <w:shd w:val="clear" w:color="auto" w:fill="D3D3D3"/>
          </w:tcPr>
          <w:p>
            <w:pPr/>
          </w:p>
        </w:tc>
        <w:tc>
          <w:tcPr>
            <w:tcW w:w="114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87"/>
                <w:sz w:val="18"/>
                <w:szCs w:val="18"/>
              </w:rPr>
              <w:t>，</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40"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73" w:type="dxa"/>
            <w:vMerge/>
            <w:tcBorders>
              <w:left w:val="single" w:sz="4" w:space="0" w:color="000000"/>
              <w:right w:val="single" w:sz="4" w:space="0" w:color="000000"/>
            </w:tcBorders>
            <w:shd w:val="clear" w:color="auto" w:fill="D3D3D3"/>
          </w:tcPr>
          <w:p>
            <w:pPr/>
          </w:p>
        </w:tc>
        <w:tc>
          <w:tcPr>
            <w:tcW w:w="114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届满之日和本</w:t>
            </w:r>
          </w:p>
        </w:tc>
        <w:tc>
          <w:tcPr>
            <w:tcW w:w="1140"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r>
      <w:tr>
        <w:trPr>
          <w:trHeight w:val="3432" w:hRule="exact"/>
        </w:trPr>
        <w:tc>
          <w:tcPr>
            <w:tcW w:w="2873" w:type="dxa"/>
            <w:vMerge/>
            <w:tcBorders>
              <w:left w:val="single" w:sz="4" w:space="0" w:color="000000"/>
              <w:right w:val="single" w:sz="4" w:space="0" w:color="000000"/>
            </w:tcBorders>
            <w:shd w:val="clear" w:color="auto" w:fill="D3D3D3"/>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田秋桂</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人在《业绩补 偿协议》中利 润补偿义务履 行完毕之日中 的较晚日之 前，不转让本 人持有的本次 发行取得的上 市公司新增股 </w:t>
            </w:r>
            <w:r>
              <w:rPr>
                <w:rFonts w:ascii="宋体" w:hAnsi="宋体" w:cs="宋体" w:eastAsia="宋体" w:hint="default"/>
                <w:spacing w:val="-26"/>
                <w:sz w:val="18"/>
                <w:szCs w:val="18"/>
              </w:rPr>
              <w:t>份，但按照《业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绩补偿协议》</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2" w:right="23"/>
              <w:jc w:val="left"/>
              <w:rPr>
                <w:rFonts w:ascii="宋体" w:hAnsi="宋体" w:cs="宋体" w:eastAsia="宋体" w:hint="default"/>
                <w:sz w:val="18"/>
                <w:szCs w:val="18"/>
              </w:rPr>
            </w:pPr>
            <w:r>
              <w:rPr>
                <w:rFonts w:ascii="宋体" w:hAnsi="宋体" w:cs="宋体" w:eastAsia="宋体" w:hint="default"/>
                <w:sz w:val="18"/>
                <w:szCs w:val="18"/>
              </w:rPr>
              <w:t>自本次新增股 份上市之日 </w:t>
            </w:r>
            <w:r>
              <w:rPr>
                <w:rFonts w:ascii="宋体" w:hAnsi="宋体" w:cs="宋体" w:eastAsia="宋体" w:hint="default"/>
                <w:spacing w:val="-30"/>
                <w:sz w:val="18"/>
                <w:szCs w:val="18"/>
              </w:rPr>
              <w:t>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届满之日和本 人在《业绩补 偿协议》中利 润补偿义务履 行完毕之日中 的较晚日之 前。</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11"/>
              <w:jc w:val="left"/>
              <w:rPr>
                <w:rFonts w:ascii="宋体" w:hAnsi="宋体" w:cs="宋体" w:eastAsia="宋体" w:hint="default"/>
                <w:sz w:val="18"/>
                <w:szCs w:val="18"/>
              </w:rPr>
            </w:pPr>
            <w:r>
              <w:rPr>
                <w:rFonts w:ascii="宋体" w:hAnsi="宋体" w:cs="宋体" w:eastAsia="宋体" w:hint="default"/>
                <w:sz w:val="18"/>
                <w:szCs w:val="18"/>
              </w:rPr>
              <w:t>严格履行中， 无违反承诺 的情形。</w:t>
            </w: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进行回购的股</w:t>
            </w:r>
          </w:p>
        </w:tc>
        <w:tc>
          <w:tcPr>
            <w:tcW w:w="1140"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份除外；鉴于</w:t>
            </w:r>
          </w:p>
        </w:tc>
        <w:tc>
          <w:tcPr>
            <w:tcW w:w="1140"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本人与中软华</w:t>
            </w:r>
          </w:p>
        </w:tc>
        <w:tc>
          <w:tcPr>
            <w:tcW w:w="1140"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73" w:type="dxa"/>
            <w:vMerge/>
            <w:tcBorders>
              <w:left w:val="single" w:sz="4" w:space="0" w:color="000000"/>
              <w:bottom w:val="single" w:sz="4" w:space="0" w:color="000000"/>
              <w:right w:val="single" w:sz="4" w:space="0" w:color="000000"/>
            </w:tcBorders>
            <w:shd w:val="clear" w:color="auto" w:fill="D3D3D3"/>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泰另一股东马</w:t>
            </w:r>
          </w:p>
        </w:tc>
        <w:tc>
          <w:tcPr>
            <w:tcW w:w="1140"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2873"/>
        <w:gridCol w:w="1140"/>
        <w:gridCol w:w="1140"/>
        <w:gridCol w:w="1140"/>
        <w:gridCol w:w="1140"/>
        <w:gridCol w:w="1136"/>
        <w:gridCol w:w="1124"/>
      </w:tblGrid>
      <w:tr>
        <w:trPr>
          <w:trHeight w:val="317" w:hRule="exact"/>
        </w:trPr>
        <w:tc>
          <w:tcPr>
            <w:tcW w:w="2873" w:type="dxa"/>
            <w:vMerge w:val="restart"/>
            <w:tcBorders>
              <w:top w:val="single" w:sz="4" w:space="0" w:color="000000"/>
              <w:left w:val="single" w:sz="4" w:space="0" w:color="000000"/>
              <w:right w:val="single" w:sz="4" w:space="0" w:color="000000"/>
            </w:tcBorders>
            <w:shd w:val="clear" w:color="auto" w:fill="D3D3D3"/>
          </w:tcPr>
          <w:p>
            <w:pPr/>
          </w:p>
        </w:tc>
        <w:tc>
          <w:tcPr>
            <w:tcW w:w="1140" w:type="dxa"/>
            <w:vMerge w:val="restart"/>
            <w:tcBorders>
              <w:top w:val="single" w:sz="4" w:space="0" w:color="000000"/>
              <w:left w:val="single" w:sz="4" w:space="0" w:color="000000"/>
              <w:right w:val="single" w:sz="4" w:space="0" w:color="000000"/>
            </w:tcBorders>
          </w:tcPr>
          <w:p>
            <w:pPr/>
          </w:p>
        </w:tc>
        <w:tc>
          <w:tcPr>
            <w:tcW w:w="1140" w:type="dxa"/>
            <w:vMerge w:val="restart"/>
            <w:tcBorders>
              <w:top w:val="single" w:sz="4" w:space="0" w:color="000000"/>
              <w:left w:val="single" w:sz="4" w:space="0" w:color="000000"/>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永清系一致行</w:t>
            </w:r>
          </w:p>
        </w:tc>
        <w:tc>
          <w:tcPr>
            <w:tcW w:w="1140"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动人，共同控</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制中软华泰，</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在马永清于中</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软华泰或者上</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市公司担任董</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事、监事或高</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级管理人员期</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间内，本人每</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年转让的上市</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公司股份不超</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过本人持有上</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市公司股份总</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7"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；同</w:t>
            </w:r>
            <w:r>
              <w:rPr>
                <w:rFonts w:ascii="宋体" w:hAnsi="宋体" w:cs="宋体" w:eastAsia="宋体" w:hint="default"/>
                <w:sz w:val="18"/>
                <w:szCs w:val="18"/>
              </w:rPr>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07"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时，在陈青松</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（系本人之</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子）于中软华</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泰或者上市公</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司担任董事、</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监事或高级管</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理人员期间</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内，本人每年</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转让的上市公</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司股份亦不超</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过本人持有上</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3"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市公司股份总</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57" w:hRule="exact"/>
        </w:trPr>
        <w:tc>
          <w:tcPr>
            <w:tcW w:w="2873" w:type="dxa"/>
            <w:vMerge/>
            <w:tcBorders>
              <w:left w:val="single" w:sz="4" w:space="0" w:color="000000"/>
              <w:bottom w:val="single" w:sz="4" w:space="0" w:color="000000"/>
              <w:right w:val="single" w:sz="4" w:space="0" w:color="000000"/>
            </w:tcBorders>
            <w:shd w:val="clear" w:color="auto" w:fill="D3D3D3"/>
          </w:tcPr>
          <w:p>
            <w:pPr/>
          </w:p>
        </w:tc>
        <w:tc>
          <w:tcPr>
            <w:tcW w:w="1140" w:type="dxa"/>
            <w:vMerge/>
            <w:tcBorders>
              <w:left w:val="single" w:sz="4" w:space="0" w:color="000000"/>
              <w:bottom w:val="single" w:sz="4" w:space="0" w:color="000000"/>
              <w:right w:val="single" w:sz="4" w:space="0" w:color="000000"/>
            </w:tcBorders>
          </w:tcPr>
          <w:p>
            <w:pPr/>
          </w:p>
        </w:tc>
        <w:tc>
          <w:tcPr>
            <w:tcW w:w="1140" w:type="dxa"/>
            <w:vMerge/>
            <w:tcBorders>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140"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r>
      <w:tr>
        <w:trPr>
          <w:trHeight w:val="357" w:hRule="exact"/>
        </w:trPr>
        <w:tc>
          <w:tcPr>
            <w:tcW w:w="2873" w:type="dxa"/>
            <w:tcBorders>
              <w:top w:val="single" w:sz="4" w:space="0" w:color="000000"/>
              <w:left w:val="single" w:sz="4" w:space="0" w:color="000000"/>
              <w:bottom w:val="nil" w:sz="6" w:space="0" w:color="auto"/>
              <w:right w:val="single" w:sz="4" w:space="0" w:color="000000"/>
            </w:tcBorders>
            <w:shd w:val="clear" w:color="auto" w:fill="D3D3D3"/>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其在任职期</w:t>
            </w:r>
          </w:p>
        </w:tc>
        <w:tc>
          <w:tcPr>
            <w:tcW w:w="1140"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73" w:type="dxa"/>
            <w:tcBorders>
              <w:top w:val="nil" w:sz="6" w:space="0" w:color="auto"/>
              <w:left w:val="single" w:sz="4" w:space="0" w:color="000000"/>
              <w:bottom w:val="nil" w:sz="6" w:space="0" w:color="auto"/>
              <w:right w:val="single" w:sz="4" w:space="0" w:color="000000"/>
            </w:tcBorders>
            <w:shd w:val="clear" w:color="auto" w:fill="D3D3D3"/>
          </w:tcPr>
          <w:p>
            <w:pPr/>
          </w:p>
        </w:tc>
        <w:tc>
          <w:tcPr>
            <w:tcW w:w="114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间，每年转让</w:t>
            </w:r>
          </w:p>
        </w:tc>
        <w:tc>
          <w:tcPr>
            <w:tcW w:w="1140"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3D3D3"/>
          </w:tcPr>
          <w:p>
            <w:pPr/>
          </w:p>
        </w:tc>
        <w:tc>
          <w:tcPr>
            <w:tcW w:w="114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的公司股份不</w:t>
            </w:r>
          </w:p>
        </w:tc>
        <w:tc>
          <w:tcPr>
            <w:tcW w:w="1140"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873" w:type="dxa"/>
            <w:tcBorders>
              <w:top w:val="nil" w:sz="6" w:space="0" w:color="auto"/>
              <w:left w:val="single" w:sz="4" w:space="0" w:color="000000"/>
              <w:bottom w:val="nil" w:sz="6" w:space="0" w:color="auto"/>
              <w:right w:val="single" w:sz="4" w:space="0" w:color="000000"/>
            </w:tcBorders>
            <w:shd w:val="clear" w:color="auto" w:fill="D3D3D3"/>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25"/>
              <w:jc w:val="left"/>
              <w:rPr>
                <w:rFonts w:ascii="宋体" w:hAnsi="宋体" w:cs="宋体" w:eastAsia="宋体" w:hint="default"/>
                <w:sz w:val="18"/>
                <w:szCs w:val="18"/>
              </w:rPr>
            </w:pPr>
            <w:r>
              <w:rPr>
                <w:rFonts w:ascii="宋体" w:hAnsi="宋体" w:cs="宋体" w:eastAsia="宋体" w:hint="default"/>
                <w:sz w:val="18"/>
                <w:szCs w:val="18"/>
              </w:rPr>
              <w:t>林皓、杨杰、 高曦、杨维</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股份限售承诺</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5"/>
              <w:jc w:val="left"/>
              <w:rPr>
                <w:rFonts w:ascii="宋体" w:hAnsi="宋体" w:cs="宋体" w:eastAsia="宋体" w:hint="default"/>
                <w:sz w:val="18"/>
                <w:szCs w:val="18"/>
              </w:rPr>
            </w:pPr>
            <w:r>
              <w:rPr>
                <w:rFonts w:ascii="宋体" w:hAnsi="宋体" w:cs="宋体" w:eastAsia="宋体" w:hint="default"/>
                <w:sz w:val="18"/>
                <w:szCs w:val="18"/>
              </w:rPr>
              <w:t>超过其持有公 司股份总数的 百分之二十 五；离职后半</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9999-12-31</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1"/>
              <w:jc w:val="left"/>
              <w:rPr>
                <w:rFonts w:ascii="宋体" w:hAnsi="宋体" w:cs="宋体" w:eastAsia="宋体" w:hint="default"/>
                <w:sz w:val="18"/>
                <w:szCs w:val="18"/>
              </w:rPr>
            </w:pPr>
            <w:r>
              <w:rPr>
                <w:rFonts w:ascii="宋体" w:hAnsi="宋体" w:cs="宋体" w:eastAsia="宋体" w:hint="default"/>
                <w:sz w:val="18"/>
                <w:szCs w:val="18"/>
              </w:rPr>
              <w:t>严格履行中， 无违反承诺 的情形</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3D3D3"/>
          </w:tcPr>
          <w:p>
            <w:pPr/>
          </w:p>
        </w:tc>
        <w:tc>
          <w:tcPr>
            <w:tcW w:w="114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年内，不转让</w:t>
            </w:r>
          </w:p>
        </w:tc>
        <w:tc>
          <w:tcPr>
            <w:tcW w:w="1140"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r>
      <w:tr>
        <w:trPr>
          <w:trHeight w:val="326" w:hRule="exact"/>
        </w:trPr>
        <w:tc>
          <w:tcPr>
            <w:tcW w:w="28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4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其持有的公司</w:t>
            </w:r>
          </w:p>
        </w:tc>
        <w:tc>
          <w:tcPr>
            <w:tcW w:w="1140"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r>
      <w:tr>
        <w:trPr>
          <w:trHeight w:val="344" w:hRule="exact"/>
        </w:trPr>
        <w:tc>
          <w:tcPr>
            <w:tcW w:w="2873" w:type="dxa"/>
            <w:tcBorders>
              <w:top w:val="nil" w:sz="6" w:space="0" w:color="auto"/>
              <w:left w:val="single" w:sz="4" w:space="0" w:color="000000"/>
              <w:bottom w:val="nil" w:sz="6" w:space="0" w:color="auto"/>
              <w:right w:val="single" w:sz="4" w:space="0" w:color="000000"/>
            </w:tcBorders>
            <w:shd w:val="clear" w:color="auto" w:fill="D3D3D3"/>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1140"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873" w:type="dxa"/>
            <w:tcBorders>
              <w:top w:val="nil" w:sz="6" w:space="0" w:color="auto"/>
              <w:left w:val="single" w:sz="4" w:space="0" w:color="000000"/>
              <w:bottom w:val="nil" w:sz="6" w:space="0" w:color="auto"/>
              <w:right w:val="single" w:sz="4" w:space="0" w:color="000000"/>
            </w:tcBorders>
            <w:shd w:val="clear" w:color="auto" w:fill="D3D3D3"/>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在王晓娜女士</w:t>
            </w:r>
          </w:p>
        </w:tc>
        <w:tc>
          <w:tcPr>
            <w:tcW w:w="1140"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2873" w:type="dxa"/>
            <w:tcBorders>
              <w:top w:val="nil" w:sz="6" w:space="0" w:color="auto"/>
              <w:left w:val="single" w:sz="4" w:space="0" w:color="000000"/>
              <w:bottom w:val="nil" w:sz="6" w:space="0" w:color="auto"/>
              <w:right w:val="single" w:sz="4" w:space="0" w:color="000000"/>
            </w:tcBorders>
            <w:shd w:val="clear" w:color="auto" w:fill="D3D3D3"/>
          </w:tcPr>
          <w:p>
            <w:pPr/>
          </w:p>
        </w:tc>
        <w:tc>
          <w:tcPr>
            <w:tcW w:w="114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任职期间，其</w:t>
            </w:r>
          </w:p>
        </w:tc>
        <w:tc>
          <w:tcPr>
            <w:tcW w:w="1140"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2873" w:type="dxa"/>
            <w:tcBorders>
              <w:top w:val="nil" w:sz="6" w:space="0" w:color="auto"/>
              <w:left w:val="single" w:sz="4" w:space="0" w:color="000000"/>
              <w:bottom w:val="nil" w:sz="6" w:space="0" w:color="auto"/>
              <w:right w:val="single" w:sz="4" w:space="0" w:color="000000"/>
            </w:tcBorders>
            <w:shd w:val="clear" w:color="auto" w:fill="D3D3D3"/>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
              <w:jc w:val="center"/>
              <w:rPr>
                <w:rFonts w:ascii="宋体" w:hAnsi="宋体" w:cs="宋体" w:eastAsia="宋体" w:hint="default"/>
                <w:sz w:val="18"/>
                <w:szCs w:val="18"/>
              </w:rPr>
            </w:pPr>
            <w:r>
              <w:rPr>
                <w:rFonts w:ascii="宋体" w:hAnsi="宋体" w:cs="宋体" w:eastAsia="宋体" w:hint="default"/>
                <w:sz w:val="18"/>
                <w:szCs w:val="18"/>
              </w:rPr>
              <w:t>股份限售承诺</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5"/>
              <w:jc w:val="both"/>
              <w:rPr>
                <w:rFonts w:ascii="宋体" w:hAnsi="宋体" w:cs="宋体" w:eastAsia="宋体" w:hint="default"/>
                <w:sz w:val="18"/>
                <w:szCs w:val="18"/>
              </w:rPr>
            </w:pPr>
            <w:r>
              <w:rPr>
                <w:rFonts w:ascii="宋体" w:hAnsi="宋体" w:cs="宋体" w:eastAsia="宋体" w:hint="default"/>
                <w:sz w:val="18"/>
                <w:szCs w:val="18"/>
              </w:rPr>
              <w:t>每年转让的股 份公司股份不 超过其所持有</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9999-12-31</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1"/>
              <w:jc w:val="left"/>
              <w:rPr>
                <w:rFonts w:ascii="宋体" w:hAnsi="宋体" w:cs="宋体" w:eastAsia="宋体" w:hint="default"/>
                <w:sz w:val="18"/>
                <w:szCs w:val="18"/>
              </w:rPr>
            </w:pPr>
            <w:r>
              <w:rPr>
                <w:rFonts w:ascii="宋体" w:hAnsi="宋体" w:cs="宋体" w:eastAsia="宋体" w:hint="default"/>
                <w:sz w:val="18"/>
                <w:szCs w:val="18"/>
              </w:rPr>
              <w:t>严格履行中， 无违反承诺 的情形</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3D3D3"/>
          </w:tcPr>
          <w:p>
            <w:pPr/>
          </w:p>
        </w:tc>
        <w:tc>
          <w:tcPr>
            <w:tcW w:w="114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股份公司股份</w:t>
            </w:r>
          </w:p>
        </w:tc>
        <w:tc>
          <w:tcPr>
            <w:tcW w:w="1140"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73" w:type="dxa"/>
            <w:tcBorders>
              <w:top w:val="nil" w:sz="6" w:space="0" w:color="auto"/>
              <w:left w:val="single" w:sz="4" w:space="0" w:color="000000"/>
              <w:bottom w:val="single" w:sz="4" w:space="0" w:color="000000"/>
              <w:right w:val="single" w:sz="4" w:space="0" w:color="000000"/>
            </w:tcBorders>
            <w:shd w:val="clear" w:color="auto" w:fill="D3D3D3"/>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总数的百分之</w:t>
            </w:r>
          </w:p>
        </w:tc>
        <w:tc>
          <w:tcPr>
            <w:tcW w:w="1140"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1190"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2873"/>
        <w:gridCol w:w="1140"/>
        <w:gridCol w:w="1140"/>
        <w:gridCol w:w="1140"/>
        <w:gridCol w:w="1140"/>
        <w:gridCol w:w="1136"/>
        <w:gridCol w:w="1124"/>
      </w:tblGrid>
      <w:tr>
        <w:trPr>
          <w:trHeight w:val="317" w:hRule="exact"/>
        </w:trPr>
        <w:tc>
          <w:tcPr>
            <w:tcW w:w="2873" w:type="dxa"/>
            <w:vMerge w:val="restart"/>
            <w:tcBorders>
              <w:top w:val="single" w:sz="4" w:space="0" w:color="000000"/>
              <w:left w:val="single" w:sz="4" w:space="0" w:color="000000"/>
              <w:right w:val="single" w:sz="4" w:space="0" w:color="000000"/>
            </w:tcBorders>
            <w:shd w:val="clear" w:color="auto" w:fill="D3D3D3"/>
          </w:tcPr>
          <w:p>
            <w:pPr/>
          </w:p>
        </w:tc>
        <w:tc>
          <w:tcPr>
            <w:tcW w:w="1140" w:type="dxa"/>
            <w:vMerge w:val="restart"/>
            <w:tcBorders>
              <w:top w:val="single" w:sz="4" w:space="0" w:color="000000"/>
              <w:left w:val="single" w:sz="4" w:space="0" w:color="000000"/>
              <w:right w:val="single" w:sz="4" w:space="0" w:color="000000"/>
            </w:tcBorders>
          </w:tcPr>
          <w:p>
            <w:pPr/>
          </w:p>
        </w:tc>
        <w:tc>
          <w:tcPr>
            <w:tcW w:w="1140" w:type="dxa"/>
            <w:vMerge w:val="restart"/>
            <w:tcBorders>
              <w:top w:val="single" w:sz="4" w:space="0" w:color="000000"/>
              <w:left w:val="single" w:sz="4" w:space="0" w:color="000000"/>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二十五；在王</w:t>
            </w:r>
          </w:p>
        </w:tc>
        <w:tc>
          <w:tcPr>
            <w:tcW w:w="1140"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晓娜女士离职</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后半年内，其</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2"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不转让直接或</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13" w:hRule="exact"/>
        </w:trPr>
        <w:tc>
          <w:tcPr>
            <w:tcW w:w="2873" w:type="dxa"/>
            <w:vMerge/>
            <w:tcBorders>
              <w:left w:val="single" w:sz="4" w:space="0" w:color="000000"/>
              <w:right w:val="single" w:sz="4" w:space="0" w:color="000000"/>
            </w:tcBorders>
            <w:shd w:val="clear" w:color="auto" w:fill="D3D3D3"/>
          </w:tcPr>
          <w:p>
            <w:pPr/>
          </w:p>
        </w:tc>
        <w:tc>
          <w:tcPr>
            <w:tcW w:w="114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者间接持有的</w:t>
            </w:r>
          </w:p>
        </w:tc>
        <w:tc>
          <w:tcPr>
            <w:tcW w:w="114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r>
      <w:tr>
        <w:trPr>
          <w:trHeight w:val="357" w:hRule="exact"/>
        </w:trPr>
        <w:tc>
          <w:tcPr>
            <w:tcW w:w="2873" w:type="dxa"/>
            <w:vMerge/>
            <w:tcBorders>
              <w:left w:val="single" w:sz="4" w:space="0" w:color="000000"/>
              <w:bottom w:val="single" w:sz="4" w:space="0" w:color="000000"/>
              <w:right w:val="single" w:sz="4" w:space="0" w:color="000000"/>
            </w:tcBorders>
            <w:shd w:val="clear" w:color="auto" w:fill="D3D3D3"/>
          </w:tcPr>
          <w:p>
            <w:pPr/>
          </w:p>
        </w:tc>
        <w:tc>
          <w:tcPr>
            <w:tcW w:w="1140" w:type="dxa"/>
            <w:vMerge/>
            <w:tcBorders>
              <w:left w:val="single" w:sz="4" w:space="0" w:color="000000"/>
              <w:bottom w:val="single" w:sz="4" w:space="0" w:color="000000"/>
              <w:right w:val="single" w:sz="4" w:space="0" w:color="000000"/>
            </w:tcBorders>
          </w:tcPr>
          <w:p>
            <w:pPr/>
          </w:p>
        </w:tc>
        <w:tc>
          <w:tcPr>
            <w:tcW w:w="1140" w:type="dxa"/>
            <w:vMerge/>
            <w:tcBorders>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公司股份；</w:t>
            </w:r>
          </w:p>
        </w:tc>
        <w:tc>
          <w:tcPr>
            <w:tcW w:w="1140"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r>
      <w:tr>
        <w:trPr>
          <w:trHeight w:val="402" w:hRule="exact"/>
        </w:trPr>
        <w:tc>
          <w:tcPr>
            <w:tcW w:w="2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4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4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2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57" w:hRule="exact"/>
        </w:trPr>
        <w:tc>
          <w:tcPr>
            <w:tcW w:w="287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如承诺超期未履行完毕的，应当详细</w:t>
            </w:r>
          </w:p>
        </w:tc>
        <w:tc>
          <w:tcPr>
            <w:tcW w:w="6821" w:type="dxa"/>
            <w:gridSpan w:val="6"/>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28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说明未完成履行的具体原因及下一</w:t>
            </w:r>
          </w:p>
        </w:tc>
        <w:tc>
          <w:tcPr>
            <w:tcW w:w="6821"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6" w:hRule="exact"/>
        </w:trPr>
        <w:tc>
          <w:tcPr>
            <w:tcW w:w="287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步的工作计划</w:t>
            </w:r>
          </w:p>
        </w:tc>
        <w:tc>
          <w:tcPr>
            <w:tcW w:w="6821" w:type="dxa"/>
            <w:gridSpan w:val="6"/>
            <w:tcBorders>
              <w:top w:val="nil" w:sz="6" w:space="0" w:color="auto"/>
              <w:left w:val="single" w:sz="9" w:space="0" w:color="D3D3D3"/>
              <w:bottom w:val="single" w:sz="4" w:space="0" w:color="000000"/>
              <w:right w:val="single" w:sz="4" w:space="0" w:color="000000"/>
            </w:tcBorders>
          </w:tcPr>
          <w:p>
            <w:pPr/>
          </w:p>
        </w:tc>
      </w:tr>
      <w:tr>
        <w:trPr>
          <w:trHeight w:val="402" w:hRule="exact"/>
        </w:trPr>
        <w:tc>
          <w:tcPr>
            <w:tcW w:w="287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21" w:type="dxa"/>
            <w:gridSpan w:val="6"/>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34" w:right="1117" w:hanging="3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财政部于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15</w:t>
      </w:r>
      <w:r>
        <w:rPr>
          <w:spacing w:val="-1"/>
        </w:rPr>
        <w:t>日发布了《关于修订印发</w:t>
      </w:r>
      <w:r>
        <w:rPr>
          <w:rFonts w:ascii="Times New Roman" w:hAnsi="Times New Roman" w:cs="Times New Roman" w:eastAsia="Times New Roman" w:hint="default"/>
          <w:spacing w:val="-1"/>
        </w:rPr>
        <w:t>2018</w:t>
      </w:r>
      <w:r>
        <w:rPr>
          <w:spacing w:val="-1"/>
        </w:rPr>
        <w:t>年度一般企业财务报表格式的通知》（财会〔</w:t>
      </w:r>
      <w:r>
        <w:rPr>
          <w:rFonts w:ascii="Times New Roman" w:hAnsi="Times New Roman" w:cs="Times New Roman" w:eastAsia="Times New Roman" w:hint="default"/>
          <w:spacing w:val="-1"/>
        </w:rPr>
        <w:t>2018</w:t>
      </w:r>
      <w:r>
        <w:rPr>
          <w:spacing w:val="-1"/>
        </w:rPr>
        <w:t>〕</w:t>
      </w:r>
      <w:r>
        <w:rPr>
          <w:rFonts w:ascii="Times New Roman" w:hAnsi="Times New Roman" w:cs="Times New Roman" w:eastAsia="Times New Roman" w:hint="default"/>
          <w:spacing w:val="-1"/>
        </w:rPr>
        <w:t>15</w:t>
      </w:r>
      <w:r>
        <w:rPr>
          <w:spacing w:val="-1"/>
        </w:rPr>
        <w:t>号），对一</w:t>
      </w:r>
    </w:p>
    <w:p>
      <w:pPr>
        <w:pStyle w:val="BodyText"/>
        <w:spacing w:line="230" w:lineRule="exact"/>
        <w:ind w:left="153" w:right="0"/>
        <w:jc w:val="left"/>
      </w:pPr>
      <w:r>
        <w:rPr/>
        <w:t>般企业财务报表格式进行了修订。公司于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日分别召开了第三届董事会第九次会议和第三届监事会第九次会议</w:t>
      </w:r>
    </w:p>
    <w:p>
      <w:pPr>
        <w:pStyle w:val="BodyText"/>
        <w:spacing w:line="240" w:lineRule="auto" w:before="63"/>
        <w:ind w:left="153" w:right="0"/>
        <w:jc w:val="left"/>
      </w:pPr>
      <w:r>
        <w:rPr/>
        <w:t>《关于会计政策变更的议案》，公司按照财政部的要求时间开始执行前述通知。</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6" w:right="5168" w:hanging="3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报告期内，合并报表范围新增北信源信息技术（青岛）有限公司。</w:t>
      </w:r>
    </w:p>
    <w:p>
      <w:pPr>
        <w:spacing w:after="0" w:line="338" w:lineRule="auto"/>
        <w:jc w:val="left"/>
        <w:sectPr>
          <w:pgSz w:w="11910" w:h="16840"/>
          <w:pgMar w:header="747" w:footer="1190"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2"/>
        <w:spacing w:line="240" w:lineRule="auto" w:before="26"/>
        <w:ind w:right="0"/>
        <w:jc w:val="left"/>
        <w:rPr>
          <w:b w:val="0"/>
          <w:bCs w:val="0"/>
        </w:rPr>
      </w:pP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130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荣健 、单大信</w:t>
            </w:r>
          </w:p>
        </w:tc>
      </w:tr>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bl>
    <w:p>
      <w:pPr>
        <w:pStyle w:val="BodyText"/>
        <w:spacing w:line="240" w:lineRule="auto" w:before="51"/>
        <w:ind w:right="0"/>
        <w:jc w:val="left"/>
      </w:pPr>
      <w:r>
        <w:rPr/>
        <w:t>是否改聘会计师事务所</w:t>
      </w:r>
    </w:p>
    <w:p>
      <w:pPr>
        <w:pStyle w:val="BodyText"/>
        <w:spacing w:line="340" w:lineRule="auto" w:before="116"/>
        <w:ind w:right="62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1469"/>
        <w:gridCol w:w="1099"/>
        <w:gridCol w:w="1282"/>
        <w:gridCol w:w="966"/>
        <w:gridCol w:w="1411"/>
        <w:gridCol w:w="1282"/>
        <w:gridCol w:w="1093"/>
        <w:gridCol w:w="1092"/>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638" w:right="38" w:hanging="60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63" w:right="22" w:hanging="341"/>
              <w:jc w:val="left"/>
              <w:rPr>
                <w:rFonts w:ascii="宋体" w:hAnsi="宋体" w:cs="宋体" w:eastAsia="宋体" w:hint="default"/>
                <w:sz w:val="18"/>
                <w:szCs w:val="18"/>
              </w:rPr>
            </w:pPr>
            <w:r>
              <w:rPr>
                <w:rFonts w:ascii="宋体" w:hAnsi="宋体" w:cs="宋体" w:eastAsia="宋体" w:hint="default"/>
                <w:spacing w:val="-7"/>
                <w:sz w:val="18"/>
                <w:szCs w:val="18"/>
              </w:rPr>
              <w:t>涉案金额（万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元）</w:t>
            </w:r>
          </w:p>
        </w:tc>
        <w:tc>
          <w:tcPr>
            <w:tcW w:w="1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55" w:right="95"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97" w:right="56"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4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49" w:right="10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76" w:right="34"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8" w:hRule="exact"/>
        </w:trPr>
        <w:tc>
          <w:tcPr>
            <w:tcW w:w="1469"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c>
          <w:tcPr>
            <w:tcW w:w="1282"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14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判决被告内蒙古</w:t>
            </w:r>
          </w:p>
        </w:tc>
        <w:tc>
          <w:tcPr>
            <w:tcW w:w="1282" w:type="dxa"/>
            <w:tcBorders>
              <w:top w:val="single" w:sz="4" w:space="0" w:color="000000"/>
              <w:left w:val="single" w:sz="4" w:space="0" w:color="000000"/>
              <w:bottom w:val="nil" w:sz="6" w:space="0" w:color="auto"/>
              <w:right w:val="single" w:sz="4" w:space="0" w:color="000000"/>
            </w:tcBorders>
          </w:tcPr>
          <w:p>
            <w:pPr/>
          </w:p>
        </w:tc>
        <w:tc>
          <w:tcPr>
            <w:tcW w:w="1093" w:type="dxa"/>
            <w:vMerge w:val="restart"/>
            <w:tcBorders>
              <w:top w:val="single" w:sz="4" w:space="0" w:color="000000"/>
              <w:left w:val="single" w:sz="4" w:space="0" w:color="000000"/>
              <w:right w:val="single" w:sz="4" w:space="0" w:color="000000"/>
            </w:tcBorders>
          </w:tcPr>
          <w:p>
            <w:pPr/>
          </w:p>
        </w:tc>
        <w:tc>
          <w:tcPr>
            <w:tcW w:w="1092" w:type="dxa"/>
            <w:vMerge w:val="restart"/>
            <w:tcBorders>
              <w:top w:val="single" w:sz="4" w:space="0" w:color="000000"/>
              <w:left w:val="single" w:sz="4" w:space="0" w:color="000000"/>
              <w:right w:val="single" w:sz="4" w:space="0" w:color="000000"/>
            </w:tcBorders>
          </w:tcPr>
          <w:p>
            <w:pPr/>
          </w:p>
        </w:tc>
      </w:tr>
      <w:tr>
        <w:trPr>
          <w:trHeight w:val="692" w:hRule="exact"/>
        </w:trPr>
        <w:tc>
          <w:tcPr>
            <w:tcW w:w="1469" w:type="dxa"/>
            <w:tcBorders>
              <w:top w:val="nil" w:sz="6" w:space="0" w:color="auto"/>
              <w:left w:val="single" w:sz="4" w:space="0" w:color="000000"/>
              <w:bottom w:val="nil" w:sz="6" w:space="0" w:color="auto"/>
              <w:right w:val="single" w:sz="4" w:space="0" w:color="000000"/>
            </w:tcBorders>
          </w:tcPr>
          <w:p>
            <w:pPr/>
          </w:p>
        </w:tc>
        <w:tc>
          <w:tcPr>
            <w:tcW w:w="1099"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966" w:type="dxa"/>
            <w:tcBorders>
              <w:top w:val="nil" w:sz="6" w:space="0" w:color="auto"/>
              <w:left w:val="single" w:sz="4" w:space="0" w:color="000000"/>
              <w:bottom w:val="nil" w:sz="6" w:space="0" w:color="auto"/>
              <w:right w:val="single" w:sz="4" w:space="0" w:color="000000"/>
            </w:tcBorders>
          </w:tcPr>
          <w:p>
            <w:pPr/>
          </w:p>
        </w:tc>
        <w:tc>
          <w:tcPr>
            <w:tcW w:w="141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6"/>
              <w:jc w:val="left"/>
              <w:rPr>
                <w:rFonts w:ascii="宋体" w:hAnsi="宋体" w:cs="宋体" w:eastAsia="宋体" w:hint="default"/>
                <w:sz w:val="18"/>
                <w:szCs w:val="18"/>
              </w:rPr>
            </w:pPr>
            <w:r>
              <w:rPr>
                <w:rFonts w:ascii="宋体" w:hAnsi="宋体" w:cs="宋体" w:eastAsia="宋体" w:hint="default"/>
                <w:sz w:val="18"/>
                <w:szCs w:val="18"/>
              </w:rPr>
              <w:t>雪洋科技于本判 决生效之日起十</w:t>
            </w:r>
          </w:p>
        </w:tc>
        <w:tc>
          <w:tcPr>
            <w:tcW w:w="1282"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3"/>
              <w:ind w:left="22" w:right="167"/>
              <w:jc w:val="left"/>
              <w:rPr>
                <w:rFonts w:ascii="宋体" w:hAnsi="宋体" w:cs="宋体" w:eastAsia="宋体" w:hint="default"/>
                <w:sz w:val="18"/>
                <w:szCs w:val="18"/>
              </w:rPr>
            </w:pPr>
            <w:r>
              <w:rPr>
                <w:rFonts w:ascii="宋体" w:hAnsi="宋体" w:cs="宋体" w:eastAsia="宋体" w:hint="default"/>
                <w:sz w:val="18"/>
                <w:szCs w:val="18"/>
              </w:rPr>
              <w:t>目前该案不具 备继续执行的</w:t>
            </w:r>
          </w:p>
        </w:tc>
        <w:tc>
          <w:tcPr>
            <w:tcW w:w="1093"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r>
      <w:tr>
        <w:trPr>
          <w:trHeight w:val="1560" w:hRule="exact"/>
        </w:trPr>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22" w:right="174"/>
              <w:jc w:val="both"/>
              <w:rPr>
                <w:rFonts w:ascii="宋体" w:hAnsi="宋体" w:cs="宋体" w:eastAsia="宋体" w:hint="default"/>
                <w:sz w:val="18"/>
                <w:szCs w:val="18"/>
              </w:rPr>
            </w:pPr>
            <w:r>
              <w:rPr>
                <w:rFonts w:ascii="宋体" w:hAnsi="宋体" w:cs="宋体" w:eastAsia="宋体" w:hint="default"/>
                <w:sz w:val="18"/>
                <w:szCs w:val="18"/>
              </w:rPr>
              <w:t>公司诉内蒙古雪 洋科技有限公司 合同纠纷</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19.44</w:t>
            </w:r>
          </w:p>
        </w:tc>
        <w:tc>
          <w:tcPr>
            <w:tcW w:w="12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已判决</w:t>
            </w:r>
          </w:p>
        </w:tc>
        <w:tc>
          <w:tcPr>
            <w:tcW w:w="1411"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日内向原告公司</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支付合同款</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129,600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元及违约</w:t>
            </w:r>
          </w:p>
          <w:p>
            <w:pPr>
              <w:pStyle w:val="TableParagraph"/>
              <w:spacing w:line="300" w:lineRule="auto" w:before="63"/>
              <w:ind w:left="22" w:right="72"/>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38,880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元，未 按期履行给付金</w:t>
            </w:r>
          </w:p>
        </w:tc>
        <w:tc>
          <w:tcPr>
            <w:tcW w:w="1282" w:type="dxa"/>
            <w:tcBorders>
              <w:top w:val="nil" w:sz="6" w:space="0" w:color="auto"/>
              <w:left w:val="single" w:sz="4" w:space="0" w:color="000000"/>
              <w:bottom w:val="nil" w:sz="6" w:space="0" w:color="auto"/>
              <w:right w:val="single" w:sz="4" w:space="0" w:color="000000"/>
            </w:tcBorders>
          </w:tcPr>
          <w:p>
            <w:pPr>
              <w:pStyle w:val="TableParagraph"/>
              <w:spacing w:line="312" w:lineRule="exact" w:before="39"/>
              <w:ind w:left="22" w:right="-11"/>
              <w:jc w:val="left"/>
              <w:rPr>
                <w:rFonts w:ascii="宋体" w:hAnsi="宋体" w:cs="宋体" w:eastAsia="宋体" w:hint="default"/>
                <w:sz w:val="18"/>
                <w:szCs w:val="18"/>
              </w:rPr>
            </w:pPr>
            <w:r>
              <w:rPr>
                <w:rFonts w:ascii="宋体" w:hAnsi="宋体" w:cs="宋体" w:eastAsia="宋体" w:hint="default"/>
                <w:spacing w:val="-11"/>
                <w:sz w:val="18"/>
                <w:szCs w:val="18"/>
              </w:rPr>
              <w:t>条件，裁定</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终结</w:t>
            </w:r>
            <w:r>
              <w:rPr>
                <w:rFonts w:ascii="宋体" w:hAnsi="宋体" w:cs="宋体" w:eastAsia="宋体" w:hint="default"/>
                <w:spacing w:val="-86"/>
                <w:sz w:val="18"/>
                <w:szCs w:val="18"/>
              </w:rPr>
              <w:t> </w:t>
            </w:r>
            <w:r>
              <w:rPr>
                <w:rFonts w:ascii="宋体" w:hAnsi="宋体" w:cs="宋体" w:eastAsia="宋体" w:hint="default"/>
                <w:sz w:val="18"/>
                <w:szCs w:val="18"/>
              </w:rPr>
              <w:t>本次执行程序。 申请执行人发 现被执行人有 可供执行财产</w:t>
            </w:r>
          </w:p>
        </w:tc>
        <w:tc>
          <w:tcPr>
            <w:tcW w:w="1093"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r>
      <w:tr>
        <w:trPr>
          <w:trHeight w:val="312" w:hRule="exact"/>
        </w:trPr>
        <w:tc>
          <w:tcPr>
            <w:tcW w:w="1469" w:type="dxa"/>
            <w:tcBorders>
              <w:top w:val="nil" w:sz="6" w:space="0" w:color="auto"/>
              <w:left w:val="single" w:sz="4" w:space="0" w:color="000000"/>
              <w:bottom w:val="nil" w:sz="6" w:space="0" w:color="auto"/>
              <w:right w:val="single" w:sz="4" w:space="0" w:color="000000"/>
            </w:tcBorders>
          </w:tcPr>
          <w:p>
            <w:pPr/>
          </w:p>
        </w:tc>
        <w:tc>
          <w:tcPr>
            <w:tcW w:w="1099"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966" w:type="dxa"/>
            <w:tcBorders>
              <w:top w:val="nil" w:sz="6" w:space="0" w:color="auto"/>
              <w:left w:val="single" w:sz="4" w:space="0" w:color="000000"/>
              <w:bottom w:val="nil" w:sz="6" w:space="0" w:color="auto"/>
              <w:right w:val="single" w:sz="4" w:space="0" w:color="000000"/>
            </w:tcBorders>
          </w:tcPr>
          <w:p>
            <w:pPr/>
          </w:p>
        </w:tc>
        <w:tc>
          <w:tcPr>
            <w:tcW w:w="1411"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钱的义务将加倍</w:t>
            </w:r>
          </w:p>
        </w:tc>
        <w:tc>
          <w:tcPr>
            <w:tcW w:w="1282"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pacing w:val="-5"/>
                <w:sz w:val="18"/>
                <w:szCs w:val="18"/>
              </w:rPr>
              <w:t>的，可以再次申</w:t>
            </w:r>
          </w:p>
        </w:tc>
        <w:tc>
          <w:tcPr>
            <w:tcW w:w="1093"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r>
      <w:tr>
        <w:trPr>
          <w:trHeight w:val="556" w:hRule="exact"/>
        </w:trPr>
        <w:tc>
          <w:tcPr>
            <w:tcW w:w="1469" w:type="dxa"/>
            <w:tcBorders>
              <w:top w:val="nil" w:sz="6" w:space="0" w:color="auto"/>
              <w:left w:val="single" w:sz="4" w:space="0" w:color="000000"/>
              <w:bottom w:val="nil" w:sz="6" w:space="0" w:color="auto"/>
              <w:right w:val="single" w:sz="4" w:space="0" w:color="000000"/>
            </w:tcBorders>
          </w:tcPr>
          <w:p>
            <w:pPr/>
          </w:p>
        </w:tc>
        <w:tc>
          <w:tcPr>
            <w:tcW w:w="1099"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966" w:type="dxa"/>
            <w:tcBorders>
              <w:top w:val="nil" w:sz="6" w:space="0" w:color="auto"/>
              <w:left w:val="single" w:sz="4" w:space="0" w:color="000000"/>
              <w:bottom w:val="nil" w:sz="6" w:space="0" w:color="auto"/>
              <w:right w:val="single" w:sz="4" w:space="0" w:color="000000"/>
            </w:tcBorders>
          </w:tcPr>
          <w:p>
            <w:pPr/>
          </w:p>
        </w:tc>
        <w:tc>
          <w:tcPr>
            <w:tcW w:w="1411"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支付迟延履行期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间的债务利息</w:t>
            </w:r>
            <w:r>
              <w:rPr>
                <w:rFonts w:ascii="宋体" w:hAnsi="宋体" w:cs="宋体" w:eastAsia="宋体" w:hint="default"/>
                <w:spacing w:val="-86"/>
                <w:sz w:val="18"/>
                <w:szCs w:val="18"/>
              </w:rPr>
              <w:t>。</w:t>
            </w:r>
            <w:r>
              <w:rPr>
                <w:rFonts w:ascii="宋体" w:hAnsi="宋体" w:cs="宋体" w:eastAsia="宋体" w:hint="default"/>
                <w:sz w:val="18"/>
                <w:szCs w:val="18"/>
              </w:rPr>
              <w:t>由</w:t>
            </w:r>
          </w:p>
        </w:tc>
        <w:tc>
          <w:tcPr>
            <w:tcW w:w="1282"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22" w:right="0"/>
              <w:jc w:val="left"/>
              <w:rPr>
                <w:rFonts w:ascii="宋体" w:hAnsi="宋体" w:cs="宋体" w:eastAsia="宋体" w:hint="default"/>
                <w:sz w:val="18"/>
                <w:szCs w:val="18"/>
              </w:rPr>
            </w:pPr>
            <w:r>
              <w:rPr>
                <w:rFonts w:ascii="宋体" w:hAnsi="宋体" w:cs="宋体" w:eastAsia="宋体" w:hint="default"/>
                <w:sz w:val="18"/>
                <w:szCs w:val="18"/>
              </w:rPr>
              <w:t>请执行。</w:t>
            </w:r>
          </w:p>
        </w:tc>
        <w:tc>
          <w:tcPr>
            <w:tcW w:w="1093"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r>
      <w:tr>
        <w:trPr>
          <w:trHeight w:val="317" w:hRule="exact"/>
        </w:trPr>
        <w:tc>
          <w:tcPr>
            <w:tcW w:w="1469"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14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被告负担</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3,670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元</w:t>
            </w:r>
          </w:p>
        </w:tc>
        <w:tc>
          <w:tcPr>
            <w:tcW w:w="1282" w:type="dxa"/>
            <w:tcBorders>
              <w:top w:val="nil" w:sz="6" w:space="0" w:color="auto"/>
              <w:left w:val="single" w:sz="4" w:space="0" w:color="000000"/>
              <w:bottom w:val="single" w:sz="4" w:space="0" w:color="000000"/>
              <w:right w:val="single" w:sz="4" w:space="0" w:color="000000"/>
            </w:tcBorders>
          </w:tcPr>
          <w:p>
            <w:pPr/>
          </w:p>
        </w:tc>
        <w:tc>
          <w:tcPr>
            <w:tcW w:w="1093"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469"/>
        <w:gridCol w:w="1099"/>
        <w:gridCol w:w="1282"/>
        <w:gridCol w:w="966"/>
        <w:gridCol w:w="1411"/>
        <w:gridCol w:w="1282"/>
        <w:gridCol w:w="1093"/>
        <w:gridCol w:w="1092"/>
      </w:tblGrid>
      <w:tr>
        <w:trPr>
          <w:trHeight w:val="317" w:hRule="exact"/>
        </w:trPr>
        <w:tc>
          <w:tcPr>
            <w:tcW w:w="1469" w:type="dxa"/>
            <w:vMerge w:val="restart"/>
            <w:tcBorders>
              <w:top w:val="single" w:sz="4" w:space="0" w:color="000000"/>
              <w:left w:val="single" w:sz="4" w:space="0" w:color="000000"/>
              <w:right w:val="single" w:sz="4" w:space="0" w:color="000000"/>
            </w:tcBorders>
          </w:tcPr>
          <w:p>
            <w:pPr/>
          </w:p>
        </w:tc>
        <w:tc>
          <w:tcPr>
            <w:tcW w:w="1099" w:type="dxa"/>
            <w:vMerge w:val="restart"/>
            <w:tcBorders>
              <w:top w:val="single" w:sz="4" w:space="0" w:color="000000"/>
              <w:left w:val="single" w:sz="4" w:space="0" w:color="000000"/>
              <w:right w:val="single" w:sz="4" w:space="0" w:color="000000"/>
            </w:tcBorders>
          </w:tcPr>
          <w:p>
            <w:pPr/>
          </w:p>
        </w:tc>
        <w:tc>
          <w:tcPr>
            <w:tcW w:w="1282" w:type="dxa"/>
            <w:vMerge w:val="restart"/>
            <w:tcBorders>
              <w:top w:val="single" w:sz="4" w:space="0" w:color="000000"/>
              <w:left w:val="single" w:sz="4" w:space="0" w:color="000000"/>
              <w:right w:val="single" w:sz="4" w:space="0" w:color="000000"/>
            </w:tcBorders>
          </w:tcPr>
          <w:p>
            <w:pPr/>
          </w:p>
        </w:tc>
        <w:tc>
          <w:tcPr>
            <w:tcW w:w="966" w:type="dxa"/>
            <w:vMerge w:val="restart"/>
            <w:tcBorders>
              <w:top w:val="single" w:sz="4" w:space="0" w:color="000000"/>
              <w:left w:val="single" w:sz="4" w:space="0" w:color="000000"/>
              <w:right w:val="single" w:sz="4" w:space="0" w:color="000000"/>
            </w:tcBorders>
          </w:tcPr>
          <w:p>
            <w:pPr/>
          </w:p>
        </w:tc>
        <w:tc>
          <w:tcPr>
            <w:tcW w:w="14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案件受理费和</w:t>
            </w:r>
          </w:p>
        </w:tc>
        <w:tc>
          <w:tcPr>
            <w:tcW w:w="1282" w:type="dxa"/>
            <w:vMerge w:val="restart"/>
            <w:tcBorders>
              <w:top w:val="single" w:sz="4" w:space="0" w:color="000000"/>
              <w:left w:val="single" w:sz="4" w:space="0" w:color="000000"/>
              <w:right w:val="single" w:sz="4" w:space="0" w:color="000000"/>
            </w:tcBorders>
          </w:tcPr>
          <w:p>
            <w:pPr/>
          </w:p>
        </w:tc>
        <w:tc>
          <w:tcPr>
            <w:tcW w:w="1093" w:type="dxa"/>
            <w:vMerge w:val="restart"/>
            <w:tcBorders>
              <w:top w:val="single" w:sz="4" w:space="0" w:color="000000"/>
              <w:left w:val="single" w:sz="4" w:space="0" w:color="000000"/>
              <w:right w:val="single" w:sz="4" w:space="0" w:color="000000"/>
            </w:tcBorders>
          </w:tcPr>
          <w:p>
            <w:pPr/>
          </w:p>
        </w:tc>
        <w:tc>
          <w:tcPr>
            <w:tcW w:w="1092" w:type="dxa"/>
            <w:vMerge w:val="restart"/>
            <w:tcBorders>
              <w:top w:val="single" w:sz="4" w:space="0" w:color="000000"/>
              <w:left w:val="single" w:sz="4" w:space="0" w:color="000000"/>
              <w:right w:val="single" w:sz="4" w:space="0" w:color="000000"/>
            </w:tcBorders>
          </w:tcPr>
          <w:p>
            <w:pPr/>
          </w:p>
        </w:tc>
      </w:tr>
      <w:tr>
        <w:trPr>
          <w:trHeight w:val="317" w:hRule="exact"/>
        </w:trPr>
        <w:tc>
          <w:tcPr>
            <w:tcW w:w="1469" w:type="dxa"/>
            <w:vMerge/>
            <w:tcBorders>
              <w:left w:val="single" w:sz="4" w:space="0" w:color="000000"/>
              <w:right w:val="single" w:sz="4" w:space="0" w:color="000000"/>
            </w:tcBorders>
          </w:tcPr>
          <w:p>
            <w:pPr/>
          </w:p>
        </w:tc>
        <w:tc>
          <w:tcPr>
            <w:tcW w:w="1099" w:type="dxa"/>
            <w:vMerge/>
            <w:tcBorders>
              <w:left w:val="single" w:sz="4" w:space="0" w:color="000000"/>
              <w:right w:val="single" w:sz="4" w:space="0" w:color="000000"/>
            </w:tcBorders>
          </w:tcPr>
          <w:p>
            <w:pPr/>
          </w:p>
        </w:tc>
        <w:tc>
          <w:tcPr>
            <w:tcW w:w="1282" w:type="dxa"/>
            <w:vMerge/>
            <w:tcBorders>
              <w:left w:val="single" w:sz="4" w:space="0" w:color="000000"/>
              <w:right w:val="single" w:sz="4" w:space="0" w:color="000000"/>
            </w:tcBorders>
          </w:tcPr>
          <w:p>
            <w:pPr/>
          </w:p>
        </w:tc>
        <w:tc>
          <w:tcPr>
            <w:tcW w:w="966" w:type="dxa"/>
            <w:vMerge/>
            <w:tcBorders>
              <w:left w:val="single" w:sz="4" w:space="0" w:color="000000"/>
              <w:right w:val="single" w:sz="4" w:space="0" w:color="000000"/>
            </w:tcBorders>
          </w:tcPr>
          <w:p>
            <w:pPr/>
          </w:p>
        </w:tc>
        <w:tc>
          <w:tcPr>
            <w:tcW w:w="1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元公告费，原</w:t>
            </w:r>
          </w:p>
        </w:tc>
        <w:tc>
          <w:tcPr>
            <w:tcW w:w="1282" w:type="dxa"/>
            <w:vMerge/>
            <w:tcBorders>
              <w:left w:val="single" w:sz="4" w:space="0" w:color="000000"/>
              <w:right w:val="single" w:sz="4" w:space="0" w:color="000000"/>
            </w:tcBorders>
          </w:tcPr>
          <w:p>
            <w:pPr/>
          </w:p>
        </w:tc>
        <w:tc>
          <w:tcPr>
            <w:tcW w:w="1093"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r>
      <w:tr>
        <w:trPr>
          <w:trHeight w:val="313" w:hRule="exact"/>
        </w:trPr>
        <w:tc>
          <w:tcPr>
            <w:tcW w:w="1469" w:type="dxa"/>
            <w:vMerge/>
            <w:tcBorders>
              <w:left w:val="single" w:sz="4" w:space="0" w:color="000000"/>
              <w:right w:val="single" w:sz="4" w:space="0" w:color="000000"/>
            </w:tcBorders>
          </w:tcPr>
          <w:p>
            <w:pPr/>
          </w:p>
        </w:tc>
        <w:tc>
          <w:tcPr>
            <w:tcW w:w="1099" w:type="dxa"/>
            <w:vMerge/>
            <w:tcBorders>
              <w:left w:val="single" w:sz="4" w:space="0" w:color="000000"/>
              <w:right w:val="single" w:sz="4" w:space="0" w:color="000000"/>
            </w:tcBorders>
          </w:tcPr>
          <w:p>
            <w:pPr/>
          </w:p>
        </w:tc>
        <w:tc>
          <w:tcPr>
            <w:tcW w:w="1282" w:type="dxa"/>
            <w:vMerge/>
            <w:tcBorders>
              <w:left w:val="single" w:sz="4" w:space="0" w:color="000000"/>
              <w:right w:val="single" w:sz="4" w:space="0" w:color="000000"/>
            </w:tcBorders>
          </w:tcPr>
          <w:p>
            <w:pPr/>
          </w:p>
        </w:tc>
        <w:tc>
          <w:tcPr>
            <w:tcW w:w="966" w:type="dxa"/>
            <w:vMerge/>
            <w:tcBorders>
              <w:left w:val="single" w:sz="4" w:space="0" w:color="000000"/>
              <w:right w:val="single" w:sz="4" w:space="0" w:color="000000"/>
            </w:tcBorders>
          </w:tcPr>
          <w:p>
            <w:pPr/>
          </w:p>
        </w:tc>
        <w:tc>
          <w:tcPr>
            <w:tcW w:w="1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告负担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518 </w:t>
            </w:r>
            <w:r>
              <w:rPr>
                <w:rFonts w:ascii="宋体" w:hAnsi="宋体" w:cs="宋体" w:eastAsia="宋体" w:hint="default"/>
                <w:sz w:val="18"/>
                <w:szCs w:val="18"/>
              </w:rPr>
              <w:t>元案</w:t>
            </w:r>
          </w:p>
        </w:tc>
        <w:tc>
          <w:tcPr>
            <w:tcW w:w="1282" w:type="dxa"/>
            <w:vMerge/>
            <w:tcBorders>
              <w:left w:val="single" w:sz="4" w:space="0" w:color="000000"/>
              <w:right w:val="single" w:sz="4" w:space="0" w:color="000000"/>
            </w:tcBorders>
          </w:tcPr>
          <w:p>
            <w:pPr/>
          </w:p>
        </w:tc>
        <w:tc>
          <w:tcPr>
            <w:tcW w:w="1093"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r>
      <w:tr>
        <w:trPr>
          <w:trHeight w:val="352" w:hRule="exact"/>
        </w:trPr>
        <w:tc>
          <w:tcPr>
            <w:tcW w:w="1469" w:type="dxa"/>
            <w:vMerge/>
            <w:tcBorders>
              <w:left w:val="single" w:sz="4" w:space="0" w:color="000000"/>
              <w:bottom w:val="single" w:sz="4" w:space="0" w:color="000000"/>
              <w:right w:val="single" w:sz="4" w:space="0" w:color="000000"/>
            </w:tcBorders>
          </w:tcPr>
          <w:p>
            <w:pPr/>
          </w:p>
        </w:tc>
        <w:tc>
          <w:tcPr>
            <w:tcW w:w="1099" w:type="dxa"/>
            <w:vMerge/>
            <w:tcBorders>
              <w:left w:val="single" w:sz="4" w:space="0" w:color="000000"/>
              <w:bottom w:val="single" w:sz="4" w:space="0" w:color="000000"/>
              <w:right w:val="single" w:sz="4" w:space="0" w:color="000000"/>
            </w:tcBorders>
          </w:tcPr>
          <w:p>
            <w:pPr/>
          </w:p>
        </w:tc>
        <w:tc>
          <w:tcPr>
            <w:tcW w:w="1282" w:type="dxa"/>
            <w:vMerge/>
            <w:tcBorders>
              <w:left w:val="single" w:sz="4" w:space="0" w:color="000000"/>
              <w:bottom w:val="single" w:sz="4" w:space="0" w:color="000000"/>
              <w:right w:val="single" w:sz="4" w:space="0" w:color="000000"/>
            </w:tcBorders>
          </w:tcPr>
          <w:p>
            <w:pPr/>
          </w:p>
        </w:tc>
        <w:tc>
          <w:tcPr>
            <w:tcW w:w="966" w:type="dxa"/>
            <w:vMerge/>
            <w:tcBorders>
              <w:left w:val="single" w:sz="4" w:space="0" w:color="000000"/>
              <w:bottom w:val="single" w:sz="4" w:space="0" w:color="000000"/>
              <w:right w:val="single" w:sz="4" w:space="0" w:color="000000"/>
            </w:tcBorders>
          </w:tcPr>
          <w:p>
            <w:pPr/>
          </w:p>
        </w:tc>
        <w:tc>
          <w:tcPr>
            <w:tcW w:w="14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件受理费</w:t>
            </w:r>
          </w:p>
        </w:tc>
        <w:tc>
          <w:tcPr>
            <w:tcW w:w="1282" w:type="dxa"/>
            <w:vMerge/>
            <w:tcBorders>
              <w:left w:val="single" w:sz="4" w:space="0" w:color="000000"/>
              <w:bottom w:val="single" w:sz="4" w:space="0" w:color="000000"/>
              <w:right w:val="single" w:sz="4" w:space="0" w:color="000000"/>
            </w:tcBorders>
          </w:tcPr>
          <w:p>
            <w:pPr/>
          </w:p>
        </w:tc>
        <w:tc>
          <w:tcPr>
            <w:tcW w:w="1093"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r>
      <w:tr>
        <w:trPr>
          <w:trHeight w:val="357" w:hRule="exact"/>
        </w:trPr>
        <w:tc>
          <w:tcPr>
            <w:tcW w:w="1469"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c>
          <w:tcPr>
            <w:tcW w:w="1282"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14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胡伟于本判决生</w:t>
            </w:r>
          </w:p>
        </w:tc>
        <w:tc>
          <w:tcPr>
            <w:tcW w:w="1282" w:type="dxa"/>
            <w:tcBorders>
              <w:top w:val="single" w:sz="4" w:space="0" w:color="000000"/>
              <w:left w:val="single" w:sz="4" w:space="0" w:color="000000"/>
              <w:bottom w:val="nil" w:sz="6" w:space="0" w:color="auto"/>
              <w:right w:val="single" w:sz="4" w:space="0" w:color="000000"/>
            </w:tcBorders>
          </w:tcPr>
          <w:p>
            <w:pPr/>
          </w:p>
        </w:tc>
        <w:tc>
          <w:tcPr>
            <w:tcW w:w="1093" w:type="dxa"/>
            <w:vMerge w:val="restart"/>
            <w:tcBorders>
              <w:top w:val="single" w:sz="4" w:space="0" w:color="000000"/>
              <w:left w:val="single" w:sz="4" w:space="0" w:color="000000"/>
              <w:right w:val="single" w:sz="4" w:space="0" w:color="000000"/>
            </w:tcBorders>
          </w:tcPr>
          <w:p>
            <w:pPr/>
          </w:p>
        </w:tc>
        <w:tc>
          <w:tcPr>
            <w:tcW w:w="1092" w:type="dxa"/>
            <w:vMerge w:val="restart"/>
            <w:tcBorders>
              <w:top w:val="single" w:sz="4" w:space="0" w:color="000000"/>
              <w:left w:val="single" w:sz="4" w:space="0" w:color="000000"/>
              <w:right w:val="single" w:sz="4" w:space="0" w:color="000000"/>
            </w:tcBorders>
          </w:tcPr>
          <w:p>
            <w:pPr/>
          </w:p>
        </w:tc>
      </w:tr>
      <w:tr>
        <w:trPr>
          <w:trHeight w:val="3120" w:hRule="exact"/>
        </w:trPr>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公司诉武汉信安 科技有限公司合 </w:t>
            </w:r>
            <w:r>
              <w:rPr>
                <w:rFonts w:ascii="宋体" w:hAnsi="宋体" w:cs="宋体" w:eastAsia="宋体" w:hint="default"/>
                <w:spacing w:val="-4"/>
                <w:sz w:val="18"/>
                <w:szCs w:val="18"/>
              </w:rPr>
              <w:t>同纠纷一案，因公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司法人胡伟已将 此合同尾款转为 个人债务并签订</w:t>
            </w:r>
          </w:p>
          <w:p>
            <w:pPr>
              <w:pStyle w:val="TableParagraph"/>
              <w:spacing w:line="319" w:lineRule="auto" w:before="19"/>
              <w:ind w:left="22" w:right="84"/>
              <w:jc w:val="left"/>
              <w:rPr>
                <w:rFonts w:ascii="宋体" w:hAnsi="宋体" w:cs="宋体" w:eastAsia="宋体" w:hint="default"/>
                <w:sz w:val="18"/>
                <w:szCs w:val="18"/>
              </w:rPr>
            </w:pPr>
            <w:r>
              <w:rPr>
                <w:rFonts w:ascii="宋体" w:hAnsi="宋体" w:cs="宋体" w:eastAsia="宋体" w:hint="default"/>
                <w:spacing w:val="-12"/>
                <w:sz w:val="18"/>
                <w:szCs w:val="18"/>
              </w:rPr>
              <w:t>《还款协议》，请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求判决胡伟履行 债务归还</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w:t>
            </w:r>
          </w:p>
        </w:tc>
        <w:tc>
          <w:tcPr>
            <w:tcW w:w="12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已判决</w:t>
            </w:r>
          </w:p>
        </w:tc>
        <w:tc>
          <w:tcPr>
            <w:tcW w:w="141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5"/>
              <w:jc w:val="left"/>
              <w:rPr>
                <w:rFonts w:ascii="宋体" w:hAnsi="宋体" w:cs="宋体" w:eastAsia="宋体" w:hint="default"/>
                <w:sz w:val="18"/>
                <w:szCs w:val="18"/>
              </w:rPr>
            </w:pPr>
            <w:r>
              <w:rPr>
                <w:rFonts w:ascii="宋体" w:hAnsi="宋体" w:cs="宋体" w:eastAsia="宋体" w:hint="default"/>
                <w:sz w:val="18"/>
                <w:szCs w:val="18"/>
              </w:rPr>
              <w:t>效后十日内支付 公司货款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万元</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案件受理费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元及公告费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pacing w:val="-12"/>
                <w:sz w:val="18"/>
                <w:szCs w:val="18"/>
              </w:rPr>
              <w:t>（公司已预交），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由公司负担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609 </w:t>
            </w:r>
            <w:r>
              <w:rPr>
                <w:rFonts w:ascii="宋体" w:hAnsi="宋体" w:cs="宋体" w:eastAsia="宋体" w:hint="default"/>
                <w:spacing w:val="-11"/>
                <w:sz w:val="18"/>
                <w:szCs w:val="18"/>
              </w:rPr>
              <w:t>元，由被告胡伟负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元，于本 判决生效后七日</w:t>
            </w:r>
          </w:p>
        </w:tc>
        <w:tc>
          <w:tcPr>
            <w:tcW w:w="128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尚未执行</w:t>
            </w:r>
          </w:p>
        </w:tc>
        <w:tc>
          <w:tcPr>
            <w:tcW w:w="1093"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r>
      <w:tr>
        <w:trPr>
          <w:trHeight w:val="357" w:hRule="exact"/>
        </w:trPr>
        <w:tc>
          <w:tcPr>
            <w:tcW w:w="1469"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14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内交纳。</w:t>
            </w:r>
          </w:p>
        </w:tc>
        <w:tc>
          <w:tcPr>
            <w:tcW w:w="1282" w:type="dxa"/>
            <w:tcBorders>
              <w:top w:val="nil" w:sz="6" w:space="0" w:color="auto"/>
              <w:left w:val="single" w:sz="4" w:space="0" w:color="000000"/>
              <w:bottom w:val="single" w:sz="4" w:space="0" w:color="000000"/>
              <w:right w:val="single" w:sz="4" w:space="0" w:color="000000"/>
            </w:tcBorders>
          </w:tcPr>
          <w:p>
            <w:pPr/>
          </w:p>
        </w:tc>
        <w:tc>
          <w:tcPr>
            <w:tcW w:w="1093"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r>
      <w:tr>
        <w:trPr>
          <w:trHeight w:val="357" w:hRule="exact"/>
        </w:trPr>
        <w:tc>
          <w:tcPr>
            <w:tcW w:w="14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北京博诚佳业科</w:t>
            </w:r>
          </w:p>
        </w:tc>
        <w:tc>
          <w:tcPr>
            <w:tcW w:w="1099" w:type="dxa"/>
            <w:tcBorders>
              <w:top w:val="single" w:sz="4" w:space="0" w:color="000000"/>
              <w:left w:val="single" w:sz="4" w:space="0" w:color="000000"/>
              <w:bottom w:val="nil" w:sz="6" w:space="0" w:color="auto"/>
              <w:right w:val="single" w:sz="4" w:space="0" w:color="000000"/>
            </w:tcBorders>
          </w:tcPr>
          <w:p>
            <w:pPr/>
          </w:p>
        </w:tc>
        <w:tc>
          <w:tcPr>
            <w:tcW w:w="1282"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1411" w:type="dxa"/>
            <w:tcBorders>
              <w:top w:val="single" w:sz="4" w:space="0" w:color="000000"/>
              <w:left w:val="single" w:sz="4" w:space="0" w:color="000000"/>
              <w:bottom w:val="nil" w:sz="6" w:space="0" w:color="auto"/>
              <w:right w:val="single" w:sz="4" w:space="0" w:color="000000"/>
            </w:tcBorders>
          </w:tcPr>
          <w:p>
            <w:pPr/>
          </w:p>
        </w:tc>
        <w:tc>
          <w:tcPr>
            <w:tcW w:w="1282" w:type="dxa"/>
            <w:tcBorders>
              <w:top w:val="single" w:sz="4" w:space="0" w:color="000000"/>
              <w:left w:val="single" w:sz="4" w:space="0" w:color="000000"/>
              <w:bottom w:val="nil" w:sz="6" w:space="0" w:color="auto"/>
              <w:right w:val="single" w:sz="4" w:space="0" w:color="000000"/>
            </w:tcBorders>
          </w:tcPr>
          <w:p>
            <w:pPr/>
          </w:p>
        </w:tc>
        <w:tc>
          <w:tcPr>
            <w:tcW w:w="1093" w:type="dxa"/>
            <w:vMerge w:val="restart"/>
            <w:tcBorders>
              <w:top w:val="single" w:sz="4" w:space="0" w:color="000000"/>
              <w:left w:val="single" w:sz="4" w:space="0" w:color="000000"/>
              <w:right w:val="single" w:sz="4" w:space="0" w:color="000000"/>
            </w:tcBorders>
          </w:tcPr>
          <w:p>
            <w:pPr/>
          </w:p>
        </w:tc>
        <w:tc>
          <w:tcPr>
            <w:tcW w:w="1092" w:type="dxa"/>
            <w:vMerge w:val="restart"/>
            <w:tcBorders>
              <w:top w:val="single" w:sz="4" w:space="0" w:color="000000"/>
              <w:left w:val="single" w:sz="4" w:space="0" w:color="000000"/>
              <w:right w:val="single" w:sz="4" w:space="0" w:color="000000"/>
            </w:tcBorders>
          </w:tcPr>
          <w:p>
            <w:pPr/>
          </w:p>
        </w:tc>
      </w:tr>
      <w:tr>
        <w:trPr>
          <w:trHeight w:val="625" w:hRule="exact"/>
        </w:trPr>
        <w:tc>
          <w:tcPr>
            <w:tcW w:w="14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4"/>
              <w:jc w:val="left"/>
              <w:rPr>
                <w:rFonts w:ascii="宋体" w:hAnsi="宋体" w:cs="宋体" w:eastAsia="宋体" w:hint="default"/>
                <w:sz w:val="18"/>
                <w:szCs w:val="18"/>
              </w:rPr>
            </w:pPr>
            <w:r>
              <w:rPr>
                <w:rFonts w:ascii="宋体" w:hAnsi="宋体" w:cs="宋体" w:eastAsia="宋体" w:hint="default"/>
                <w:sz w:val="18"/>
                <w:szCs w:val="18"/>
              </w:rPr>
              <w:t>技发展有限公司 诉公司委托合同</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24.97</w:t>
            </w:r>
          </w:p>
        </w:tc>
        <w:tc>
          <w:tcPr>
            <w:tcW w:w="12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未判决</w:t>
            </w:r>
          </w:p>
        </w:tc>
        <w:tc>
          <w:tcPr>
            <w:tcW w:w="1411"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6"/>
              <w:jc w:val="left"/>
              <w:rPr>
                <w:rFonts w:ascii="宋体" w:hAnsi="宋体" w:cs="宋体" w:eastAsia="宋体" w:hint="default"/>
                <w:sz w:val="18"/>
                <w:szCs w:val="18"/>
              </w:rPr>
            </w:pPr>
            <w:r>
              <w:rPr>
                <w:rFonts w:ascii="宋体" w:hAnsi="宋体" w:cs="宋体" w:eastAsia="宋体" w:hint="default"/>
                <w:sz w:val="18"/>
                <w:szCs w:val="18"/>
              </w:rPr>
              <w:t>报告期末尚未判 决</w:t>
            </w:r>
          </w:p>
        </w:tc>
        <w:tc>
          <w:tcPr>
            <w:tcW w:w="12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尚未执行</w:t>
            </w:r>
          </w:p>
        </w:tc>
        <w:tc>
          <w:tcPr>
            <w:tcW w:w="1093"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r>
      <w:tr>
        <w:trPr>
          <w:trHeight w:val="356" w:hRule="exact"/>
        </w:trPr>
        <w:tc>
          <w:tcPr>
            <w:tcW w:w="14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纠纷案</w:t>
            </w:r>
          </w:p>
        </w:tc>
        <w:tc>
          <w:tcPr>
            <w:tcW w:w="1099"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1411"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1093"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pict>
          <v:group style="position:absolute;margin-left:366.899994pt;margin-top:-270.46405pt;width:63.6pt;height:191.25pt;mso-position-horizontal-relative:page;mso-position-vertical-relative:paragraph;z-index:-977800" coordorigin="7338,-5409" coordsize="1272,3825">
            <v:group style="position:absolute;left:7338;top:-5409;width:1272;height:3825" coordorigin="7338,-5409" coordsize="1272,3825">
              <v:shape style="position:absolute;left:7338;top:-5409;width:1272;height:3825" coordorigin="7338,-5409" coordsize="1272,3825" path="m7338,-5409l8610,-5409,8610,-1585,7338,-1585,7338,-5409xe" filled="true" fillcolor="#ffffff" stroked="false">
                <v:path arrowok="t"/>
                <v:fill type="solid"/>
              </v:shape>
            </v:group>
            <v:group style="position:absolute;left:7361;top:-3693;width:1227;height:393" coordorigin="7361,-3693" coordsize="1227,393">
              <v:shape style="position:absolute;left:7361;top:-3693;width:1227;height:393" coordorigin="7361,-3693" coordsize="1227,393" path="m7361,-3301l8587,-3301,8587,-3693,7361,-3693,7361,-3301xe" filled="true" fillcolor="#ffffff" stroked="false">
                <v:path arrowok="t"/>
                <v:fill type="solid"/>
              </v:shape>
            </v:group>
            <w10:wrap type="none"/>
          </v:group>
        </w:pict>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8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38" w:lineRule="auto" w:before="102"/>
        <w:ind w:right="1842"/>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9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after="0" w:line="340" w:lineRule="auto"/>
        <w:jc w:val="left"/>
        <w:sectPr>
          <w:pgSz w:w="11910" w:h="16840"/>
          <w:pgMar w:header="747" w:footer="1190" w:top="1060" w:bottom="13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6" w:right="1117" w:hanging="3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公司分别于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4</w:t>
      </w:r>
      <w:r>
        <w:rPr>
          <w:spacing w:val="-2"/>
        </w:rPr>
        <w:t>日和</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29</w:t>
      </w:r>
      <w:r>
        <w:rPr>
          <w:spacing w:val="-2"/>
        </w:rPr>
        <w:t>日召开董事会审议通过《关于</w:t>
      </w:r>
      <w:r>
        <w:rPr>
          <w:rFonts w:ascii="Times New Roman" w:hAnsi="Times New Roman" w:cs="Times New Roman" w:eastAsia="Times New Roman" w:hint="default"/>
          <w:spacing w:val="-2"/>
        </w:rPr>
        <w:t>2017</w:t>
      </w:r>
      <w:r>
        <w:rPr>
          <w:spacing w:val="-2"/>
        </w:rPr>
        <w:t>年度日常关联交易执行情况</w:t>
      </w:r>
    </w:p>
    <w:p>
      <w:pPr>
        <w:pStyle w:val="BodyText"/>
        <w:spacing w:line="230" w:lineRule="exact"/>
        <w:ind w:left="153" w:right="0"/>
        <w:jc w:val="left"/>
      </w:pPr>
      <w:r>
        <w:rPr/>
        <w:t>及</w:t>
      </w:r>
      <w:r>
        <w:rPr>
          <w:rFonts w:ascii="Times New Roman" w:hAnsi="Times New Roman" w:cs="Times New Roman" w:eastAsia="Times New Roman" w:hint="default"/>
        </w:rPr>
        <w:t>2018</w:t>
      </w:r>
      <w:r>
        <w:rPr/>
        <w:t>年度日常关联交易预计的议案》、《关于增加</w:t>
      </w:r>
      <w:r>
        <w:rPr>
          <w:rFonts w:ascii="Times New Roman" w:hAnsi="Times New Roman" w:cs="Times New Roman" w:eastAsia="Times New Roman" w:hint="default"/>
        </w:rPr>
        <w:t>2018</w:t>
      </w:r>
      <w:r>
        <w:rPr/>
        <w:t>年度日常关联交易预计的议案》和《关于增加</w:t>
      </w:r>
      <w:r>
        <w:rPr>
          <w:rFonts w:ascii="Times New Roman" w:hAnsi="Times New Roman" w:cs="Times New Roman" w:eastAsia="Times New Roman" w:hint="default"/>
        </w:rPr>
        <w:t>2018</w:t>
      </w:r>
      <w:r>
        <w:rPr/>
        <w:t>年度日常关联交</w:t>
      </w:r>
    </w:p>
    <w:p>
      <w:pPr>
        <w:pStyle w:val="BodyText"/>
        <w:spacing w:line="676" w:lineRule="auto" w:before="63"/>
        <w:ind w:left="153" w:right="5711"/>
        <w:jc w:val="left"/>
      </w:pPr>
      <w:r>
        <w:rPr/>
        <w:t>易预额度的议案》，具体内容详见巨潮资讯网刊载的相关公告。 重大关联交易临时报告披露网站相关查询</w:t>
      </w:r>
    </w:p>
    <w:p>
      <w:pPr>
        <w:spacing w:line="240" w:lineRule="auto" w:before="0"/>
        <w:rPr>
          <w:rFonts w:ascii="宋体" w:hAnsi="宋体" w:cs="宋体" w:eastAsia="宋体" w:hint="default"/>
          <w:sz w:val="15"/>
          <w:szCs w:val="15"/>
        </w:rPr>
      </w:pPr>
    </w:p>
    <w:p>
      <w:pPr>
        <w:pStyle w:val="BodyText"/>
        <w:spacing w:line="240" w:lineRule="auto" w:before="44"/>
        <w:ind w:left="0" w:right="1041"/>
        <w:jc w:val="right"/>
      </w:pPr>
      <w:r>
        <w:rPr/>
        <w:pict>
          <v:shape style="position:absolute;margin-left:55.080002pt;margin-top:-20.977953pt;width:485.4pt;height:127.7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05"/>
                    <w:gridCol w:w="2686"/>
                    <w:gridCol w:w="3503"/>
                  </w:tblGrid>
                  <w:tr>
                    <w:trPr>
                      <w:trHeight w:val="401" w:hRule="exact"/>
                    </w:trPr>
                    <w:tc>
                      <w:tcPr>
                        <w:tcW w:w="35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8"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46"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年度日常关联交易情况及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度日常关联交易预计的公告</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巨潮资讯网（</w:t>
                        </w:r>
                        <w:hyperlink r:id="rId9">
                          <w:r>
                            <w:rPr>
                              <w:rFonts w:ascii="Times New Roman" w:hAnsi="Times New Roman" w:cs="Times New Roman" w:eastAsia="Times New Roman" w:hint="default"/>
                              <w:spacing w:val="-4"/>
                              <w:sz w:val="18"/>
                              <w:szCs w:val="18"/>
                            </w:rPr>
                            <w:t>www.cninfo.com.cn</w:t>
                          </w:r>
                        </w:hyperlink>
                        <w:r>
                          <w:rPr>
                            <w:rFonts w:ascii="宋体" w:hAnsi="宋体" w:cs="宋体" w:eastAsia="宋体" w:hint="default"/>
                            <w:spacing w:val="-4"/>
                            <w:sz w:val="18"/>
                            <w:szCs w:val="18"/>
                          </w:rPr>
                          <w:t>）公告编码</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2018-044</w:t>
                        </w:r>
                      </w:p>
                    </w:tc>
                  </w:tr>
                  <w:tr>
                    <w:trPr>
                      <w:trHeight w:val="71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40"/>
                          <w:jc w:val="left"/>
                          <w:rPr>
                            <w:rFonts w:ascii="宋体" w:hAnsi="宋体" w:cs="宋体" w:eastAsia="宋体" w:hint="default"/>
                            <w:sz w:val="18"/>
                            <w:szCs w:val="18"/>
                          </w:rPr>
                        </w:pPr>
                        <w:r>
                          <w:rPr>
                            <w:rFonts w:ascii="宋体" w:hAnsi="宋体" w:cs="宋体" w:eastAsia="宋体" w:hint="default"/>
                            <w:sz w:val="18"/>
                            <w:szCs w:val="18"/>
                          </w:rPr>
                          <w:t>关于增加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年度日常关联交易预计的公 告</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巨潮资讯网（</w:t>
                        </w:r>
                        <w:hyperlink r:id="rId9">
                          <w:r>
                            <w:rPr>
                              <w:rFonts w:ascii="Times New Roman" w:hAnsi="Times New Roman" w:cs="Times New Roman" w:eastAsia="Times New Roman" w:hint="default"/>
                              <w:spacing w:val="-4"/>
                              <w:sz w:val="18"/>
                              <w:szCs w:val="18"/>
                            </w:rPr>
                            <w:t>www.cninfo.com.cn</w:t>
                          </w:r>
                        </w:hyperlink>
                        <w:r>
                          <w:rPr>
                            <w:rFonts w:ascii="宋体" w:hAnsi="宋体" w:cs="宋体" w:eastAsia="宋体" w:hint="default"/>
                            <w:spacing w:val="-4"/>
                            <w:sz w:val="18"/>
                            <w:szCs w:val="18"/>
                          </w:rPr>
                          <w:t>）公告编码</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2018-064</w:t>
                        </w:r>
                      </w:p>
                    </w:tc>
                  </w:tr>
                  <w:tr>
                    <w:trPr>
                      <w:trHeight w:val="715"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40"/>
                          <w:jc w:val="left"/>
                          <w:rPr>
                            <w:rFonts w:ascii="宋体" w:hAnsi="宋体" w:cs="宋体" w:eastAsia="宋体" w:hint="default"/>
                            <w:sz w:val="18"/>
                            <w:szCs w:val="18"/>
                          </w:rPr>
                        </w:pPr>
                        <w:r>
                          <w:rPr>
                            <w:rFonts w:ascii="宋体" w:hAnsi="宋体" w:cs="宋体" w:eastAsia="宋体" w:hint="default"/>
                            <w:sz w:val="18"/>
                            <w:szCs w:val="18"/>
                          </w:rPr>
                          <w:t>关于增加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年度日常关联交易预计额度 的公告</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巨潮资讯网（</w:t>
                        </w:r>
                        <w:hyperlink r:id="rId9">
                          <w:r>
                            <w:rPr>
                              <w:rFonts w:ascii="Times New Roman" w:hAnsi="Times New Roman" w:cs="Times New Roman" w:eastAsia="Times New Roman" w:hint="default"/>
                              <w:spacing w:val="-4"/>
                              <w:sz w:val="18"/>
                              <w:szCs w:val="18"/>
                            </w:rPr>
                            <w:t>www.cninfo.com.cn</w:t>
                          </w:r>
                        </w:hyperlink>
                        <w:r>
                          <w:rPr>
                            <w:rFonts w:ascii="宋体" w:hAnsi="宋体" w:cs="宋体" w:eastAsia="宋体" w:hint="default"/>
                            <w:spacing w:val="-4"/>
                            <w:sz w:val="18"/>
                            <w:szCs w:val="18"/>
                          </w:rPr>
                          <w:t>）公告编码</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2018-081</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0" w:right="1041"/>
        <w:jc w:val="right"/>
      </w:pPr>
      <w:r>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0" w:right="10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right="0"/>
        <w:jc w:val="left"/>
        <w:rPr>
          <w:b w:val="0"/>
          <w:bCs w:val="0"/>
        </w:rPr>
      </w:pP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1190" w:top="1060" w:bottom="13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公司报告期不存在承包情况。</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729"/>
        <w:gridCol w:w="936"/>
        <w:gridCol w:w="934"/>
        <w:gridCol w:w="1319"/>
        <w:gridCol w:w="1070"/>
        <w:gridCol w:w="1055"/>
        <w:gridCol w:w="1060"/>
        <w:gridCol w:w="802"/>
        <w:gridCol w:w="788"/>
      </w:tblGrid>
      <w:tr>
        <w:trPr>
          <w:trHeight w:val="402" w:hRule="exact"/>
        </w:trPr>
        <w:tc>
          <w:tcPr>
            <w:tcW w:w="969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9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8"/>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6" w:right="9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42"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2"/>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0"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9"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36"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9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8"/>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3"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42"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4"/>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7"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9"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江苏神州信源系统工 程有限公司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3,000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9"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江苏神州信源系统工 程有限公司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9"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6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53"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r>
      <w:tr>
        <w:trPr>
          <w:trHeight w:val="714" w:hRule="exact"/>
        </w:trPr>
        <w:tc>
          <w:tcPr>
            <w:tcW w:w="266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53"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969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8"/>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9"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3"/>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3" w:right="8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3"/>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4"/>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3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 w:right="30"/>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36"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66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2653"/>
        <w:gridCol w:w="2264"/>
        <w:gridCol w:w="2125"/>
        <w:gridCol w:w="2651"/>
      </w:tblGrid>
      <w:tr>
        <w:trPr>
          <w:trHeight w:val="402" w:hRule="exact"/>
        </w:trPr>
        <w:tc>
          <w:tcPr>
            <w:tcW w:w="969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r>
      <w:tr>
        <w:trPr>
          <w:trHeight w:val="714" w:hRule="exact"/>
        </w:trPr>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491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w:t>
            </w:r>
          </w:p>
        </w:tc>
      </w:tr>
      <w:tr>
        <w:trPr>
          <w:trHeight w:val="402" w:hRule="exact"/>
        </w:trPr>
        <w:tc>
          <w:tcPr>
            <w:tcW w:w="969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91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91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 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76"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491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91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r>
    </w:tbl>
    <w:p>
      <w:pPr>
        <w:pStyle w:val="BodyText"/>
        <w:spacing w:line="240" w:lineRule="auto" w:before="51"/>
        <w:ind w:right="0"/>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1190" w:top="1060" w:bottom="138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380" w:left="980" w:right="0"/>
          <w:cols w:num="2" w:equalWidth="0">
            <w:col w:w="1955" w:space="6784"/>
            <w:col w:w="2191"/>
          </w:cols>
        </w:sectPr>
      </w:pP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891"/>
        <w:gridCol w:w="1990"/>
        <w:gridCol w:w="2006"/>
        <w:gridCol w:w="1936"/>
        <w:gridCol w:w="1871"/>
      </w:tblGrid>
      <w:tr>
        <w:trPr>
          <w:trHeight w:val="401"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0"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0"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20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8"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3"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15,000</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177,000</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207,000</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15,000</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380" w:left="980" w:right="0"/>
        </w:sectPr>
      </w:pPr>
    </w:p>
    <w:p>
      <w:pPr>
        <w:pStyle w:val="BodyText"/>
        <w:spacing w:line="240" w:lineRule="auto" w:before="51"/>
        <w:ind w:right="-20"/>
        <w:jc w:val="left"/>
      </w:pPr>
      <w:r>
        <w:rPr/>
        <w:t>单项金额重大或安全性较低、流动性较差、不保本的高风险委托理财具体情况</w:t>
      </w:r>
    </w:p>
    <w:p>
      <w:pPr>
        <w:pStyle w:val="BodyText"/>
        <w:spacing w:line="240" w:lineRule="auto" w:before="116"/>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380" w:left="980" w:right="0"/>
          <w:cols w:num="2" w:equalWidth="0">
            <w:col w:w="6275" w:space="2464"/>
            <w:col w:w="2191"/>
          </w:cols>
        </w:sectPr>
      </w:pP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452"/>
        <w:gridCol w:w="473"/>
        <w:gridCol w:w="492"/>
        <w:gridCol w:w="641"/>
        <w:gridCol w:w="443"/>
        <w:gridCol w:w="443"/>
        <w:gridCol w:w="443"/>
        <w:gridCol w:w="443"/>
        <w:gridCol w:w="444"/>
        <w:gridCol w:w="521"/>
        <w:gridCol w:w="685"/>
        <w:gridCol w:w="686"/>
        <w:gridCol w:w="551"/>
        <w:gridCol w:w="416"/>
        <w:gridCol w:w="262"/>
        <w:gridCol w:w="431"/>
        <w:gridCol w:w="1868"/>
      </w:tblGrid>
      <w:tr>
        <w:trPr>
          <w:trHeight w:val="1962" w:hRule="exact"/>
        </w:trPr>
        <w:tc>
          <w:tcPr>
            <w:tcW w:w="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40" w:right="41"/>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6" w:lineRule="auto" w:before="19"/>
              <w:ind w:left="40" w:right="41"/>
              <w:jc w:val="both"/>
              <w:rPr>
                <w:rFonts w:ascii="宋体" w:hAnsi="宋体" w:cs="宋体" w:eastAsia="宋体" w:hint="default"/>
                <w:sz w:val="18"/>
                <w:szCs w:val="18"/>
              </w:rPr>
            </w:pPr>
            <w:r>
              <w:rPr>
                <w:rFonts w:ascii="宋体" w:hAnsi="宋体" w:cs="宋体" w:eastAsia="宋体" w:hint="default"/>
                <w:sz w:val="18"/>
                <w:szCs w:val="18"/>
              </w:rPr>
              <w:t>（或 受托 人姓</w:t>
            </w:r>
          </w:p>
        </w:tc>
        <w:tc>
          <w:tcPr>
            <w:tcW w:w="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0" w:right="50"/>
              <w:jc w:val="both"/>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19"/>
              <w:ind w:left="50" w:right="50"/>
              <w:jc w:val="both"/>
              <w:rPr>
                <w:rFonts w:ascii="宋体" w:hAnsi="宋体" w:cs="宋体" w:eastAsia="宋体" w:hint="default"/>
                <w:sz w:val="18"/>
                <w:szCs w:val="18"/>
              </w:rPr>
            </w:pPr>
            <w:r>
              <w:rPr>
                <w:rFonts w:ascii="宋体" w:hAnsi="宋体" w:cs="宋体" w:eastAsia="宋体" w:hint="default"/>
                <w:sz w:val="18"/>
                <w:szCs w:val="18"/>
              </w:rPr>
              <w:t>（或 受托 人） 类型</w:t>
            </w:r>
          </w:p>
        </w:tc>
        <w:tc>
          <w:tcPr>
            <w:tcW w:w="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59" w:right="60"/>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3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36" w:right="3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36" w:right="3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4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7" w:right="3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5" w:right="73"/>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20" w:firstLine="44"/>
              <w:jc w:val="left"/>
              <w:rPr>
                <w:rFonts w:ascii="宋体" w:hAnsi="宋体" w:cs="宋体" w:eastAsia="宋体" w:hint="default"/>
                <w:sz w:val="18"/>
                <w:szCs w:val="18"/>
              </w:rPr>
            </w:pPr>
            <w:r>
              <w:rPr>
                <w:rFonts w:ascii="宋体" w:hAnsi="宋体" w:cs="宋体" w:eastAsia="宋体" w:hint="default"/>
                <w:sz w:val="18"/>
                <w:szCs w:val="18"/>
              </w:rPr>
              <w:t>预期收 </w:t>
            </w:r>
            <w:r>
              <w:rPr>
                <w:rFonts w:ascii="宋体" w:hAnsi="宋体" w:cs="宋体" w:eastAsia="宋体" w:hint="default"/>
                <w:spacing w:val="-23"/>
                <w:sz w:val="18"/>
                <w:szCs w:val="18"/>
              </w:rPr>
              <w:t>益（如有</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8" w:right="66"/>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c>
          <w:tcPr>
            <w:tcW w:w="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0" w:right="89"/>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9"/>
              <w:ind w:left="22" w:right="23"/>
              <w:jc w:val="both"/>
              <w:rPr>
                <w:rFonts w:ascii="宋体" w:hAnsi="宋体" w:cs="宋体" w:eastAsia="宋体" w:hint="default"/>
                <w:sz w:val="18"/>
                <w:szCs w:val="18"/>
              </w:rPr>
            </w:pPr>
            <w:r>
              <w:rPr>
                <w:rFonts w:ascii="宋体" w:hAnsi="宋体" w:cs="宋体" w:eastAsia="宋体" w:hint="default"/>
                <w:sz w:val="18"/>
                <w:szCs w:val="18"/>
              </w:rPr>
              <w:t>（如 有）</w:t>
            </w:r>
          </w:p>
        </w:tc>
        <w:tc>
          <w:tcPr>
            <w:tcW w:w="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35" w:right="35"/>
              <w:jc w:val="both"/>
              <w:rPr>
                <w:rFonts w:ascii="宋体" w:hAnsi="宋体" w:cs="宋体" w:eastAsia="宋体" w:hint="default"/>
                <w:sz w:val="18"/>
                <w:szCs w:val="18"/>
              </w:rPr>
            </w:pPr>
            <w:r>
              <w:rPr>
                <w:rFonts w:ascii="宋体" w:hAnsi="宋体" w:cs="宋体" w:eastAsia="宋体" w:hint="default"/>
                <w:sz w:val="18"/>
                <w:szCs w:val="18"/>
              </w:rPr>
              <w:t>是 否 经 过 法 定</w:t>
            </w:r>
          </w:p>
        </w:tc>
        <w:tc>
          <w:tcPr>
            <w:tcW w:w="4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0" w:right="29"/>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478" w:right="29" w:hanging="450"/>
              <w:jc w:val="left"/>
              <w:rPr>
                <w:rFonts w:ascii="宋体" w:hAnsi="宋体" w:cs="宋体" w:eastAsia="宋体" w:hint="default"/>
                <w:sz w:val="18"/>
                <w:szCs w:val="18"/>
              </w:rPr>
            </w:pPr>
            <w:r>
              <w:rPr>
                <w:rFonts w:ascii="宋体" w:hAnsi="宋体" w:cs="宋体" w:eastAsia="宋体" w:hint="default"/>
                <w:sz w:val="18"/>
                <w:szCs w:val="18"/>
              </w:rPr>
              <w:t>事项概述及相关查询索 引（如有）</w:t>
            </w:r>
          </w:p>
        </w:tc>
      </w:tr>
    </w:tbl>
    <w:p>
      <w:pPr>
        <w:spacing w:after="0" w:line="319" w:lineRule="auto"/>
        <w:jc w:val="left"/>
        <w:rPr>
          <w:rFonts w:ascii="宋体" w:hAnsi="宋体" w:cs="宋体" w:eastAsia="宋体" w:hint="default"/>
          <w:sz w:val="18"/>
          <w:szCs w:val="18"/>
        </w:rPr>
        <w:sectPr>
          <w:type w:val="continuous"/>
          <w:pgSz w:w="11910" w:h="16840"/>
          <w:pgMar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452"/>
        <w:gridCol w:w="473"/>
        <w:gridCol w:w="492"/>
        <w:gridCol w:w="641"/>
        <w:gridCol w:w="443"/>
        <w:gridCol w:w="443"/>
        <w:gridCol w:w="443"/>
        <w:gridCol w:w="443"/>
        <w:gridCol w:w="444"/>
        <w:gridCol w:w="521"/>
        <w:gridCol w:w="685"/>
        <w:gridCol w:w="686"/>
        <w:gridCol w:w="551"/>
        <w:gridCol w:w="416"/>
        <w:gridCol w:w="262"/>
        <w:gridCol w:w="431"/>
        <w:gridCol w:w="1868"/>
      </w:tblGrid>
      <w:tr>
        <w:trPr>
          <w:trHeight w:val="674" w:hRule="exact"/>
        </w:trPr>
        <w:tc>
          <w:tcPr>
            <w:tcW w:w="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0" w:right="0"/>
              <w:jc w:val="left"/>
              <w:rPr>
                <w:rFonts w:ascii="宋体" w:hAnsi="宋体" w:cs="宋体" w:eastAsia="宋体" w:hint="default"/>
                <w:sz w:val="18"/>
                <w:szCs w:val="18"/>
              </w:rPr>
            </w:pPr>
            <w:r>
              <w:rPr>
                <w:rFonts w:ascii="宋体" w:hAnsi="宋体" w:cs="宋体" w:eastAsia="宋体" w:hint="default"/>
                <w:sz w:val="18"/>
                <w:szCs w:val="18"/>
              </w:rPr>
              <w:t>名）</w:t>
            </w:r>
          </w:p>
        </w:tc>
        <w:tc>
          <w:tcPr>
            <w:tcW w:w="47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4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4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4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4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4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5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1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35" w:right="35"/>
              <w:jc w:val="left"/>
              <w:rPr>
                <w:rFonts w:ascii="宋体" w:hAnsi="宋体" w:cs="宋体" w:eastAsia="宋体" w:hint="default"/>
                <w:sz w:val="18"/>
                <w:szCs w:val="18"/>
              </w:rPr>
            </w:pPr>
            <w:r>
              <w:rPr>
                <w:rFonts w:ascii="宋体" w:hAnsi="宋体" w:cs="宋体" w:eastAsia="宋体" w:hint="default"/>
                <w:sz w:val="18"/>
                <w:szCs w:val="18"/>
              </w:rPr>
              <w:t>程 序</w:t>
            </w:r>
          </w:p>
        </w:tc>
        <w:tc>
          <w:tcPr>
            <w:tcW w:w="43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57" w:hRule="exact"/>
        </w:trPr>
        <w:tc>
          <w:tcPr>
            <w:tcW w:w="4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兴业</w:t>
            </w:r>
          </w:p>
        </w:tc>
        <w:tc>
          <w:tcPr>
            <w:tcW w:w="473" w:type="dxa"/>
            <w:tcBorders>
              <w:top w:val="single" w:sz="4" w:space="0" w:color="000000"/>
              <w:left w:val="single" w:sz="4" w:space="0" w:color="000000"/>
              <w:bottom w:val="nil" w:sz="6" w:space="0" w:color="auto"/>
              <w:right w:val="single" w:sz="4" w:space="0" w:color="000000"/>
            </w:tcBorders>
          </w:tcPr>
          <w:p>
            <w:pPr/>
          </w:p>
        </w:tc>
        <w:tc>
          <w:tcPr>
            <w:tcW w:w="49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4" w:type="dxa"/>
            <w:tcBorders>
              <w:top w:val="single" w:sz="4" w:space="0" w:color="000000"/>
              <w:left w:val="single" w:sz="4" w:space="0" w:color="000000"/>
              <w:bottom w:val="nil" w:sz="6" w:space="0" w:color="auto"/>
              <w:right w:val="single" w:sz="4" w:space="0" w:color="000000"/>
            </w:tcBorders>
          </w:tcPr>
          <w:p>
            <w:pPr/>
          </w:p>
        </w:tc>
        <w:tc>
          <w:tcPr>
            <w:tcW w:w="521" w:type="dxa"/>
            <w:tcBorders>
              <w:top w:val="single" w:sz="4" w:space="0" w:color="000000"/>
              <w:left w:val="single" w:sz="4" w:space="0" w:color="000000"/>
              <w:bottom w:val="nil" w:sz="6" w:space="0" w:color="auto"/>
              <w:right w:val="single" w:sz="4" w:space="0" w:color="000000"/>
            </w:tcBorders>
          </w:tcPr>
          <w:p>
            <w:pPr/>
          </w:p>
        </w:tc>
        <w:tc>
          <w:tcPr>
            <w:tcW w:w="685"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551" w:type="dxa"/>
            <w:tcBorders>
              <w:top w:val="single" w:sz="4" w:space="0" w:color="000000"/>
              <w:left w:val="single" w:sz="4" w:space="0" w:color="000000"/>
              <w:bottom w:val="nil" w:sz="6" w:space="0" w:color="auto"/>
              <w:right w:val="single" w:sz="4" w:space="0" w:color="000000"/>
            </w:tcBorders>
          </w:tcPr>
          <w:p>
            <w:pPr/>
          </w:p>
        </w:tc>
        <w:tc>
          <w:tcPr>
            <w:tcW w:w="416" w:type="dxa"/>
            <w:tcBorders>
              <w:top w:val="single" w:sz="4" w:space="0" w:color="000000"/>
              <w:left w:val="single" w:sz="4" w:space="0" w:color="000000"/>
              <w:bottom w:val="nil" w:sz="6" w:space="0" w:color="auto"/>
              <w:right w:val="single" w:sz="4" w:space="0" w:color="000000"/>
            </w:tcBorders>
          </w:tcPr>
          <w:p>
            <w:pPr/>
          </w:p>
        </w:tc>
        <w:tc>
          <w:tcPr>
            <w:tcW w:w="262" w:type="dxa"/>
            <w:tcBorders>
              <w:top w:val="single" w:sz="4" w:space="0" w:color="000000"/>
              <w:left w:val="single" w:sz="4" w:space="0" w:color="000000"/>
              <w:bottom w:val="nil" w:sz="6" w:space="0" w:color="auto"/>
              <w:right w:val="single" w:sz="4" w:space="0" w:color="000000"/>
            </w:tcBorders>
          </w:tcPr>
          <w:p>
            <w:pPr/>
          </w:p>
        </w:tc>
        <w:tc>
          <w:tcPr>
            <w:tcW w:w="431" w:type="dxa"/>
            <w:tcBorders>
              <w:top w:val="single" w:sz="4" w:space="0" w:color="000000"/>
              <w:left w:val="single" w:sz="4" w:space="0" w:color="000000"/>
              <w:bottom w:val="nil" w:sz="6" w:space="0" w:color="auto"/>
              <w:right w:val="single" w:sz="4" w:space="0" w:color="000000"/>
            </w:tcBorders>
          </w:tcPr>
          <w:p>
            <w:pPr/>
          </w:p>
        </w:tc>
        <w:tc>
          <w:tcPr>
            <w:tcW w:w="18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73" w:type="dxa"/>
            <w:tcBorders>
              <w:top w:val="nil" w:sz="6" w:space="0" w:color="auto"/>
              <w:left w:val="single" w:sz="4" w:space="0" w:color="000000"/>
              <w:bottom w:val="nil" w:sz="6" w:space="0" w:color="auto"/>
              <w:right w:val="single" w:sz="4" w:space="0" w:color="000000"/>
            </w:tcBorders>
          </w:tcPr>
          <w:p>
            <w:pPr/>
          </w:p>
        </w:tc>
        <w:tc>
          <w:tcPr>
            <w:tcW w:w="49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521" w:type="dxa"/>
            <w:tcBorders>
              <w:top w:val="nil" w:sz="6" w:space="0" w:color="auto"/>
              <w:left w:val="single" w:sz="4" w:space="0" w:color="000000"/>
              <w:bottom w:val="nil" w:sz="6" w:space="0" w:color="auto"/>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262" w:type="dxa"/>
            <w:tcBorders>
              <w:top w:val="nil" w:sz="6" w:space="0" w:color="auto"/>
              <w:left w:val="single" w:sz="4" w:space="0" w:color="000000"/>
              <w:bottom w:val="nil" w:sz="6" w:space="0" w:color="auto"/>
              <w:right w:val="single" w:sz="4" w:space="0" w:color="000000"/>
            </w:tcBorders>
          </w:tcPr>
          <w:p>
            <w:pPr/>
          </w:p>
        </w:tc>
        <w:tc>
          <w:tcPr>
            <w:tcW w:w="431" w:type="dxa"/>
            <w:tcBorders>
              <w:top w:val="nil" w:sz="6" w:space="0" w:color="auto"/>
              <w:left w:val="single" w:sz="4" w:space="0" w:color="000000"/>
              <w:bottom w:val="nil" w:sz="6" w:space="0" w:color="auto"/>
              <w:right w:val="single" w:sz="4" w:space="0" w:color="000000"/>
            </w:tcBorders>
          </w:tcPr>
          <w:p>
            <w:pPr/>
          </w:p>
        </w:tc>
        <w:tc>
          <w:tcPr>
            <w:tcW w:w="18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473" w:type="dxa"/>
            <w:tcBorders>
              <w:top w:val="nil" w:sz="6" w:space="0" w:color="auto"/>
              <w:left w:val="single" w:sz="4" w:space="0" w:color="000000"/>
              <w:bottom w:val="nil" w:sz="6" w:space="0" w:color="auto"/>
              <w:right w:val="single" w:sz="4" w:space="0" w:color="000000"/>
            </w:tcBorders>
          </w:tcPr>
          <w:p>
            <w:pPr/>
          </w:p>
        </w:tc>
        <w:tc>
          <w:tcPr>
            <w:tcW w:w="49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521" w:type="dxa"/>
            <w:tcBorders>
              <w:top w:val="nil" w:sz="6" w:space="0" w:color="auto"/>
              <w:left w:val="single" w:sz="4" w:space="0" w:color="000000"/>
              <w:bottom w:val="nil" w:sz="6" w:space="0" w:color="auto"/>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262" w:type="dxa"/>
            <w:tcBorders>
              <w:top w:val="nil" w:sz="6" w:space="0" w:color="auto"/>
              <w:left w:val="single" w:sz="4" w:space="0" w:color="000000"/>
              <w:bottom w:val="nil" w:sz="6" w:space="0" w:color="auto"/>
              <w:right w:val="single" w:sz="4" w:space="0" w:color="000000"/>
            </w:tcBorders>
          </w:tcPr>
          <w:p>
            <w:pPr/>
          </w:p>
        </w:tc>
        <w:tc>
          <w:tcPr>
            <w:tcW w:w="431" w:type="dxa"/>
            <w:tcBorders>
              <w:top w:val="nil" w:sz="6" w:space="0" w:color="auto"/>
              <w:left w:val="single" w:sz="4" w:space="0" w:color="000000"/>
              <w:bottom w:val="nil" w:sz="6" w:space="0" w:color="auto"/>
              <w:right w:val="single" w:sz="4" w:space="0" w:color="000000"/>
            </w:tcBorders>
          </w:tcPr>
          <w:p>
            <w:pPr/>
          </w:p>
        </w:tc>
        <w:tc>
          <w:tcPr>
            <w:tcW w:w="1868" w:type="dxa"/>
            <w:tcBorders>
              <w:top w:val="nil" w:sz="6" w:space="0" w:color="auto"/>
              <w:left w:val="single" w:sz="4" w:space="0" w:color="000000"/>
              <w:bottom w:val="nil" w:sz="6" w:space="0" w:color="auto"/>
              <w:right w:val="single" w:sz="4" w:space="0" w:color="000000"/>
            </w:tcBorders>
          </w:tcPr>
          <w:p>
            <w:pPr/>
          </w:p>
        </w:tc>
      </w:tr>
      <w:tr>
        <w:trPr>
          <w:trHeight w:val="1561"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9"/>
              <w:jc w:val="both"/>
              <w:rPr>
                <w:rFonts w:ascii="宋体" w:hAnsi="宋体" w:cs="宋体" w:eastAsia="宋体" w:hint="default"/>
                <w:sz w:val="18"/>
                <w:szCs w:val="18"/>
              </w:rPr>
            </w:pPr>
            <w:r>
              <w:rPr>
                <w:rFonts w:ascii="宋体" w:hAnsi="宋体" w:cs="宋体" w:eastAsia="宋体" w:hint="default"/>
                <w:sz w:val="18"/>
                <w:szCs w:val="18"/>
              </w:rPr>
              <w:t>有限 公司 北京 经济 技术</w:t>
            </w:r>
          </w:p>
        </w:tc>
        <w:tc>
          <w:tcPr>
            <w:tcW w:w="4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49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97"/>
              <w:jc w:val="both"/>
              <w:rPr>
                <w:rFonts w:ascii="宋体" w:hAnsi="宋体" w:cs="宋体" w:eastAsia="宋体" w:hint="default"/>
                <w:sz w:val="18"/>
                <w:szCs w:val="18"/>
              </w:rPr>
            </w:pPr>
            <w:r>
              <w:rPr>
                <w:rFonts w:ascii="宋体" w:hAnsi="宋体" w:cs="宋体" w:eastAsia="宋体" w:hint="default"/>
                <w:sz w:val="18"/>
                <w:szCs w:val="18"/>
              </w:rPr>
              <w:t>保本 开放 式周 期型 理财</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30,000</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48"/>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48"/>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4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4" w:right="48"/>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4.40%</w:t>
            </w:r>
          </w:p>
        </w:tc>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216.99</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216.99</w:t>
            </w:r>
          </w:p>
        </w:tc>
        <w:tc>
          <w:tcPr>
            <w:tcW w:w="5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216.99</w:t>
            </w:r>
          </w:p>
        </w:tc>
        <w:tc>
          <w:tcPr>
            <w:tcW w:w="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2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是</w:t>
            </w:r>
          </w:p>
        </w:tc>
        <w:tc>
          <w:tcPr>
            <w:tcW w:w="4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8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2" w:right="2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9">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公告编码：</w:t>
            </w:r>
            <w:r>
              <w:rPr>
                <w:rFonts w:ascii="Times New Roman" w:hAnsi="Times New Roman" w:cs="Times New Roman" w:eastAsia="Times New Roman" w:hint="default"/>
                <w:sz w:val="18"/>
                <w:szCs w:val="18"/>
              </w:rPr>
              <w:t>2018-002</w:t>
            </w:r>
          </w:p>
        </w:tc>
      </w:tr>
      <w:tr>
        <w:trPr>
          <w:trHeight w:val="311"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473" w:type="dxa"/>
            <w:tcBorders>
              <w:top w:val="nil" w:sz="6" w:space="0" w:color="auto"/>
              <w:left w:val="single" w:sz="4" w:space="0" w:color="000000"/>
              <w:bottom w:val="nil" w:sz="6" w:space="0" w:color="auto"/>
              <w:right w:val="single" w:sz="4" w:space="0" w:color="000000"/>
            </w:tcBorders>
          </w:tcPr>
          <w:p>
            <w:pPr/>
          </w:p>
        </w:tc>
        <w:tc>
          <w:tcPr>
            <w:tcW w:w="49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521" w:type="dxa"/>
            <w:tcBorders>
              <w:top w:val="nil" w:sz="6" w:space="0" w:color="auto"/>
              <w:left w:val="single" w:sz="4" w:space="0" w:color="000000"/>
              <w:bottom w:val="nil" w:sz="6" w:space="0" w:color="auto"/>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262" w:type="dxa"/>
            <w:tcBorders>
              <w:top w:val="nil" w:sz="6" w:space="0" w:color="auto"/>
              <w:left w:val="single" w:sz="4" w:space="0" w:color="000000"/>
              <w:bottom w:val="nil" w:sz="6" w:space="0" w:color="auto"/>
              <w:right w:val="single" w:sz="4" w:space="0" w:color="000000"/>
            </w:tcBorders>
          </w:tcPr>
          <w:p>
            <w:pPr/>
          </w:p>
        </w:tc>
        <w:tc>
          <w:tcPr>
            <w:tcW w:w="431" w:type="dxa"/>
            <w:tcBorders>
              <w:top w:val="nil" w:sz="6" w:space="0" w:color="auto"/>
              <w:left w:val="single" w:sz="4" w:space="0" w:color="000000"/>
              <w:bottom w:val="nil" w:sz="6" w:space="0" w:color="auto"/>
              <w:right w:val="single" w:sz="4" w:space="0" w:color="000000"/>
            </w:tcBorders>
          </w:tcPr>
          <w:p>
            <w:pPr/>
          </w:p>
        </w:tc>
        <w:tc>
          <w:tcPr>
            <w:tcW w:w="18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区支</w:t>
            </w:r>
          </w:p>
        </w:tc>
        <w:tc>
          <w:tcPr>
            <w:tcW w:w="473" w:type="dxa"/>
            <w:tcBorders>
              <w:top w:val="nil" w:sz="6" w:space="0" w:color="auto"/>
              <w:left w:val="single" w:sz="4" w:space="0" w:color="000000"/>
              <w:bottom w:val="nil" w:sz="6" w:space="0" w:color="auto"/>
              <w:right w:val="single" w:sz="4" w:space="0" w:color="000000"/>
            </w:tcBorders>
          </w:tcPr>
          <w:p>
            <w:pPr/>
          </w:p>
        </w:tc>
        <w:tc>
          <w:tcPr>
            <w:tcW w:w="49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521" w:type="dxa"/>
            <w:tcBorders>
              <w:top w:val="nil" w:sz="6" w:space="0" w:color="auto"/>
              <w:left w:val="single" w:sz="4" w:space="0" w:color="000000"/>
              <w:bottom w:val="nil" w:sz="6" w:space="0" w:color="auto"/>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262" w:type="dxa"/>
            <w:tcBorders>
              <w:top w:val="nil" w:sz="6" w:space="0" w:color="auto"/>
              <w:left w:val="single" w:sz="4" w:space="0" w:color="000000"/>
              <w:bottom w:val="nil" w:sz="6" w:space="0" w:color="auto"/>
              <w:right w:val="single" w:sz="4" w:space="0" w:color="000000"/>
            </w:tcBorders>
          </w:tcPr>
          <w:p>
            <w:pPr/>
          </w:p>
        </w:tc>
        <w:tc>
          <w:tcPr>
            <w:tcW w:w="431" w:type="dxa"/>
            <w:tcBorders>
              <w:top w:val="nil" w:sz="6" w:space="0" w:color="auto"/>
              <w:left w:val="single" w:sz="4" w:space="0" w:color="000000"/>
              <w:bottom w:val="nil" w:sz="6" w:space="0" w:color="auto"/>
              <w:right w:val="single" w:sz="4" w:space="0" w:color="000000"/>
            </w:tcBorders>
          </w:tcPr>
          <w:p>
            <w:pPr/>
          </w:p>
        </w:tc>
        <w:tc>
          <w:tcPr>
            <w:tcW w:w="18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4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473" w:type="dxa"/>
            <w:tcBorders>
              <w:top w:val="nil" w:sz="6" w:space="0" w:color="auto"/>
              <w:left w:val="single" w:sz="4" w:space="0" w:color="000000"/>
              <w:bottom w:val="single" w:sz="4" w:space="0" w:color="000000"/>
              <w:right w:val="single" w:sz="4" w:space="0" w:color="000000"/>
            </w:tcBorders>
          </w:tcPr>
          <w:p>
            <w:pPr/>
          </w:p>
        </w:tc>
        <w:tc>
          <w:tcPr>
            <w:tcW w:w="49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4" w:type="dxa"/>
            <w:tcBorders>
              <w:top w:val="nil" w:sz="6" w:space="0" w:color="auto"/>
              <w:left w:val="single" w:sz="4" w:space="0" w:color="000000"/>
              <w:bottom w:val="single" w:sz="4" w:space="0" w:color="000000"/>
              <w:right w:val="single" w:sz="4" w:space="0" w:color="000000"/>
            </w:tcBorders>
          </w:tcPr>
          <w:p>
            <w:pPr/>
          </w:p>
        </w:tc>
        <w:tc>
          <w:tcPr>
            <w:tcW w:w="521" w:type="dxa"/>
            <w:tcBorders>
              <w:top w:val="nil" w:sz="6" w:space="0" w:color="auto"/>
              <w:left w:val="single" w:sz="4" w:space="0" w:color="000000"/>
              <w:bottom w:val="single" w:sz="4" w:space="0" w:color="000000"/>
              <w:right w:val="single" w:sz="4" w:space="0" w:color="000000"/>
            </w:tcBorders>
          </w:tcPr>
          <w:p>
            <w:pPr/>
          </w:p>
        </w:tc>
        <w:tc>
          <w:tcPr>
            <w:tcW w:w="685"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551" w:type="dxa"/>
            <w:tcBorders>
              <w:top w:val="nil" w:sz="6" w:space="0" w:color="auto"/>
              <w:left w:val="single" w:sz="4" w:space="0" w:color="000000"/>
              <w:bottom w:val="single" w:sz="4" w:space="0" w:color="000000"/>
              <w:right w:val="single" w:sz="4" w:space="0" w:color="000000"/>
            </w:tcBorders>
          </w:tcPr>
          <w:p>
            <w:pPr/>
          </w:p>
        </w:tc>
        <w:tc>
          <w:tcPr>
            <w:tcW w:w="416" w:type="dxa"/>
            <w:tcBorders>
              <w:top w:val="nil" w:sz="6" w:space="0" w:color="auto"/>
              <w:left w:val="single" w:sz="4" w:space="0" w:color="000000"/>
              <w:bottom w:val="single" w:sz="4" w:space="0" w:color="000000"/>
              <w:right w:val="single" w:sz="4" w:space="0" w:color="000000"/>
            </w:tcBorders>
          </w:tcPr>
          <w:p>
            <w:pPr/>
          </w:p>
        </w:tc>
        <w:tc>
          <w:tcPr>
            <w:tcW w:w="262" w:type="dxa"/>
            <w:tcBorders>
              <w:top w:val="nil" w:sz="6" w:space="0" w:color="auto"/>
              <w:left w:val="single" w:sz="4" w:space="0" w:color="000000"/>
              <w:bottom w:val="single" w:sz="4" w:space="0" w:color="000000"/>
              <w:right w:val="single" w:sz="4" w:space="0" w:color="000000"/>
            </w:tcBorders>
          </w:tcPr>
          <w:p>
            <w:pPr/>
          </w:p>
        </w:tc>
        <w:tc>
          <w:tcPr>
            <w:tcW w:w="431" w:type="dxa"/>
            <w:tcBorders>
              <w:top w:val="nil" w:sz="6" w:space="0" w:color="auto"/>
              <w:left w:val="single" w:sz="4" w:space="0" w:color="000000"/>
              <w:bottom w:val="single" w:sz="4" w:space="0" w:color="000000"/>
              <w:right w:val="single" w:sz="4" w:space="0" w:color="000000"/>
            </w:tcBorders>
          </w:tcPr>
          <w:p>
            <w:pPr/>
          </w:p>
        </w:tc>
        <w:tc>
          <w:tcPr>
            <w:tcW w:w="186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4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兴业</w:t>
            </w:r>
          </w:p>
        </w:tc>
        <w:tc>
          <w:tcPr>
            <w:tcW w:w="473" w:type="dxa"/>
            <w:tcBorders>
              <w:top w:val="single" w:sz="4" w:space="0" w:color="000000"/>
              <w:left w:val="single" w:sz="4" w:space="0" w:color="000000"/>
              <w:bottom w:val="nil" w:sz="6" w:space="0" w:color="auto"/>
              <w:right w:val="single" w:sz="4" w:space="0" w:color="000000"/>
            </w:tcBorders>
          </w:tcPr>
          <w:p>
            <w:pPr/>
          </w:p>
        </w:tc>
        <w:tc>
          <w:tcPr>
            <w:tcW w:w="49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4" w:type="dxa"/>
            <w:tcBorders>
              <w:top w:val="single" w:sz="4" w:space="0" w:color="000000"/>
              <w:left w:val="single" w:sz="4" w:space="0" w:color="000000"/>
              <w:bottom w:val="nil" w:sz="6" w:space="0" w:color="auto"/>
              <w:right w:val="single" w:sz="4" w:space="0" w:color="000000"/>
            </w:tcBorders>
          </w:tcPr>
          <w:p>
            <w:pPr/>
          </w:p>
        </w:tc>
        <w:tc>
          <w:tcPr>
            <w:tcW w:w="521" w:type="dxa"/>
            <w:tcBorders>
              <w:top w:val="single" w:sz="4" w:space="0" w:color="000000"/>
              <w:left w:val="single" w:sz="4" w:space="0" w:color="000000"/>
              <w:bottom w:val="nil" w:sz="6" w:space="0" w:color="auto"/>
              <w:right w:val="single" w:sz="4" w:space="0" w:color="000000"/>
            </w:tcBorders>
          </w:tcPr>
          <w:p>
            <w:pPr/>
          </w:p>
        </w:tc>
        <w:tc>
          <w:tcPr>
            <w:tcW w:w="685"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551" w:type="dxa"/>
            <w:tcBorders>
              <w:top w:val="single" w:sz="4" w:space="0" w:color="000000"/>
              <w:left w:val="single" w:sz="4" w:space="0" w:color="000000"/>
              <w:bottom w:val="nil" w:sz="6" w:space="0" w:color="auto"/>
              <w:right w:val="single" w:sz="4" w:space="0" w:color="000000"/>
            </w:tcBorders>
          </w:tcPr>
          <w:p>
            <w:pPr/>
          </w:p>
        </w:tc>
        <w:tc>
          <w:tcPr>
            <w:tcW w:w="416" w:type="dxa"/>
            <w:tcBorders>
              <w:top w:val="single" w:sz="4" w:space="0" w:color="000000"/>
              <w:left w:val="single" w:sz="4" w:space="0" w:color="000000"/>
              <w:bottom w:val="nil" w:sz="6" w:space="0" w:color="auto"/>
              <w:right w:val="single" w:sz="4" w:space="0" w:color="000000"/>
            </w:tcBorders>
          </w:tcPr>
          <w:p>
            <w:pPr/>
          </w:p>
        </w:tc>
        <w:tc>
          <w:tcPr>
            <w:tcW w:w="262" w:type="dxa"/>
            <w:tcBorders>
              <w:top w:val="single" w:sz="4" w:space="0" w:color="000000"/>
              <w:left w:val="single" w:sz="4" w:space="0" w:color="000000"/>
              <w:bottom w:val="nil" w:sz="6" w:space="0" w:color="auto"/>
              <w:right w:val="single" w:sz="4" w:space="0" w:color="000000"/>
            </w:tcBorders>
          </w:tcPr>
          <w:p>
            <w:pPr/>
          </w:p>
        </w:tc>
        <w:tc>
          <w:tcPr>
            <w:tcW w:w="431" w:type="dxa"/>
            <w:tcBorders>
              <w:top w:val="single" w:sz="4" w:space="0" w:color="000000"/>
              <w:left w:val="single" w:sz="4" w:space="0" w:color="000000"/>
              <w:bottom w:val="nil" w:sz="6" w:space="0" w:color="auto"/>
              <w:right w:val="single" w:sz="4" w:space="0" w:color="000000"/>
            </w:tcBorders>
          </w:tcPr>
          <w:p>
            <w:pPr/>
          </w:p>
        </w:tc>
        <w:tc>
          <w:tcPr>
            <w:tcW w:w="18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73" w:type="dxa"/>
            <w:tcBorders>
              <w:top w:val="nil" w:sz="6" w:space="0" w:color="auto"/>
              <w:left w:val="single" w:sz="4" w:space="0" w:color="000000"/>
              <w:bottom w:val="nil" w:sz="6" w:space="0" w:color="auto"/>
              <w:right w:val="single" w:sz="4" w:space="0" w:color="000000"/>
            </w:tcBorders>
          </w:tcPr>
          <w:p>
            <w:pPr/>
          </w:p>
        </w:tc>
        <w:tc>
          <w:tcPr>
            <w:tcW w:w="49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521" w:type="dxa"/>
            <w:tcBorders>
              <w:top w:val="nil" w:sz="6" w:space="0" w:color="auto"/>
              <w:left w:val="single" w:sz="4" w:space="0" w:color="000000"/>
              <w:bottom w:val="nil" w:sz="6" w:space="0" w:color="auto"/>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262" w:type="dxa"/>
            <w:tcBorders>
              <w:top w:val="nil" w:sz="6" w:space="0" w:color="auto"/>
              <w:left w:val="single" w:sz="4" w:space="0" w:color="000000"/>
              <w:bottom w:val="nil" w:sz="6" w:space="0" w:color="auto"/>
              <w:right w:val="single" w:sz="4" w:space="0" w:color="000000"/>
            </w:tcBorders>
          </w:tcPr>
          <w:p>
            <w:pPr/>
          </w:p>
        </w:tc>
        <w:tc>
          <w:tcPr>
            <w:tcW w:w="431" w:type="dxa"/>
            <w:tcBorders>
              <w:top w:val="nil" w:sz="6" w:space="0" w:color="auto"/>
              <w:left w:val="single" w:sz="4" w:space="0" w:color="000000"/>
              <w:bottom w:val="nil" w:sz="6" w:space="0" w:color="auto"/>
              <w:right w:val="single" w:sz="4" w:space="0" w:color="000000"/>
            </w:tcBorders>
          </w:tcPr>
          <w:p>
            <w:pPr/>
          </w:p>
        </w:tc>
        <w:tc>
          <w:tcPr>
            <w:tcW w:w="18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473" w:type="dxa"/>
            <w:tcBorders>
              <w:top w:val="nil" w:sz="6" w:space="0" w:color="auto"/>
              <w:left w:val="single" w:sz="4" w:space="0" w:color="000000"/>
              <w:bottom w:val="nil" w:sz="6" w:space="0" w:color="auto"/>
              <w:right w:val="single" w:sz="4" w:space="0" w:color="000000"/>
            </w:tcBorders>
          </w:tcPr>
          <w:p>
            <w:pPr/>
          </w:p>
        </w:tc>
        <w:tc>
          <w:tcPr>
            <w:tcW w:w="49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521" w:type="dxa"/>
            <w:tcBorders>
              <w:top w:val="nil" w:sz="6" w:space="0" w:color="auto"/>
              <w:left w:val="single" w:sz="4" w:space="0" w:color="000000"/>
              <w:bottom w:val="nil" w:sz="6" w:space="0" w:color="auto"/>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262" w:type="dxa"/>
            <w:tcBorders>
              <w:top w:val="nil" w:sz="6" w:space="0" w:color="auto"/>
              <w:left w:val="single" w:sz="4" w:space="0" w:color="000000"/>
              <w:bottom w:val="nil" w:sz="6" w:space="0" w:color="auto"/>
              <w:right w:val="single" w:sz="4" w:space="0" w:color="000000"/>
            </w:tcBorders>
          </w:tcPr>
          <w:p>
            <w:pPr/>
          </w:p>
        </w:tc>
        <w:tc>
          <w:tcPr>
            <w:tcW w:w="431" w:type="dxa"/>
            <w:tcBorders>
              <w:top w:val="nil" w:sz="6" w:space="0" w:color="auto"/>
              <w:left w:val="single" w:sz="4" w:space="0" w:color="000000"/>
              <w:bottom w:val="nil" w:sz="6" w:space="0" w:color="auto"/>
              <w:right w:val="single" w:sz="4" w:space="0" w:color="000000"/>
            </w:tcBorders>
          </w:tcPr>
          <w:p>
            <w:pPr/>
          </w:p>
        </w:tc>
        <w:tc>
          <w:tcPr>
            <w:tcW w:w="1868" w:type="dxa"/>
            <w:tcBorders>
              <w:top w:val="nil" w:sz="6" w:space="0" w:color="auto"/>
              <w:left w:val="single" w:sz="4" w:space="0" w:color="000000"/>
              <w:bottom w:val="nil" w:sz="6" w:space="0" w:color="auto"/>
              <w:right w:val="single" w:sz="4" w:space="0" w:color="000000"/>
            </w:tcBorders>
          </w:tcPr>
          <w:p>
            <w:pPr/>
          </w:p>
        </w:tc>
      </w:tr>
      <w:tr>
        <w:trPr>
          <w:trHeight w:val="1561"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9"/>
              <w:jc w:val="both"/>
              <w:rPr>
                <w:rFonts w:ascii="宋体" w:hAnsi="宋体" w:cs="宋体" w:eastAsia="宋体" w:hint="default"/>
                <w:sz w:val="18"/>
                <w:szCs w:val="18"/>
              </w:rPr>
            </w:pPr>
            <w:r>
              <w:rPr>
                <w:rFonts w:ascii="宋体" w:hAnsi="宋体" w:cs="宋体" w:eastAsia="宋体" w:hint="default"/>
                <w:sz w:val="18"/>
                <w:szCs w:val="18"/>
              </w:rPr>
              <w:t>有限 公司 北京 经济 技术</w:t>
            </w:r>
          </w:p>
        </w:tc>
        <w:tc>
          <w:tcPr>
            <w:tcW w:w="4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49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97"/>
              <w:jc w:val="both"/>
              <w:rPr>
                <w:rFonts w:ascii="宋体" w:hAnsi="宋体" w:cs="宋体" w:eastAsia="宋体" w:hint="default"/>
                <w:sz w:val="18"/>
                <w:szCs w:val="18"/>
              </w:rPr>
            </w:pPr>
            <w:r>
              <w:rPr>
                <w:rFonts w:ascii="宋体" w:hAnsi="宋体" w:cs="宋体" w:eastAsia="宋体" w:hint="default"/>
                <w:sz w:val="18"/>
                <w:szCs w:val="18"/>
              </w:rPr>
              <w:t>保本 开放 式周 期型 理财</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30,000</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48"/>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48"/>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4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4" w:right="48"/>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4.80%</w:t>
            </w:r>
          </w:p>
        </w:tc>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362.96</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362.96</w:t>
            </w:r>
          </w:p>
        </w:tc>
        <w:tc>
          <w:tcPr>
            <w:tcW w:w="5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362.96</w:t>
            </w:r>
          </w:p>
        </w:tc>
        <w:tc>
          <w:tcPr>
            <w:tcW w:w="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2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是</w:t>
            </w:r>
          </w:p>
        </w:tc>
        <w:tc>
          <w:tcPr>
            <w:tcW w:w="4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8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2" w:right="2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9">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公告编码：</w:t>
            </w:r>
            <w:r>
              <w:rPr>
                <w:rFonts w:ascii="Times New Roman" w:hAnsi="Times New Roman" w:cs="Times New Roman" w:eastAsia="Times New Roman" w:hint="default"/>
                <w:sz w:val="18"/>
                <w:szCs w:val="18"/>
              </w:rPr>
              <w:t>2018-020</w:t>
            </w:r>
          </w:p>
        </w:tc>
      </w:tr>
      <w:tr>
        <w:trPr>
          <w:trHeight w:val="311"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473" w:type="dxa"/>
            <w:tcBorders>
              <w:top w:val="nil" w:sz="6" w:space="0" w:color="auto"/>
              <w:left w:val="single" w:sz="4" w:space="0" w:color="000000"/>
              <w:bottom w:val="nil" w:sz="6" w:space="0" w:color="auto"/>
              <w:right w:val="single" w:sz="4" w:space="0" w:color="000000"/>
            </w:tcBorders>
          </w:tcPr>
          <w:p>
            <w:pPr/>
          </w:p>
        </w:tc>
        <w:tc>
          <w:tcPr>
            <w:tcW w:w="49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521" w:type="dxa"/>
            <w:tcBorders>
              <w:top w:val="nil" w:sz="6" w:space="0" w:color="auto"/>
              <w:left w:val="single" w:sz="4" w:space="0" w:color="000000"/>
              <w:bottom w:val="nil" w:sz="6" w:space="0" w:color="auto"/>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262" w:type="dxa"/>
            <w:tcBorders>
              <w:top w:val="nil" w:sz="6" w:space="0" w:color="auto"/>
              <w:left w:val="single" w:sz="4" w:space="0" w:color="000000"/>
              <w:bottom w:val="nil" w:sz="6" w:space="0" w:color="auto"/>
              <w:right w:val="single" w:sz="4" w:space="0" w:color="000000"/>
            </w:tcBorders>
          </w:tcPr>
          <w:p>
            <w:pPr/>
          </w:p>
        </w:tc>
        <w:tc>
          <w:tcPr>
            <w:tcW w:w="431" w:type="dxa"/>
            <w:tcBorders>
              <w:top w:val="nil" w:sz="6" w:space="0" w:color="auto"/>
              <w:left w:val="single" w:sz="4" w:space="0" w:color="000000"/>
              <w:bottom w:val="nil" w:sz="6" w:space="0" w:color="auto"/>
              <w:right w:val="single" w:sz="4" w:space="0" w:color="000000"/>
            </w:tcBorders>
          </w:tcPr>
          <w:p>
            <w:pPr/>
          </w:p>
        </w:tc>
        <w:tc>
          <w:tcPr>
            <w:tcW w:w="18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区支</w:t>
            </w:r>
          </w:p>
        </w:tc>
        <w:tc>
          <w:tcPr>
            <w:tcW w:w="473" w:type="dxa"/>
            <w:tcBorders>
              <w:top w:val="nil" w:sz="6" w:space="0" w:color="auto"/>
              <w:left w:val="single" w:sz="4" w:space="0" w:color="000000"/>
              <w:bottom w:val="nil" w:sz="6" w:space="0" w:color="auto"/>
              <w:right w:val="single" w:sz="4" w:space="0" w:color="000000"/>
            </w:tcBorders>
          </w:tcPr>
          <w:p>
            <w:pPr/>
          </w:p>
        </w:tc>
        <w:tc>
          <w:tcPr>
            <w:tcW w:w="49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521" w:type="dxa"/>
            <w:tcBorders>
              <w:top w:val="nil" w:sz="6" w:space="0" w:color="auto"/>
              <w:left w:val="single" w:sz="4" w:space="0" w:color="000000"/>
              <w:bottom w:val="nil" w:sz="6" w:space="0" w:color="auto"/>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262" w:type="dxa"/>
            <w:tcBorders>
              <w:top w:val="nil" w:sz="6" w:space="0" w:color="auto"/>
              <w:left w:val="single" w:sz="4" w:space="0" w:color="000000"/>
              <w:bottom w:val="nil" w:sz="6" w:space="0" w:color="auto"/>
              <w:right w:val="single" w:sz="4" w:space="0" w:color="000000"/>
            </w:tcBorders>
          </w:tcPr>
          <w:p>
            <w:pPr/>
          </w:p>
        </w:tc>
        <w:tc>
          <w:tcPr>
            <w:tcW w:w="431" w:type="dxa"/>
            <w:tcBorders>
              <w:top w:val="nil" w:sz="6" w:space="0" w:color="auto"/>
              <w:left w:val="single" w:sz="4" w:space="0" w:color="000000"/>
              <w:bottom w:val="nil" w:sz="6" w:space="0" w:color="auto"/>
              <w:right w:val="single" w:sz="4" w:space="0" w:color="000000"/>
            </w:tcBorders>
          </w:tcPr>
          <w:p>
            <w:pPr/>
          </w:p>
        </w:tc>
        <w:tc>
          <w:tcPr>
            <w:tcW w:w="18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4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473" w:type="dxa"/>
            <w:tcBorders>
              <w:top w:val="nil" w:sz="6" w:space="0" w:color="auto"/>
              <w:left w:val="single" w:sz="4" w:space="0" w:color="000000"/>
              <w:bottom w:val="single" w:sz="4" w:space="0" w:color="000000"/>
              <w:right w:val="single" w:sz="4" w:space="0" w:color="000000"/>
            </w:tcBorders>
          </w:tcPr>
          <w:p>
            <w:pPr/>
          </w:p>
        </w:tc>
        <w:tc>
          <w:tcPr>
            <w:tcW w:w="49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4" w:type="dxa"/>
            <w:tcBorders>
              <w:top w:val="nil" w:sz="6" w:space="0" w:color="auto"/>
              <w:left w:val="single" w:sz="4" w:space="0" w:color="000000"/>
              <w:bottom w:val="single" w:sz="4" w:space="0" w:color="000000"/>
              <w:right w:val="single" w:sz="4" w:space="0" w:color="000000"/>
            </w:tcBorders>
          </w:tcPr>
          <w:p>
            <w:pPr/>
          </w:p>
        </w:tc>
        <w:tc>
          <w:tcPr>
            <w:tcW w:w="521" w:type="dxa"/>
            <w:tcBorders>
              <w:top w:val="nil" w:sz="6" w:space="0" w:color="auto"/>
              <w:left w:val="single" w:sz="4" w:space="0" w:color="000000"/>
              <w:bottom w:val="single" w:sz="4" w:space="0" w:color="000000"/>
              <w:right w:val="single" w:sz="4" w:space="0" w:color="000000"/>
            </w:tcBorders>
          </w:tcPr>
          <w:p>
            <w:pPr/>
          </w:p>
        </w:tc>
        <w:tc>
          <w:tcPr>
            <w:tcW w:w="685"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551" w:type="dxa"/>
            <w:tcBorders>
              <w:top w:val="nil" w:sz="6" w:space="0" w:color="auto"/>
              <w:left w:val="single" w:sz="4" w:space="0" w:color="000000"/>
              <w:bottom w:val="single" w:sz="4" w:space="0" w:color="000000"/>
              <w:right w:val="single" w:sz="4" w:space="0" w:color="000000"/>
            </w:tcBorders>
          </w:tcPr>
          <w:p>
            <w:pPr/>
          </w:p>
        </w:tc>
        <w:tc>
          <w:tcPr>
            <w:tcW w:w="416" w:type="dxa"/>
            <w:tcBorders>
              <w:top w:val="nil" w:sz="6" w:space="0" w:color="auto"/>
              <w:left w:val="single" w:sz="4" w:space="0" w:color="000000"/>
              <w:bottom w:val="single" w:sz="4" w:space="0" w:color="000000"/>
              <w:right w:val="single" w:sz="4" w:space="0" w:color="000000"/>
            </w:tcBorders>
          </w:tcPr>
          <w:p>
            <w:pPr/>
          </w:p>
        </w:tc>
        <w:tc>
          <w:tcPr>
            <w:tcW w:w="262" w:type="dxa"/>
            <w:tcBorders>
              <w:top w:val="nil" w:sz="6" w:space="0" w:color="auto"/>
              <w:left w:val="single" w:sz="4" w:space="0" w:color="000000"/>
              <w:bottom w:val="single" w:sz="4" w:space="0" w:color="000000"/>
              <w:right w:val="single" w:sz="4" w:space="0" w:color="000000"/>
            </w:tcBorders>
          </w:tcPr>
          <w:p>
            <w:pPr/>
          </w:p>
        </w:tc>
        <w:tc>
          <w:tcPr>
            <w:tcW w:w="431" w:type="dxa"/>
            <w:tcBorders>
              <w:top w:val="nil" w:sz="6" w:space="0" w:color="auto"/>
              <w:left w:val="single" w:sz="4" w:space="0" w:color="000000"/>
              <w:bottom w:val="single" w:sz="4" w:space="0" w:color="000000"/>
              <w:right w:val="single" w:sz="4" w:space="0" w:color="000000"/>
            </w:tcBorders>
          </w:tcPr>
          <w:p>
            <w:pPr/>
          </w:p>
        </w:tc>
        <w:tc>
          <w:tcPr>
            <w:tcW w:w="186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4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兴业</w:t>
            </w:r>
          </w:p>
        </w:tc>
        <w:tc>
          <w:tcPr>
            <w:tcW w:w="473" w:type="dxa"/>
            <w:tcBorders>
              <w:top w:val="single" w:sz="4" w:space="0" w:color="000000"/>
              <w:left w:val="single" w:sz="4" w:space="0" w:color="000000"/>
              <w:bottom w:val="nil" w:sz="6" w:space="0" w:color="auto"/>
              <w:right w:val="single" w:sz="4" w:space="0" w:color="000000"/>
            </w:tcBorders>
          </w:tcPr>
          <w:p>
            <w:pPr/>
          </w:p>
        </w:tc>
        <w:tc>
          <w:tcPr>
            <w:tcW w:w="49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4" w:type="dxa"/>
            <w:tcBorders>
              <w:top w:val="single" w:sz="4" w:space="0" w:color="000000"/>
              <w:left w:val="single" w:sz="4" w:space="0" w:color="000000"/>
              <w:bottom w:val="nil" w:sz="6" w:space="0" w:color="auto"/>
              <w:right w:val="single" w:sz="4" w:space="0" w:color="000000"/>
            </w:tcBorders>
          </w:tcPr>
          <w:p>
            <w:pPr/>
          </w:p>
        </w:tc>
        <w:tc>
          <w:tcPr>
            <w:tcW w:w="521" w:type="dxa"/>
            <w:tcBorders>
              <w:top w:val="single" w:sz="4" w:space="0" w:color="000000"/>
              <w:left w:val="single" w:sz="4" w:space="0" w:color="000000"/>
              <w:bottom w:val="nil" w:sz="6" w:space="0" w:color="auto"/>
              <w:right w:val="single" w:sz="4" w:space="0" w:color="000000"/>
            </w:tcBorders>
          </w:tcPr>
          <w:p>
            <w:pPr/>
          </w:p>
        </w:tc>
        <w:tc>
          <w:tcPr>
            <w:tcW w:w="685"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551" w:type="dxa"/>
            <w:tcBorders>
              <w:top w:val="single" w:sz="4" w:space="0" w:color="000000"/>
              <w:left w:val="single" w:sz="4" w:space="0" w:color="000000"/>
              <w:bottom w:val="nil" w:sz="6" w:space="0" w:color="auto"/>
              <w:right w:val="single" w:sz="4" w:space="0" w:color="000000"/>
            </w:tcBorders>
          </w:tcPr>
          <w:p>
            <w:pPr/>
          </w:p>
        </w:tc>
        <w:tc>
          <w:tcPr>
            <w:tcW w:w="416" w:type="dxa"/>
            <w:tcBorders>
              <w:top w:val="single" w:sz="4" w:space="0" w:color="000000"/>
              <w:left w:val="single" w:sz="4" w:space="0" w:color="000000"/>
              <w:bottom w:val="nil" w:sz="6" w:space="0" w:color="auto"/>
              <w:right w:val="single" w:sz="4" w:space="0" w:color="000000"/>
            </w:tcBorders>
          </w:tcPr>
          <w:p>
            <w:pPr/>
          </w:p>
        </w:tc>
        <w:tc>
          <w:tcPr>
            <w:tcW w:w="262" w:type="dxa"/>
            <w:tcBorders>
              <w:top w:val="single" w:sz="4" w:space="0" w:color="000000"/>
              <w:left w:val="single" w:sz="4" w:space="0" w:color="000000"/>
              <w:bottom w:val="nil" w:sz="6" w:space="0" w:color="auto"/>
              <w:right w:val="single" w:sz="4" w:space="0" w:color="000000"/>
            </w:tcBorders>
          </w:tcPr>
          <w:p>
            <w:pPr/>
          </w:p>
        </w:tc>
        <w:tc>
          <w:tcPr>
            <w:tcW w:w="431" w:type="dxa"/>
            <w:tcBorders>
              <w:top w:val="single" w:sz="4" w:space="0" w:color="000000"/>
              <w:left w:val="single" w:sz="4" w:space="0" w:color="000000"/>
              <w:bottom w:val="nil" w:sz="6" w:space="0" w:color="auto"/>
              <w:right w:val="single" w:sz="4" w:space="0" w:color="000000"/>
            </w:tcBorders>
          </w:tcPr>
          <w:p>
            <w:pPr/>
          </w:p>
        </w:tc>
        <w:tc>
          <w:tcPr>
            <w:tcW w:w="1868"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9"/>
              <w:jc w:val="both"/>
              <w:rPr>
                <w:rFonts w:ascii="宋体" w:hAnsi="宋体" w:cs="宋体" w:eastAsia="宋体" w:hint="default"/>
                <w:sz w:val="18"/>
                <w:szCs w:val="18"/>
              </w:rPr>
            </w:pPr>
            <w:r>
              <w:rPr>
                <w:rFonts w:ascii="宋体" w:hAnsi="宋体" w:cs="宋体" w:eastAsia="宋体" w:hint="default"/>
                <w:sz w:val="18"/>
                <w:szCs w:val="18"/>
              </w:rPr>
              <w:t>银行 股份 有限 公司 南京</w:t>
            </w:r>
          </w:p>
        </w:tc>
        <w:tc>
          <w:tcPr>
            <w:tcW w:w="4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97"/>
              <w:jc w:val="both"/>
              <w:rPr>
                <w:rFonts w:ascii="宋体" w:hAnsi="宋体" w:cs="宋体" w:eastAsia="宋体" w:hint="default"/>
                <w:sz w:val="18"/>
                <w:szCs w:val="18"/>
              </w:rPr>
            </w:pPr>
            <w:r>
              <w:rPr>
                <w:rFonts w:ascii="宋体" w:hAnsi="宋体" w:cs="宋体" w:eastAsia="宋体" w:hint="default"/>
                <w:sz w:val="18"/>
                <w:szCs w:val="18"/>
              </w:rPr>
              <w:t>保本 开放 式理 财</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30,000</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48"/>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48"/>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4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4" w:right="48"/>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4.90%</w:t>
            </w:r>
          </w:p>
        </w:tc>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382.6</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382.6</w:t>
            </w:r>
          </w:p>
        </w:tc>
        <w:tc>
          <w:tcPr>
            <w:tcW w:w="5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382.6</w:t>
            </w:r>
          </w:p>
        </w:tc>
        <w:tc>
          <w:tcPr>
            <w:tcW w:w="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2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是</w:t>
            </w:r>
          </w:p>
        </w:tc>
        <w:tc>
          <w:tcPr>
            <w:tcW w:w="4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8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2" w:right="2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9">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公告编码：</w:t>
            </w:r>
            <w:r>
              <w:rPr>
                <w:rFonts w:ascii="Times New Roman" w:hAnsi="Times New Roman" w:cs="Times New Roman" w:eastAsia="Times New Roman" w:hint="default"/>
                <w:sz w:val="18"/>
                <w:szCs w:val="18"/>
              </w:rPr>
              <w:t>2018-021</w:t>
            </w:r>
          </w:p>
        </w:tc>
      </w:tr>
      <w:tr>
        <w:trPr>
          <w:trHeight w:val="357" w:hRule="exact"/>
        </w:trPr>
        <w:tc>
          <w:tcPr>
            <w:tcW w:w="4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473" w:type="dxa"/>
            <w:tcBorders>
              <w:top w:val="nil" w:sz="6" w:space="0" w:color="auto"/>
              <w:left w:val="single" w:sz="4" w:space="0" w:color="000000"/>
              <w:bottom w:val="single" w:sz="4" w:space="0" w:color="000000"/>
              <w:right w:val="single" w:sz="4" w:space="0" w:color="000000"/>
            </w:tcBorders>
          </w:tcPr>
          <w:p>
            <w:pPr/>
          </w:p>
        </w:tc>
        <w:tc>
          <w:tcPr>
            <w:tcW w:w="49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4" w:type="dxa"/>
            <w:tcBorders>
              <w:top w:val="nil" w:sz="6" w:space="0" w:color="auto"/>
              <w:left w:val="single" w:sz="4" w:space="0" w:color="000000"/>
              <w:bottom w:val="single" w:sz="4" w:space="0" w:color="000000"/>
              <w:right w:val="single" w:sz="4" w:space="0" w:color="000000"/>
            </w:tcBorders>
          </w:tcPr>
          <w:p>
            <w:pPr/>
          </w:p>
        </w:tc>
        <w:tc>
          <w:tcPr>
            <w:tcW w:w="521" w:type="dxa"/>
            <w:tcBorders>
              <w:top w:val="nil" w:sz="6" w:space="0" w:color="auto"/>
              <w:left w:val="single" w:sz="4" w:space="0" w:color="000000"/>
              <w:bottom w:val="single" w:sz="4" w:space="0" w:color="000000"/>
              <w:right w:val="single" w:sz="4" w:space="0" w:color="000000"/>
            </w:tcBorders>
          </w:tcPr>
          <w:p>
            <w:pPr/>
          </w:p>
        </w:tc>
        <w:tc>
          <w:tcPr>
            <w:tcW w:w="685"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551" w:type="dxa"/>
            <w:tcBorders>
              <w:top w:val="nil" w:sz="6" w:space="0" w:color="auto"/>
              <w:left w:val="single" w:sz="4" w:space="0" w:color="000000"/>
              <w:bottom w:val="single" w:sz="4" w:space="0" w:color="000000"/>
              <w:right w:val="single" w:sz="4" w:space="0" w:color="000000"/>
            </w:tcBorders>
          </w:tcPr>
          <w:p>
            <w:pPr/>
          </w:p>
        </w:tc>
        <w:tc>
          <w:tcPr>
            <w:tcW w:w="416" w:type="dxa"/>
            <w:tcBorders>
              <w:top w:val="nil" w:sz="6" w:space="0" w:color="auto"/>
              <w:left w:val="single" w:sz="4" w:space="0" w:color="000000"/>
              <w:bottom w:val="single" w:sz="4" w:space="0" w:color="000000"/>
              <w:right w:val="single" w:sz="4" w:space="0" w:color="000000"/>
            </w:tcBorders>
          </w:tcPr>
          <w:p>
            <w:pPr/>
          </w:p>
        </w:tc>
        <w:tc>
          <w:tcPr>
            <w:tcW w:w="262" w:type="dxa"/>
            <w:tcBorders>
              <w:top w:val="nil" w:sz="6" w:space="0" w:color="auto"/>
              <w:left w:val="single" w:sz="4" w:space="0" w:color="000000"/>
              <w:bottom w:val="single" w:sz="4" w:space="0" w:color="000000"/>
              <w:right w:val="single" w:sz="4" w:space="0" w:color="000000"/>
            </w:tcBorders>
          </w:tcPr>
          <w:p>
            <w:pPr/>
          </w:p>
        </w:tc>
        <w:tc>
          <w:tcPr>
            <w:tcW w:w="431" w:type="dxa"/>
            <w:tcBorders>
              <w:top w:val="nil" w:sz="6" w:space="0" w:color="auto"/>
              <w:left w:val="single" w:sz="4" w:space="0" w:color="000000"/>
              <w:bottom w:val="single" w:sz="4" w:space="0" w:color="000000"/>
              <w:right w:val="single" w:sz="4" w:space="0" w:color="000000"/>
            </w:tcBorders>
          </w:tcPr>
          <w:p>
            <w:pPr/>
          </w:p>
        </w:tc>
        <w:tc>
          <w:tcPr>
            <w:tcW w:w="186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4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兴业</w:t>
            </w:r>
          </w:p>
        </w:tc>
        <w:tc>
          <w:tcPr>
            <w:tcW w:w="473" w:type="dxa"/>
            <w:tcBorders>
              <w:top w:val="single" w:sz="4" w:space="0" w:color="000000"/>
              <w:left w:val="single" w:sz="4" w:space="0" w:color="000000"/>
              <w:bottom w:val="nil" w:sz="6" w:space="0" w:color="auto"/>
              <w:right w:val="single" w:sz="4" w:space="0" w:color="000000"/>
            </w:tcBorders>
          </w:tcPr>
          <w:p>
            <w:pPr/>
          </w:p>
        </w:tc>
        <w:tc>
          <w:tcPr>
            <w:tcW w:w="49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4" w:type="dxa"/>
            <w:tcBorders>
              <w:top w:val="single" w:sz="4" w:space="0" w:color="000000"/>
              <w:left w:val="single" w:sz="4" w:space="0" w:color="000000"/>
              <w:bottom w:val="nil" w:sz="6" w:space="0" w:color="auto"/>
              <w:right w:val="single" w:sz="4" w:space="0" w:color="000000"/>
            </w:tcBorders>
          </w:tcPr>
          <w:p>
            <w:pPr/>
          </w:p>
        </w:tc>
        <w:tc>
          <w:tcPr>
            <w:tcW w:w="521" w:type="dxa"/>
            <w:tcBorders>
              <w:top w:val="single" w:sz="4" w:space="0" w:color="000000"/>
              <w:left w:val="single" w:sz="4" w:space="0" w:color="000000"/>
              <w:bottom w:val="nil" w:sz="6" w:space="0" w:color="auto"/>
              <w:right w:val="single" w:sz="4" w:space="0" w:color="000000"/>
            </w:tcBorders>
          </w:tcPr>
          <w:p>
            <w:pPr/>
          </w:p>
        </w:tc>
        <w:tc>
          <w:tcPr>
            <w:tcW w:w="685"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551" w:type="dxa"/>
            <w:tcBorders>
              <w:top w:val="single" w:sz="4" w:space="0" w:color="000000"/>
              <w:left w:val="single" w:sz="4" w:space="0" w:color="000000"/>
              <w:bottom w:val="nil" w:sz="6" w:space="0" w:color="auto"/>
              <w:right w:val="single" w:sz="4" w:space="0" w:color="000000"/>
            </w:tcBorders>
          </w:tcPr>
          <w:p>
            <w:pPr/>
          </w:p>
        </w:tc>
        <w:tc>
          <w:tcPr>
            <w:tcW w:w="416" w:type="dxa"/>
            <w:tcBorders>
              <w:top w:val="single" w:sz="4" w:space="0" w:color="000000"/>
              <w:left w:val="single" w:sz="4" w:space="0" w:color="000000"/>
              <w:bottom w:val="nil" w:sz="6" w:space="0" w:color="auto"/>
              <w:right w:val="single" w:sz="4" w:space="0" w:color="000000"/>
            </w:tcBorders>
          </w:tcPr>
          <w:p>
            <w:pPr/>
          </w:p>
        </w:tc>
        <w:tc>
          <w:tcPr>
            <w:tcW w:w="262" w:type="dxa"/>
            <w:tcBorders>
              <w:top w:val="single" w:sz="4" w:space="0" w:color="000000"/>
              <w:left w:val="single" w:sz="4" w:space="0" w:color="000000"/>
              <w:bottom w:val="nil" w:sz="6" w:space="0" w:color="auto"/>
              <w:right w:val="single" w:sz="4" w:space="0" w:color="000000"/>
            </w:tcBorders>
          </w:tcPr>
          <w:p>
            <w:pPr/>
          </w:p>
        </w:tc>
        <w:tc>
          <w:tcPr>
            <w:tcW w:w="431" w:type="dxa"/>
            <w:tcBorders>
              <w:top w:val="single" w:sz="4" w:space="0" w:color="000000"/>
              <w:left w:val="single" w:sz="4" w:space="0" w:color="000000"/>
              <w:bottom w:val="nil" w:sz="6" w:space="0" w:color="auto"/>
              <w:right w:val="single" w:sz="4" w:space="0" w:color="000000"/>
            </w:tcBorders>
          </w:tcPr>
          <w:p>
            <w:pPr/>
          </w:p>
        </w:tc>
        <w:tc>
          <w:tcPr>
            <w:tcW w:w="18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73" w:type="dxa"/>
            <w:tcBorders>
              <w:top w:val="nil" w:sz="6" w:space="0" w:color="auto"/>
              <w:left w:val="single" w:sz="4" w:space="0" w:color="000000"/>
              <w:bottom w:val="nil" w:sz="6" w:space="0" w:color="auto"/>
              <w:right w:val="single" w:sz="4" w:space="0" w:color="000000"/>
            </w:tcBorders>
          </w:tcPr>
          <w:p>
            <w:pPr/>
          </w:p>
        </w:tc>
        <w:tc>
          <w:tcPr>
            <w:tcW w:w="49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521" w:type="dxa"/>
            <w:tcBorders>
              <w:top w:val="nil" w:sz="6" w:space="0" w:color="auto"/>
              <w:left w:val="single" w:sz="4" w:space="0" w:color="000000"/>
              <w:bottom w:val="nil" w:sz="6" w:space="0" w:color="auto"/>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262" w:type="dxa"/>
            <w:tcBorders>
              <w:top w:val="nil" w:sz="6" w:space="0" w:color="auto"/>
              <w:left w:val="single" w:sz="4" w:space="0" w:color="000000"/>
              <w:bottom w:val="nil" w:sz="6" w:space="0" w:color="auto"/>
              <w:right w:val="single" w:sz="4" w:space="0" w:color="000000"/>
            </w:tcBorders>
          </w:tcPr>
          <w:p>
            <w:pPr/>
          </w:p>
        </w:tc>
        <w:tc>
          <w:tcPr>
            <w:tcW w:w="431" w:type="dxa"/>
            <w:tcBorders>
              <w:top w:val="nil" w:sz="6" w:space="0" w:color="auto"/>
              <w:left w:val="single" w:sz="4" w:space="0" w:color="000000"/>
              <w:bottom w:val="nil" w:sz="6" w:space="0" w:color="auto"/>
              <w:right w:val="single" w:sz="4" w:space="0" w:color="000000"/>
            </w:tcBorders>
          </w:tcPr>
          <w:p>
            <w:pPr/>
          </w:p>
        </w:tc>
        <w:tc>
          <w:tcPr>
            <w:tcW w:w="18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473" w:type="dxa"/>
            <w:tcBorders>
              <w:top w:val="nil" w:sz="6" w:space="0" w:color="auto"/>
              <w:left w:val="single" w:sz="4" w:space="0" w:color="000000"/>
              <w:bottom w:val="nil" w:sz="6" w:space="0" w:color="auto"/>
              <w:right w:val="single" w:sz="4" w:space="0" w:color="000000"/>
            </w:tcBorders>
          </w:tcPr>
          <w:p>
            <w:pPr/>
          </w:p>
        </w:tc>
        <w:tc>
          <w:tcPr>
            <w:tcW w:w="49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521" w:type="dxa"/>
            <w:tcBorders>
              <w:top w:val="nil" w:sz="6" w:space="0" w:color="auto"/>
              <w:left w:val="single" w:sz="4" w:space="0" w:color="000000"/>
              <w:bottom w:val="nil" w:sz="6" w:space="0" w:color="auto"/>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262" w:type="dxa"/>
            <w:tcBorders>
              <w:top w:val="nil" w:sz="6" w:space="0" w:color="auto"/>
              <w:left w:val="single" w:sz="4" w:space="0" w:color="000000"/>
              <w:bottom w:val="nil" w:sz="6" w:space="0" w:color="auto"/>
              <w:right w:val="single" w:sz="4" w:space="0" w:color="000000"/>
            </w:tcBorders>
          </w:tcPr>
          <w:p>
            <w:pPr/>
          </w:p>
        </w:tc>
        <w:tc>
          <w:tcPr>
            <w:tcW w:w="431" w:type="dxa"/>
            <w:tcBorders>
              <w:top w:val="nil" w:sz="6" w:space="0" w:color="auto"/>
              <w:left w:val="single" w:sz="4" w:space="0" w:color="000000"/>
              <w:bottom w:val="nil" w:sz="6" w:space="0" w:color="auto"/>
              <w:right w:val="single" w:sz="4" w:space="0" w:color="000000"/>
            </w:tcBorders>
          </w:tcPr>
          <w:p>
            <w:pPr/>
          </w:p>
        </w:tc>
        <w:tc>
          <w:tcPr>
            <w:tcW w:w="1868" w:type="dxa"/>
            <w:tcBorders>
              <w:top w:val="nil" w:sz="6" w:space="0" w:color="auto"/>
              <w:left w:val="single" w:sz="4" w:space="0" w:color="000000"/>
              <w:bottom w:val="nil" w:sz="6" w:space="0" w:color="auto"/>
              <w:right w:val="single" w:sz="4" w:space="0" w:color="000000"/>
            </w:tcBorders>
          </w:tcPr>
          <w:p>
            <w:pPr/>
          </w:p>
        </w:tc>
      </w:tr>
      <w:tr>
        <w:trPr>
          <w:trHeight w:val="1561"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9"/>
              <w:jc w:val="both"/>
              <w:rPr>
                <w:rFonts w:ascii="宋体" w:hAnsi="宋体" w:cs="宋体" w:eastAsia="宋体" w:hint="default"/>
                <w:sz w:val="18"/>
                <w:szCs w:val="18"/>
              </w:rPr>
            </w:pPr>
            <w:r>
              <w:rPr>
                <w:rFonts w:ascii="宋体" w:hAnsi="宋体" w:cs="宋体" w:eastAsia="宋体" w:hint="default"/>
                <w:sz w:val="18"/>
                <w:szCs w:val="18"/>
              </w:rPr>
              <w:t>有限 公司 北京 经济 技术</w:t>
            </w:r>
          </w:p>
        </w:tc>
        <w:tc>
          <w:tcPr>
            <w:tcW w:w="4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49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97"/>
              <w:jc w:val="both"/>
              <w:rPr>
                <w:rFonts w:ascii="宋体" w:hAnsi="宋体" w:cs="宋体" w:eastAsia="宋体" w:hint="default"/>
                <w:sz w:val="18"/>
                <w:szCs w:val="18"/>
              </w:rPr>
            </w:pPr>
            <w:r>
              <w:rPr>
                <w:rFonts w:ascii="宋体" w:hAnsi="宋体" w:cs="宋体" w:eastAsia="宋体" w:hint="default"/>
                <w:sz w:val="18"/>
                <w:szCs w:val="18"/>
              </w:rPr>
              <w:t>保本 开放 式周 期型 理财</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25,000</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48"/>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48"/>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4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4" w:right="48"/>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4.60%</w:t>
            </w:r>
          </w:p>
        </w:tc>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296.16</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296.16</w:t>
            </w:r>
          </w:p>
        </w:tc>
        <w:tc>
          <w:tcPr>
            <w:tcW w:w="5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296.16</w:t>
            </w:r>
          </w:p>
        </w:tc>
        <w:tc>
          <w:tcPr>
            <w:tcW w:w="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2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是</w:t>
            </w:r>
          </w:p>
        </w:tc>
        <w:tc>
          <w:tcPr>
            <w:tcW w:w="4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8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2" w:right="2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9">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公告编码：</w:t>
            </w:r>
            <w:r>
              <w:rPr>
                <w:rFonts w:ascii="Times New Roman" w:hAnsi="Times New Roman" w:cs="Times New Roman" w:eastAsia="Times New Roman" w:hint="default"/>
                <w:sz w:val="18"/>
                <w:szCs w:val="18"/>
              </w:rPr>
              <w:t>2018-083</w:t>
            </w:r>
          </w:p>
        </w:tc>
      </w:tr>
      <w:tr>
        <w:trPr>
          <w:trHeight w:val="311"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473" w:type="dxa"/>
            <w:tcBorders>
              <w:top w:val="nil" w:sz="6" w:space="0" w:color="auto"/>
              <w:left w:val="single" w:sz="4" w:space="0" w:color="000000"/>
              <w:bottom w:val="nil" w:sz="6" w:space="0" w:color="auto"/>
              <w:right w:val="single" w:sz="4" w:space="0" w:color="000000"/>
            </w:tcBorders>
          </w:tcPr>
          <w:p>
            <w:pPr/>
          </w:p>
        </w:tc>
        <w:tc>
          <w:tcPr>
            <w:tcW w:w="49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521" w:type="dxa"/>
            <w:tcBorders>
              <w:top w:val="nil" w:sz="6" w:space="0" w:color="auto"/>
              <w:left w:val="single" w:sz="4" w:space="0" w:color="000000"/>
              <w:bottom w:val="nil" w:sz="6" w:space="0" w:color="auto"/>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262" w:type="dxa"/>
            <w:tcBorders>
              <w:top w:val="nil" w:sz="6" w:space="0" w:color="auto"/>
              <w:left w:val="single" w:sz="4" w:space="0" w:color="000000"/>
              <w:bottom w:val="nil" w:sz="6" w:space="0" w:color="auto"/>
              <w:right w:val="single" w:sz="4" w:space="0" w:color="000000"/>
            </w:tcBorders>
          </w:tcPr>
          <w:p>
            <w:pPr/>
          </w:p>
        </w:tc>
        <w:tc>
          <w:tcPr>
            <w:tcW w:w="431" w:type="dxa"/>
            <w:tcBorders>
              <w:top w:val="nil" w:sz="6" w:space="0" w:color="auto"/>
              <w:left w:val="single" w:sz="4" w:space="0" w:color="000000"/>
              <w:bottom w:val="nil" w:sz="6" w:space="0" w:color="auto"/>
              <w:right w:val="single" w:sz="4" w:space="0" w:color="000000"/>
            </w:tcBorders>
          </w:tcPr>
          <w:p>
            <w:pPr/>
          </w:p>
        </w:tc>
        <w:tc>
          <w:tcPr>
            <w:tcW w:w="18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区支</w:t>
            </w:r>
          </w:p>
        </w:tc>
        <w:tc>
          <w:tcPr>
            <w:tcW w:w="473" w:type="dxa"/>
            <w:tcBorders>
              <w:top w:val="nil" w:sz="6" w:space="0" w:color="auto"/>
              <w:left w:val="single" w:sz="4" w:space="0" w:color="000000"/>
              <w:bottom w:val="nil" w:sz="6" w:space="0" w:color="auto"/>
              <w:right w:val="single" w:sz="4" w:space="0" w:color="000000"/>
            </w:tcBorders>
          </w:tcPr>
          <w:p>
            <w:pPr/>
          </w:p>
        </w:tc>
        <w:tc>
          <w:tcPr>
            <w:tcW w:w="49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521" w:type="dxa"/>
            <w:tcBorders>
              <w:top w:val="nil" w:sz="6" w:space="0" w:color="auto"/>
              <w:left w:val="single" w:sz="4" w:space="0" w:color="000000"/>
              <w:bottom w:val="nil" w:sz="6" w:space="0" w:color="auto"/>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262" w:type="dxa"/>
            <w:tcBorders>
              <w:top w:val="nil" w:sz="6" w:space="0" w:color="auto"/>
              <w:left w:val="single" w:sz="4" w:space="0" w:color="000000"/>
              <w:bottom w:val="nil" w:sz="6" w:space="0" w:color="auto"/>
              <w:right w:val="single" w:sz="4" w:space="0" w:color="000000"/>
            </w:tcBorders>
          </w:tcPr>
          <w:p>
            <w:pPr/>
          </w:p>
        </w:tc>
        <w:tc>
          <w:tcPr>
            <w:tcW w:w="431" w:type="dxa"/>
            <w:tcBorders>
              <w:top w:val="nil" w:sz="6" w:space="0" w:color="auto"/>
              <w:left w:val="single" w:sz="4" w:space="0" w:color="000000"/>
              <w:bottom w:val="nil" w:sz="6" w:space="0" w:color="auto"/>
              <w:right w:val="single" w:sz="4" w:space="0" w:color="000000"/>
            </w:tcBorders>
          </w:tcPr>
          <w:p>
            <w:pPr/>
          </w:p>
        </w:tc>
        <w:tc>
          <w:tcPr>
            <w:tcW w:w="18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4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473" w:type="dxa"/>
            <w:tcBorders>
              <w:top w:val="nil" w:sz="6" w:space="0" w:color="auto"/>
              <w:left w:val="single" w:sz="4" w:space="0" w:color="000000"/>
              <w:bottom w:val="single" w:sz="4" w:space="0" w:color="000000"/>
              <w:right w:val="single" w:sz="4" w:space="0" w:color="000000"/>
            </w:tcBorders>
          </w:tcPr>
          <w:p>
            <w:pPr/>
          </w:p>
        </w:tc>
        <w:tc>
          <w:tcPr>
            <w:tcW w:w="49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4" w:type="dxa"/>
            <w:tcBorders>
              <w:top w:val="nil" w:sz="6" w:space="0" w:color="auto"/>
              <w:left w:val="single" w:sz="4" w:space="0" w:color="000000"/>
              <w:bottom w:val="single" w:sz="4" w:space="0" w:color="000000"/>
              <w:right w:val="single" w:sz="4" w:space="0" w:color="000000"/>
            </w:tcBorders>
          </w:tcPr>
          <w:p>
            <w:pPr/>
          </w:p>
        </w:tc>
        <w:tc>
          <w:tcPr>
            <w:tcW w:w="521" w:type="dxa"/>
            <w:tcBorders>
              <w:top w:val="nil" w:sz="6" w:space="0" w:color="auto"/>
              <w:left w:val="single" w:sz="4" w:space="0" w:color="000000"/>
              <w:bottom w:val="single" w:sz="4" w:space="0" w:color="000000"/>
              <w:right w:val="single" w:sz="4" w:space="0" w:color="000000"/>
            </w:tcBorders>
          </w:tcPr>
          <w:p>
            <w:pPr/>
          </w:p>
        </w:tc>
        <w:tc>
          <w:tcPr>
            <w:tcW w:w="685"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551" w:type="dxa"/>
            <w:tcBorders>
              <w:top w:val="nil" w:sz="6" w:space="0" w:color="auto"/>
              <w:left w:val="single" w:sz="4" w:space="0" w:color="000000"/>
              <w:bottom w:val="single" w:sz="4" w:space="0" w:color="000000"/>
              <w:right w:val="single" w:sz="4" w:space="0" w:color="000000"/>
            </w:tcBorders>
          </w:tcPr>
          <w:p>
            <w:pPr/>
          </w:p>
        </w:tc>
        <w:tc>
          <w:tcPr>
            <w:tcW w:w="416" w:type="dxa"/>
            <w:tcBorders>
              <w:top w:val="nil" w:sz="6" w:space="0" w:color="auto"/>
              <w:left w:val="single" w:sz="4" w:space="0" w:color="000000"/>
              <w:bottom w:val="single" w:sz="4" w:space="0" w:color="000000"/>
              <w:right w:val="single" w:sz="4" w:space="0" w:color="000000"/>
            </w:tcBorders>
          </w:tcPr>
          <w:p>
            <w:pPr/>
          </w:p>
        </w:tc>
        <w:tc>
          <w:tcPr>
            <w:tcW w:w="262" w:type="dxa"/>
            <w:tcBorders>
              <w:top w:val="nil" w:sz="6" w:space="0" w:color="auto"/>
              <w:left w:val="single" w:sz="4" w:space="0" w:color="000000"/>
              <w:bottom w:val="single" w:sz="4" w:space="0" w:color="000000"/>
              <w:right w:val="single" w:sz="4" w:space="0" w:color="000000"/>
            </w:tcBorders>
          </w:tcPr>
          <w:p>
            <w:pPr/>
          </w:p>
        </w:tc>
        <w:tc>
          <w:tcPr>
            <w:tcW w:w="431" w:type="dxa"/>
            <w:tcBorders>
              <w:top w:val="nil" w:sz="6" w:space="0" w:color="auto"/>
              <w:left w:val="single" w:sz="4" w:space="0" w:color="000000"/>
              <w:bottom w:val="single" w:sz="4" w:space="0" w:color="000000"/>
              <w:right w:val="single" w:sz="4" w:space="0" w:color="000000"/>
            </w:tcBorders>
          </w:tcPr>
          <w:p>
            <w:pPr/>
          </w:p>
        </w:tc>
        <w:tc>
          <w:tcPr>
            <w:tcW w:w="1868"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15,000</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较低</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赎回</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184.93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184.93</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184.93</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宋体" w:hAnsi="宋体" w:cs="宋体" w:eastAsia="宋体" w:hint="default"/>
                <w:sz w:val="18"/>
                <w:szCs w:val="18"/>
              </w:rPr>
              <w:t>是</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1190"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452"/>
        <w:gridCol w:w="473"/>
        <w:gridCol w:w="492"/>
        <w:gridCol w:w="641"/>
        <w:gridCol w:w="443"/>
        <w:gridCol w:w="443"/>
        <w:gridCol w:w="443"/>
        <w:gridCol w:w="443"/>
        <w:gridCol w:w="444"/>
        <w:gridCol w:w="521"/>
        <w:gridCol w:w="685"/>
        <w:gridCol w:w="686"/>
        <w:gridCol w:w="551"/>
        <w:gridCol w:w="416"/>
        <w:gridCol w:w="262"/>
        <w:gridCol w:w="431"/>
        <w:gridCol w:w="1868"/>
      </w:tblGrid>
      <w:tr>
        <w:trPr>
          <w:trHeight w:val="322" w:hRule="exact"/>
        </w:trPr>
        <w:tc>
          <w:tcPr>
            <w:tcW w:w="4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稠州</w:t>
            </w:r>
          </w:p>
        </w:tc>
        <w:tc>
          <w:tcPr>
            <w:tcW w:w="4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浮动</w:t>
            </w:r>
          </w:p>
        </w:tc>
        <w:tc>
          <w:tcPr>
            <w:tcW w:w="641" w:type="dxa"/>
            <w:vMerge w:val="restart"/>
            <w:tcBorders>
              <w:top w:val="single" w:sz="4" w:space="0" w:color="000000"/>
              <w:left w:val="single" w:sz="4" w:space="0" w:color="000000"/>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4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06</w:t>
            </w:r>
          </w:p>
        </w:tc>
        <w:tc>
          <w:tcPr>
            <w:tcW w:w="4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p>
        </w:tc>
        <w:tc>
          <w:tcPr>
            <w:tcW w:w="4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25"/>
              <w:jc w:val="center"/>
              <w:rPr>
                <w:rFonts w:ascii="宋体" w:hAnsi="宋体" w:cs="宋体" w:eastAsia="宋体" w:hint="default"/>
                <w:sz w:val="18"/>
                <w:szCs w:val="18"/>
              </w:rPr>
            </w:pPr>
            <w:r>
              <w:rPr>
                <w:rFonts w:ascii="宋体" w:hAnsi="宋体" w:cs="宋体" w:eastAsia="宋体" w:hint="default"/>
                <w:sz w:val="18"/>
                <w:szCs w:val="18"/>
              </w:rPr>
              <w:t>风险</w:t>
            </w:r>
          </w:p>
        </w:tc>
        <w:tc>
          <w:tcPr>
            <w:tcW w:w="4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时确</w:t>
            </w:r>
          </w:p>
        </w:tc>
        <w:tc>
          <w:tcPr>
            <w:tcW w:w="521"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551" w:type="dxa"/>
            <w:vMerge w:val="restart"/>
            <w:tcBorders>
              <w:top w:val="single" w:sz="4" w:space="0" w:color="000000"/>
              <w:left w:val="single" w:sz="4" w:space="0" w:color="000000"/>
              <w:right w:val="single" w:sz="4" w:space="0" w:color="000000"/>
            </w:tcBorders>
          </w:tcPr>
          <w:p>
            <w:pPr/>
          </w:p>
        </w:tc>
        <w:tc>
          <w:tcPr>
            <w:tcW w:w="416" w:type="dxa"/>
            <w:vMerge w:val="restart"/>
            <w:tcBorders>
              <w:top w:val="single" w:sz="4" w:space="0" w:color="000000"/>
              <w:left w:val="single" w:sz="4" w:space="0" w:color="000000"/>
              <w:right w:val="single" w:sz="4" w:space="0" w:color="000000"/>
            </w:tcBorders>
          </w:tcPr>
          <w:p>
            <w:pPr/>
          </w:p>
        </w:tc>
        <w:tc>
          <w:tcPr>
            <w:tcW w:w="262" w:type="dxa"/>
            <w:vMerge w:val="restart"/>
            <w:tcBorders>
              <w:top w:val="single" w:sz="4" w:space="0" w:color="000000"/>
              <w:left w:val="single" w:sz="4" w:space="0" w:color="000000"/>
              <w:right w:val="single" w:sz="4" w:space="0" w:color="000000"/>
            </w:tcBorders>
          </w:tcPr>
          <w:p>
            <w:pPr/>
          </w:p>
        </w:tc>
        <w:tc>
          <w:tcPr>
            <w:tcW w:w="431" w:type="dxa"/>
            <w:vMerge w:val="restart"/>
            <w:tcBorders>
              <w:top w:val="single" w:sz="4" w:space="0" w:color="000000"/>
              <w:left w:val="single" w:sz="4" w:space="0" w:color="000000"/>
              <w:right w:val="single" w:sz="4" w:space="0" w:color="000000"/>
            </w:tcBorders>
          </w:tcPr>
          <w:p>
            <w:pPr/>
          </w:p>
        </w:tc>
        <w:tc>
          <w:tcPr>
            <w:tcW w:w="18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313"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473" w:type="dxa"/>
            <w:tcBorders>
              <w:top w:val="nil" w:sz="6" w:space="0" w:color="auto"/>
              <w:left w:val="single" w:sz="4" w:space="0" w:color="000000"/>
              <w:bottom w:val="nil" w:sz="6" w:space="0" w:color="auto"/>
              <w:right w:val="single" w:sz="4" w:space="0" w:color="000000"/>
            </w:tcBorders>
          </w:tcPr>
          <w:p>
            <w:pPr/>
          </w:p>
        </w:tc>
        <w:tc>
          <w:tcPr>
            <w:tcW w:w="4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641" w:type="dxa"/>
            <w:vMerge/>
            <w:tcBorders>
              <w:left w:val="single" w:sz="4" w:space="0" w:color="000000"/>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22</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5"/>
              <w:jc w:val="center"/>
              <w:rPr>
                <w:rFonts w:ascii="宋体" w:hAnsi="宋体" w:cs="宋体" w:eastAsia="宋体" w:hint="default"/>
                <w:sz w:val="18"/>
                <w:szCs w:val="18"/>
              </w:rPr>
            </w:pPr>
            <w:r>
              <w:rPr>
                <w:rFonts w:ascii="宋体" w:hAnsi="宋体" w:cs="宋体" w:eastAsia="宋体" w:hint="default"/>
                <w:sz w:val="18"/>
                <w:szCs w:val="18"/>
              </w:rPr>
              <w:t>资产</w:t>
            </w:r>
          </w:p>
        </w:tc>
        <w:tc>
          <w:tcPr>
            <w:tcW w:w="44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认</w:t>
            </w:r>
          </w:p>
        </w:tc>
        <w:tc>
          <w:tcPr>
            <w:tcW w:w="521"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551" w:type="dxa"/>
            <w:vMerge/>
            <w:tcBorders>
              <w:left w:val="single" w:sz="4" w:space="0" w:color="000000"/>
              <w:right w:val="single" w:sz="4" w:space="0" w:color="000000"/>
            </w:tcBorders>
          </w:tcPr>
          <w:p>
            <w:pPr/>
          </w:p>
        </w:tc>
        <w:tc>
          <w:tcPr>
            <w:tcW w:w="416" w:type="dxa"/>
            <w:vMerge/>
            <w:tcBorders>
              <w:left w:val="single" w:sz="4" w:space="0" w:color="000000"/>
              <w:right w:val="single" w:sz="4" w:space="0" w:color="000000"/>
            </w:tcBorders>
          </w:tcPr>
          <w:p>
            <w:pPr/>
          </w:p>
        </w:tc>
        <w:tc>
          <w:tcPr>
            <w:tcW w:w="262" w:type="dxa"/>
            <w:vMerge/>
            <w:tcBorders>
              <w:left w:val="single" w:sz="4" w:space="0" w:color="000000"/>
              <w:right w:val="single" w:sz="4" w:space="0" w:color="000000"/>
            </w:tcBorders>
          </w:tcPr>
          <w:p>
            <w:pPr/>
          </w:p>
        </w:tc>
        <w:tc>
          <w:tcPr>
            <w:tcW w:w="431" w:type="dxa"/>
            <w:vMerge/>
            <w:tcBorders>
              <w:left w:val="single" w:sz="4" w:space="0" w:color="000000"/>
              <w:right w:val="single" w:sz="4" w:space="0" w:color="000000"/>
            </w:tcBorders>
          </w:tcPr>
          <w:p>
            <w:pPr/>
          </w:p>
        </w:tc>
        <w:tc>
          <w:tcPr>
            <w:tcW w:w="18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公告编码：</w:t>
            </w:r>
            <w:r>
              <w:rPr>
                <w:rFonts w:ascii="Times New Roman" w:hAnsi="Times New Roman" w:cs="Times New Roman" w:eastAsia="Times New Roman" w:hint="default"/>
                <w:sz w:val="18"/>
                <w:szCs w:val="18"/>
              </w:rPr>
              <w:t>2018-086</w:t>
            </w:r>
          </w:p>
        </w:tc>
      </w:tr>
      <w:tr>
        <w:trPr>
          <w:trHeight w:val="307"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73" w:type="dxa"/>
            <w:tcBorders>
              <w:top w:val="nil" w:sz="6" w:space="0" w:color="auto"/>
              <w:left w:val="single" w:sz="4" w:space="0" w:color="000000"/>
              <w:bottom w:val="nil" w:sz="6" w:space="0" w:color="auto"/>
              <w:right w:val="single" w:sz="4" w:space="0" w:color="000000"/>
            </w:tcBorders>
          </w:tcPr>
          <w:p>
            <w:pPr/>
          </w:p>
        </w:tc>
        <w:tc>
          <w:tcPr>
            <w:tcW w:w="4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型理</w:t>
            </w:r>
          </w:p>
        </w:tc>
        <w:tc>
          <w:tcPr>
            <w:tcW w:w="641" w:type="dxa"/>
            <w:vMerge/>
            <w:tcBorders>
              <w:left w:val="single" w:sz="4" w:space="0" w:color="000000"/>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43"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521"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551" w:type="dxa"/>
            <w:vMerge/>
            <w:tcBorders>
              <w:left w:val="single" w:sz="4" w:space="0" w:color="000000"/>
              <w:right w:val="single" w:sz="4" w:space="0" w:color="000000"/>
            </w:tcBorders>
          </w:tcPr>
          <w:p>
            <w:pPr/>
          </w:p>
        </w:tc>
        <w:tc>
          <w:tcPr>
            <w:tcW w:w="416" w:type="dxa"/>
            <w:vMerge/>
            <w:tcBorders>
              <w:left w:val="single" w:sz="4" w:space="0" w:color="000000"/>
              <w:right w:val="single" w:sz="4" w:space="0" w:color="000000"/>
            </w:tcBorders>
          </w:tcPr>
          <w:p>
            <w:pPr/>
          </w:p>
        </w:tc>
        <w:tc>
          <w:tcPr>
            <w:tcW w:w="262" w:type="dxa"/>
            <w:vMerge/>
            <w:tcBorders>
              <w:left w:val="single" w:sz="4" w:space="0" w:color="000000"/>
              <w:right w:val="single" w:sz="4" w:space="0" w:color="000000"/>
            </w:tcBorders>
          </w:tcPr>
          <w:p>
            <w:pPr/>
          </w:p>
        </w:tc>
        <w:tc>
          <w:tcPr>
            <w:tcW w:w="431" w:type="dxa"/>
            <w:vMerge/>
            <w:tcBorders>
              <w:left w:val="single" w:sz="4" w:space="0" w:color="000000"/>
              <w:right w:val="single" w:sz="4" w:space="0" w:color="000000"/>
            </w:tcBorders>
          </w:tcPr>
          <w:p>
            <w:pPr/>
          </w:p>
        </w:tc>
        <w:tc>
          <w:tcPr>
            <w:tcW w:w="18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473" w:type="dxa"/>
            <w:tcBorders>
              <w:top w:val="nil" w:sz="6" w:space="0" w:color="auto"/>
              <w:left w:val="single" w:sz="4" w:space="0" w:color="000000"/>
              <w:bottom w:val="nil" w:sz="6" w:space="0" w:color="auto"/>
              <w:right w:val="single" w:sz="4" w:space="0" w:color="000000"/>
            </w:tcBorders>
          </w:tcPr>
          <w:p>
            <w:pPr/>
          </w:p>
        </w:tc>
        <w:tc>
          <w:tcPr>
            <w:tcW w:w="4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w:t>
            </w:r>
          </w:p>
        </w:tc>
        <w:tc>
          <w:tcPr>
            <w:tcW w:w="641" w:type="dxa"/>
            <w:vMerge/>
            <w:tcBorders>
              <w:left w:val="single" w:sz="4" w:space="0" w:color="000000"/>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521"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551" w:type="dxa"/>
            <w:vMerge/>
            <w:tcBorders>
              <w:left w:val="single" w:sz="4" w:space="0" w:color="000000"/>
              <w:right w:val="single" w:sz="4" w:space="0" w:color="000000"/>
            </w:tcBorders>
          </w:tcPr>
          <w:p>
            <w:pPr/>
          </w:p>
        </w:tc>
        <w:tc>
          <w:tcPr>
            <w:tcW w:w="416" w:type="dxa"/>
            <w:vMerge/>
            <w:tcBorders>
              <w:left w:val="single" w:sz="4" w:space="0" w:color="000000"/>
              <w:right w:val="single" w:sz="4" w:space="0" w:color="000000"/>
            </w:tcBorders>
          </w:tcPr>
          <w:p>
            <w:pPr/>
          </w:p>
        </w:tc>
        <w:tc>
          <w:tcPr>
            <w:tcW w:w="262" w:type="dxa"/>
            <w:vMerge/>
            <w:tcBorders>
              <w:left w:val="single" w:sz="4" w:space="0" w:color="000000"/>
              <w:right w:val="single" w:sz="4" w:space="0" w:color="000000"/>
            </w:tcBorders>
          </w:tcPr>
          <w:p>
            <w:pPr/>
          </w:p>
        </w:tc>
        <w:tc>
          <w:tcPr>
            <w:tcW w:w="431" w:type="dxa"/>
            <w:vMerge/>
            <w:tcBorders>
              <w:left w:val="single" w:sz="4" w:space="0" w:color="000000"/>
              <w:right w:val="single" w:sz="4" w:space="0" w:color="000000"/>
            </w:tcBorders>
          </w:tcPr>
          <w:p>
            <w:pPr/>
          </w:p>
        </w:tc>
        <w:tc>
          <w:tcPr>
            <w:tcW w:w="18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473" w:type="dxa"/>
            <w:tcBorders>
              <w:top w:val="nil" w:sz="6" w:space="0" w:color="auto"/>
              <w:left w:val="single" w:sz="4" w:space="0" w:color="000000"/>
              <w:bottom w:val="nil" w:sz="6" w:space="0" w:color="auto"/>
              <w:right w:val="single" w:sz="4" w:space="0" w:color="000000"/>
            </w:tcBorders>
          </w:tcPr>
          <w:p>
            <w:pPr/>
          </w:p>
        </w:tc>
        <w:tc>
          <w:tcPr>
            <w:tcW w:w="492" w:type="dxa"/>
            <w:tcBorders>
              <w:top w:val="nil" w:sz="6" w:space="0" w:color="auto"/>
              <w:left w:val="single" w:sz="4" w:space="0" w:color="000000"/>
              <w:bottom w:val="nil" w:sz="6" w:space="0" w:color="auto"/>
              <w:right w:val="single" w:sz="4" w:space="0" w:color="000000"/>
            </w:tcBorders>
          </w:tcPr>
          <w:p>
            <w:pPr/>
          </w:p>
        </w:tc>
        <w:tc>
          <w:tcPr>
            <w:tcW w:w="641" w:type="dxa"/>
            <w:vMerge/>
            <w:tcBorders>
              <w:left w:val="single" w:sz="4" w:space="0" w:color="000000"/>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521"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551" w:type="dxa"/>
            <w:vMerge/>
            <w:tcBorders>
              <w:left w:val="single" w:sz="4" w:space="0" w:color="000000"/>
              <w:right w:val="single" w:sz="4" w:space="0" w:color="000000"/>
            </w:tcBorders>
          </w:tcPr>
          <w:p>
            <w:pPr/>
          </w:p>
        </w:tc>
        <w:tc>
          <w:tcPr>
            <w:tcW w:w="416" w:type="dxa"/>
            <w:vMerge/>
            <w:tcBorders>
              <w:left w:val="single" w:sz="4" w:space="0" w:color="000000"/>
              <w:right w:val="single" w:sz="4" w:space="0" w:color="000000"/>
            </w:tcBorders>
          </w:tcPr>
          <w:p>
            <w:pPr/>
          </w:p>
        </w:tc>
        <w:tc>
          <w:tcPr>
            <w:tcW w:w="262" w:type="dxa"/>
            <w:vMerge/>
            <w:tcBorders>
              <w:left w:val="single" w:sz="4" w:space="0" w:color="000000"/>
              <w:right w:val="single" w:sz="4" w:space="0" w:color="000000"/>
            </w:tcBorders>
          </w:tcPr>
          <w:p>
            <w:pPr/>
          </w:p>
        </w:tc>
        <w:tc>
          <w:tcPr>
            <w:tcW w:w="431" w:type="dxa"/>
            <w:vMerge/>
            <w:tcBorders>
              <w:left w:val="single" w:sz="4" w:space="0" w:color="000000"/>
              <w:right w:val="single" w:sz="4" w:space="0" w:color="000000"/>
            </w:tcBorders>
          </w:tcPr>
          <w:p>
            <w:pPr/>
          </w:p>
        </w:tc>
        <w:tc>
          <w:tcPr>
            <w:tcW w:w="18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4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473" w:type="dxa"/>
            <w:tcBorders>
              <w:top w:val="nil" w:sz="6" w:space="0" w:color="auto"/>
              <w:left w:val="single" w:sz="4" w:space="0" w:color="000000"/>
              <w:bottom w:val="single" w:sz="4" w:space="0" w:color="000000"/>
              <w:right w:val="single" w:sz="4" w:space="0" w:color="000000"/>
            </w:tcBorders>
          </w:tcPr>
          <w:p>
            <w:pPr/>
          </w:p>
        </w:tc>
        <w:tc>
          <w:tcPr>
            <w:tcW w:w="492" w:type="dxa"/>
            <w:tcBorders>
              <w:top w:val="nil" w:sz="6" w:space="0" w:color="auto"/>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4" w:type="dxa"/>
            <w:tcBorders>
              <w:top w:val="nil" w:sz="6" w:space="0" w:color="auto"/>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551" w:type="dxa"/>
            <w:vMerge/>
            <w:tcBorders>
              <w:left w:val="single" w:sz="4" w:space="0" w:color="000000"/>
              <w:bottom w:val="single" w:sz="4" w:space="0" w:color="000000"/>
              <w:right w:val="single" w:sz="4" w:space="0" w:color="000000"/>
            </w:tcBorders>
          </w:tcPr>
          <w:p>
            <w:pPr/>
          </w:p>
        </w:tc>
        <w:tc>
          <w:tcPr>
            <w:tcW w:w="416" w:type="dxa"/>
            <w:vMerge/>
            <w:tcBorders>
              <w:left w:val="single" w:sz="4" w:space="0" w:color="000000"/>
              <w:bottom w:val="single" w:sz="4" w:space="0" w:color="000000"/>
              <w:right w:val="single" w:sz="4" w:space="0" w:color="000000"/>
            </w:tcBorders>
          </w:tcPr>
          <w:p>
            <w:pPr/>
          </w:p>
        </w:tc>
        <w:tc>
          <w:tcPr>
            <w:tcW w:w="262" w:type="dxa"/>
            <w:vMerge/>
            <w:tcBorders>
              <w:left w:val="single" w:sz="4" w:space="0" w:color="000000"/>
              <w:bottom w:val="single" w:sz="4" w:space="0" w:color="000000"/>
              <w:right w:val="single" w:sz="4" w:space="0" w:color="000000"/>
            </w:tcBorders>
          </w:tcPr>
          <w:p>
            <w:pPr/>
          </w:p>
        </w:tc>
        <w:tc>
          <w:tcPr>
            <w:tcW w:w="431" w:type="dxa"/>
            <w:vMerge/>
            <w:tcBorders>
              <w:left w:val="single" w:sz="4" w:space="0" w:color="000000"/>
              <w:bottom w:val="single" w:sz="4" w:space="0" w:color="000000"/>
              <w:right w:val="single" w:sz="4" w:space="0" w:color="000000"/>
            </w:tcBorders>
          </w:tcPr>
          <w:p>
            <w:pPr/>
          </w:p>
        </w:tc>
        <w:tc>
          <w:tcPr>
            <w:tcW w:w="186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4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473" w:type="dxa"/>
            <w:tcBorders>
              <w:top w:val="single" w:sz="4" w:space="0" w:color="000000"/>
              <w:left w:val="single" w:sz="4" w:space="0" w:color="000000"/>
              <w:bottom w:val="nil" w:sz="6" w:space="0" w:color="auto"/>
              <w:right w:val="single" w:sz="4" w:space="0" w:color="000000"/>
            </w:tcBorders>
          </w:tcPr>
          <w:p>
            <w:pPr/>
          </w:p>
        </w:tc>
        <w:tc>
          <w:tcPr>
            <w:tcW w:w="49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4" w:type="dxa"/>
            <w:tcBorders>
              <w:top w:val="single" w:sz="4" w:space="0" w:color="000000"/>
              <w:left w:val="single" w:sz="4" w:space="0" w:color="000000"/>
              <w:bottom w:val="nil" w:sz="6" w:space="0" w:color="auto"/>
              <w:right w:val="single" w:sz="4" w:space="0" w:color="000000"/>
            </w:tcBorders>
          </w:tcPr>
          <w:p>
            <w:pPr/>
          </w:p>
        </w:tc>
        <w:tc>
          <w:tcPr>
            <w:tcW w:w="521" w:type="dxa"/>
            <w:tcBorders>
              <w:top w:val="single" w:sz="4" w:space="0" w:color="000000"/>
              <w:left w:val="single" w:sz="4" w:space="0" w:color="000000"/>
              <w:bottom w:val="nil" w:sz="6" w:space="0" w:color="auto"/>
              <w:right w:val="single" w:sz="4" w:space="0" w:color="000000"/>
            </w:tcBorders>
          </w:tcPr>
          <w:p>
            <w:pPr/>
          </w:p>
        </w:tc>
        <w:tc>
          <w:tcPr>
            <w:tcW w:w="685"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551" w:type="dxa"/>
            <w:tcBorders>
              <w:top w:val="single" w:sz="4" w:space="0" w:color="000000"/>
              <w:left w:val="single" w:sz="4" w:space="0" w:color="000000"/>
              <w:bottom w:val="nil" w:sz="6" w:space="0" w:color="auto"/>
              <w:right w:val="single" w:sz="4" w:space="0" w:color="000000"/>
            </w:tcBorders>
          </w:tcPr>
          <w:p>
            <w:pPr/>
          </w:p>
        </w:tc>
        <w:tc>
          <w:tcPr>
            <w:tcW w:w="416" w:type="dxa"/>
            <w:tcBorders>
              <w:top w:val="single" w:sz="4" w:space="0" w:color="000000"/>
              <w:left w:val="single" w:sz="4" w:space="0" w:color="000000"/>
              <w:bottom w:val="nil" w:sz="6" w:space="0" w:color="auto"/>
              <w:right w:val="single" w:sz="4" w:space="0" w:color="000000"/>
            </w:tcBorders>
          </w:tcPr>
          <w:p>
            <w:pPr/>
          </w:p>
        </w:tc>
        <w:tc>
          <w:tcPr>
            <w:tcW w:w="262" w:type="dxa"/>
            <w:tcBorders>
              <w:top w:val="single" w:sz="4" w:space="0" w:color="000000"/>
              <w:left w:val="single" w:sz="4" w:space="0" w:color="000000"/>
              <w:bottom w:val="nil" w:sz="6" w:space="0" w:color="auto"/>
              <w:right w:val="single" w:sz="4" w:space="0" w:color="000000"/>
            </w:tcBorders>
          </w:tcPr>
          <w:p>
            <w:pPr/>
          </w:p>
        </w:tc>
        <w:tc>
          <w:tcPr>
            <w:tcW w:w="431" w:type="dxa"/>
            <w:tcBorders>
              <w:top w:val="single" w:sz="4" w:space="0" w:color="000000"/>
              <w:left w:val="single" w:sz="4" w:space="0" w:color="000000"/>
              <w:bottom w:val="nil" w:sz="6" w:space="0" w:color="auto"/>
              <w:right w:val="single" w:sz="4" w:space="0" w:color="000000"/>
            </w:tcBorders>
          </w:tcPr>
          <w:p>
            <w:pPr/>
          </w:p>
        </w:tc>
        <w:tc>
          <w:tcPr>
            <w:tcW w:w="18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稠州</w:t>
            </w:r>
          </w:p>
        </w:tc>
        <w:tc>
          <w:tcPr>
            <w:tcW w:w="473" w:type="dxa"/>
            <w:tcBorders>
              <w:top w:val="nil" w:sz="6" w:space="0" w:color="auto"/>
              <w:left w:val="single" w:sz="4" w:space="0" w:color="000000"/>
              <w:bottom w:val="nil" w:sz="6" w:space="0" w:color="auto"/>
              <w:right w:val="single" w:sz="4" w:space="0" w:color="000000"/>
            </w:tcBorders>
          </w:tcPr>
          <w:p>
            <w:pPr/>
          </w:p>
        </w:tc>
        <w:tc>
          <w:tcPr>
            <w:tcW w:w="49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521" w:type="dxa"/>
            <w:tcBorders>
              <w:top w:val="nil" w:sz="6" w:space="0" w:color="auto"/>
              <w:left w:val="single" w:sz="4" w:space="0" w:color="000000"/>
              <w:bottom w:val="nil" w:sz="6" w:space="0" w:color="auto"/>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262" w:type="dxa"/>
            <w:tcBorders>
              <w:top w:val="nil" w:sz="6" w:space="0" w:color="auto"/>
              <w:left w:val="single" w:sz="4" w:space="0" w:color="000000"/>
              <w:bottom w:val="nil" w:sz="6" w:space="0" w:color="auto"/>
              <w:right w:val="single" w:sz="4" w:space="0" w:color="000000"/>
            </w:tcBorders>
          </w:tcPr>
          <w:p>
            <w:pPr/>
          </w:p>
        </w:tc>
        <w:tc>
          <w:tcPr>
            <w:tcW w:w="431" w:type="dxa"/>
            <w:tcBorders>
              <w:top w:val="nil" w:sz="6" w:space="0" w:color="auto"/>
              <w:left w:val="single" w:sz="4" w:space="0" w:color="000000"/>
              <w:bottom w:val="nil" w:sz="6" w:space="0" w:color="auto"/>
              <w:right w:val="single" w:sz="4" w:space="0" w:color="000000"/>
            </w:tcBorders>
          </w:tcPr>
          <w:p>
            <w:pPr/>
          </w:p>
        </w:tc>
        <w:tc>
          <w:tcPr>
            <w:tcW w:w="1868"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9"/>
              <w:jc w:val="both"/>
              <w:rPr>
                <w:rFonts w:ascii="宋体" w:hAnsi="宋体" w:cs="宋体" w:eastAsia="宋体" w:hint="default"/>
                <w:sz w:val="18"/>
                <w:szCs w:val="18"/>
              </w:rPr>
            </w:pPr>
            <w:r>
              <w:rPr>
                <w:rFonts w:ascii="宋体" w:hAnsi="宋体" w:cs="宋体" w:eastAsia="宋体" w:hint="default"/>
                <w:sz w:val="18"/>
                <w:szCs w:val="18"/>
              </w:rPr>
              <w:t>商业 银行 股份 有限 公司</w:t>
            </w:r>
          </w:p>
        </w:tc>
        <w:tc>
          <w:tcPr>
            <w:tcW w:w="4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4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97"/>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25,000</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48"/>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48"/>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4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4" w:right="48"/>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4.10%</w:t>
            </w:r>
          </w:p>
        </w:tc>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87.05</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87.05</w:t>
            </w:r>
          </w:p>
        </w:tc>
        <w:tc>
          <w:tcPr>
            <w:tcW w:w="5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87.05</w:t>
            </w:r>
          </w:p>
        </w:tc>
        <w:tc>
          <w:tcPr>
            <w:tcW w:w="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2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是</w:t>
            </w:r>
          </w:p>
        </w:tc>
        <w:tc>
          <w:tcPr>
            <w:tcW w:w="4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8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2" w:right="2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9">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公告编码：</w:t>
            </w:r>
            <w:r>
              <w:rPr>
                <w:rFonts w:ascii="Times New Roman" w:hAnsi="Times New Roman" w:cs="Times New Roman" w:eastAsia="Times New Roman" w:hint="default"/>
                <w:sz w:val="18"/>
                <w:szCs w:val="18"/>
              </w:rPr>
              <w:t>2018-093</w:t>
            </w:r>
          </w:p>
        </w:tc>
      </w:tr>
      <w:tr>
        <w:trPr>
          <w:trHeight w:val="313"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473" w:type="dxa"/>
            <w:tcBorders>
              <w:top w:val="nil" w:sz="6" w:space="0" w:color="auto"/>
              <w:left w:val="single" w:sz="4" w:space="0" w:color="000000"/>
              <w:bottom w:val="nil" w:sz="6" w:space="0" w:color="auto"/>
              <w:right w:val="single" w:sz="4" w:space="0" w:color="000000"/>
            </w:tcBorders>
          </w:tcPr>
          <w:p>
            <w:pPr/>
          </w:p>
        </w:tc>
        <w:tc>
          <w:tcPr>
            <w:tcW w:w="49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521" w:type="dxa"/>
            <w:tcBorders>
              <w:top w:val="nil" w:sz="6" w:space="0" w:color="auto"/>
              <w:left w:val="single" w:sz="4" w:space="0" w:color="000000"/>
              <w:bottom w:val="nil" w:sz="6" w:space="0" w:color="auto"/>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262" w:type="dxa"/>
            <w:tcBorders>
              <w:top w:val="nil" w:sz="6" w:space="0" w:color="auto"/>
              <w:left w:val="single" w:sz="4" w:space="0" w:color="000000"/>
              <w:bottom w:val="nil" w:sz="6" w:space="0" w:color="auto"/>
              <w:right w:val="single" w:sz="4" w:space="0" w:color="000000"/>
            </w:tcBorders>
          </w:tcPr>
          <w:p>
            <w:pPr/>
          </w:p>
        </w:tc>
        <w:tc>
          <w:tcPr>
            <w:tcW w:w="431" w:type="dxa"/>
            <w:tcBorders>
              <w:top w:val="nil" w:sz="6" w:space="0" w:color="auto"/>
              <w:left w:val="single" w:sz="4" w:space="0" w:color="000000"/>
              <w:bottom w:val="nil" w:sz="6" w:space="0" w:color="auto"/>
              <w:right w:val="single" w:sz="4" w:space="0" w:color="000000"/>
            </w:tcBorders>
          </w:tcPr>
          <w:p>
            <w:pPr/>
          </w:p>
        </w:tc>
        <w:tc>
          <w:tcPr>
            <w:tcW w:w="18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4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473" w:type="dxa"/>
            <w:tcBorders>
              <w:top w:val="nil" w:sz="6" w:space="0" w:color="auto"/>
              <w:left w:val="single" w:sz="4" w:space="0" w:color="000000"/>
              <w:bottom w:val="single" w:sz="4" w:space="0" w:color="000000"/>
              <w:right w:val="single" w:sz="4" w:space="0" w:color="000000"/>
            </w:tcBorders>
          </w:tcPr>
          <w:p>
            <w:pPr/>
          </w:p>
        </w:tc>
        <w:tc>
          <w:tcPr>
            <w:tcW w:w="49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4" w:type="dxa"/>
            <w:tcBorders>
              <w:top w:val="nil" w:sz="6" w:space="0" w:color="auto"/>
              <w:left w:val="single" w:sz="4" w:space="0" w:color="000000"/>
              <w:bottom w:val="single" w:sz="4" w:space="0" w:color="000000"/>
              <w:right w:val="single" w:sz="4" w:space="0" w:color="000000"/>
            </w:tcBorders>
          </w:tcPr>
          <w:p>
            <w:pPr/>
          </w:p>
        </w:tc>
        <w:tc>
          <w:tcPr>
            <w:tcW w:w="521" w:type="dxa"/>
            <w:tcBorders>
              <w:top w:val="nil" w:sz="6" w:space="0" w:color="auto"/>
              <w:left w:val="single" w:sz="4" w:space="0" w:color="000000"/>
              <w:bottom w:val="single" w:sz="4" w:space="0" w:color="000000"/>
              <w:right w:val="single" w:sz="4" w:space="0" w:color="000000"/>
            </w:tcBorders>
          </w:tcPr>
          <w:p>
            <w:pPr/>
          </w:p>
        </w:tc>
        <w:tc>
          <w:tcPr>
            <w:tcW w:w="685"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551" w:type="dxa"/>
            <w:tcBorders>
              <w:top w:val="nil" w:sz="6" w:space="0" w:color="auto"/>
              <w:left w:val="single" w:sz="4" w:space="0" w:color="000000"/>
              <w:bottom w:val="single" w:sz="4" w:space="0" w:color="000000"/>
              <w:right w:val="single" w:sz="4" w:space="0" w:color="000000"/>
            </w:tcBorders>
          </w:tcPr>
          <w:p>
            <w:pPr/>
          </w:p>
        </w:tc>
        <w:tc>
          <w:tcPr>
            <w:tcW w:w="416" w:type="dxa"/>
            <w:tcBorders>
              <w:top w:val="nil" w:sz="6" w:space="0" w:color="auto"/>
              <w:left w:val="single" w:sz="4" w:space="0" w:color="000000"/>
              <w:bottom w:val="single" w:sz="4" w:space="0" w:color="000000"/>
              <w:right w:val="single" w:sz="4" w:space="0" w:color="000000"/>
            </w:tcBorders>
          </w:tcPr>
          <w:p>
            <w:pPr/>
          </w:p>
        </w:tc>
        <w:tc>
          <w:tcPr>
            <w:tcW w:w="262" w:type="dxa"/>
            <w:tcBorders>
              <w:top w:val="nil" w:sz="6" w:space="0" w:color="auto"/>
              <w:left w:val="single" w:sz="4" w:space="0" w:color="000000"/>
              <w:bottom w:val="single" w:sz="4" w:space="0" w:color="000000"/>
              <w:right w:val="single" w:sz="4" w:space="0" w:color="000000"/>
            </w:tcBorders>
          </w:tcPr>
          <w:p>
            <w:pPr/>
          </w:p>
        </w:tc>
        <w:tc>
          <w:tcPr>
            <w:tcW w:w="431" w:type="dxa"/>
            <w:tcBorders>
              <w:top w:val="nil" w:sz="6" w:space="0" w:color="auto"/>
              <w:left w:val="single" w:sz="4" w:space="0" w:color="000000"/>
              <w:bottom w:val="single" w:sz="4" w:space="0" w:color="000000"/>
              <w:right w:val="single" w:sz="4" w:space="0" w:color="000000"/>
            </w:tcBorders>
          </w:tcPr>
          <w:p>
            <w:pPr/>
          </w:p>
        </w:tc>
        <w:tc>
          <w:tcPr>
            <w:tcW w:w="1868" w:type="dxa"/>
            <w:tcBorders>
              <w:top w:val="nil" w:sz="6" w:space="0" w:color="auto"/>
              <w:left w:val="single" w:sz="4" w:space="0" w:color="000000"/>
              <w:bottom w:val="single" w:sz="4" w:space="0" w:color="000000"/>
              <w:right w:val="single" w:sz="4" w:space="0" w:color="000000"/>
            </w:tcBorders>
          </w:tcPr>
          <w:p>
            <w:pPr/>
          </w:p>
        </w:tc>
      </w:tr>
      <w:tr>
        <w:trPr>
          <w:trHeight w:val="1650"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中信 证券 股份 有限 公司</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78"/>
              <w:jc w:val="left"/>
              <w:rPr>
                <w:rFonts w:ascii="宋体" w:hAnsi="宋体" w:cs="宋体" w:eastAsia="宋体" w:hint="default"/>
                <w:sz w:val="18"/>
                <w:szCs w:val="18"/>
              </w:rPr>
            </w:pPr>
            <w:r>
              <w:rPr>
                <w:rFonts w:ascii="宋体" w:hAnsi="宋体" w:cs="宋体" w:eastAsia="宋体" w:hint="default"/>
                <w:sz w:val="18"/>
                <w:szCs w:val="18"/>
              </w:rPr>
              <w:t>证券 公司</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7"/>
              <w:jc w:val="both"/>
              <w:rPr>
                <w:rFonts w:ascii="宋体" w:hAnsi="宋体" w:cs="宋体" w:eastAsia="宋体" w:hint="default"/>
                <w:sz w:val="18"/>
                <w:szCs w:val="18"/>
              </w:rPr>
            </w:pPr>
            <w:r>
              <w:rPr>
                <w:rFonts w:ascii="宋体" w:hAnsi="宋体" w:cs="宋体" w:eastAsia="宋体" w:hint="default"/>
                <w:sz w:val="18"/>
                <w:szCs w:val="18"/>
              </w:rPr>
              <w:t>本金 保障 型收 益凭 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15,000</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8"/>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8"/>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48"/>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3.35%</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140.42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140.42</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140.42</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是</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2" w:right="2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9">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公告编码：</w:t>
            </w:r>
            <w:r>
              <w:rPr>
                <w:rFonts w:ascii="Times New Roman" w:hAnsi="Times New Roman" w:cs="Times New Roman" w:eastAsia="Times New Roman" w:hint="default"/>
                <w:sz w:val="18"/>
                <w:szCs w:val="18"/>
              </w:rPr>
              <w:t>2018-093</w:t>
            </w:r>
          </w:p>
        </w:tc>
      </w:tr>
      <w:tr>
        <w:trPr>
          <w:trHeight w:val="357" w:hRule="exact"/>
        </w:trPr>
        <w:tc>
          <w:tcPr>
            <w:tcW w:w="4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兴业</w:t>
            </w:r>
          </w:p>
        </w:tc>
        <w:tc>
          <w:tcPr>
            <w:tcW w:w="473" w:type="dxa"/>
            <w:tcBorders>
              <w:top w:val="single" w:sz="4" w:space="0" w:color="000000"/>
              <w:left w:val="single" w:sz="4" w:space="0" w:color="000000"/>
              <w:bottom w:val="nil" w:sz="6" w:space="0" w:color="auto"/>
              <w:right w:val="single" w:sz="4" w:space="0" w:color="000000"/>
            </w:tcBorders>
          </w:tcPr>
          <w:p>
            <w:pPr/>
          </w:p>
        </w:tc>
        <w:tc>
          <w:tcPr>
            <w:tcW w:w="49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4" w:type="dxa"/>
            <w:tcBorders>
              <w:top w:val="single" w:sz="4" w:space="0" w:color="000000"/>
              <w:left w:val="single" w:sz="4" w:space="0" w:color="000000"/>
              <w:bottom w:val="nil" w:sz="6" w:space="0" w:color="auto"/>
              <w:right w:val="single" w:sz="4" w:space="0" w:color="000000"/>
            </w:tcBorders>
          </w:tcPr>
          <w:p>
            <w:pPr/>
          </w:p>
        </w:tc>
        <w:tc>
          <w:tcPr>
            <w:tcW w:w="521" w:type="dxa"/>
            <w:tcBorders>
              <w:top w:val="single" w:sz="4" w:space="0" w:color="000000"/>
              <w:left w:val="single" w:sz="4" w:space="0" w:color="000000"/>
              <w:bottom w:val="nil" w:sz="6" w:space="0" w:color="auto"/>
              <w:right w:val="single" w:sz="4" w:space="0" w:color="000000"/>
            </w:tcBorders>
          </w:tcPr>
          <w:p>
            <w:pPr/>
          </w:p>
        </w:tc>
        <w:tc>
          <w:tcPr>
            <w:tcW w:w="685"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551" w:type="dxa"/>
            <w:tcBorders>
              <w:top w:val="single" w:sz="4" w:space="0" w:color="000000"/>
              <w:left w:val="single" w:sz="4" w:space="0" w:color="000000"/>
              <w:bottom w:val="nil" w:sz="6" w:space="0" w:color="auto"/>
              <w:right w:val="single" w:sz="4" w:space="0" w:color="000000"/>
            </w:tcBorders>
          </w:tcPr>
          <w:p>
            <w:pPr/>
          </w:p>
        </w:tc>
        <w:tc>
          <w:tcPr>
            <w:tcW w:w="416" w:type="dxa"/>
            <w:tcBorders>
              <w:top w:val="single" w:sz="4" w:space="0" w:color="000000"/>
              <w:left w:val="single" w:sz="4" w:space="0" w:color="000000"/>
              <w:bottom w:val="nil" w:sz="6" w:space="0" w:color="auto"/>
              <w:right w:val="single" w:sz="4" w:space="0" w:color="000000"/>
            </w:tcBorders>
          </w:tcPr>
          <w:p>
            <w:pPr/>
          </w:p>
        </w:tc>
        <w:tc>
          <w:tcPr>
            <w:tcW w:w="262" w:type="dxa"/>
            <w:tcBorders>
              <w:top w:val="single" w:sz="4" w:space="0" w:color="000000"/>
              <w:left w:val="single" w:sz="4" w:space="0" w:color="000000"/>
              <w:bottom w:val="nil" w:sz="6" w:space="0" w:color="auto"/>
              <w:right w:val="single" w:sz="4" w:space="0" w:color="000000"/>
            </w:tcBorders>
          </w:tcPr>
          <w:p>
            <w:pPr/>
          </w:p>
        </w:tc>
        <w:tc>
          <w:tcPr>
            <w:tcW w:w="431" w:type="dxa"/>
            <w:tcBorders>
              <w:top w:val="single" w:sz="4" w:space="0" w:color="000000"/>
              <w:left w:val="single" w:sz="4" w:space="0" w:color="000000"/>
              <w:bottom w:val="nil" w:sz="6" w:space="0" w:color="auto"/>
              <w:right w:val="single" w:sz="4" w:space="0" w:color="000000"/>
            </w:tcBorders>
          </w:tcPr>
          <w:p>
            <w:pPr/>
          </w:p>
        </w:tc>
        <w:tc>
          <w:tcPr>
            <w:tcW w:w="18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73" w:type="dxa"/>
            <w:tcBorders>
              <w:top w:val="nil" w:sz="6" w:space="0" w:color="auto"/>
              <w:left w:val="single" w:sz="4" w:space="0" w:color="000000"/>
              <w:bottom w:val="nil" w:sz="6" w:space="0" w:color="auto"/>
              <w:right w:val="single" w:sz="4" w:space="0" w:color="000000"/>
            </w:tcBorders>
          </w:tcPr>
          <w:p>
            <w:pPr/>
          </w:p>
        </w:tc>
        <w:tc>
          <w:tcPr>
            <w:tcW w:w="49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521" w:type="dxa"/>
            <w:tcBorders>
              <w:top w:val="nil" w:sz="6" w:space="0" w:color="auto"/>
              <w:left w:val="single" w:sz="4" w:space="0" w:color="000000"/>
              <w:bottom w:val="nil" w:sz="6" w:space="0" w:color="auto"/>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262" w:type="dxa"/>
            <w:tcBorders>
              <w:top w:val="nil" w:sz="6" w:space="0" w:color="auto"/>
              <w:left w:val="single" w:sz="4" w:space="0" w:color="000000"/>
              <w:bottom w:val="nil" w:sz="6" w:space="0" w:color="auto"/>
              <w:right w:val="single" w:sz="4" w:space="0" w:color="000000"/>
            </w:tcBorders>
          </w:tcPr>
          <w:p>
            <w:pPr/>
          </w:p>
        </w:tc>
        <w:tc>
          <w:tcPr>
            <w:tcW w:w="431" w:type="dxa"/>
            <w:tcBorders>
              <w:top w:val="nil" w:sz="6" w:space="0" w:color="auto"/>
              <w:left w:val="single" w:sz="4" w:space="0" w:color="000000"/>
              <w:bottom w:val="nil" w:sz="6" w:space="0" w:color="auto"/>
              <w:right w:val="single" w:sz="4" w:space="0" w:color="000000"/>
            </w:tcBorders>
          </w:tcPr>
          <w:p>
            <w:pPr/>
          </w:p>
        </w:tc>
        <w:tc>
          <w:tcPr>
            <w:tcW w:w="18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473" w:type="dxa"/>
            <w:tcBorders>
              <w:top w:val="nil" w:sz="6" w:space="0" w:color="auto"/>
              <w:left w:val="single" w:sz="4" w:space="0" w:color="000000"/>
              <w:bottom w:val="nil" w:sz="6" w:space="0" w:color="auto"/>
              <w:right w:val="single" w:sz="4" w:space="0" w:color="000000"/>
            </w:tcBorders>
          </w:tcPr>
          <w:p>
            <w:pPr/>
          </w:p>
        </w:tc>
        <w:tc>
          <w:tcPr>
            <w:tcW w:w="49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521" w:type="dxa"/>
            <w:tcBorders>
              <w:top w:val="nil" w:sz="6" w:space="0" w:color="auto"/>
              <w:left w:val="single" w:sz="4" w:space="0" w:color="000000"/>
              <w:bottom w:val="nil" w:sz="6" w:space="0" w:color="auto"/>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262" w:type="dxa"/>
            <w:tcBorders>
              <w:top w:val="nil" w:sz="6" w:space="0" w:color="auto"/>
              <w:left w:val="single" w:sz="4" w:space="0" w:color="000000"/>
              <w:bottom w:val="nil" w:sz="6" w:space="0" w:color="auto"/>
              <w:right w:val="single" w:sz="4" w:space="0" w:color="000000"/>
            </w:tcBorders>
          </w:tcPr>
          <w:p>
            <w:pPr/>
          </w:p>
        </w:tc>
        <w:tc>
          <w:tcPr>
            <w:tcW w:w="431" w:type="dxa"/>
            <w:tcBorders>
              <w:top w:val="nil" w:sz="6" w:space="0" w:color="auto"/>
              <w:left w:val="single" w:sz="4" w:space="0" w:color="000000"/>
              <w:bottom w:val="nil" w:sz="6" w:space="0" w:color="auto"/>
              <w:right w:val="single" w:sz="4" w:space="0" w:color="000000"/>
            </w:tcBorders>
          </w:tcPr>
          <w:p>
            <w:pPr/>
          </w:p>
        </w:tc>
        <w:tc>
          <w:tcPr>
            <w:tcW w:w="1868"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9"/>
              <w:jc w:val="both"/>
              <w:rPr>
                <w:rFonts w:ascii="宋体" w:hAnsi="宋体" w:cs="宋体" w:eastAsia="宋体" w:hint="default"/>
                <w:sz w:val="18"/>
                <w:szCs w:val="18"/>
              </w:rPr>
            </w:pPr>
            <w:r>
              <w:rPr>
                <w:rFonts w:ascii="宋体" w:hAnsi="宋体" w:cs="宋体" w:eastAsia="宋体" w:hint="default"/>
                <w:sz w:val="18"/>
                <w:szCs w:val="18"/>
              </w:rPr>
              <w:t>有限 公司 北京 经济 技术</w:t>
            </w:r>
          </w:p>
        </w:tc>
        <w:tc>
          <w:tcPr>
            <w:tcW w:w="4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4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97"/>
              <w:jc w:val="both"/>
              <w:rPr>
                <w:rFonts w:ascii="宋体" w:hAnsi="宋体" w:cs="宋体" w:eastAsia="宋体" w:hint="default"/>
                <w:sz w:val="18"/>
                <w:szCs w:val="18"/>
              </w:rPr>
            </w:pPr>
            <w:r>
              <w:rPr>
                <w:rFonts w:ascii="宋体" w:hAnsi="宋体" w:cs="宋体" w:eastAsia="宋体" w:hint="default"/>
                <w:sz w:val="18"/>
                <w:szCs w:val="18"/>
              </w:rPr>
              <w:t>保本 开放 式周 期型</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22,000</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48"/>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48"/>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4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4" w:right="48"/>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3.60%</w:t>
            </w:r>
          </w:p>
        </w:tc>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65.1</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65.1</w:t>
            </w:r>
          </w:p>
        </w:tc>
        <w:tc>
          <w:tcPr>
            <w:tcW w:w="5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65.1</w:t>
            </w:r>
          </w:p>
        </w:tc>
        <w:tc>
          <w:tcPr>
            <w:tcW w:w="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2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是</w:t>
            </w:r>
          </w:p>
        </w:tc>
        <w:tc>
          <w:tcPr>
            <w:tcW w:w="4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8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2" w:right="2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9">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公告编码：</w:t>
            </w:r>
            <w:r>
              <w:rPr>
                <w:rFonts w:ascii="Times New Roman" w:hAnsi="Times New Roman" w:cs="Times New Roman" w:eastAsia="Times New Roman" w:hint="default"/>
                <w:sz w:val="18"/>
                <w:szCs w:val="18"/>
              </w:rPr>
              <w:t>2018-093</w:t>
            </w:r>
          </w:p>
        </w:tc>
      </w:tr>
      <w:tr>
        <w:trPr>
          <w:trHeight w:val="312"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473" w:type="dxa"/>
            <w:tcBorders>
              <w:top w:val="nil" w:sz="6" w:space="0" w:color="auto"/>
              <w:left w:val="single" w:sz="4" w:space="0" w:color="000000"/>
              <w:bottom w:val="nil" w:sz="6" w:space="0" w:color="auto"/>
              <w:right w:val="single" w:sz="4" w:space="0" w:color="000000"/>
            </w:tcBorders>
          </w:tcPr>
          <w:p>
            <w:pPr/>
          </w:p>
        </w:tc>
        <w:tc>
          <w:tcPr>
            <w:tcW w:w="49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521" w:type="dxa"/>
            <w:tcBorders>
              <w:top w:val="nil" w:sz="6" w:space="0" w:color="auto"/>
              <w:left w:val="single" w:sz="4" w:space="0" w:color="000000"/>
              <w:bottom w:val="nil" w:sz="6" w:space="0" w:color="auto"/>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262" w:type="dxa"/>
            <w:tcBorders>
              <w:top w:val="nil" w:sz="6" w:space="0" w:color="auto"/>
              <w:left w:val="single" w:sz="4" w:space="0" w:color="000000"/>
              <w:bottom w:val="nil" w:sz="6" w:space="0" w:color="auto"/>
              <w:right w:val="single" w:sz="4" w:space="0" w:color="000000"/>
            </w:tcBorders>
          </w:tcPr>
          <w:p>
            <w:pPr/>
          </w:p>
        </w:tc>
        <w:tc>
          <w:tcPr>
            <w:tcW w:w="431" w:type="dxa"/>
            <w:tcBorders>
              <w:top w:val="nil" w:sz="6" w:space="0" w:color="auto"/>
              <w:left w:val="single" w:sz="4" w:space="0" w:color="000000"/>
              <w:bottom w:val="nil" w:sz="6" w:space="0" w:color="auto"/>
              <w:right w:val="single" w:sz="4" w:space="0" w:color="000000"/>
            </w:tcBorders>
          </w:tcPr>
          <w:p>
            <w:pPr/>
          </w:p>
        </w:tc>
        <w:tc>
          <w:tcPr>
            <w:tcW w:w="18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区支</w:t>
            </w:r>
          </w:p>
        </w:tc>
        <w:tc>
          <w:tcPr>
            <w:tcW w:w="473" w:type="dxa"/>
            <w:tcBorders>
              <w:top w:val="nil" w:sz="6" w:space="0" w:color="auto"/>
              <w:left w:val="single" w:sz="4" w:space="0" w:color="000000"/>
              <w:bottom w:val="nil" w:sz="6" w:space="0" w:color="auto"/>
              <w:right w:val="single" w:sz="4" w:space="0" w:color="000000"/>
            </w:tcBorders>
          </w:tcPr>
          <w:p>
            <w:pPr/>
          </w:p>
        </w:tc>
        <w:tc>
          <w:tcPr>
            <w:tcW w:w="49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3"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521" w:type="dxa"/>
            <w:tcBorders>
              <w:top w:val="nil" w:sz="6" w:space="0" w:color="auto"/>
              <w:left w:val="single" w:sz="4" w:space="0" w:color="000000"/>
              <w:bottom w:val="nil" w:sz="6" w:space="0" w:color="auto"/>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262" w:type="dxa"/>
            <w:tcBorders>
              <w:top w:val="nil" w:sz="6" w:space="0" w:color="auto"/>
              <w:left w:val="single" w:sz="4" w:space="0" w:color="000000"/>
              <w:bottom w:val="nil" w:sz="6" w:space="0" w:color="auto"/>
              <w:right w:val="single" w:sz="4" w:space="0" w:color="000000"/>
            </w:tcBorders>
          </w:tcPr>
          <w:p>
            <w:pPr/>
          </w:p>
        </w:tc>
        <w:tc>
          <w:tcPr>
            <w:tcW w:w="431" w:type="dxa"/>
            <w:tcBorders>
              <w:top w:val="nil" w:sz="6" w:space="0" w:color="auto"/>
              <w:left w:val="single" w:sz="4" w:space="0" w:color="000000"/>
              <w:bottom w:val="nil" w:sz="6" w:space="0" w:color="auto"/>
              <w:right w:val="single" w:sz="4" w:space="0" w:color="000000"/>
            </w:tcBorders>
          </w:tcPr>
          <w:p>
            <w:pPr/>
          </w:p>
        </w:tc>
        <w:tc>
          <w:tcPr>
            <w:tcW w:w="18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4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473" w:type="dxa"/>
            <w:tcBorders>
              <w:top w:val="nil" w:sz="6" w:space="0" w:color="auto"/>
              <w:left w:val="single" w:sz="4" w:space="0" w:color="000000"/>
              <w:bottom w:val="single" w:sz="4" w:space="0" w:color="000000"/>
              <w:right w:val="single" w:sz="4" w:space="0" w:color="000000"/>
            </w:tcBorders>
          </w:tcPr>
          <w:p>
            <w:pPr/>
          </w:p>
        </w:tc>
        <w:tc>
          <w:tcPr>
            <w:tcW w:w="49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4" w:type="dxa"/>
            <w:tcBorders>
              <w:top w:val="nil" w:sz="6" w:space="0" w:color="auto"/>
              <w:left w:val="single" w:sz="4" w:space="0" w:color="000000"/>
              <w:bottom w:val="single" w:sz="4" w:space="0" w:color="000000"/>
              <w:right w:val="single" w:sz="4" w:space="0" w:color="000000"/>
            </w:tcBorders>
          </w:tcPr>
          <w:p>
            <w:pPr/>
          </w:p>
        </w:tc>
        <w:tc>
          <w:tcPr>
            <w:tcW w:w="521" w:type="dxa"/>
            <w:tcBorders>
              <w:top w:val="nil" w:sz="6" w:space="0" w:color="auto"/>
              <w:left w:val="single" w:sz="4" w:space="0" w:color="000000"/>
              <w:bottom w:val="single" w:sz="4" w:space="0" w:color="000000"/>
              <w:right w:val="single" w:sz="4" w:space="0" w:color="000000"/>
            </w:tcBorders>
          </w:tcPr>
          <w:p>
            <w:pPr/>
          </w:p>
        </w:tc>
        <w:tc>
          <w:tcPr>
            <w:tcW w:w="685"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551" w:type="dxa"/>
            <w:tcBorders>
              <w:top w:val="nil" w:sz="6" w:space="0" w:color="auto"/>
              <w:left w:val="single" w:sz="4" w:space="0" w:color="000000"/>
              <w:bottom w:val="single" w:sz="4" w:space="0" w:color="000000"/>
              <w:right w:val="single" w:sz="4" w:space="0" w:color="000000"/>
            </w:tcBorders>
          </w:tcPr>
          <w:p>
            <w:pPr/>
          </w:p>
        </w:tc>
        <w:tc>
          <w:tcPr>
            <w:tcW w:w="416" w:type="dxa"/>
            <w:tcBorders>
              <w:top w:val="nil" w:sz="6" w:space="0" w:color="auto"/>
              <w:left w:val="single" w:sz="4" w:space="0" w:color="000000"/>
              <w:bottom w:val="single" w:sz="4" w:space="0" w:color="000000"/>
              <w:right w:val="single" w:sz="4" w:space="0" w:color="000000"/>
            </w:tcBorders>
          </w:tcPr>
          <w:p>
            <w:pPr/>
          </w:p>
        </w:tc>
        <w:tc>
          <w:tcPr>
            <w:tcW w:w="262" w:type="dxa"/>
            <w:tcBorders>
              <w:top w:val="nil" w:sz="6" w:space="0" w:color="auto"/>
              <w:left w:val="single" w:sz="4" w:space="0" w:color="000000"/>
              <w:bottom w:val="single" w:sz="4" w:space="0" w:color="000000"/>
              <w:right w:val="single" w:sz="4" w:space="0" w:color="000000"/>
            </w:tcBorders>
          </w:tcPr>
          <w:p>
            <w:pPr/>
          </w:p>
        </w:tc>
        <w:tc>
          <w:tcPr>
            <w:tcW w:w="431" w:type="dxa"/>
            <w:tcBorders>
              <w:top w:val="nil" w:sz="6" w:space="0" w:color="auto"/>
              <w:left w:val="single" w:sz="4" w:space="0" w:color="000000"/>
              <w:bottom w:val="single" w:sz="4" w:space="0" w:color="000000"/>
              <w:right w:val="single" w:sz="4" w:space="0" w:color="000000"/>
            </w:tcBorders>
          </w:tcPr>
          <w:p>
            <w:pPr/>
          </w:p>
        </w:tc>
        <w:tc>
          <w:tcPr>
            <w:tcW w:w="186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4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w:t>
            </w:r>
          </w:p>
        </w:tc>
        <w:tc>
          <w:tcPr>
            <w:tcW w:w="473" w:type="dxa"/>
            <w:tcBorders>
              <w:top w:val="single" w:sz="4" w:space="0" w:color="000000"/>
              <w:left w:val="single" w:sz="4" w:space="0" w:color="000000"/>
              <w:bottom w:val="nil" w:sz="6" w:space="0" w:color="auto"/>
              <w:right w:val="single" w:sz="4" w:space="0" w:color="000000"/>
            </w:tcBorders>
          </w:tcPr>
          <w:p>
            <w:pPr/>
          </w:p>
        </w:tc>
        <w:tc>
          <w:tcPr>
            <w:tcW w:w="49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4" w:type="dxa"/>
            <w:tcBorders>
              <w:top w:val="single" w:sz="4" w:space="0" w:color="000000"/>
              <w:left w:val="single" w:sz="4" w:space="0" w:color="000000"/>
              <w:bottom w:val="nil" w:sz="6" w:space="0" w:color="auto"/>
              <w:right w:val="single" w:sz="4" w:space="0" w:color="000000"/>
            </w:tcBorders>
          </w:tcPr>
          <w:p>
            <w:pPr/>
          </w:p>
        </w:tc>
        <w:tc>
          <w:tcPr>
            <w:tcW w:w="521" w:type="dxa"/>
            <w:tcBorders>
              <w:top w:val="single" w:sz="4" w:space="0" w:color="000000"/>
              <w:left w:val="single" w:sz="4" w:space="0" w:color="000000"/>
              <w:bottom w:val="nil" w:sz="6" w:space="0" w:color="auto"/>
              <w:right w:val="single" w:sz="4" w:space="0" w:color="000000"/>
            </w:tcBorders>
          </w:tcPr>
          <w:p>
            <w:pPr/>
          </w:p>
        </w:tc>
        <w:tc>
          <w:tcPr>
            <w:tcW w:w="685"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551" w:type="dxa"/>
            <w:tcBorders>
              <w:top w:val="single" w:sz="4" w:space="0" w:color="000000"/>
              <w:left w:val="single" w:sz="4" w:space="0" w:color="000000"/>
              <w:bottom w:val="nil" w:sz="6" w:space="0" w:color="auto"/>
              <w:right w:val="single" w:sz="4" w:space="0" w:color="000000"/>
            </w:tcBorders>
          </w:tcPr>
          <w:p>
            <w:pPr/>
          </w:p>
        </w:tc>
        <w:tc>
          <w:tcPr>
            <w:tcW w:w="416" w:type="dxa"/>
            <w:tcBorders>
              <w:top w:val="single" w:sz="4" w:space="0" w:color="000000"/>
              <w:left w:val="single" w:sz="4" w:space="0" w:color="000000"/>
              <w:bottom w:val="nil" w:sz="6" w:space="0" w:color="auto"/>
              <w:right w:val="single" w:sz="4" w:space="0" w:color="000000"/>
            </w:tcBorders>
          </w:tcPr>
          <w:p>
            <w:pPr/>
          </w:p>
        </w:tc>
        <w:tc>
          <w:tcPr>
            <w:tcW w:w="262" w:type="dxa"/>
            <w:tcBorders>
              <w:top w:val="single" w:sz="4" w:space="0" w:color="000000"/>
              <w:left w:val="single" w:sz="4" w:space="0" w:color="000000"/>
              <w:bottom w:val="nil" w:sz="6" w:space="0" w:color="auto"/>
              <w:right w:val="single" w:sz="4" w:space="0" w:color="000000"/>
            </w:tcBorders>
          </w:tcPr>
          <w:p>
            <w:pPr/>
          </w:p>
        </w:tc>
        <w:tc>
          <w:tcPr>
            <w:tcW w:w="431" w:type="dxa"/>
            <w:tcBorders>
              <w:top w:val="single" w:sz="4" w:space="0" w:color="000000"/>
              <w:left w:val="single" w:sz="4" w:space="0" w:color="000000"/>
              <w:bottom w:val="nil" w:sz="6" w:space="0" w:color="auto"/>
              <w:right w:val="single" w:sz="4" w:space="0" w:color="000000"/>
            </w:tcBorders>
          </w:tcPr>
          <w:p>
            <w:pPr/>
          </w:p>
        </w:tc>
        <w:tc>
          <w:tcPr>
            <w:tcW w:w="1868"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9"/>
              <w:jc w:val="both"/>
              <w:rPr>
                <w:rFonts w:ascii="宋体" w:hAnsi="宋体" w:cs="宋体" w:eastAsia="宋体" w:hint="default"/>
                <w:sz w:val="18"/>
                <w:szCs w:val="18"/>
              </w:rPr>
            </w:pPr>
            <w:r>
              <w:rPr>
                <w:rFonts w:ascii="宋体" w:hAnsi="宋体" w:cs="宋体" w:eastAsia="宋体" w:hint="default"/>
                <w:sz w:val="18"/>
                <w:szCs w:val="18"/>
              </w:rPr>
              <w:t>建投 证券 股份 有限</w:t>
            </w:r>
          </w:p>
        </w:tc>
        <w:tc>
          <w:tcPr>
            <w:tcW w:w="4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78"/>
              <w:jc w:val="left"/>
              <w:rPr>
                <w:rFonts w:ascii="宋体" w:hAnsi="宋体" w:cs="宋体" w:eastAsia="宋体" w:hint="default"/>
                <w:sz w:val="18"/>
                <w:szCs w:val="18"/>
              </w:rPr>
            </w:pPr>
            <w:r>
              <w:rPr>
                <w:rFonts w:ascii="宋体" w:hAnsi="宋体" w:cs="宋体" w:eastAsia="宋体" w:hint="default"/>
                <w:sz w:val="18"/>
                <w:szCs w:val="18"/>
              </w:rPr>
              <w:t>证券 公司</w:t>
            </w:r>
          </w:p>
        </w:tc>
        <w:tc>
          <w:tcPr>
            <w:tcW w:w="49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97"/>
              <w:jc w:val="both"/>
              <w:rPr>
                <w:rFonts w:ascii="宋体" w:hAnsi="宋体" w:cs="宋体" w:eastAsia="宋体" w:hint="default"/>
                <w:sz w:val="18"/>
                <w:szCs w:val="18"/>
              </w:rPr>
            </w:pPr>
            <w:r>
              <w:rPr>
                <w:rFonts w:ascii="宋体" w:hAnsi="宋体" w:cs="宋体" w:eastAsia="宋体" w:hint="default"/>
                <w:sz w:val="18"/>
                <w:szCs w:val="18"/>
              </w:rPr>
              <w:t>本金 保障 固定 收益</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92" w:right="0"/>
              <w:jc w:val="center"/>
              <w:rPr>
                <w:rFonts w:ascii="Times New Roman" w:hAnsi="Times New Roman" w:cs="Times New Roman" w:eastAsia="Times New Roman" w:hint="default"/>
                <w:sz w:val="18"/>
                <w:szCs w:val="18"/>
              </w:rPr>
            </w:pPr>
            <w:r>
              <w:rPr>
                <w:rFonts w:ascii="Times New Roman"/>
                <w:sz w:val="18"/>
              </w:rPr>
              <w:t>10,000</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48"/>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48"/>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44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48"/>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3.40%</w:t>
            </w:r>
          </w:p>
        </w:tc>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82.9</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2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是</w:t>
            </w:r>
          </w:p>
        </w:tc>
        <w:tc>
          <w:tcPr>
            <w:tcW w:w="4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8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2" w:right="2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9">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公告编码：</w:t>
            </w:r>
            <w:r>
              <w:rPr>
                <w:rFonts w:ascii="Times New Roman" w:hAnsi="Times New Roman" w:cs="Times New Roman" w:eastAsia="Times New Roman" w:hint="default"/>
                <w:sz w:val="18"/>
                <w:szCs w:val="18"/>
              </w:rPr>
              <w:t>2018-109</w:t>
            </w:r>
          </w:p>
        </w:tc>
      </w:tr>
      <w:tr>
        <w:trPr>
          <w:trHeight w:val="356" w:hRule="exact"/>
        </w:trPr>
        <w:tc>
          <w:tcPr>
            <w:tcW w:w="4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473" w:type="dxa"/>
            <w:tcBorders>
              <w:top w:val="nil" w:sz="6" w:space="0" w:color="auto"/>
              <w:left w:val="single" w:sz="4" w:space="0" w:color="000000"/>
              <w:bottom w:val="single" w:sz="4" w:space="0" w:color="000000"/>
              <w:right w:val="single" w:sz="4" w:space="0" w:color="000000"/>
            </w:tcBorders>
          </w:tcPr>
          <w:p>
            <w:pPr/>
          </w:p>
        </w:tc>
        <w:tc>
          <w:tcPr>
            <w:tcW w:w="49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4" w:type="dxa"/>
            <w:tcBorders>
              <w:top w:val="nil" w:sz="6" w:space="0" w:color="auto"/>
              <w:left w:val="single" w:sz="4" w:space="0" w:color="000000"/>
              <w:bottom w:val="single" w:sz="4" w:space="0" w:color="000000"/>
              <w:right w:val="single" w:sz="4" w:space="0" w:color="000000"/>
            </w:tcBorders>
          </w:tcPr>
          <w:p>
            <w:pPr/>
          </w:p>
        </w:tc>
        <w:tc>
          <w:tcPr>
            <w:tcW w:w="521" w:type="dxa"/>
            <w:tcBorders>
              <w:top w:val="nil" w:sz="6" w:space="0" w:color="auto"/>
              <w:left w:val="single" w:sz="4" w:space="0" w:color="000000"/>
              <w:bottom w:val="single" w:sz="4" w:space="0" w:color="000000"/>
              <w:right w:val="single" w:sz="4" w:space="0" w:color="000000"/>
            </w:tcBorders>
          </w:tcPr>
          <w:p>
            <w:pPr/>
          </w:p>
        </w:tc>
        <w:tc>
          <w:tcPr>
            <w:tcW w:w="685"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551" w:type="dxa"/>
            <w:tcBorders>
              <w:top w:val="nil" w:sz="6" w:space="0" w:color="auto"/>
              <w:left w:val="single" w:sz="4" w:space="0" w:color="000000"/>
              <w:bottom w:val="single" w:sz="4" w:space="0" w:color="000000"/>
              <w:right w:val="single" w:sz="4" w:space="0" w:color="000000"/>
            </w:tcBorders>
          </w:tcPr>
          <w:p>
            <w:pPr/>
          </w:p>
        </w:tc>
        <w:tc>
          <w:tcPr>
            <w:tcW w:w="416" w:type="dxa"/>
            <w:tcBorders>
              <w:top w:val="nil" w:sz="6" w:space="0" w:color="auto"/>
              <w:left w:val="single" w:sz="4" w:space="0" w:color="000000"/>
              <w:bottom w:val="single" w:sz="4" w:space="0" w:color="000000"/>
              <w:right w:val="single" w:sz="4" w:space="0" w:color="000000"/>
            </w:tcBorders>
          </w:tcPr>
          <w:p>
            <w:pPr/>
          </w:p>
        </w:tc>
        <w:tc>
          <w:tcPr>
            <w:tcW w:w="262" w:type="dxa"/>
            <w:tcBorders>
              <w:top w:val="nil" w:sz="6" w:space="0" w:color="auto"/>
              <w:left w:val="single" w:sz="4" w:space="0" w:color="000000"/>
              <w:bottom w:val="single" w:sz="4" w:space="0" w:color="000000"/>
              <w:right w:val="single" w:sz="4" w:space="0" w:color="000000"/>
            </w:tcBorders>
          </w:tcPr>
          <w:p>
            <w:pPr/>
          </w:p>
        </w:tc>
        <w:tc>
          <w:tcPr>
            <w:tcW w:w="431" w:type="dxa"/>
            <w:tcBorders>
              <w:top w:val="nil" w:sz="6" w:space="0" w:color="auto"/>
              <w:left w:val="single" w:sz="4" w:space="0" w:color="000000"/>
              <w:bottom w:val="single" w:sz="4" w:space="0" w:color="000000"/>
              <w:right w:val="single" w:sz="4" w:space="0" w:color="000000"/>
            </w:tcBorders>
          </w:tcPr>
          <w:p>
            <w:pPr/>
          </w:p>
        </w:tc>
        <w:tc>
          <w:tcPr>
            <w:tcW w:w="186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4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w:t>
            </w:r>
          </w:p>
        </w:tc>
        <w:tc>
          <w:tcPr>
            <w:tcW w:w="473" w:type="dxa"/>
            <w:tcBorders>
              <w:top w:val="single" w:sz="4" w:space="0" w:color="000000"/>
              <w:left w:val="single" w:sz="4" w:space="0" w:color="000000"/>
              <w:bottom w:val="nil" w:sz="6" w:space="0" w:color="auto"/>
              <w:right w:val="single" w:sz="4" w:space="0" w:color="000000"/>
            </w:tcBorders>
          </w:tcPr>
          <w:p>
            <w:pPr/>
          </w:p>
        </w:tc>
        <w:tc>
          <w:tcPr>
            <w:tcW w:w="49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3" w:type="dxa"/>
            <w:tcBorders>
              <w:top w:val="single" w:sz="4" w:space="0" w:color="000000"/>
              <w:left w:val="single" w:sz="4" w:space="0" w:color="000000"/>
              <w:bottom w:val="nil" w:sz="6" w:space="0" w:color="auto"/>
              <w:right w:val="single" w:sz="4" w:space="0" w:color="000000"/>
            </w:tcBorders>
          </w:tcPr>
          <w:p>
            <w:pPr/>
          </w:p>
        </w:tc>
        <w:tc>
          <w:tcPr>
            <w:tcW w:w="444" w:type="dxa"/>
            <w:tcBorders>
              <w:top w:val="single" w:sz="4" w:space="0" w:color="000000"/>
              <w:left w:val="single" w:sz="4" w:space="0" w:color="000000"/>
              <w:bottom w:val="nil" w:sz="6" w:space="0" w:color="auto"/>
              <w:right w:val="single" w:sz="4" w:space="0" w:color="000000"/>
            </w:tcBorders>
          </w:tcPr>
          <w:p>
            <w:pPr/>
          </w:p>
        </w:tc>
        <w:tc>
          <w:tcPr>
            <w:tcW w:w="521" w:type="dxa"/>
            <w:tcBorders>
              <w:top w:val="single" w:sz="4" w:space="0" w:color="000000"/>
              <w:left w:val="single" w:sz="4" w:space="0" w:color="000000"/>
              <w:bottom w:val="nil" w:sz="6" w:space="0" w:color="auto"/>
              <w:right w:val="single" w:sz="4" w:space="0" w:color="000000"/>
            </w:tcBorders>
          </w:tcPr>
          <w:p>
            <w:pPr/>
          </w:p>
        </w:tc>
        <w:tc>
          <w:tcPr>
            <w:tcW w:w="685"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551" w:type="dxa"/>
            <w:tcBorders>
              <w:top w:val="single" w:sz="4" w:space="0" w:color="000000"/>
              <w:left w:val="single" w:sz="4" w:space="0" w:color="000000"/>
              <w:bottom w:val="nil" w:sz="6" w:space="0" w:color="auto"/>
              <w:right w:val="single" w:sz="4" w:space="0" w:color="000000"/>
            </w:tcBorders>
          </w:tcPr>
          <w:p>
            <w:pPr/>
          </w:p>
        </w:tc>
        <w:tc>
          <w:tcPr>
            <w:tcW w:w="416" w:type="dxa"/>
            <w:tcBorders>
              <w:top w:val="single" w:sz="4" w:space="0" w:color="000000"/>
              <w:left w:val="single" w:sz="4" w:space="0" w:color="000000"/>
              <w:bottom w:val="nil" w:sz="6" w:space="0" w:color="auto"/>
              <w:right w:val="single" w:sz="4" w:space="0" w:color="000000"/>
            </w:tcBorders>
          </w:tcPr>
          <w:p>
            <w:pPr/>
          </w:p>
        </w:tc>
        <w:tc>
          <w:tcPr>
            <w:tcW w:w="262" w:type="dxa"/>
            <w:tcBorders>
              <w:top w:val="single" w:sz="4" w:space="0" w:color="000000"/>
              <w:left w:val="single" w:sz="4" w:space="0" w:color="000000"/>
              <w:bottom w:val="nil" w:sz="6" w:space="0" w:color="auto"/>
              <w:right w:val="single" w:sz="4" w:space="0" w:color="000000"/>
            </w:tcBorders>
          </w:tcPr>
          <w:p>
            <w:pPr/>
          </w:p>
        </w:tc>
        <w:tc>
          <w:tcPr>
            <w:tcW w:w="431" w:type="dxa"/>
            <w:tcBorders>
              <w:top w:val="single" w:sz="4" w:space="0" w:color="000000"/>
              <w:left w:val="single" w:sz="4" w:space="0" w:color="000000"/>
              <w:bottom w:val="nil" w:sz="6" w:space="0" w:color="auto"/>
              <w:right w:val="single" w:sz="4" w:space="0" w:color="000000"/>
            </w:tcBorders>
          </w:tcPr>
          <w:p>
            <w:pPr/>
          </w:p>
        </w:tc>
        <w:tc>
          <w:tcPr>
            <w:tcW w:w="1868"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4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9"/>
              <w:jc w:val="both"/>
              <w:rPr>
                <w:rFonts w:ascii="宋体" w:hAnsi="宋体" w:cs="宋体" w:eastAsia="宋体" w:hint="default"/>
                <w:sz w:val="18"/>
                <w:szCs w:val="18"/>
              </w:rPr>
            </w:pPr>
            <w:r>
              <w:rPr>
                <w:rFonts w:ascii="宋体" w:hAnsi="宋体" w:cs="宋体" w:eastAsia="宋体" w:hint="default"/>
                <w:sz w:val="18"/>
                <w:szCs w:val="18"/>
              </w:rPr>
              <w:t>建投 证券 股份 有限</w:t>
            </w:r>
          </w:p>
        </w:tc>
        <w:tc>
          <w:tcPr>
            <w:tcW w:w="4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78"/>
              <w:jc w:val="left"/>
              <w:rPr>
                <w:rFonts w:ascii="宋体" w:hAnsi="宋体" w:cs="宋体" w:eastAsia="宋体" w:hint="default"/>
                <w:sz w:val="18"/>
                <w:szCs w:val="18"/>
              </w:rPr>
            </w:pPr>
            <w:r>
              <w:rPr>
                <w:rFonts w:ascii="宋体" w:hAnsi="宋体" w:cs="宋体" w:eastAsia="宋体" w:hint="default"/>
                <w:sz w:val="18"/>
                <w:szCs w:val="18"/>
              </w:rPr>
              <w:t>证券 公司</w:t>
            </w:r>
          </w:p>
        </w:tc>
        <w:tc>
          <w:tcPr>
            <w:tcW w:w="49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97"/>
              <w:jc w:val="both"/>
              <w:rPr>
                <w:rFonts w:ascii="宋体" w:hAnsi="宋体" w:cs="宋体" w:eastAsia="宋体" w:hint="default"/>
                <w:sz w:val="18"/>
                <w:szCs w:val="18"/>
              </w:rPr>
            </w:pPr>
            <w:r>
              <w:rPr>
                <w:rFonts w:ascii="宋体" w:hAnsi="宋体" w:cs="宋体" w:eastAsia="宋体" w:hint="default"/>
                <w:sz w:val="18"/>
                <w:szCs w:val="18"/>
              </w:rPr>
              <w:t>本金 保障 固定 收益</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5,000</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48"/>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48"/>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44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48"/>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3.40%</w:t>
            </w:r>
          </w:p>
        </w:tc>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41.45</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2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是</w:t>
            </w:r>
          </w:p>
        </w:tc>
        <w:tc>
          <w:tcPr>
            <w:tcW w:w="4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8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2" w:right="2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9">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公告编码：</w:t>
            </w:r>
            <w:r>
              <w:rPr>
                <w:rFonts w:ascii="Times New Roman" w:hAnsi="Times New Roman" w:cs="Times New Roman" w:eastAsia="Times New Roman" w:hint="default"/>
                <w:sz w:val="18"/>
                <w:szCs w:val="18"/>
              </w:rPr>
              <w:t>2018-109</w:t>
            </w:r>
          </w:p>
        </w:tc>
      </w:tr>
      <w:tr>
        <w:trPr>
          <w:trHeight w:val="356" w:hRule="exact"/>
        </w:trPr>
        <w:tc>
          <w:tcPr>
            <w:tcW w:w="4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473" w:type="dxa"/>
            <w:tcBorders>
              <w:top w:val="nil" w:sz="6" w:space="0" w:color="auto"/>
              <w:left w:val="single" w:sz="4" w:space="0" w:color="000000"/>
              <w:bottom w:val="single" w:sz="4" w:space="0" w:color="000000"/>
              <w:right w:val="single" w:sz="4" w:space="0" w:color="000000"/>
            </w:tcBorders>
          </w:tcPr>
          <w:p>
            <w:pPr/>
          </w:p>
        </w:tc>
        <w:tc>
          <w:tcPr>
            <w:tcW w:w="49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3" w:type="dxa"/>
            <w:tcBorders>
              <w:top w:val="nil" w:sz="6" w:space="0" w:color="auto"/>
              <w:left w:val="single" w:sz="4" w:space="0" w:color="000000"/>
              <w:bottom w:val="single" w:sz="4" w:space="0" w:color="000000"/>
              <w:right w:val="single" w:sz="4" w:space="0" w:color="000000"/>
            </w:tcBorders>
          </w:tcPr>
          <w:p>
            <w:pPr/>
          </w:p>
        </w:tc>
        <w:tc>
          <w:tcPr>
            <w:tcW w:w="444" w:type="dxa"/>
            <w:tcBorders>
              <w:top w:val="nil" w:sz="6" w:space="0" w:color="auto"/>
              <w:left w:val="single" w:sz="4" w:space="0" w:color="000000"/>
              <w:bottom w:val="single" w:sz="4" w:space="0" w:color="000000"/>
              <w:right w:val="single" w:sz="4" w:space="0" w:color="000000"/>
            </w:tcBorders>
          </w:tcPr>
          <w:p>
            <w:pPr/>
          </w:p>
        </w:tc>
        <w:tc>
          <w:tcPr>
            <w:tcW w:w="521" w:type="dxa"/>
            <w:tcBorders>
              <w:top w:val="nil" w:sz="6" w:space="0" w:color="auto"/>
              <w:left w:val="single" w:sz="4" w:space="0" w:color="000000"/>
              <w:bottom w:val="single" w:sz="4" w:space="0" w:color="000000"/>
              <w:right w:val="single" w:sz="4" w:space="0" w:color="000000"/>
            </w:tcBorders>
          </w:tcPr>
          <w:p>
            <w:pPr/>
          </w:p>
        </w:tc>
        <w:tc>
          <w:tcPr>
            <w:tcW w:w="685"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551" w:type="dxa"/>
            <w:tcBorders>
              <w:top w:val="nil" w:sz="6" w:space="0" w:color="auto"/>
              <w:left w:val="single" w:sz="4" w:space="0" w:color="000000"/>
              <w:bottom w:val="single" w:sz="4" w:space="0" w:color="000000"/>
              <w:right w:val="single" w:sz="4" w:space="0" w:color="000000"/>
            </w:tcBorders>
          </w:tcPr>
          <w:p>
            <w:pPr/>
          </w:p>
        </w:tc>
        <w:tc>
          <w:tcPr>
            <w:tcW w:w="416" w:type="dxa"/>
            <w:tcBorders>
              <w:top w:val="nil" w:sz="6" w:space="0" w:color="auto"/>
              <w:left w:val="single" w:sz="4" w:space="0" w:color="000000"/>
              <w:bottom w:val="single" w:sz="4" w:space="0" w:color="000000"/>
              <w:right w:val="single" w:sz="4" w:space="0" w:color="000000"/>
            </w:tcBorders>
          </w:tcPr>
          <w:p>
            <w:pPr/>
          </w:p>
        </w:tc>
        <w:tc>
          <w:tcPr>
            <w:tcW w:w="262" w:type="dxa"/>
            <w:tcBorders>
              <w:top w:val="nil" w:sz="6" w:space="0" w:color="auto"/>
              <w:left w:val="single" w:sz="4" w:space="0" w:color="000000"/>
              <w:bottom w:val="single" w:sz="4" w:space="0" w:color="000000"/>
              <w:right w:val="single" w:sz="4" w:space="0" w:color="000000"/>
            </w:tcBorders>
          </w:tcPr>
          <w:p>
            <w:pPr/>
          </w:p>
        </w:tc>
        <w:tc>
          <w:tcPr>
            <w:tcW w:w="431" w:type="dxa"/>
            <w:tcBorders>
              <w:top w:val="nil" w:sz="6" w:space="0" w:color="auto"/>
              <w:left w:val="single" w:sz="4" w:space="0" w:color="000000"/>
              <w:bottom w:val="single" w:sz="4" w:space="0" w:color="000000"/>
              <w:right w:val="single" w:sz="4" w:space="0" w:color="000000"/>
            </w:tcBorders>
          </w:tcPr>
          <w:p>
            <w:pPr/>
          </w:p>
        </w:tc>
        <w:tc>
          <w:tcPr>
            <w:tcW w:w="18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1190"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417"/>
        <w:gridCol w:w="641"/>
        <w:gridCol w:w="443"/>
        <w:gridCol w:w="443"/>
        <w:gridCol w:w="443"/>
        <w:gridCol w:w="443"/>
        <w:gridCol w:w="444"/>
        <w:gridCol w:w="521"/>
        <w:gridCol w:w="685"/>
        <w:gridCol w:w="686"/>
        <w:gridCol w:w="551"/>
        <w:gridCol w:w="416"/>
        <w:gridCol w:w="262"/>
        <w:gridCol w:w="431"/>
        <w:gridCol w:w="1868"/>
      </w:tblGrid>
      <w:tr>
        <w:trPr>
          <w:trHeight w:val="402" w:hRule="exact"/>
        </w:trPr>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207,000</w:t>
            </w:r>
          </w:p>
        </w:tc>
        <w:tc>
          <w:tcPr>
            <w:tcW w:w="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1,860.56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1,736.21</w:t>
            </w:r>
          </w:p>
        </w:tc>
        <w:tc>
          <w:tcPr>
            <w:tcW w:w="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w:t>
            </w:r>
          </w:p>
        </w:tc>
        <w:tc>
          <w:tcPr>
            <w:tcW w:w="4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委托理财出现预期无法收回本金或存在其他可能导致减值的情形</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514" w:right="0" w:hanging="89"/>
        <w:jc w:val="left"/>
        <w:rPr>
          <w:rFonts w:ascii="宋体" w:hAnsi="宋体" w:cs="宋体" w:eastAsia="宋体" w:hint="default"/>
          <w:sz w:val="18"/>
          <w:szCs w:val="18"/>
        </w:rPr>
      </w:pPr>
      <w:r>
        <w:rPr>
          <w:rFonts w:ascii="宋体" w:hAnsi="宋体" w:cs="宋体" w:eastAsia="宋体" w:hint="default"/>
          <w:b/>
          <w:bCs/>
          <w:sz w:val="18"/>
          <w:szCs w:val="18"/>
        </w:rPr>
        <w:t>（一）股东及债权人权益保护</w:t>
      </w:r>
      <w:r>
        <w:rPr>
          <w:rFonts w:ascii="宋体" w:hAnsi="宋体" w:cs="宋体" w:eastAsia="宋体" w:hint="default"/>
          <w:b/>
          <w:bCs/>
          <w:w w:val="99"/>
          <w:sz w:val="18"/>
          <w:szCs w:val="18"/>
        </w:rPr>
        <w:t> </w:t>
      </w:r>
      <w:r>
        <w:rPr>
          <w:rFonts w:ascii="宋体" w:hAnsi="宋体" w:cs="宋体" w:eastAsia="宋体" w:hint="default"/>
          <w:spacing w:val="-2"/>
          <w:sz w:val="18"/>
          <w:szCs w:val="18"/>
        </w:rPr>
        <w:t>公司严格按照《公司法》、《股票上市规则》以及《公司章程》等法律法规文件，依法召开股东大会，积极主动采用网</w:t>
      </w:r>
    </w:p>
    <w:p>
      <w:pPr>
        <w:pStyle w:val="BodyText"/>
        <w:spacing w:line="316" w:lineRule="auto" w:before="19"/>
        <w:ind w:right="1030"/>
        <w:jc w:val="left"/>
      </w:pPr>
      <w:r>
        <w:rPr>
          <w:spacing w:val="-2"/>
        </w:rPr>
        <w:t>络投票等方式扩大股东参与股东大会的比例。报告期内，公司不断完善法人治理结构，保障股东知情权、参与权及分红权的</w:t>
      </w:r>
      <w:r>
        <w:rPr>
          <w:spacing w:val="-66"/>
        </w:rPr>
        <w:t> </w:t>
      </w:r>
      <w:r>
        <w:rPr>
          <w:spacing w:val="-66"/>
        </w:rPr>
      </w:r>
      <w:r>
        <w:rPr/>
        <w:t>实现，积极实施现金分红政策，确保股东投资回报；不断完善内控体系及治理结构，严格履行信息披露义务，真实、准确、 </w:t>
      </w:r>
      <w:r>
        <w:rPr>
          <w:spacing w:val="-2"/>
        </w:rPr>
        <w:t>完整、及时、公平地向所有股东披露信息；通过网上业绩说明会、投资者电话、传真、电子邮箱和投资者关系互动平台、接</w:t>
      </w:r>
      <w:r>
        <w:rPr>
          <w:spacing w:val="-65"/>
        </w:rPr>
        <w:t> </w:t>
      </w:r>
      <w:r>
        <w:rPr>
          <w:spacing w:val="-65"/>
        </w:rPr>
      </w:r>
      <w:r>
        <w:rPr>
          <w:spacing w:val="-4"/>
        </w:rPr>
        <w:t>待投资者现场调研等多种方式与投资者进行沟通交流，建立良好的互动平台。同时，公司的财务政策稳健，资产、资金安全，</w:t>
      </w:r>
      <w:r>
        <w:rPr>
          <w:spacing w:val="-43"/>
        </w:rPr>
        <w:t> </w:t>
      </w:r>
      <w:r>
        <w:rPr>
          <w:spacing w:val="-43"/>
        </w:rPr>
      </w:r>
      <w:r>
        <w:rPr/>
        <w:t>在维护股东利益的同时兼顾债权人的利益。</w:t>
      </w:r>
    </w:p>
    <w:p>
      <w:pPr>
        <w:pStyle w:val="BodyText"/>
        <w:spacing w:line="316" w:lineRule="auto" w:before="19"/>
        <w:ind w:left="514" w:right="0" w:hanging="89"/>
        <w:jc w:val="left"/>
      </w:pPr>
      <w:r>
        <w:rPr>
          <w:rFonts w:ascii="宋体" w:hAnsi="宋体" w:cs="宋体" w:eastAsia="宋体" w:hint="default"/>
          <w:b/>
          <w:bCs/>
        </w:rPr>
        <w:t>（二）职工权益保护</w:t>
      </w:r>
      <w:r>
        <w:rPr>
          <w:rFonts w:ascii="宋体" w:hAnsi="宋体" w:cs="宋体" w:eastAsia="宋体" w:hint="default"/>
          <w:b/>
          <w:bCs/>
          <w:spacing w:val="1"/>
          <w:w w:val="99"/>
        </w:rPr>
        <w:t> </w:t>
      </w:r>
      <w:r>
        <w:rPr>
          <w:spacing w:val="-2"/>
        </w:rPr>
        <w:t>公司始终坚持</w:t>
      </w:r>
      <w:r>
        <w:rPr>
          <w:rFonts w:ascii="Times New Roman" w:hAnsi="Times New Roman" w:cs="Times New Roman" w:eastAsia="Times New Roman" w:hint="default"/>
          <w:spacing w:val="-2"/>
        </w:rPr>
        <w:t>“</w:t>
      </w:r>
      <w:r>
        <w:rPr>
          <w:spacing w:val="-2"/>
        </w:rPr>
        <w:t>以人为本</w:t>
      </w:r>
      <w:r>
        <w:rPr>
          <w:rFonts w:ascii="Times New Roman" w:hAnsi="Times New Roman" w:cs="Times New Roman" w:eastAsia="Times New Roman" w:hint="default"/>
          <w:spacing w:val="-2"/>
        </w:rPr>
        <w:t>”</w:t>
      </w:r>
      <w:r>
        <w:rPr>
          <w:spacing w:val="-2"/>
        </w:rPr>
        <w:t>的核心价值观，保障员工合法权益，致力于培育员工的认同感和归属感，实现员工与企业共同</w:t>
      </w:r>
    </w:p>
    <w:p>
      <w:pPr>
        <w:pStyle w:val="BodyText"/>
        <w:spacing w:line="316" w:lineRule="auto"/>
        <w:ind w:right="1041"/>
        <w:jc w:val="both"/>
      </w:pPr>
      <w:r>
        <w:rPr>
          <w:spacing w:val="-2"/>
        </w:rPr>
        <w:t>成长。为员工提供健康、安全的工作环境；尊重和保护员工权益，严格贯彻执行《劳动合同法》等各项法律法规；不断完善</w:t>
      </w:r>
      <w:r>
        <w:rPr>
          <w:spacing w:val="-65"/>
        </w:rPr>
        <w:t> </w:t>
      </w:r>
      <w:r>
        <w:rPr>
          <w:spacing w:val="-65"/>
        </w:rPr>
      </w:r>
      <w:r>
        <w:rPr>
          <w:spacing w:val="-2"/>
        </w:rPr>
        <w:t>具有吸引力和竞争性的福利体系；改善员工办公环境，定期发放节日礼品；持续优化员工关怀体系，努力为员工提供更好的</w:t>
      </w:r>
      <w:r>
        <w:rPr>
          <w:spacing w:val="-66"/>
        </w:rPr>
        <w:t> </w:t>
      </w:r>
      <w:r>
        <w:rPr>
          <w:spacing w:val="-66"/>
        </w:rPr>
      </w:r>
      <w:r>
        <w:rPr>
          <w:spacing w:val="-2"/>
        </w:rPr>
        <w:t>工作环境及更多的人文关怀；公司定期举办技术交流活动，定期评选优秀员工并给予奖励；注重员工培训与职业规划，积极</w:t>
      </w:r>
      <w:r>
        <w:rPr>
          <w:spacing w:val="-66"/>
        </w:rPr>
        <w:t> </w:t>
      </w:r>
      <w:r>
        <w:rPr>
          <w:spacing w:val="-66"/>
        </w:rPr>
      </w:r>
      <w:r>
        <w:rPr>
          <w:spacing w:val="-4"/>
        </w:rPr>
        <w:t>开展职工内外部培训，公司建立内部讲师培训体系，提升自身素质和综合能力，并为员工发展提供更多的机会和广阔的舞台。</w:t>
      </w:r>
    </w:p>
    <w:p>
      <w:pPr>
        <w:spacing w:line="316" w:lineRule="auto" w:before="19"/>
        <w:ind w:left="514" w:right="1160" w:hanging="89"/>
        <w:jc w:val="left"/>
        <w:rPr>
          <w:rFonts w:ascii="宋体" w:hAnsi="宋体" w:cs="宋体" w:eastAsia="宋体" w:hint="default"/>
          <w:sz w:val="18"/>
          <w:szCs w:val="18"/>
        </w:rPr>
      </w:pPr>
      <w:r>
        <w:rPr>
          <w:rFonts w:ascii="宋体" w:hAnsi="宋体" w:cs="宋体" w:eastAsia="宋体" w:hint="default"/>
          <w:b/>
          <w:bCs/>
          <w:sz w:val="18"/>
          <w:szCs w:val="18"/>
        </w:rPr>
        <w:t>（三）供应商、客户权益保护</w:t>
      </w:r>
      <w:r>
        <w:rPr>
          <w:rFonts w:ascii="宋体" w:hAnsi="宋体" w:cs="宋体" w:eastAsia="宋体" w:hint="default"/>
          <w:b/>
          <w:bCs/>
          <w:w w:val="99"/>
          <w:sz w:val="18"/>
          <w:szCs w:val="18"/>
        </w:rPr>
        <w:t> </w:t>
      </w:r>
      <w:r>
        <w:rPr>
          <w:rFonts w:ascii="宋体" w:hAnsi="宋体" w:cs="宋体" w:eastAsia="宋体" w:hint="default"/>
          <w:sz w:val="18"/>
          <w:szCs w:val="18"/>
        </w:rPr>
        <w:t>依托现有供应商、客户，采用市场</w:t>
      </w:r>
      <w:r>
        <w:rPr>
          <w:rFonts w:ascii="Times New Roman" w:hAnsi="Times New Roman" w:cs="Times New Roman" w:eastAsia="Times New Roman" w:hint="default"/>
          <w:sz w:val="18"/>
          <w:szCs w:val="18"/>
        </w:rPr>
        <w:t>/</w:t>
      </w:r>
      <w:r>
        <w:rPr>
          <w:rFonts w:ascii="宋体" w:hAnsi="宋体" w:cs="宋体" w:eastAsia="宋体" w:hint="default"/>
          <w:sz w:val="18"/>
          <w:szCs w:val="18"/>
        </w:rPr>
        <w:t>客户延伸策略，采用有所为，有所不为的营销策略，开展与其长期、紧密合作，形</w:t>
      </w:r>
    </w:p>
    <w:p>
      <w:pPr>
        <w:pStyle w:val="BodyText"/>
        <w:spacing w:line="316" w:lineRule="auto"/>
        <w:ind w:right="1030"/>
        <w:jc w:val="left"/>
      </w:pPr>
      <w:r>
        <w:rPr/>
        <w:t>成资源共享、资金互补、共同市场、紧密型客户关系，与供应商、客户实现双赢策略，保持同供应商、客户良好合作关系， </w:t>
      </w:r>
      <w:r>
        <w:rPr>
          <w:spacing w:val="-2"/>
        </w:rPr>
        <w:t>不断拓展、延伸业务。并通过自身的规范运作积极带动供应商及外协厂商不断规范经营，引导上下游合作伙伴企业相关经营</w:t>
      </w:r>
      <w:r>
        <w:rPr>
          <w:spacing w:val="-66"/>
        </w:rPr>
        <w:t> </w:t>
      </w:r>
      <w:r>
        <w:rPr>
          <w:spacing w:val="-66"/>
        </w:rPr>
      </w:r>
      <w:r>
        <w:rPr/>
        <w:t>决策者理解社会责任经营的重要性。</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65" w:right="0"/>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24" w:right="0"/>
        <w:jc w:val="left"/>
      </w:pPr>
      <w:r>
        <w:rPr/>
        <w:t>公司报告期内，暂未开展精准扶贫工作，也暂无后续精准扶贫计划。</w:t>
      </w:r>
    </w:p>
    <w:p>
      <w:pPr>
        <w:spacing w:after="0" w:line="240" w:lineRule="auto"/>
        <w:jc w:val="left"/>
        <w:sectPr>
          <w:pgSz w:w="11910" w:h="16840"/>
          <w:pgMar w:header="747" w:footer="1190" w:top="1060" w:bottom="138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365" w:right="0"/>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报告期内，暂未开展精准扶贫工作，也暂无后续精准扶贫计划。</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365" w:right="0"/>
        <w:jc w:val="left"/>
        <w:rPr>
          <w:b w:val="0"/>
          <w:bCs w:val="0"/>
        </w:rPr>
      </w:pPr>
      <w:r>
        <w:rPr/>
        <w:t>（</w:t>
      </w:r>
      <w:r>
        <w:rPr>
          <w:rFonts w:ascii="Times New Roman" w:hAnsi="Times New Roman" w:cs="Times New Roman" w:eastAsia="Times New Roman" w:hint="default"/>
        </w:rPr>
        <w:t>3</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97" w:right="0"/>
        <w:jc w:val="left"/>
      </w:pPr>
      <w:r>
        <w:rPr/>
        <w:t>目前暂无后续精准扶贫计划。</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5711"/>
        <w:jc w:val="left"/>
      </w:pPr>
      <w:r>
        <w:rPr/>
        <w:t>上市公司及其子公司是否属于环境保护部门公布的重点排污单位 否</w:t>
      </w:r>
    </w:p>
    <w:p>
      <w:pPr>
        <w:pStyle w:val="BodyText"/>
        <w:spacing w:line="240" w:lineRule="auto" w:before="25"/>
        <w:ind w:left="153" w:right="0"/>
        <w:jc w:val="left"/>
      </w:pPr>
      <w:r>
        <w:rPr/>
        <w:t>公司及子公司不属于环境保护部门公布的重点排污单位。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left"/>
        <w:rPr>
          <w:b w:val="0"/>
          <w:bCs w:val="0"/>
        </w:rPr>
      </w:pP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369" w:right="8174"/>
        <w:jc w:val="center"/>
      </w:pPr>
      <w:r>
        <w:rPr/>
        <w:t>（一）神州信源获得资质证书</w:t>
      </w:r>
    </w:p>
    <w:p>
      <w:pPr>
        <w:pStyle w:val="BodyText"/>
        <w:spacing w:line="307" w:lineRule="auto" w:before="76"/>
        <w:ind w:right="0" w:firstLine="380"/>
        <w:jc w:val="left"/>
      </w:pPr>
      <w:r>
        <w:rPr>
          <w:rFonts w:ascii="Times New Roman" w:hAnsi="Times New Roman" w:cs="Times New Roman" w:eastAsia="Times New Roman" w:hint="default"/>
          <w:spacing w:val="-2"/>
        </w:rPr>
        <w:t>1</w:t>
      </w:r>
      <w:r>
        <w:rPr>
          <w:spacing w:val="-2"/>
        </w:rPr>
        <w:t>、神州信源获得由江苏省住房和城乡建设厅颁发的《建筑业企业资质证书》，</w:t>
      </w:r>
      <w:r>
        <w:rPr>
          <w:rFonts w:ascii="Times New Roman" w:hAnsi="Times New Roman" w:cs="Times New Roman" w:eastAsia="Times New Roman" w:hint="default"/>
          <w:spacing w:val="-2"/>
        </w:rPr>
        <w:t>“</w:t>
      </w:r>
      <w:r>
        <w:rPr>
          <w:spacing w:val="-2"/>
        </w:rPr>
        <w:t>电子与智能化工程专业承包贰级资质</w:t>
      </w:r>
      <w:r>
        <w:rPr>
          <w:rFonts w:ascii="Times New Roman" w:hAnsi="Times New Roman" w:cs="Times New Roman" w:eastAsia="Times New Roman" w:hint="default"/>
          <w:spacing w:val="-2"/>
        </w:rPr>
        <w:t>”</w:t>
      </w:r>
      <w:r>
        <w:rPr>
          <w:spacing w:val="-2"/>
        </w:rPr>
        <w:t>。</w:t>
      </w:r>
      <w:r>
        <w:rPr/>
        <w:t> </w:t>
      </w:r>
      <w:r>
        <w:rPr>
          <w:spacing w:val="-2"/>
        </w:rPr>
        <w:t>神州信源自</w:t>
      </w:r>
      <w:r>
        <w:rPr>
          <w:rFonts w:ascii="Times New Roman" w:hAnsi="Times New Roman" w:cs="Times New Roman" w:eastAsia="Times New Roman" w:hint="default"/>
          <w:spacing w:val="-2"/>
        </w:rPr>
        <w:t>2015</w:t>
      </w:r>
      <w:r>
        <w:rPr>
          <w:spacing w:val="-2"/>
        </w:rPr>
        <w:t>年起已开展多项信息系统建设和信息系统集成业务，并于</w:t>
      </w:r>
      <w:r>
        <w:rPr>
          <w:rFonts w:ascii="Times New Roman" w:hAnsi="Times New Roman" w:cs="Times New Roman" w:eastAsia="Times New Roman" w:hint="default"/>
          <w:spacing w:val="-2"/>
        </w:rPr>
        <w:t>2016</w:t>
      </w:r>
      <w:r>
        <w:rPr>
          <w:spacing w:val="-2"/>
        </w:rPr>
        <w:t>年底获得由国家保密局颁发的《涉密信息系统</w:t>
      </w:r>
      <w:r>
        <w:rPr>
          <w:spacing w:val="-56"/>
        </w:rPr>
        <w:t> </w:t>
      </w:r>
      <w:r>
        <w:rPr>
          <w:spacing w:val="-56"/>
        </w:rPr>
      </w:r>
      <w:r>
        <w:rPr/>
        <w:t>集成资质》甲级证书。此番新获</w:t>
      </w:r>
      <w:r>
        <w:rPr>
          <w:rFonts w:ascii="Times New Roman" w:hAnsi="Times New Roman" w:cs="Times New Roman" w:eastAsia="Times New Roman" w:hint="default"/>
        </w:rPr>
        <w:t>“</w:t>
      </w:r>
      <w:r>
        <w:rPr/>
        <w:t>电子与智能化工程专业承包贰级</w:t>
      </w:r>
      <w:r>
        <w:rPr>
          <w:rFonts w:ascii="Times New Roman" w:hAnsi="Times New Roman" w:cs="Times New Roman" w:eastAsia="Times New Roman" w:hint="default"/>
        </w:rPr>
        <w:t>”</w:t>
      </w:r>
      <w:r>
        <w:rPr/>
        <w:t>资质，更为其在工程中实现</w:t>
      </w:r>
      <w:r>
        <w:rPr>
          <w:rFonts w:ascii="Times New Roman" w:hAnsi="Times New Roman" w:cs="Times New Roman" w:eastAsia="Times New Roman" w:hint="default"/>
        </w:rPr>
        <w:t>“</w:t>
      </w:r>
      <w:r>
        <w:rPr/>
        <w:t>软硬件环境一体化</w:t>
      </w:r>
      <w:r>
        <w:rPr>
          <w:rFonts w:ascii="Times New Roman" w:hAnsi="Times New Roman" w:cs="Times New Roman" w:eastAsia="Times New Roman" w:hint="default"/>
        </w:rPr>
        <w:t>”</w:t>
      </w:r>
      <w:r>
        <w:rPr/>
        <w:t>建设服务 </w:t>
      </w:r>
      <w:r>
        <w:rPr>
          <w:spacing w:val="-2"/>
        </w:rPr>
        <w:t>能力夯实了基础，是提高公司综合服务能力和进一步落实公司产业延伸战略的重要举措。至此，公司已具备在信息安全领域</w:t>
      </w:r>
      <w:r>
        <w:rPr>
          <w:spacing w:val="-66"/>
        </w:rPr>
        <w:t> </w:t>
      </w:r>
      <w:r>
        <w:rPr>
          <w:spacing w:val="-66"/>
        </w:rPr>
      </w:r>
      <w:r>
        <w:rPr>
          <w:spacing w:val="-2"/>
        </w:rPr>
        <w:t>从基础信息环境建设到信息系统集成建设，并最终实现软件平台管控的全方位服务能力，对公司实现经营战略和持续发展等</w:t>
      </w:r>
      <w:r>
        <w:rPr>
          <w:spacing w:val="-64"/>
        </w:rPr>
        <w:t> </w:t>
      </w:r>
      <w:r>
        <w:rPr>
          <w:spacing w:val="-64"/>
        </w:rPr>
      </w:r>
      <w:r>
        <w:rPr/>
        <w:t>方面具有积极作用。</w:t>
      </w:r>
    </w:p>
    <w:p>
      <w:pPr>
        <w:pStyle w:val="BodyText"/>
        <w:spacing w:line="309" w:lineRule="auto" w:before="26"/>
        <w:ind w:right="1129" w:firstLine="362"/>
        <w:jc w:val="both"/>
      </w:pPr>
      <w:r>
        <w:rPr>
          <w:rFonts w:ascii="Times New Roman" w:hAnsi="Times New Roman" w:cs="Times New Roman" w:eastAsia="Times New Roman" w:hint="default"/>
        </w:rPr>
        <w:t>2</w:t>
      </w:r>
      <w:r>
        <w:rPr/>
        <w:t>、神州信源获得《信息安全管理体系认证证书》和《信息技术服务管理体系认证证书》，前述证书的取得，表明公司 </w:t>
      </w:r>
      <w:r>
        <w:rPr>
          <w:spacing w:val="-2"/>
        </w:rPr>
        <w:t>与软硬件开发、系统集成相关的信息安全管理体系和信息技术服务管理体系，在</w:t>
      </w:r>
      <w:r>
        <w:rPr>
          <w:rFonts w:ascii="Times New Roman" w:hAnsi="Times New Roman" w:cs="Times New Roman" w:eastAsia="Times New Roman" w:hint="default"/>
          <w:spacing w:val="-2"/>
        </w:rPr>
        <w:t>IT</w:t>
      </w:r>
      <w:r>
        <w:rPr>
          <w:spacing w:val="-2"/>
        </w:rPr>
        <w:t>服务、信息安全等方面的综合实力获得高</w:t>
      </w:r>
      <w:r>
        <w:rPr>
          <w:spacing w:val="-52"/>
        </w:rPr>
        <w:t> </w:t>
      </w:r>
      <w:r>
        <w:rPr>
          <w:spacing w:val="-52"/>
        </w:rPr>
      </w:r>
      <w:r>
        <w:rPr>
          <w:spacing w:val="-2"/>
        </w:rPr>
        <w:t>度认可，有助于进一步提高公司内部管理水平，降低运营风险，充分发挥自主知识产权优势，更有助于提升公司的创新竞争</w:t>
      </w:r>
      <w:r>
        <w:rPr>
          <w:spacing w:val="-66"/>
        </w:rPr>
        <w:t> </w:t>
      </w:r>
      <w:r>
        <w:rPr>
          <w:spacing w:val="-66"/>
        </w:rPr>
      </w:r>
      <w:r>
        <w:rPr>
          <w:spacing w:val="-2"/>
        </w:rPr>
        <w:t>能力，进一步完善公司技术创新体系建设与运行机制、实施创新驱动发展战略、实现经济提质增效升级提供有力支撑，对公</w:t>
      </w:r>
      <w:r>
        <w:rPr>
          <w:spacing w:val="-66"/>
        </w:rPr>
        <w:t> </w:t>
      </w:r>
      <w:r>
        <w:rPr>
          <w:spacing w:val="-66"/>
        </w:rPr>
      </w:r>
      <w:r>
        <w:rPr/>
        <w:t>司技术平台的发展起到了促进和推动作用。</w:t>
      </w:r>
    </w:p>
    <w:tbl>
      <w:tblPr>
        <w:tblW w:w="0" w:type="auto"/>
        <w:jc w:val="left"/>
        <w:tblInd w:w="133" w:type="dxa"/>
        <w:tblLayout w:type="fixed"/>
        <w:tblCellMar>
          <w:top w:w="0" w:type="dxa"/>
          <w:left w:w="0" w:type="dxa"/>
          <w:bottom w:w="0" w:type="dxa"/>
          <w:right w:w="0" w:type="dxa"/>
        </w:tblCellMar>
        <w:tblLook w:val="01E0"/>
      </w:tblPr>
      <w:tblGrid>
        <w:gridCol w:w="5392"/>
        <w:gridCol w:w="4276"/>
      </w:tblGrid>
      <w:tr>
        <w:trPr>
          <w:trHeight w:val="351" w:hRule="exact"/>
        </w:trPr>
        <w:tc>
          <w:tcPr>
            <w:tcW w:w="539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事项概述</w:t>
            </w:r>
            <w:r>
              <w:rPr>
                <w:rFonts w:ascii="宋体" w:hAnsi="宋体" w:cs="宋体" w:eastAsia="宋体" w:hint="default"/>
                <w:sz w:val="18"/>
                <w:szCs w:val="18"/>
              </w:rPr>
            </w:r>
          </w:p>
        </w:tc>
        <w:tc>
          <w:tcPr>
            <w:tcW w:w="427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0"/>
              <w:ind w:left="1411" w:right="0"/>
              <w:jc w:val="left"/>
              <w:rPr>
                <w:rFonts w:ascii="宋体" w:hAnsi="宋体" w:cs="宋体" w:eastAsia="宋体" w:hint="default"/>
                <w:sz w:val="18"/>
                <w:szCs w:val="18"/>
              </w:rPr>
            </w:pPr>
            <w:r>
              <w:rPr>
                <w:rFonts w:ascii="宋体" w:hAnsi="宋体" w:cs="宋体" w:eastAsia="宋体" w:hint="default"/>
                <w:b/>
                <w:bCs/>
                <w:sz w:val="18"/>
                <w:szCs w:val="18"/>
              </w:rPr>
              <w:t>临时报告查询索引</w:t>
            </w:r>
            <w:r>
              <w:rPr>
                <w:rFonts w:ascii="宋体" w:hAnsi="宋体" w:cs="宋体" w:eastAsia="宋体" w:hint="default"/>
                <w:sz w:val="18"/>
                <w:szCs w:val="18"/>
              </w:rPr>
            </w:r>
          </w:p>
        </w:tc>
      </w:tr>
      <w:tr>
        <w:trPr>
          <w:trHeight w:val="422" w:hRule="exact"/>
        </w:trPr>
        <w:tc>
          <w:tcPr>
            <w:tcW w:w="539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73" w:right="0"/>
              <w:jc w:val="left"/>
              <w:rPr>
                <w:rFonts w:ascii="宋体" w:hAnsi="宋体" w:cs="宋体" w:eastAsia="宋体" w:hint="default"/>
                <w:sz w:val="18"/>
                <w:szCs w:val="18"/>
              </w:rPr>
            </w:pPr>
            <w:r>
              <w:rPr>
                <w:rFonts w:ascii="宋体" w:hAnsi="宋体" w:cs="宋体" w:eastAsia="宋体" w:hint="default"/>
                <w:sz w:val="18"/>
                <w:szCs w:val="18"/>
              </w:rPr>
              <w:t>关于全资子公司取得电子与智能化工程专业承包贰级资质的公告</w:t>
            </w:r>
          </w:p>
        </w:tc>
        <w:tc>
          <w:tcPr>
            <w:tcW w:w="427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）公告编码</w:t>
            </w:r>
            <w:r>
              <w:rPr>
                <w:rFonts w:ascii="Times New Roman" w:hAnsi="Times New Roman" w:cs="Times New Roman" w:eastAsia="Times New Roman" w:hint="default"/>
                <w:sz w:val="18"/>
                <w:szCs w:val="18"/>
              </w:rPr>
              <w:t>2018-022</w:t>
            </w:r>
          </w:p>
        </w:tc>
      </w:tr>
      <w:tr>
        <w:trPr>
          <w:trHeight w:val="664" w:hRule="exact"/>
        </w:trPr>
        <w:tc>
          <w:tcPr>
            <w:tcW w:w="5392"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21"/>
              <w:ind w:right="1"/>
              <w:jc w:val="left"/>
              <w:rPr>
                <w:rFonts w:ascii="宋体" w:hAnsi="宋体" w:cs="宋体" w:eastAsia="宋体" w:hint="default"/>
                <w:sz w:val="18"/>
                <w:szCs w:val="18"/>
              </w:rPr>
            </w:pPr>
            <w:r>
              <w:rPr>
                <w:rFonts w:ascii="宋体" w:hAnsi="宋体" w:cs="宋体" w:eastAsia="宋体" w:hint="default"/>
                <w:spacing w:val="-1"/>
                <w:sz w:val="18"/>
                <w:szCs w:val="18"/>
              </w:rPr>
              <w:t>关于全资子公司取得《信息安全管理体系认证证书》与《信息技术服</w:t>
            </w:r>
            <w:r>
              <w:rPr>
                <w:rFonts w:ascii="宋体" w:hAnsi="宋体" w:cs="宋体" w:eastAsia="宋体" w:hint="default"/>
                <w:sz w:val="18"/>
                <w:szCs w:val="18"/>
              </w:rPr>
              <w:t> 务管理体系认证证书》的公告</w:t>
            </w:r>
          </w:p>
        </w:tc>
        <w:tc>
          <w:tcPr>
            <w:tcW w:w="427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）公告编码</w:t>
            </w:r>
            <w:r>
              <w:rPr>
                <w:rFonts w:ascii="Times New Roman" w:hAnsi="Times New Roman" w:cs="Times New Roman" w:eastAsia="Times New Roman" w:hint="default"/>
                <w:sz w:val="18"/>
                <w:szCs w:val="18"/>
              </w:rPr>
              <w:t>2018-024</w:t>
            </w:r>
          </w:p>
        </w:tc>
      </w:tr>
    </w:tbl>
    <w:p>
      <w:pPr>
        <w:spacing w:line="240" w:lineRule="auto" w:before="4"/>
        <w:rPr>
          <w:rFonts w:ascii="宋体" w:hAnsi="宋体" w:cs="宋体" w:eastAsia="宋体" w:hint="default"/>
          <w:sz w:val="22"/>
          <w:szCs w:val="22"/>
        </w:rPr>
      </w:pPr>
    </w:p>
    <w:p>
      <w:pPr>
        <w:pStyle w:val="BodyText"/>
        <w:spacing w:line="240" w:lineRule="auto" w:before="44"/>
        <w:ind w:left="424" w:right="0"/>
        <w:jc w:val="left"/>
      </w:pPr>
      <w:r>
        <w:rPr/>
        <w:t>（二）神州信源与汉中市滨江新区管理委员会签订框架协议</w:t>
      </w:r>
    </w:p>
    <w:p>
      <w:pPr>
        <w:spacing w:after="0" w:line="240" w:lineRule="auto"/>
        <w:jc w:val="left"/>
        <w:sectPr>
          <w:pgSz w:w="11910" w:h="16840"/>
          <w:pgMar w:header="747" w:footer="1190" w:top="1060" w:bottom="1380" w:left="980" w:right="0"/>
        </w:sectPr>
      </w:pPr>
    </w:p>
    <w:p>
      <w:pPr>
        <w:spacing w:line="240" w:lineRule="auto" w:before="12"/>
        <w:rPr>
          <w:rFonts w:ascii="宋体" w:hAnsi="宋体" w:cs="宋体" w:eastAsia="宋体" w:hint="default"/>
          <w:sz w:val="25"/>
          <w:szCs w:val="25"/>
        </w:rPr>
      </w:pPr>
    </w:p>
    <w:p>
      <w:pPr>
        <w:pStyle w:val="BodyText"/>
        <w:spacing w:line="309" w:lineRule="auto" w:before="44"/>
        <w:ind w:left="153" w:right="1040" w:firstLine="362"/>
        <w:jc w:val="left"/>
      </w:pPr>
      <w:r>
        <w:rPr>
          <w:spacing w:val="-4"/>
        </w:rPr>
        <w:t>为充分发挥各自在新型智慧城市领域的业务、需求、技术和资源优势，推进汉中新型智慧城市建设工作，双方本着诚信、</w:t>
      </w:r>
      <w:r>
        <w:rPr/>
        <w:t> 平等、互利、双赢的原则，经双方友好协商，于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日签署了《陕西省汉中市信息大厦项目合作框架协议书》，公 </w:t>
      </w:r>
      <w:r>
        <w:rPr>
          <w:spacing w:val="-2"/>
        </w:rPr>
        <w:t>司切实贯彻国家网信办和国家发改委针对建设新型智慧城市的总体目标要求精神，为汉中市新型智慧城市暨信息大厦的建设</w:t>
      </w:r>
      <w:r>
        <w:rPr>
          <w:spacing w:val="-64"/>
        </w:rPr>
        <w:t> </w:t>
      </w:r>
      <w:r>
        <w:rPr>
          <w:spacing w:val="-64"/>
        </w:rPr>
      </w:r>
      <w:r>
        <w:rPr/>
        <w:t>提供全方位的技术支撑和服务。详见巨潮资讯网（</w:t>
      </w:r>
      <w:hyperlink r:id="rId9">
        <w:r>
          <w:rPr>
            <w:rFonts w:ascii="Times New Roman" w:hAnsi="Times New Roman" w:cs="Times New Roman" w:eastAsia="Times New Roman" w:hint="default"/>
          </w:rPr>
          <w:t>www.cninfo.com.cn</w:t>
        </w:r>
      </w:hyperlink>
      <w:r>
        <w:rPr/>
        <w:t>）关于全资子公司签署合作框架协议的公告（公告编 码</w:t>
      </w:r>
      <w:r>
        <w:rPr>
          <w:rFonts w:ascii="Times New Roman" w:hAnsi="Times New Roman" w:cs="Times New Roman" w:eastAsia="Times New Roman" w:hint="default"/>
        </w:rPr>
        <w:t>2018-053</w:t>
      </w:r>
      <w:r>
        <w:rPr/>
        <w:t>）</w:t>
      </w:r>
    </w:p>
    <w:p>
      <w:pPr>
        <w:spacing w:after="0" w:line="309" w:lineRule="auto"/>
        <w:jc w:val="left"/>
        <w:sectPr>
          <w:pgSz w:w="11910" w:h="16840"/>
          <w:pgMar w:header="747" w:footer="1190"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_TOC_250006"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129"/>
        <w:gridCol w:w="1091"/>
        <w:gridCol w:w="708"/>
        <w:gridCol w:w="708"/>
        <w:gridCol w:w="707"/>
        <w:gridCol w:w="707"/>
        <w:gridCol w:w="926"/>
        <w:gridCol w:w="926"/>
        <w:gridCol w:w="1091"/>
        <w:gridCol w:w="701"/>
      </w:tblGrid>
      <w:tr>
        <w:trPr>
          <w:trHeight w:val="402" w:hRule="exact"/>
        </w:trPr>
        <w:tc>
          <w:tcPr>
            <w:tcW w:w="2129" w:type="dxa"/>
            <w:vMerge w:val="restart"/>
            <w:tcBorders>
              <w:top w:val="single" w:sz="4" w:space="0" w:color="000000"/>
              <w:left w:val="single" w:sz="4" w:space="0" w:color="000000"/>
              <w:right w:val="single" w:sz="4" w:space="0" w:color="000000"/>
            </w:tcBorders>
            <w:shd w:val="clear" w:color="auto" w:fill="D3D3D3"/>
          </w:tcPr>
          <w:p>
            <w:pPr/>
          </w:p>
        </w:tc>
        <w:tc>
          <w:tcPr>
            <w:tcW w:w="179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7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9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129" w:type="dxa"/>
            <w:vMerge/>
            <w:tcBorders>
              <w:left w:val="single" w:sz="4" w:space="0" w:color="000000"/>
              <w:bottom w:val="single" w:sz="4" w:space="0" w:color="000000"/>
              <w:right w:val="single" w:sz="4" w:space="0" w:color="000000"/>
            </w:tcBorders>
            <w:shd w:val="clear" w:color="auto" w:fill="D3D3D3"/>
          </w:tcPr>
          <w:p>
            <w:pP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7" w:right="78"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67" w:right="77"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406,001,702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-49,742,915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-49,742,915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356,258,787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24.57%</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406,001,702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-49,742,915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-49,742,915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356,258,787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24.57%</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94"/>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406,001,702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-49,742,915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-49,742,915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356,258,787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24.57%</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94"/>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1,043,822,385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49,742,915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49,742,915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1,093,565,300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1,043,822,385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49,742,915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49,742,915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1,093,565,300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1,449,824,087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1,449,824,087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both"/>
      </w:pPr>
      <w:r>
        <w:rPr/>
        <w:t>股份变动的原因</w:t>
      </w:r>
    </w:p>
    <w:p>
      <w:pPr>
        <w:pStyle w:val="BodyText"/>
        <w:spacing w:line="338" w:lineRule="auto" w:before="117"/>
        <w:ind w:left="534" w:right="1190" w:hanging="3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根据《深圳证券交易所上市公司董事、监事和高级管理人员所持本公司股份及其变动管理业务指引》等规定，每年的</w:t>
      </w:r>
    </w:p>
    <w:p>
      <w:pPr>
        <w:pStyle w:val="BodyText"/>
        <w:spacing w:line="307" w:lineRule="auto" w:before="2"/>
        <w:ind w:left="153" w:right="1131"/>
        <w:jc w:val="both"/>
      </w:pPr>
      <w:r>
        <w:rPr>
          <w:spacing w:val="-2"/>
        </w:rPr>
        <w:t>第一个交易日，中国证券登记结算有限公司深圳分公司以公司董事、监事和高级管理人员在上年最后一个交易日登记在其名</w:t>
      </w:r>
      <w:r>
        <w:rPr>
          <w:spacing w:val="-64"/>
        </w:rPr>
        <w:t> </w:t>
      </w:r>
      <w:r>
        <w:rPr>
          <w:spacing w:val="-64"/>
        </w:rPr>
      </w:r>
      <w:r>
        <w:rPr/>
        <w:t>下的在深交所上市的</w:t>
      </w:r>
      <w:r>
        <w:rPr>
          <w:rFonts w:ascii="Times New Roman" w:hAnsi="Times New Roman" w:cs="Times New Roman" w:eastAsia="Times New Roman" w:hint="default"/>
        </w:rPr>
        <w:t>A</w:t>
      </w:r>
      <w:r>
        <w:rPr/>
        <w:t>股为基数，按</w:t>
      </w:r>
      <w:r>
        <w:rPr>
          <w:rFonts w:ascii="Times New Roman" w:hAnsi="Times New Roman" w:cs="Times New Roman" w:eastAsia="Times New Roman" w:hint="default"/>
        </w:rPr>
        <w:t>25%</w:t>
      </w:r>
      <w:r>
        <w:rPr/>
        <w:t>计算其本年度可转让股份法定额度；同时，对该人员所持的在本年度可转让股份额 度内的无限售条件的流通股进行解锁。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日公司披露了《关于发行股份及支付现金购买资产之限售股份解禁上市 流动的提示性公告》，本次申请解除限售股东两名，解除限售股份</w:t>
      </w:r>
      <w:r>
        <w:rPr>
          <w:rFonts w:ascii="Times New Roman" w:hAnsi="Times New Roman" w:cs="Times New Roman" w:eastAsia="Times New Roman" w:hint="default"/>
        </w:rPr>
        <w:t>14,301,670</w:t>
      </w:r>
      <w:r>
        <w:rPr/>
        <w:t>股，具体内容详见巨潮资讯网相关公告。</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240" w:lineRule="auto"/>
        <w:ind w:left="153" w:right="0"/>
        <w:jc w:val="both"/>
      </w:pPr>
      <w:r>
        <w:rPr/>
        <w:t>股份变动的批准情况</w:t>
      </w:r>
    </w:p>
    <w:p>
      <w:pPr>
        <w:pStyle w:val="BodyText"/>
        <w:spacing w:line="340" w:lineRule="auto" w:before="116"/>
        <w:ind w:right="9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spacing w:after="0" w:line="340" w:lineRule="auto"/>
        <w:jc w:val="left"/>
        <w:sectPr>
          <w:pgSz w:w="11910" w:h="16840"/>
          <w:pgMar w:header="747" w:footer="1190" w:top="1060" w:bottom="138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87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338" w:lineRule="auto" w:before="43"/>
        <w:ind w:right="69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40" w:lineRule="auto" w:before="42"/>
        <w:ind w:right="13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69"/>
        <w:gridCol w:w="1369"/>
        <w:gridCol w:w="1368"/>
        <w:gridCol w:w="1369"/>
        <w:gridCol w:w="1362"/>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358"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按高管股份解除</w:t>
            </w:r>
          </w:p>
        </w:tc>
      </w:tr>
      <w:tr>
        <w:trPr>
          <w:trHeight w:val="311"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限售的相关规</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定，在任职期间</w:t>
            </w:r>
          </w:p>
        </w:tc>
      </w:tr>
      <w:tr>
        <w:trPr>
          <w:trHeight w:val="316"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371,156,248</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25" w:right="0"/>
              <w:jc w:val="left"/>
              <w:rPr>
                <w:rFonts w:ascii="Times New Roman" w:hAnsi="Times New Roman" w:cs="Times New Roman" w:eastAsia="Times New Roman" w:hint="default"/>
                <w:sz w:val="18"/>
                <w:szCs w:val="18"/>
              </w:rPr>
            </w:pPr>
            <w:r>
              <w:rPr>
                <w:rFonts w:ascii="Times New Roman"/>
                <w:sz w:val="18"/>
              </w:rPr>
              <w:t>32,620,948</w:t>
            </w: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338,535,300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每年转让的公司</w:t>
            </w:r>
          </w:p>
        </w:tc>
      </w:tr>
      <w:tr>
        <w:trPr>
          <w:trHeight w:val="308"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股份不超过其持</w:t>
            </w:r>
          </w:p>
        </w:tc>
      </w:tr>
      <w:tr>
        <w:trPr>
          <w:trHeight w:val="313"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有公司股份总数</w:t>
            </w:r>
          </w:p>
        </w:tc>
      </w:tr>
      <w:tr>
        <w:trPr>
          <w:trHeight w:val="356"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8"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按高管股份解除</w:t>
            </w:r>
          </w:p>
        </w:tc>
      </w:tr>
      <w:tr>
        <w:trPr>
          <w:trHeight w:val="311"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限售的相关规</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定，在任职期间</w:t>
            </w:r>
          </w:p>
        </w:tc>
      </w:tr>
      <w:tr>
        <w:trPr>
          <w:trHeight w:val="316"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杨杰</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2,137,500</w:t>
            </w: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2,137,500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每年转让的公司</w:t>
            </w:r>
          </w:p>
        </w:tc>
      </w:tr>
      <w:tr>
        <w:trPr>
          <w:trHeight w:val="308"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股份不超过其持</w:t>
            </w:r>
          </w:p>
        </w:tc>
      </w:tr>
      <w:tr>
        <w:trPr>
          <w:trHeight w:val="313"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有公司股份总数</w:t>
            </w:r>
          </w:p>
        </w:tc>
      </w:tr>
      <w:tr>
        <w:trPr>
          <w:trHeight w:val="356"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8"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按高管股份解除</w:t>
            </w:r>
          </w:p>
        </w:tc>
      </w:tr>
      <w:tr>
        <w:trPr>
          <w:trHeight w:val="311"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限售的相关规</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定，在任职期间</w:t>
            </w:r>
          </w:p>
        </w:tc>
      </w:tr>
      <w:tr>
        <w:trPr>
          <w:trHeight w:val="316"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高曦</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1,900,237</w:t>
            </w: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1,900,237</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每年转让的公司</w:t>
            </w:r>
          </w:p>
        </w:tc>
      </w:tr>
      <w:tr>
        <w:trPr>
          <w:trHeight w:val="308"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股份不超过其持</w:t>
            </w:r>
          </w:p>
        </w:tc>
      </w:tr>
      <w:tr>
        <w:trPr>
          <w:trHeight w:val="313"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有公司股份总数</w:t>
            </w:r>
          </w:p>
        </w:tc>
      </w:tr>
      <w:tr>
        <w:trPr>
          <w:trHeight w:val="356"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8"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按高管股份解除</w:t>
            </w:r>
          </w:p>
        </w:tc>
      </w:tr>
      <w:tr>
        <w:trPr>
          <w:trHeight w:val="30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限售的相关规</w:t>
            </w:r>
          </w:p>
        </w:tc>
      </w:tr>
      <w:tr>
        <w:trPr>
          <w:trHeight w:val="322"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胡建斌</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z w:val="18"/>
              </w:rPr>
              <w:t>1,781,345</w:t>
            </w:r>
          </w:p>
        </w:tc>
        <w:tc>
          <w:tcPr>
            <w:tcW w:w="1369" w:type="dxa"/>
            <w:vMerge/>
            <w:tcBorders>
              <w:left w:val="single" w:sz="4" w:space="0" w:color="000000"/>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3"/>
              <w:jc w:val="right"/>
              <w:rPr>
                <w:rFonts w:ascii="Times New Roman" w:hAnsi="Times New Roman" w:cs="Times New Roman" w:eastAsia="Times New Roman" w:hint="default"/>
                <w:sz w:val="18"/>
                <w:szCs w:val="18"/>
              </w:rPr>
            </w:pPr>
            <w:r>
              <w:rPr>
                <w:rFonts w:ascii="Times New Roman"/>
                <w:sz w:val="18"/>
              </w:rPr>
              <w:t>1</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z w:val="18"/>
              </w:rPr>
              <w:t>1,781,346</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定，在任职期间</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每年转让的公司</w:t>
            </w:r>
          </w:p>
        </w:tc>
      </w:tr>
      <w:tr>
        <w:trPr>
          <w:trHeight w:val="317"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股份不超过其持</w:t>
            </w:r>
          </w:p>
        </w:tc>
      </w:tr>
    </w:tbl>
    <w:p>
      <w:pPr>
        <w:spacing w:after="0" w:line="240" w:lineRule="auto"/>
        <w:jc w:val="left"/>
        <w:rPr>
          <w:rFonts w:ascii="宋体" w:hAnsi="宋体" w:cs="宋体" w:eastAsia="宋体" w:hint="default"/>
          <w:sz w:val="18"/>
          <w:szCs w:val="18"/>
        </w:rPr>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69"/>
        <w:gridCol w:w="1369"/>
        <w:gridCol w:w="1368"/>
        <w:gridCol w:w="1369"/>
        <w:gridCol w:w="1362"/>
      </w:tblGrid>
      <w:tr>
        <w:trPr>
          <w:trHeight w:val="674"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有公司股份总数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7"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按高管股份解除</w:t>
            </w:r>
          </w:p>
        </w:tc>
      </w:tr>
      <w:tr>
        <w:trPr>
          <w:trHeight w:val="311"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限售的相关规</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定，在任职期间</w:t>
            </w:r>
          </w:p>
        </w:tc>
      </w:tr>
      <w:tr>
        <w:trPr>
          <w:trHeight w:val="316"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杨维</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3,443,512</w:t>
            </w: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3,443,512</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每年转让的公司</w:t>
            </w:r>
          </w:p>
        </w:tc>
      </w:tr>
      <w:tr>
        <w:trPr>
          <w:trHeight w:val="308"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股份不超过其持</w:t>
            </w:r>
          </w:p>
        </w:tc>
      </w:tr>
      <w:tr>
        <w:trPr>
          <w:trHeight w:val="313"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有公司股份总数</w:t>
            </w:r>
          </w:p>
        </w:tc>
      </w:tr>
      <w:tr>
        <w:trPr>
          <w:trHeight w:val="357"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7"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按高管股份解除</w:t>
            </w:r>
          </w:p>
        </w:tc>
      </w:tr>
      <w:tr>
        <w:trPr>
          <w:trHeight w:val="311"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限售的相关规定</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和承诺</w:t>
            </w:r>
            <w:r>
              <w:rPr>
                <w:rFonts w:ascii="Times New Roman" w:hAnsi="Times New Roman" w:cs="Times New Roman" w:eastAsia="Times New Roman" w:hint="default"/>
                <w:sz w:val="18"/>
                <w:szCs w:val="18"/>
              </w:rPr>
              <w:t>,</w:t>
            </w:r>
            <w:r>
              <w:rPr>
                <w:rFonts w:ascii="宋体" w:hAnsi="宋体" w:cs="宋体" w:eastAsia="宋体" w:hint="default"/>
                <w:sz w:val="18"/>
                <w:szCs w:val="18"/>
              </w:rPr>
              <w:t>在王晓娜</w:t>
            </w:r>
          </w:p>
        </w:tc>
      </w:tr>
      <w:tr>
        <w:trPr>
          <w:trHeight w:val="619"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11,281,190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2,820,298</w:t>
            </w: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8,460,892</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类高管锁定股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67"/>
              <w:jc w:val="left"/>
              <w:rPr>
                <w:rFonts w:ascii="宋体" w:hAnsi="宋体" w:cs="宋体" w:eastAsia="宋体" w:hint="default"/>
                <w:sz w:val="18"/>
                <w:szCs w:val="18"/>
              </w:rPr>
            </w:pPr>
            <w:r>
              <w:rPr>
                <w:rFonts w:ascii="宋体" w:hAnsi="宋体" w:cs="宋体" w:eastAsia="宋体" w:hint="default"/>
                <w:sz w:val="18"/>
                <w:szCs w:val="18"/>
              </w:rPr>
              <w:t>女士任职期间， 其每年转让的公</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司股份不超过其</w:t>
            </w:r>
          </w:p>
        </w:tc>
      </w:tr>
      <w:tr>
        <w:trPr>
          <w:trHeight w:val="313"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所持有公司股份</w:t>
            </w:r>
          </w:p>
        </w:tc>
      </w:tr>
      <w:tr>
        <w:trPr>
          <w:trHeight w:val="357"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田秋桂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7,224,070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7,224,070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首发后个人限售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按照其承诺执行</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马永清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7,077,600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7,077,600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首发后个人限售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按照其承诺执行</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406,001,702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49,742,916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356,258,787</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303"/>
        <w:gridCol w:w="715"/>
        <w:gridCol w:w="1389"/>
        <w:gridCol w:w="1369"/>
        <w:gridCol w:w="1538"/>
        <w:gridCol w:w="1099"/>
        <w:gridCol w:w="1256"/>
        <w:gridCol w:w="1024"/>
      </w:tblGrid>
      <w:tr>
        <w:trPr>
          <w:trHeight w:val="402" w:hRule="exact"/>
        </w:trPr>
        <w:tc>
          <w:tcPr>
            <w:tcW w:w="13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报告期末普通</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71,181</w:t>
            </w:r>
          </w:p>
        </w:tc>
        <w:tc>
          <w:tcPr>
            <w:tcW w:w="1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0" w:right="0"/>
              <w:jc w:val="left"/>
              <w:rPr>
                <w:rFonts w:ascii="Times New Roman" w:hAnsi="Times New Roman" w:cs="Times New Roman" w:eastAsia="Times New Roman" w:hint="default"/>
                <w:sz w:val="18"/>
                <w:szCs w:val="18"/>
              </w:rPr>
            </w:pPr>
            <w:r>
              <w:rPr>
                <w:rFonts w:ascii="Times New Roman"/>
                <w:sz w:val="18"/>
              </w:rPr>
              <w:t>67,500</w:t>
            </w:r>
          </w:p>
        </w:tc>
        <w:tc>
          <w:tcPr>
            <w:tcW w:w="15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报告期末表决权恢</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年度报告披露</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303"/>
        <w:gridCol w:w="95"/>
        <w:gridCol w:w="620"/>
        <w:gridCol w:w="714"/>
        <w:gridCol w:w="705"/>
        <w:gridCol w:w="986"/>
        <w:gridCol w:w="353"/>
        <w:gridCol w:w="482"/>
        <w:gridCol w:w="956"/>
        <w:gridCol w:w="100"/>
        <w:gridCol w:w="857"/>
        <w:gridCol w:w="242"/>
        <w:gridCol w:w="1006"/>
        <w:gridCol w:w="251"/>
        <w:gridCol w:w="1024"/>
      </w:tblGrid>
      <w:tr>
        <w:trPr>
          <w:trHeight w:val="1610" w:hRule="exact"/>
        </w:trPr>
        <w:tc>
          <w:tcPr>
            <w:tcW w:w="13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股股东总数</w:t>
            </w:r>
          </w:p>
        </w:tc>
        <w:tc>
          <w:tcPr>
            <w:tcW w:w="715" w:type="dxa"/>
            <w:gridSpan w:val="2"/>
            <w:tcBorders>
              <w:top w:val="single" w:sz="4" w:space="0" w:color="000000"/>
              <w:left w:val="single" w:sz="4" w:space="0" w:color="000000"/>
              <w:bottom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124"/>
              <w:jc w:val="left"/>
              <w:rPr>
                <w:rFonts w:ascii="宋体" w:hAnsi="宋体" w:cs="宋体" w:eastAsia="宋体" w:hint="default"/>
                <w:sz w:val="18"/>
                <w:szCs w:val="18"/>
              </w:rPr>
            </w:pPr>
            <w:r>
              <w:rPr>
                <w:rFonts w:ascii="宋体" w:hAnsi="宋体" w:cs="宋体" w:eastAsia="宋体" w:hint="default"/>
                <w:sz w:val="18"/>
                <w:szCs w:val="18"/>
              </w:rPr>
              <w:t>前上一月末普通 股股东总数</w:t>
            </w:r>
          </w:p>
        </w:tc>
        <w:tc>
          <w:tcPr>
            <w:tcW w:w="1339" w:type="dxa"/>
            <w:gridSpan w:val="2"/>
            <w:tcBorders>
              <w:top w:val="single" w:sz="4" w:space="0" w:color="000000"/>
              <w:left w:val="single" w:sz="4" w:space="0" w:color="000000"/>
              <w:bottom w:val="single" w:sz="4" w:space="0" w:color="000000"/>
              <w:right w:val="single" w:sz="4" w:space="0" w:color="000000"/>
            </w:tcBorders>
          </w:tcPr>
          <w:p>
            <w:pPr/>
          </w:p>
        </w:tc>
        <w:tc>
          <w:tcPr>
            <w:tcW w:w="153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20"/>
              <w:jc w:val="both"/>
              <w:rPr>
                <w:rFonts w:ascii="宋体" w:hAnsi="宋体" w:cs="宋体" w:eastAsia="宋体" w:hint="default"/>
                <w:sz w:val="18"/>
                <w:szCs w:val="18"/>
              </w:rPr>
            </w:pPr>
            <w:r>
              <w:rPr>
                <w:rFonts w:ascii="宋体" w:hAnsi="宋体" w:cs="宋体" w:eastAsia="宋体" w:hint="default"/>
                <w:sz w:val="18"/>
                <w:szCs w:val="18"/>
              </w:rPr>
              <w:t>复的优先股股东总 </w:t>
            </w:r>
            <w:r>
              <w:rPr>
                <w:rFonts w:ascii="宋体" w:hAnsi="宋体" w:cs="宋体" w:eastAsia="宋体" w:hint="default"/>
                <w:spacing w:val="-16"/>
                <w:sz w:val="18"/>
                <w:szCs w:val="18"/>
              </w:rPr>
              <w:t>数（如有）（参见注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99" w:type="dxa"/>
            <w:gridSpan w:val="2"/>
            <w:tcBorders>
              <w:top w:val="single" w:sz="4" w:space="0" w:color="000000"/>
              <w:left w:val="single" w:sz="4" w:space="0" w:color="000000"/>
              <w:bottom w:val="single" w:sz="4" w:space="0" w:color="000000"/>
              <w:right w:val="single" w:sz="4" w:space="0" w:color="000000"/>
            </w:tcBorders>
          </w:tcPr>
          <w:p>
            <w:pPr/>
          </w:p>
        </w:tc>
        <w:tc>
          <w:tcPr>
            <w:tcW w:w="12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53"/>
              <w:jc w:val="left"/>
              <w:rPr>
                <w:rFonts w:ascii="宋体" w:hAnsi="宋体" w:cs="宋体" w:eastAsia="宋体" w:hint="default"/>
                <w:sz w:val="18"/>
                <w:szCs w:val="18"/>
              </w:rPr>
            </w:pPr>
            <w:r>
              <w:rPr>
                <w:rFonts w:ascii="宋体" w:hAnsi="宋体" w:cs="宋体" w:eastAsia="宋体" w:hint="default"/>
                <w:sz w:val="18"/>
                <w:szCs w:val="18"/>
              </w:rPr>
              <w:t>日前上一月末 表决权恢复的 优先股股东总 </w:t>
            </w:r>
            <w:r>
              <w:rPr>
                <w:rFonts w:ascii="宋体" w:hAnsi="宋体" w:cs="宋体" w:eastAsia="宋体" w:hint="default"/>
                <w:spacing w:val="-13"/>
                <w:sz w:val="18"/>
                <w:szCs w:val="18"/>
              </w:rPr>
              <w:t>数（如有）（参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94"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39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3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0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71" w:right="61"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2" w:right="23"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3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2" w:right="50"/>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5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5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52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398" w:type="dxa"/>
            <w:gridSpan w:val="2"/>
            <w:vMerge/>
            <w:tcBorders>
              <w:left w:val="single" w:sz="4" w:space="0" w:color="000000"/>
              <w:bottom w:val="single" w:sz="4" w:space="0" w:color="000000"/>
              <w:right w:val="single" w:sz="4" w:space="0" w:color="000000"/>
            </w:tcBorders>
            <w:shd w:val="clear" w:color="auto" w:fill="D3D3D3"/>
          </w:tcPr>
          <w:p>
            <w:pPr/>
          </w:p>
        </w:tc>
        <w:tc>
          <w:tcPr>
            <w:tcW w:w="1334" w:type="dxa"/>
            <w:gridSpan w:val="2"/>
            <w:vMerge/>
            <w:tcBorders>
              <w:left w:val="single" w:sz="4" w:space="0" w:color="000000"/>
              <w:bottom w:val="single" w:sz="4" w:space="0" w:color="000000"/>
              <w:right w:val="single" w:sz="4" w:space="0" w:color="000000"/>
            </w:tcBorders>
            <w:shd w:val="clear" w:color="auto" w:fill="D3D3D3"/>
          </w:tcPr>
          <w:p>
            <w:pPr/>
          </w:p>
        </w:tc>
        <w:tc>
          <w:tcPr>
            <w:tcW w:w="705" w:type="dxa"/>
            <w:vMerge/>
            <w:tcBorders>
              <w:left w:val="single" w:sz="4" w:space="0" w:color="000000"/>
              <w:bottom w:val="single" w:sz="4" w:space="0" w:color="000000"/>
              <w:right w:val="single" w:sz="4" w:space="0" w:color="000000"/>
            </w:tcBorders>
            <w:shd w:val="clear" w:color="auto" w:fill="D3D3D3"/>
          </w:tcPr>
          <w:p>
            <w:pPr/>
          </w:p>
        </w:tc>
        <w:tc>
          <w:tcPr>
            <w:tcW w:w="986" w:type="dxa"/>
            <w:vMerge/>
            <w:tcBorders>
              <w:left w:val="single" w:sz="4" w:space="0" w:color="000000"/>
              <w:bottom w:val="single" w:sz="4" w:space="0" w:color="000000"/>
              <w:right w:val="single" w:sz="4" w:space="0" w:color="000000"/>
            </w:tcBorders>
            <w:shd w:val="clear" w:color="auto" w:fill="D3D3D3"/>
          </w:tcPr>
          <w:p>
            <w:pPr/>
          </w:p>
        </w:tc>
        <w:tc>
          <w:tcPr>
            <w:tcW w:w="835" w:type="dxa"/>
            <w:gridSpan w:val="2"/>
            <w:vMerge/>
            <w:tcBorders>
              <w:left w:val="single" w:sz="4" w:space="0" w:color="000000"/>
              <w:bottom w:val="single" w:sz="4" w:space="0" w:color="000000"/>
              <w:right w:val="single" w:sz="4" w:space="0" w:color="000000"/>
            </w:tcBorders>
            <w:shd w:val="clear" w:color="auto" w:fill="D3D3D3"/>
          </w:tcPr>
          <w:p>
            <w:pPr/>
          </w:p>
        </w:tc>
        <w:tc>
          <w:tcPr>
            <w:tcW w:w="956" w:type="dxa"/>
            <w:vMerge/>
            <w:tcBorders>
              <w:left w:val="single" w:sz="4" w:space="0" w:color="000000"/>
              <w:bottom w:val="single" w:sz="4" w:space="0" w:color="000000"/>
              <w:right w:val="single" w:sz="4" w:space="0" w:color="000000"/>
            </w:tcBorders>
            <w:shd w:val="clear" w:color="auto" w:fill="D3D3D3"/>
          </w:tcPr>
          <w:p>
            <w:pPr/>
          </w:p>
        </w:tc>
        <w:tc>
          <w:tcPr>
            <w:tcW w:w="956" w:type="dxa"/>
            <w:gridSpan w:val="2"/>
            <w:vMerge/>
            <w:tcBorders>
              <w:left w:val="single" w:sz="4" w:space="0" w:color="000000"/>
              <w:bottom w:val="single" w:sz="4" w:space="0" w:color="000000"/>
              <w:right w:val="single" w:sz="4" w:space="0" w:color="000000"/>
            </w:tcBorders>
            <w:shd w:val="clear" w:color="auto" w:fill="D3D3D3"/>
          </w:tcPr>
          <w:p>
            <w:pPr/>
          </w:p>
        </w:tc>
        <w:tc>
          <w:tcPr>
            <w:tcW w:w="12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25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27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30.77%</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446,181,600</w:t>
            </w:r>
          </w:p>
        </w:tc>
        <w:tc>
          <w:tcPr>
            <w:tcW w:w="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-5,198,800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338,535,300</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107,646,300</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407,509,999</w:t>
            </w:r>
          </w:p>
        </w:tc>
      </w:tr>
      <w:tr>
        <w:trPr>
          <w:trHeight w:val="2274" w:hRule="exact"/>
        </w:trPr>
        <w:tc>
          <w:tcPr>
            <w:tcW w:w="1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北信瑞丰基金－ 南京银行－中航 信托－中航信 托</w:t>
            </w:r>
            <w:r>
              <w:rPr>
                <w:rFonts w:ascii="Times New Roman" w:hAnsi="Times New Roman" w:cs="Times New Roman" w:eastAsia="Times New Roman" w:hint="default"/>
                <w:sz w:val="18"/>
                <w:szCs w:val="18"/>
              </w:rPr>
              <w:t>·</w:t>
            </w:r>
            <w:r>
              <w:rPr>
                <w:rFonts w:ascii="宋体" w:hAnsi="宋体" w:cs="宋体" w:eastAsia="宋体" w:hint="default"/>
                <w:sz w:val="18"/>
                <w:szCs w:val="18"/>
              </w:rPr>
              <w:t>天启（</w:t>
            </w:r>
            <w:r>
              <w:rPr>
                <w:rFonts w:ascii="Times New Roman" w:hAnsi="Times New Roman" w:cs="Times New Roman" w:eastAsia="Times New Roman" w:hint="default"/>
                <w:sz w:val="18"/>
                <w:szCs w:val="18"/>
              </w:rPr>
              <w:t>2016</w:t>
            </w:r>
            <w:r>
              <w:rPr>
                <w:rFonts w:ascii="宋体" w:hAnsi="宋体" w:cs="宋体" w:eastAsia="宋体" w:hint="default"/>
                <w:sz w:val="18"/>
                <w:szCs w:val="18"/>
              </w:rPr>
              <w:t>） </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号南京高科 华睿集合资金信 托计划</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2.33%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33,779,948</w:t>
            </w:r>
          </w:p>
        </w:tc>
        <w:tc>
          <w:tcPr>
            <w:tcW w:w="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779,,948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33,779,948</w:t>
            </w:r>
          </w:p>
        </w:tc>
        <w:tc>
          <w:tcPr>
            <w:tcW w:w="1248" w:type="dxa"/>
            <w:gridSpan w:val="2"/>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3"/>
              <w:jc w:val="both"/>
              <w:rPr>
                <w:rFonts w:ascii="宋体" w:hAnsi="宋体" w:cs="宋体" w:eastAsia="宋体" w:hint="default"/>
                <w:sz w:val="18"/>
                <w:szCs w:val="18"/>
              </w:rPr>
            </w:pPr>
            <w:r>
              <w:rPr>
                <w:rFonts w:ascii="宋体" w:hAnsi="宋体" w:cs="宋体" w:eastAsia="宋体" w:hint="default"/>
                <w:sz w:val="18"/>
                <w:szCs w:val="18"/>
              </w:rPr>
              <w:t>新华人寿保险股 份有限公司－分 红－个人分红</w:t>
            </w:r>
          </w:p>
          <w:p>
            <w:pPr>
              <w:pStyle w:val="TableParagraph"/>
              <w:spacing w:line="240" w:lineRule="auto" w:before="2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-018FH002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深</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7"/>
              <w:jc w:val="right"/>
              <w:rPr>
                <w:rFonts w:ascii="Times New Roman" w:hAnsi="Times New Roman" w:cs="Times New Roman" w:eastAsia="Times New Roman" w:hint="default"/>
                <w:sz w:val="18"/>
                <w:szCs w:val="18"/>
              </w:rPr>
            </w:pPr>
            <w:r>
              <w:rPr>
                <w:rFonts w:ascii="Times New Roman"/>
                <w:sz w:val="18"/>
              </w:rPr>
              <w:t>0.84%</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12,245,665</w:t>
            </w:r>
          </w:p>
        </w:tc>
        <w:tc>
          <w:tcPr>
            <w:tcW w:w="835" w:type="dxa"/>
            <w:gridSpan w:val="2"/>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0</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2" w:right="0"/>
              <w:jc w:val="left"/>
              <w:rPr>
                <w:rFonts w:ascii="Times New Roman" w:hAnsi="Times New Roman" w:cs="Times New Roman" w:eastAsia="Times New Roman" w:hint="default"/>
                <w:sz w:val="18"/>
                <w:szCs w:val="18"/>
              </w:rPr>
            </w:pPr>
            <w:r>
              <w:rPr>
                <w:rFonts w:ascii="Times New Roman"/>
                <w:sz w:val="18"/>
              </w:rPr>
              <w:t>12,245,665</w:t>
            </w:r>
          </w:p>
        </w:tc>
        <w:tc>
          <w:tcPr>
            <w:tcW w:w="1248" w:type="dxa"/>
            <w:gridSpan w:val="2"/>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0.78%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11,281,190</w:t>
            </w:r>
          </w:p>
        </w:tc>
        <w:tc>
          <w:tcPr>
            <w:tcW w:w="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8,460,892</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 w:right="0"/>
              <w:jc w:val="left"/>
              <w:rPr>
                <w:rFonts w:ascii="Times New Roman" w:hAnsi="Times New Roman" w:cs="Times New Roman" w:eastAsia="Times New Roman" w:hint="default"/>
                <w:sz w:val="18"/>
                <w:szCs w:val="18"/>
              </w:rPr>
            </w:pPr>
            <w:r>
              <w:rPr>
                <w:rFonts w:ascii="Times New Roman"/>
                <w:sz w:val="18"/>
              </w:rPr>
              <w:t>2,820,298</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1" w:right="0"/>
              <w:jc w:val="left"/>
              <w:rPr>
                <w:rFonts w:ascii="Times New Roman" w:hAnsi="Times New Roman" w:cs="Times New Roman" w:eastAsia="Times New Roman" w:hint="default"/>
                <w:sz w:val="18"/>
                <w:szCs w:val="18"/>
              </w:rPr>
            </w:pPr>
            <w:r>
              <w:rPr>
                <w:rFonts w:ascii="Times New Roman"/>
                <w:sz w:val="18"/>
              </w:rPr>
              <w:t>8,670,000</w:t>
            </w:r>
          </w:p>
        </w:tc>
      </w:tr>
      <w:tr>
        <w:trPr>
          <w:trHeight w:val="1338" w:hRule="exact"/>
        </w:trPr>
        <w:tc>
          <w:tcPr>
            <w:tcW w:w="1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3"/>
              <w:jc w:val="both"/>
              <w:rPr>
                <w:rFonts w:ascii="宋体" w:hAnsi="宋体" w:cs="宋体" w:eastAsia="宋体" w:hint="default"/>
                <w:sz w:val="18"/>
                <w:szCs w:val="18"/>
              </w:rPr>
            </w:pPr>
            <w:r>
              <w:rPr>
                <w:rFonts w:ascii="宋体" w:hAnsi="宋体" w:cs="宋体" w:eastAsia="宋体" w:hint="default"/>
                <w:sz w:val="18"/>
                <w:szCs w:val="18"/>
              </w:rPr>
              <w:t>中国银行股份有 限公司－嘉实先 进制造股票型证 券投资基金</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8"/>
              <w:jc w:val="right"/>
              <w:rPr>
                <w:rFonts w:ascii="Times New Roman" w:hAnsi="Times New Roman" w:cs="Times New Roman" w:eastAsia="Times New Roman" w:hint="default"/>
                <w:sz w:val="18"/>
                <w:szCs w:val="18"/>
              </w:rPr>
            </w:pPr>
            <w:r>
              <w:rPr>
                <w:rFonts w:ascii="Times New Roman"/>
                <w:sz w:val="18"/>
              </w:rPr>
              <w:t>0.77%</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pacing w:val="-2"/>
                <w:sz w:val="18"/>
              </w:rPr>
              <w:t>11,117,400</w:t>
            </w:r>
          </w:p>
        </w:tc>
        <w:tc>
          <w:tcPr>
            <w:tcW w:w="835" w:type="dxa"/>
            <w:gridSpan w:val="2"/>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0</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5" w:right="0"/>
              <w:jc w:val="left"/>
              <w:rPr>
                <w:rFonts w:ascii="Times New Roman" w:hAnsi="Times New Roman" w:cs="Times New Roman" w:eastAsia="Times New Roman" w:hint="default"/>
                <w:sz w:val="18"/>
                <w:szCs w:val="18"/>
              </w:rPr>
            </w:pPr>
            <w:r>
              <w:rPr>
                <w:rFonts w:ascii="Times New Roman"/>
                <w:sz w:val="18"/>
              </w:rPr>
              <w:t>11,117,400</w:t>
            </w:r>
          </w:p>
        </w:tc>
        <w:tc>
          <w:tcPr>
            <w:tcW w:w="1248" w:type="dxa"/>
            <w:gridSpan w:val="2"/>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3"/>
              <w:jc w:val="both"/>
              <w:rPr>
                <w:rFonts w:ascii="宋体" w:hAnsi="宋体" w:cs="宋体" w:eastAsia="宋体" w:hint="default"/>
                <w:sz w:val="18"/>
                <w:szCs w:val="18"/>
              </w:rPr>
            </w:pPr>
            <w:r>
              <w:rPr>
                <w:rFonts w:ascii="宋体" w:hAnsi="宋体" w:cs="宋体" w:eastAsia="宋体" w:hint="default"/>
                <w:sz w:val="18"/>
                <w:szCs w:val="18"/>
              </w:rPr>
              <w:t>新华人寿保险股 份有限公司－新 分红产品</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0.53%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7,632,900</w:t>
            </w:r>
          </w:p>
        </w:tc>
        <w:tc>
          <w:tcPr>
            <w:tcW w:w="835" w:type="dxa"/>
            <w:gridSpan w:val="2"/>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7,632,900</w:t>
            </w:r>
          </w:p>
        </w:tc>
        <w:tc>
          <w:tcPr>
            <w:tcW w:w="1248" w:type="dxa"/>
            <w:gridSpan w:val="2"/>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北信瑞丰基金－ 工商银行－北信 瑞丰基金丰庆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 </w:t>
            </w:r>
            <w:r>
              <w:rPr>
                <w:rFonts w:ascii="宋体" w:hAnsi="宋体" w:cs="宋体" w:eastAsia="宋体" w:hint="default"/>
                <w:sz w:val="18"/>
                <w:szCs w:val="18"/>
              </w:rPr>
              <w:t>号资产管理计划</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7"/>
              <w:jc w:val="right"/>
              <w:rPr>
                <w:rFonts w:ascii="Times New Roman" w:hAnsi="Times New Roman" w:cs="Times New Roman" w:eastAsia="Times New Roman" w:hint="default"/>
                <w:sz w:val="18"/>
                <w:szCs w:val="18"/>
              </w:rPr>
            </w:pPr>
            <w:r>
              <w:rPr>
                <w:rFonts w:ascii="Times New Roman"/>
                <w:sz w:val="18"/>
              </w:rPr>
              <w:t>0.50%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7,315,047</w:t>
            </w:r>
          </w:p>
        </w:tc>
        <w:tc>
          <w:tcPr>
            <w:tcW w:w="835" w:type="dxa"/>
            <w:gridSpan w:val="2"/>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0</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02" w:right="0"/>
              <w:jc w:val="left"/>
              <w:rPr>
                <w:rFonts w:ascii="Times New Roman" w:hAnsi="Times New Roman" w:cs="Times New Roman" w:eastAsia="Times New Roman" w:hint="default"/>
                <w:sz w:val="18"/>
                <w:szCs w:val="18"/>
              </w:rPr>
            </w:pPr>
            <w:r>
              <w:rPr>
                <w:rFonts w:ascii="Times New Roman"/>
                <w:sz w:val="18"/>
              </w:rPr>
              <w:t>7,315,047</w:t>
            </w:r>
          </w:p>
        </w:tc>
        <w:tc>
          <w:tcPr>
            <w:tcW w:w="1248" w:type="dxa"/>
            <w:gridSpan w:val="2"/>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孙燕琪</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0.48%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6,982,500</w:t>
            </w:r>
          </w:p>
        </w:tc>
        <w:tc>
          <w:tcPr>
            <w:tcW w:w="835" w:type="dxa"/>
            <w:gridSpan w:val="2"/>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 w:right="0"/>
              <w:jc w:val="left"/>
              <w:rPr>
                <w:rFonts w:ascii="Times New Roman" w:hAnsi="Times New Roman" w:cs="Times New Roman" w:eastAsia="Times New Roman" w:hint="default"/>
                <w:sz w:val="18"/>
                <w:szCs w:val="18"/>
              </w:rPr>
            </w:pPr>
            <w:r>
              <w:rPr>
                <w:rFonts w:ascii="Times New Roman"/>
                <w:sz w:val="18"/>
              </w:rPr>
              <w:t>6,982,500</w:t>
            </w:r>
          </w:p>
        </w:tc>
        <w:tc>
          <w:tcPr>
            <w:tcW w:w="1248" w:type="dxa"/>
            <w:gridSpan w:val="2"/>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3"/>
              <w:jc w:val="both"/>
              <w:rPr>
                <w:rFonts w:ascii="宋体" w:hAnsi="宋体" w:cs="宋体" w:eastAsia="宋体" w:hint="default"/>
                <w:sz w:val="18"/>
                <w:szCs w:val="18"/>
              </w:rPr>
            </w:pPr>
            <w:r>
              <w:rPr>
                <w:rFonts w:ascii="宋体" w:hAnsi="宋体" w:cs="宋体" w:eastAsia="宋体" w:hint="default"/>
                <w:sz w:val="18"/>
                <w:szCs w:val="18"/>
              </w:rPr>
              <w:t>中国人寿保险股 份有限公司－传 统－普通保险产 品</w:t>
            </w:r>
            <w:r>
              <w:rPr>
                <w:rFonts w:ascii="Times New Roman" w:hAnsi="Times New Roman" w:cs="Times New Roman" w:eastAsia="Times New Roman" w:hint="default"/>
                <w:sz w:val="18"/>
                <w:szCs w:val="18"/>
              </w:rPr>
              <w:t>-005CT001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7"/>
              <w:jc w:val="right"/>
              <w:rPr>
                <w:rFonts w:ascii="Times New Roman" w:hAnsi="Times New Roman" w:cs="Times New Roman" w:eastAsia="Times New Roman" w:hint="default"/>
                <w:sz w:val="18"/>
                <w:szCs w:val="18"/>
              </w:rPr>
            </w:pPr>
            <w:r>
              <w:rPr>
                <w:rFonts w:ascii="Times New Roman"/>
                <w:sz w:val="18"/>
              </w:rPr>
              <w:t>0.45%</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6,499,950</w:t>
            </w:r>
          </w:p>
        </w:tc>
        <w:tc>
          <w:tcPr>
            <w:tcW w:w="835" w:type="dxa"/>
            <w:gridSpan w:val="2"/>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0</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02" w:right="0"/>
              <w:jc w:val="left"/>
              <w:rPr>
                <w:rFonts w:ascii="Times New Roman" w:hAnsi="Times New Roman" w:cs="Times New Roman" w:eastAsia="Times New Roman" w:hint="default"/>
                <w:sz w:val="18"/>
                <w:szCs w:val="18"/>
              </w:rPr>
            </w:pPr>
            <w:r>
              <w:rPr>
                <w:rFonts w:ascii="Times New Roman"/>
                <w:sz w:val="18"/>
              </w:rPr>
              <w:t>6,499,950</w:t>
            </w:r>
          </w:p>
        </w:tc>
        <w:tc>
          <w:tcPr>
            <w:tcW w:w="1248" w:type="dxa"/>
            <w:gridSpan w:val="2"/>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3"/>
              <w:jc w:val="both"/>
              <w:rPr>
                <w:rFonts w:ascii="宋体" w:hAnsi="宋体" w:cs="宋体" w:eastAsia="宋体" w:hint="default"/>
                <w:sz w:val="18"/>
                <w:szCs w:val="18"/>
              </w:rPr>
            </w:pPr>
            <w:r>
              <w:rPr>
                <w:rFonts w:ascii="宋体" w:hAnsi="宋体" w:cs="宋体" w:eastAsia="宋体" w:hint="default"/>
                <w:sz w:val="18"/>
                <w:szCs w:val="18"/>
              </w:rPr>
              <w:t>兴业银行股份有 限公司－中银宏 观策略灵活配置</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0.43%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6,290,150</w:t>
            </w:r>
          </w:p>
        </w:tc>
        <w:tc>
          <w:tcPr>
            <w:tcW w:w="835" w:type="dxa"/>
            <w:gridSpan w:val="2"/>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6,290,150</w:t>
            </w:r>
          </w:p>
        </w:tc>
        <w:tc>
          <w:tcPr>
            <w:tcW w:w="1248" w:type="dxa"/>
            <w:gridSpan w:val="2"/>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59.060608pt;margin-top:106.199997pt;width:380.7pt;height:50.85pt;mso-position-horizontal-relative:page;mso-position-vertical-relative:page;z-index:-977752"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（如有）</w:t>
                  </w:r>
                </w:p>
              </w:txbxContent>
            </v:textbox>
            <w10:wrap type="none"/>
          </v:shape>
        </w:pict>
      </w:r>
      <w:r>
        <w:rPr/>
        <w:pict>
          <v:group style="position:absolute;margin-left:192.179993pt;margin-top:106.199997pt;width:347.6pt;height:15.6pt;mso-position-horizontal-relative:page;mso-position-vertical-relative:page;z-index:-977728" coordorigin="3844,2124" coordsize="6952,312">
            <v:shape style="position:absolute;left:3844;top:2124;width:6952;height:312" coordorigin="3844,2124" coordsize="6952,312" path="m3844,2436l10795,2436,10795,2124,3844,2124,3844,2436xe" filled="true" fillcolor="#ffffff" stroked="false">
              <v:path arrowok="t"/>
              <v:fill type="solid"/>
            </v:shape>
            <w10:wrap type="none"/>
          </v:group>
        </w:pict>
      </w:r>
      <w:r>
        <w:rPr/>
        <w:pict>
          <v:group style="position:absolute;margin-left:192.179993pt;margin-top:141.419998pt;width:347.6pt;height:15.6pt;mso-position-horizontal-relative:page;mso-position-vertical-relative:page;z-index:-977704" coordorigin="3844,2828" coordsize="6952,312">
            <v:shape style="position:absolute;left:3844;top:2828;width:6952;height:312" coordorigin="3844,2828" coordsize="6952,312" path="m3844,3140l10795,3140,10795,2828,3844,2828,3844,314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398"/>
        <w:gridCol w:w="1334"/>
        <w:gridCol w:w="734"/>
        <w:gridCol w:w="956"/>
        <w:gridCol w:w="835"/>
        <w:gridCol w:w="956"/>
        <w:gridCol w:w="956"/>
        <w:gridCol w:w="1248"/>
        <w:gridCol w:w="1274"/>
      </w:tblGrid>
      <w:tr>
        <w:trPr>
          <w:trHeight w:val="674" w:hRule="exact"/>
        </w:trPr>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3"/>
              <w:jc w:val="left"/>
              <w:rPr>
                <w:rFonts w:ascii="宋体" w:hAnsi="宋体" w:cs="宋体" w:eastAsia="宋体" w:hint="default"/>
                <w:sz w:val="18"/>
                <w:szCs w:val="18"/>
              </w:rPr>
            </w:pPr>
            <w:r>
              <w:rPr>
                <w:rFonts w:ascii="宋体" w:hAnsi="宋体" w:cs="宋体" w:eastAsia="宋体" w:hint="default"/>
                <w:sz w:val="18"/>
                <w:szCs w:val="18"/>
              </w:rPr>
              <w:t>混合型证券投资 基金</w:t>
            </w:r>
          </w:p>
        </w:tc>
        <w:tc>
          <w:tcPr>
            <w:tcW w:w="13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3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961"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732"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961" w:type="dxa"/>
            <w:gridSpan w:val="7"/>
            <w:vMerge w:val="restart"/>
            <w:tcBorders>
              <w:top w:val="single" w:sz="4" w:space="0" w:color="000000"/>
              <w:left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名股东中，公司第一大股东林皓先生与上述其他股东之间不存在关联关系或一致行 动关系，未知其他股东间是否存在关联关系，也未知其他股东是否属于《上市公司持股 变动信息披露管理办法》中规定的一致行动人。</w:t>
            </w:r>
          </w:p>
        </w:tc>
      </w:tr>
      <w:tr>
        <w:trPr>
          <w:trHeight w:val="704" w:hRule="exact"/>
        </w:trPr>
        <w:tc>
          <w:tcPr>
            <w:tcW w:w="2732"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61" w:type="dxa"/>
            <w:gridSpan w:val="7"/>
            <w:vMerge/>
            <w:tcBorders>
              <w:left w:val="single" w:sz="4" w:space="0" w:color="000000"/>
              <w:right w:val="single" w:sz="4" w:space="0" w:color="000000"/>
            </w:tcBorders>
          </w:tcPr>
          <w:p>
            <w:pPr/>
          </w:p>
        </w:tc>
      </w:tr>
      <w:tr>
        <w:trPr>
          <w:trHeight w:val="161" w:hRule="exact"/>
        </w:trPr>
        <w:tc>
          <w:tcPr>
            <w:tcW w:w="2732"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961" w:type="dxa"/>
            <w:gridSpan w:val="7"/>
            <w:vMerge/>
            <w:tcBorders>
              <w:left w:val="single" w:sz="4" w:space="0" w:color="000000"/>
              <w:bottom w:val="single" w:sz="4" w:space="0" w:color="000000"/>
              <w:right w:val="single" w:sz="4" w:space="0" w:color="000000"/>
            </w:tcBorders>
          </w:tcPr>
          <w:p>
            <w:pPr/>
          </w:p>
        </w:tc>
      </w:tr>
      <w:tr>
        <w:trPr>
          <w:trHeight w:val="402" w:hRule="exact"/>
        </w:trPr>
        <w:tc>
          <w:tcPr>
            <w:tcW w:w="969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732"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4439"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52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732"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439"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6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522"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732" w:type="dxa"/>
            <w:gridSpan w:val="2"/>
            <w:vMerge/>
            <w:tcBorders>
              <w:left w:val="single" w:sz="4" w:space="0" w:color="000000"/>
              <w:bottom w:val="nil" w:sz="6" w:space="0" w:color="auto"/>
              <w:right w:val="single" w:sz="4" w:space="0" w:color="000000"/>
            </w:tcBorders>
            <w:shd w:val="clear" w:color="auto" w:fill="D3D3D3"/>
          </w:tcPr>
          <w:p>
            <w:pPr/>
          </w:p>
        </w:tc>
        <w:tc>
          <w:tcPr>
            <w:tcW w:w="4439" w:type="dxa"/>
            <w:gridSpan w:val="5"/>
            <w:vMerge/>
            <w:tcBorders>
              <w:left w:val="single" w:sz="4" w:space="0" w:color="000000"/>
              <w:bottom w:val="nil" w:sz="6" w:space="0" w:color="auto"/>
              <w:right w:val="single" w:sz="4" w:space="0" w:color="000000"/>
            </w:tcBorders>
            <w:shd w:val="clear" w:color="auto" w:fill="D3D3D3"/>
          </w:tcPr>
          <w:p>
            <w:pPr/>
          </w:p>
        </w:tc>
        <w:tc>
          <w:tcPr>
            <w:tcW w:w="12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32"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4439"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248" w:type="dxa"/>
            <w:vMerge/>
            <w:tcBorders>
              <w:left w:val="single" w:sz="4" w:space="0" w:color="000000"/>
              <w:bottom w:val="single" w:sz="4" w:space="0" w:color="000000"/>
              <w:right w:val="single" w:sz="4" w:space="0" w:color="000000"/>
            </w:tcBorders>
            <w:shd w:val="clear" w:color="auto" w:fill="D3D3D3"/>
          </w:tcPr>
          <w:p>
            <w:pPr/>
          </w:p>
        </w:tc>
        <w:tc>
          <w:tcPr>
            <w:tcW w:w="127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44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107,646,300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107,646,300</w:t>
            </w:r>
          </w:p>
        </w:tc>
      </w:tr>
      <w:tr>
        <w:trPr>
          <w:trHeight w:val="1338"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北信瑞丰基金－南京银行－中航 信托－中航信托</w:t>
            </w:r>
            <w:r>
              <w:rPr>
                <w:rFonts w:ascii="Times New Roman" w:hAnsi="Times New Roman" w:cs="Times New Roman" w:eastAsia="Times New Roman" w:hint="default"/>
                <w:sz w:val="18"/>
                <w:szCs w:val="18"/>
              </w:rPr>
              <w:t>·</w:t>
            </w:r>
            <w:r>
              <w:rPr>
                <w:rFonts w:ascii="宋体" w:hAnsi="宋体" w:cs="宋体" w:eastAsia="宋体" w:hint="default"/>
                <w:sz w:val="18"/>
                <w:szCs w:val="18"/>
              </w:rPr>
              <w:t>天启（</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163 </w:t>
            </w:r>
            <w:r>
              <w:rPr>
                <w:rFonts w:ascii="宋体" w:hAnsi="宋体" w:cs="宋体" w:eastAsia="宋体" w:hint="default"/>
                <w:sz w:val="18"/>
                <w:szCs w:val="18"/>
              </w:rPr>
              <w:t>号南京高科华睿集合资金信托计 划</w:t>
            </w:r>
          </w:p>
        </w:tc>
        <w:tc>
          <w:tcPr>
            <w:tcW w:w="44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33,779,948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33,779,948</w:t>
            </w:r>
          </w:p>
        </w:tc>
      </w:tr>
      <w:tr>
        <w:trPr>
          <w:trHeight w:val="714"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新华人寿保险股份有限公司－分 红－个人分红</w:t>
            </w:r>
            <w:r>
              <w:rPr>
                <w:rFonts w:ascii="Times New Roman" w:hAnsi="Times New Roman" w:cs="Times New Roman" w:eastAsia="Times New Roman" w:hint="default"/>
                <w:sz w:val="18"/>
                <w:szCs w:val="18"/>
              </w:rPr>
              <w:t>-018FH002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深</w:t>
            </w:r>
          </w:p>
        </w:tc>
        <w:tc>
          <w:tcPr>
            <w:tcW w:w="44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12,245,665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12,245,665</w:t>
            </w:r>
          </w:p>
        </w:tc>
      </w:tr>
      <w:tr>
        <w:trPr>
          <w:trHeight w:val="714"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中国银行股份有限公司－嘉实先 进制造股票型证券投资基金</w:t>
            </w:r>
          </w:p>
        </w:tc>
        <w:tc>
          <w:tcPr>
            <w:tcW w:w="44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11,117,400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11,117,400</w:t>
            </w:r>
          </w:p>
        </w:tc>
      </w:tr>
      <w:tr>
        <w:trPr>
          <w:trHeight w:val="714"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新华人寿保险股份有限公司－新 分红产品</w:t>
            </w:r>
          </w:p>
        </w:tc>
        <w:tc>
          <w:tcPr>
            <w:tcW w:w="44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7,632,900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7,632,900</w:t>
            </w:r>
          </w:p>
        </w:tc>
      </w:tr>
      <w:tr>
        <w:trPr>
          <w:trHeight w:val="714"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北信瑞丰基金－工商银行－北信 瑞丰基金丰庆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44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7,315,047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7,315,047</w:t>
            </w:r>
          </w:p>
        </w:tc>
      </w:tr>
      <w:tr>
        <w:trPr>
          <w:trHeight w:val="402"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孙燕琪</w:t>
            </w:r>
          </w:p>
        </w:tc>
        <w:tc>
          <w:tcPr>
            <w:tcW w:w="44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6,982,500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6,982,500</w:t>
            </w:r>
          </w:p>
        </w:tc>
      </w:tr>
      <w:tr>
        <w:trPr>
          <w:trHeight w:val="714"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中国人寿保险股份有限公司－传 统－普通保险产品</w:t>
            </w:r>
            <w:r>
              <w:rPr>
                <w:rFonts w:ascii="Times New Roman" w:hAnsi="Times New Roman" w:cs="Times New Roman" w:eastAsia="Times New Roman" w:hint="default"/>
                <w:sz w:val="18"/>
                <w:szCs w:val="18"/>
              </w:rPr>
              <w:t>-005CT001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w:t>
            </w:r>
          </w:p>
        </w:tc>
        <w:tc>
          <w:tcPr>
            <w:tcW w:w="44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6,499,950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6,499,950</w:t>
            </w:r>
          </w:p>
        </w:tc>
      </w:tr>
      <w:tr>
        <w:trPr>
          <w:trHeight w:val="1026"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9"/>
              <w:jc w:val="both"/>
              <w:rPr>
                <w:rFonts w:ascii="宋体" w:hAnsi="宋体" w:cs="宋体" w:eastAsia="宋体" w:hint="default"/>
                <w:sz w:val="18"/>
                <w:szCs w:val="18"/>
              </w:rPr>
            </w:pPr>
            <w:r>
              <w:rPr>
                <w:rFonts w:ascii="宋体" w:hAnsi="宋体" w:cs="宋体" w:eastAsia="宋体" w:hint="default"/>
                <w:sz w:val="18"/>
                <w:szCs w:val="18"/>
              </w:rPr>
              <w:t>兴业银行股份有限公司－中银宏 观策略灵活配置混合型证券投资 基金</w:t>
            </w:r>
          </w:p>
        </w:tc>
        <w:tc>
          <w:tcPr>
            <w:tcW w:w="44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6,290,150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6,290,150</w:t>
            </w:r>
          </w:p>
        </w:tc>
      </w:tr>
      <w:tr>
        <w:trPr>
          <w:trHeight w:val="402"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贾婷婷</w:t>
            </w:r>
          </w:p>
        </w:tc>
        <w:tc>
          <w:tcPr>
            <w:tcW w:w="44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6,200,000</w:t>
            </w:r>
          </w:p>
        </w:tc>
      </w:tr>
      <w:tr>
        <w:trPr>
          <w:trHeight w:val="1338" w:hRule="exact"/>
        </w:trPr>
        <w:tc>
          <w:tcPr>
            <w:tcW w:w="273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96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6"/>
              <w:jc w:val="both"/>
              <w:rPr>
                <w:rFonts w:ascii="宋体" w:hAnsi="宋体" w:cs="宋体" w:eastAsia="宋体" w:hint="default"/>
                <w:sz w:val="18"/>
                <w:szCs w:val="18"/>
              </w:rPr>
            </w:pPr>
            <w:r>
              <w:rPr>
                <w:rFonts w:ascii="宋体" w:hAnsi="宋体" w:cs="宋体" w:eastAsia="宋体" w:hint="default"/>
                <w:sz w:val="18"/>
                <w:szCs w:val="18"/>
              </w:rPr>
              <w:t>上述股东中，公司第一大股东林皓先生与上述其他股东之间不存在关联关系或一致行动 关系，未知其他股东间是否存在关联关系，也未知其他股东是否属于《上市公司持股变 动信息披露管理办法》中规定的一致行动人。</w:t>
            </w:r>
          </w:p>
        </w:tc>
      </w:tr>
      <w:tr>
        <w:trPr>
          <w:trHeight w:val="714" w:hRule="exact"/>
        </w:trPr>
        <w:tc>
          <w:tcPr>
            <w:tcW w:w="273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96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上述股东中贾婷婷通过国元证券股份有限公司客户信用交易担保账券账户持有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6,200,000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1190" w:top="1060" w:bottom="13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8591"/>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029"/>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公司董事长、总经理</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8"/>
        <w:ind w:right="0"/>
        <w:jc w:val="left"/>
      </w:pPr>
      <w:r>
        <w:rPr/>
        <w:t>控股股东报告期内变更</w:t>
      </w:r>
    </w:p>
    <w:p>
      <w:pPr>
        <w:pStyle w:val="BodyText"/>
        <w:spacing w:line="338" w:lineRule="auto" w:before="117"/>
        <w:ind w:right="76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8411"/>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公司董事长、总经理</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8"/>
        <w:ind w:right="0"/>
        <w:jc w:val="left"/>
      </w:pPr>
      <w:r>
        <w:rPr/>
        <w:t>实际控制人报告期内变更</w:t>
      </w:r>
    </w:p>
    <w:p>
      <w:pPr>
        <w:pStyle w:val="BodyText"/>
        <w:spacing w:line="348" w:lineRule="auto" w:before="117"/>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1190" w:top="1060" w:bottom="138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line="3450" w:lineRule="exact"/>
        <w:ind w:left="1356"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4590142" cy="2190750"/>
            <wp:effectExtent l="0" t="0" r="0" b="0"/>
            <wp:docPr id="21" name="image5.png" descr=""/>
            <wp:cNvGraphicFramePr>
              <a:graphicFrameLocks noChangeAspect="1"/>
            </wp:cNvGraphicFramePr>
            <a:graphic>
              <a:graphicData uri="http://schemas.openxmlformats.org/drawingml/2006/picture">
                <pic:pic>
                  <pic:nvPicPr>
                    <pic:cNvPr id="22" name="image5.png"/>
                    <pic:cNvPicPr/>
                  </pic:nvPicPr>
                  <pic:blipFill>
                    <a:blip r:embed="rId15" cstate="print"/>
                    <a:stretch>
                      <a:fillRect/>
                    </a:stretch>
                  </pic:blipFill>
                  <pic:spPr>
                    <a:xfrm>
                      <a:off x="0" y="0"/>
                      <a:ext cx="4590142" cy="2190750"/>
                    </a:xfrm>
                    <a:prstGeom prst="rect">
                      <a:avLst/>
                    </a:prstGeom>
                  </pic:spPr>
                </pic:pic>
              </a:graphicData>
            </a:graphic>
          </wp:inline>
        </w:drawing>
      </w:r>
      <w:r>
        <w:rPr>
          <w:rFonts w:ascii="宋体" w:hAnsi="宋体" w:cs="宋体" w:eastAsia="宋体" w:hint="default"/>
          <w:position w:val="-68"/>
          <w:sz w:val="20"/>
          <w:szCs w:val="20"/>
        </w:rPr>
      </w:r>
    </w:p>
    <w:p>
      <w:pPr>
        <w:spacing w:line="240" w:lineRule="auto" w:before="0"/>
        <w:rPr>
          <w:rFonts w:ascii="宋体" w:hAnsi="宋体" w:cs="宋体" w:eastAsia="宋体" w:hint="default"/>
          <w:sz w:val="24"/>
          <w:szCs w:val="24"/>
        </w:rPr>
      </w:pPr>
    </w:p>
    <w:p>
      <w:pPr>
        <w:pStyle w:val="BodyText"/>
        <w:spacing w:line="520" w:lineRule="auto" w:before="44"/>
        <w:ind w:right="1570" w:firstLine="360"/>
        <w:jc w:val="left"/>
      </w:pPr>
      <w:r>
        <w:rPr/>
        <w:t>报告期末林皓先生持股比例占公司总股本30.77%；截至本公告披露日，林皓先生持股比例占公司总股本28.55%。 实际控制人通过信托或其他资产管理方式控制公司</w:t>
      </w:r>
    </w:p>
    <w:p>
      <w:pPr>
        <w:pStyle w:val="BodyText"/>
        <w:spacing w:line="240" w:lineRule="auto" w:before="6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1190"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38" w:lineRule="auto" w:before="44"/>
        <w:ind w:right="85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1190"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708"/>
        <w:gridCol w:w="787"/>
        <w:gridCol w:w="659"/>
        <w:gridCol w:w="427"/>
        <w:gridCol w:w="556"/>
        <w:gridCol w:w="1144"/>
        <w:gridCol w:w="953"/>
        <w:gridCol w:w="1046"/>
        <w:gridCol w:w="750"/>
        <w:gridCol w:w="868"/>
        <w:gridCol w:w="750"/>
        <w:gridCol w:w="1046"/>
      </w:tblGrid>
      <w:tr>
        <w:trPr>
          <w:trHeight w:val="1337" w:hRule="exact"/>
        </w:trPr>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360" w:lineRule="auto"/>
              <w:ind w:left="143" w:right="143"/>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90" w:right="11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9" w:right="98"/>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9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8"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99" w:right="98"/>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9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53</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6"/>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12</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451,380,400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5,198,800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446,181,600</w:t>
            </w:r>
          </w:p>
        </w:tc>
      </w:tr>
      <w:tr>
        <w:trPr>
          <w:trHeight w:val="71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42</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6"/>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12</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2,533,650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2,533,650</w:t>
            </w:r>
          </w:p>
        </w:tc>
      </w:tr>
      <w:tr>
        <w:trPr>
          <w:trHeight w:val="71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杨杰</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55</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6"/>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12</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2,850,000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2,850,000</w:t>
            </w:r>
          </w:p>
        </w:tc>
      </w:tr>
      <w:tr>
        <w:trPr>
          <w:trHeight w:val="71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胡建斌</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48</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8"/>
                <w:sz w:val="18"/>
                <w:szCs w:val="18"/>
              </w:rPr>
              <w:t>2015年</w:t>
            </w:r>
            <w:r>
              <w:rPr>
                <w:rFonts w:ascii="宋体" w:hAnsi="宋体" w:cs="宋体" w:eastAsia="宋体" w:hint="default"/>
                <w:spacing w:val="-41"/>
                <w:sz w:val="18"/>
                <w:szCs w:val="18"/>
              </w:rPr>
              <w:t> </w:t>
            </w:r>
            <w:r>
              <w:rPr>
                <w:rFonts w:ascii="宋体" w:hAnsi="宋体" w:cs="宋体" w:eastAsia="宋体" w:hint="default"/>
                <w:spacing w:val="14"/>
                <w:sz w:val="18"/>
                <w:szCs w:val="18"/>
              </w:rPr>
              <w:t>05月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2,375,128</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2,375,128</w:t>
            </w:r>
          </w:p>
        </w:tc>
      </w:tr>
      <w:tr>
        <w:trPr>
          <w:trHeight w:val="71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李涛</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58</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8"/>
                <w:sz w:val="18"/>
                <w:szCs w:val="18"/>
              </w:rPr>
              <w:t>2015年</w:t>
            </w:r>
            <w:r>
              <w:rPr>
                <w:rFonts w:ascii="宋体" w:hAnsi="宋体" w:cs="宋体" w:eastAsia="宋体" w:hint="default"/>
                <w:spacing w:val="-41"/>
                <w:sz w:val="18"/>
                <w:szCs w:val="18"/>
              </w:rPr>
              <w:t> </w:t>
            </w:r>
            <w:r>
              <w:rPr>
                <w:rFonts w:ascii="宋体" w:hAnsi="宋体" w:cs="宋体" w:eastAsia="宋体" w:hint="default"/>
                <w:spacing w:val="14"/>
                <w:sz w:val="18"/>
                <w:szCs w:val="18"/>
              </w:rPr>
              <w:t>05月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齐越</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8"/>
                <w:sz w:val="18"/>
                <w:szCs w:val="18"/>
              </w:rPr>
              <w:t>2016年</w:t>
            </w:r>
            <w:r>
              <w:rPr>
                <w:rFonts w:ascii="宋体" w:hAnsi="宋体" w:cs="宋体" w:eastAsia="宋体" w:hint="default"/>
                <w:spacing w:val="-41"/>
                <w:sz w:val="18"/>
                <w:szCs w:val="18"/>
              </w:rPr>
              <w:t> </w:t>
            </w:r>
            <w:r>
              <w:rPr>
                <w:rFonts w:ascii="宋体" w:hAnsi="宋体" w:cs="宋体" w:eastAsia="宋体" w:hint="default"/>
                <w:spacing w:val="14"/>
                <w:sz w:val="18"/>
                <w:szCs w:val="18"/>
              </w:rPr>
              <w:t>12月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杨逢柱</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41</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8"/>
                <w:sz w:val="18"/>
                <w:szCs w:val="18"/>
              </w:rPr>
              <w:t>2016年</w:t>
            </w:r>
            <w:r>
              <w:rPr>
                <w:rFonts w:ascii="宋体" w:hAnsi="宋体" w:cs="宋体" w:eastAsia="宋体" w:hint="default"/>
                <w:spacing w:val="-41"/>
                <w:sz w:val="18"/>
                <w:szCs w:val="18"/>
              </w:rPr>
              <w:t> </w:t>
            </w:r>
            <w:r>
              <w:rPr>
                <w:rFonts w:ascii="宋体" w:hAnsi="宋体" w:cs="宋体" w:eastAsia="宋体" w:hint="default"/>
                <w:spacing w:val="14"/>
                <w:sz w:val="18"/>
                <w:szCs w:val="18"/>
              </w:rPr>
              <w:t>12月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钟力</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8"/>
                <w:sz w:val="18"/>
                <w:szCs w:val="18"/>
              </w:rPr>
              <w:t>2016年</w:t>
            </w:r>
            <w:r>
              <w:rPr>
                <w:rFonts w:ascii="宋体" w:hAnsi="宋体" w:cs="宋体" w:eastAsia="宋体" w:hint="default"/>
                <w:spacing w:val="-41"/>
                <w:sz w:val="18"/>
                <w:szCs w:val="18"/>
              </w:rPr>
              <w:t> </w:t>
            </w:r>
            <w:r>
              <w:rPr>
                <w:rFonts w:ascii="宋体" w:hAnsi="宋体" w:cs="宋体" w:eastAsia="宋体" w:hint="default"/>
                <w:spacing w:val="14"/>
                <w:sz w:val="18"/>
                <w:szCs w:val="18"/>
              </w:rPr>
              <w:t>12月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杨华</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42</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8"/>
                <w:sz w:val="18"/>
                <w:szCs w:val="18"/>
              </w:rPr>
              <w:t>2016年</w:t>
            </w:r>
            <w:r>
              <w:rPr>
                <w:rFonts w:ascii="宋体" w:hAnsi="宋体" w:cs="宋体" w:eastAsia="宋体" w:hint="default"/>
                <w:spacing w:val="-41"/>
                <w:sz w:val="18"/>
                <w:szCs w:val="18"/>
              </w:rPr>
              <w:t> </w:t>
            </w:r>
            <w:r>
              <w:rPr>
                <w:rFonts w:ascii="宋体" w:hAnsi="宋体" w:cs="宋体" w:eastAsia="宋体" w:hint="default"/>
                <w:spacing w:val="14"/>
                <w:sz w:val="18"/>
                <w:szCs w:val="18"/>
              </w:rPr>
              <w:t>12月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徐扬</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38</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8"/>
                <w:sz w:val="18"/>
                <w:szCs w:val="18"/>
              </w:rPr>
              <w:t>2016年</w:t>
            </w:r>
            <w:r>
              <w:rPr>
                <w:rFonts w:ascii="宋体" w:hAnsi="宋体" w:cs="宋体" w:eastAsia="宋体" w:hint="default"/>
                <w:spacing w:val="-41"/>
                <w:sz w:val="18"/>
                <w:szCs w:val="18"/>
              </w:rPr>
              <w:t> </w:t>
            </w:r>
            <w:r>
              <w:rPr>
                <w:rFonts w:ascii="宋体" w:hAnsi="宋体" w:cs="宋体" w:eastAsia="宋体" w:hint="default"/>
                <w:spacing w:val="14"/>
                <w:sz w:val="18"/>
                <w:szCs w:val="18"/>
              </w:rPr>
              <w:t>12月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王晓娜</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44</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8"/>
                <w:sz w:val="18"/>
                <w:szCs w:val="18"/>
              </w:rPr>
              <w:t>2013年</w:t>
            </w:r>
            <w:r>
              <w:rPr>
                <w:rFonts w:ascii="宋体" w:hAnsi="宋体" w:cs="宋体" w:eastAsia="宋体" w:hint="default"/>
                <w:spacing w:val="-41"/>
                <w:sz w:val="18"/>
                <w:szCs w:val="18"/>
              </w:rPr>
              <w:t> </w:t>
            </w:r>
            <w:r>
              <w:rPr>
                <w:rFonts w:ascii="宋体" w:hAnsi="宋体" w:cs="宋体" w:eastAsia="宋体" w:hint="default"/>
                <w:spacing w:val="14"/>
                <w:sz w:val="18"/>
                <w:szCs w:val="18"/>
              </w:rPr>
              <w:t>05月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45</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8"/>
                <w:sz w:val="18"/>
                <w:szCs w:val="18"/>
              </w:rPr>
              <w:t>2013年</w:t>
            </w:r>
            <w:r>
              <w:rPr>
                <w:rFonts w:ascii="宋体" w:hAnsi="宋体" w:cs="宋体" w:eastAsia="宋体" w:hint="default"/>
                <w:spacing w:val="-41"/>
                <w:sz w:val="18"/>
                <w:szCs w:val="18"/>
              </w:rPr>
              <w:t> </w:t>
            </w:r>
            <w:r>
              <w:rPr>
                <w:rFonts w:ascii="宋体" w:hAnsi="宋体" w:cs="宋体" w:eastAsia="宋体" w:hint="default"/>
                <w:spacing w:val="14"/>
                <w:sz w:val="18"/>
                <w:szCs w:val="18"/>
              </w:rPr>
              <w:t>05月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4,591,350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4,591,350</w:t>
            </w:r>
          </w:p>
        </w:tc>
      </w:tr>
      <w:tr>
        <w:trPr>
          <w:trHeight w:val="71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43</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8"/>
                <w:sz w:val="18"/>
                <w:szCs w:val="18"/>
              </w:rPr>
              <w:t>2018年</w:t>
            </w:r>
            <w:r>
              <w:rPr>
                <w:rFonts w:ascii="宋体" w:hAnsi="宋体" w:cs="宋体" w:eastAsia="宋体" w:hint="default"/>
                <w:spacing w:val="-41"/>
                <w:sz w:val="18"/>
                <w:szCs w:val="18"/>
              </w:rPr>
              <w:t> </w:t>
            </w:r>
            <w:r>
              <w:rPr>
                <w:rFonts w:ascii="宋体" w:hAnsi="宋体" w:cs="宋体" w:eastAsia="宋体" w:hint="default"/>
                <w:spacing w:val="14"/>
                <w:sz w:val="18"/>
                <w:szCs w:val="18"/>
              </w:rPr>
              <w:t>01月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102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李旭</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35</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2015年</w:t>
            </w:r>
            <w:r>
              <w:rPr>
                <w:rFonts w:ascii="宋体" w:hAnsi="宋体" w:cs="宋体" w:eastAsia="宋体" w:hint="default"/>
                <w:spacing w:val="-41"/>
                <w:sz w:val="18"/>
                <w:szCs w:val="18"/>
              </w:rPr>
              <w:t> </w:t>
            </w:r>
            <w:r>
              <w:rPr>
                <w:rFonts w:ascii="宋体" w:hAnsi="宋体" w:cs="宋体" w:eastAsia="宋体" w:hint="default"/>
                <w:spacing w:val="14"/>
                <w:sz w:val="18"/>
                <w:szCs w:val="18"/>
              </w:rPr>
              <w:t>10月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18日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747" w:footer="1190" w:top="1060" w:bottom="1380" w:left="980" w:right="0"/>
        </w:sectPr>
      </w:pPr>
    </w:p>
    <w:p>
      <w:pPr>
        <w:spacing w:line="240" w:lineRule="auto" w:before="6"/>
        <w:rPr>
          <w:rFonts w:ascii="宋体" w:hAnsi="宋体" w:cs="宋体" w:eastAsia="宋体" w:hint="default"/>
          <w:b/>
          <w:bCs/>
          <w:sz w:val="28"/>
          <w:szCs w:val="28"/>
        </w:rPr>
      </w:pPr>
    </w:p>
    <w:tbl>
      <w:tblPr>
        <w:tblW w:w="0" w:type="auto"/>
        <w:jc w:val="left"/>
        <w:tblInd w:w="121" w:type="dxa"/>
        <w:tblLayout w:type="fixed"/>
        <w:tblCellMar>
          <w:top w:w="0" w:type="dxa"/>
          <w:left w:w="0" w:type="dxa"/>
          <w:bottom w:w="0" w:type="dxa"/>
          <w:right w:w="0" w:type="dxa"/>
        </w:tblCellMar>
        <w:tblLook w:val="01E0"/>
      </w:tblPr>
      <w:tblGrid>
        <w:gridCol w:w="708"/>
        <w:gridCol w:w="787"/>
        <w:gridCol w:w="659"/>
        <w:gridCol w:w="427"/>
        <w:gridCol w:w="556"/>
        <w:gridCol w:w="1144"/>
        <w:gridCol w:w="953"/>
        <w:gridCol w:w="1046"/>
        <w:gridCol w:w="750"/>
        <w:gridCol w:w="868"/>
        <w:gridCol w:w="750"/>
        <w:gridCol w:w="1046"/>
      </w:tblGrid>
      <w:tr>
        <w:trPr>
          <w:trHeight w:val="71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邓华明</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sz w:val="18"/>
              </w:rPr>
              <w:t>40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2017年</w:t>
            </w:r>
            <w:r>
              <w:rPr>
                <w:rFonts w:ascii="宋体" w:hAnsi="宋体" w:cs="宋体" w:eastAsia="宋体" w:hint="default"/>
                <w:spacing w:val="-41"/>
                <w:sz w:val="18"/>
                <w:szCs w:val="18"/>
              </w:rPr>
              <w:t> </w:t>
            </w:r>
            <w:r>
              <w:rPr>
                <w:rFonts w:ascii="宋体" w:hAnsi="宋体" w:cs="宋体" w:eastAsia="宋体" w:hint="default"/>
                <w:spacing w:val="14"/>
                <w:sz w:val="18"/>
                <w:szCs w:val="18"/>
              </w:rPr>
              <w:t>12月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2" w:hRule="exact"/>
        </w:trPr>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3"/>
              <w:jc w:val="right"/>
              <w:rPr>
                <w:rFonts w:ascii="宋体" w:hAnsi="宋体" w:cs="宋体" w:eastAsia="宋体" w:hint="default"/>
                <w:sz w:val="18"/>
                <w:szCs w:val="18"/>
              </w:rPr>
            </w:pPr>
            <w:r>
              <w:rPr>
                <w:rFonts w:ascii="宋体"/>
                <w:sz w:val="18"/>
              </w:rPr>
              <w:t>--</w:t>
            </w:r>
          </w:p>
        </w:tc>
        <w:tc>
          <w:tcPr>
            <w:tcW w:w="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7" w:right="0"/>
              <w:jc w:val="left"/>
              <w:rPr>
                <w:rFonts w:ascii="宋体" w:hAnsi="宋体" w:cs="宋体" w:eastAsia="宋体" w:hint="default"/>
                <w:sz w:val="18"/>
                <w:szCs w:val="18"/>
              </w:rPr>
            </w:pPr>
            <w:r>
              <w:rPr>
                <w:rFonts w:ascii="宋体"/>
                <w:sz w:val="18"/>
              </w:rPr>
              <w:t>--</w:t>
            </w:r>
          </w:p>
        </w:tc>
        <w:tc>
          <w:tcPr>
            <w:tcW w:w="5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463,730,528</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5,198,800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458,531,728</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left="0" w:right="1139"/>
        <w:jc w:val="right"/>
      </w:pPr>
      <w:r>
        <w:rPr/>
        <w:pict>
          <v:shape style="position:absolute;margin-left:56.459999pt;margin-top:-58.847958pt;width:479.1pt;height:127.7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1666"/>
                    <w:gridCol w:w="884"/>
                    <w:gridCol w:w="1776"/>
                    <w:gridCol w:w="4248"/>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6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57"/>
                          <w:jc w:val="right"/>
                          <w:rPr>
                            <w:rFonts w:ascii="宋体" w:hAnsi="宋体" w:cs="宋体" w:eastAsia="宋体" w:hint="default"/>
                            <w:sz w:val="18"/>
                            <w:szCs w:val="18"/>
                          </w:rPr>
                        </w:pPr>
                        <w:r>
                          <w:rPr>
                            <w:rFonts w:ascii="宋体" w:hAnsi="宋体" w:cs="宋体" w:eastAsia="宋体" w:hint="default"/>
                            <w:sz w:val="18"/>
                            <w:szCs w:val="18"/>
                          </w:rPr>
                          <w:t>类型</w:t>
                        </w:r>
                      </w:p>
                    </w:tc>
                    <w:tc>
                      <w:tcPr>
                        <w:tcW w:w="1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陈曦</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任免</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日召开第三届董事会第七次临时会议审 议通过聘任陈曦先生为公司副总经理。</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李旭</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38" w:right="20" w:hanging="716"/>
                          <w:jc w:val="left"/>
                          <w:rPr>
                            <w:rFonts w:ascii="宋体" w:hAnsi="宋体" w:cs="宋体" w:eastAsia="宋体" w:hint="default"/>
                            <w:sz w:val="18"/>
                            <w:szCs w:val="18"/>
                          </w:rPr>
                        </w:pPr>
                        <w:r>
                          <w:rPr>
                            <w:rFonts w:ascii="宋体" w:hAnsi="宋体" w:cs="宋体" w:eastAsia="宋体" w:hint="default"/>
                            <w:spacing w:val="-2"/>
                            <w:sz w:val="18"/>
                            <w:szCs w:val="18"/>
                          </w:rPr>
                          <w:t>副总经理、董事会秘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离任</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9"/>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57" w:right="112" w:hanging="836"/>
                          <w:jc w:val="left"/>
                          <w:rPr>
                            <w:rFonts w:ascii="宋体" w:hAnsi="宋体" w:cs="宋体" w:eastAsia="宋体" w:hint="default"/>
                            <w:sz w:val="18"/>
                            <w:szCs w:val="18"/>
                          </w:rPr>
                        </w:pPr>
                        <w:r>
                          <w:rPr>
                            <w:rFonts w:ascii="宋体" w:hAnsi="宋体" w:cs="宋体" w:eastAsia="宋体" w:hint="default"/>
                            <w:spacing w:val="-2"/>
                            <w:sz w:val="18"/>
                            <w:szCs w:val="18"/>
                          </w:rPr>
                          <w:t>因其个人原因，辞去公司副总经理、董事会秘书职务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离职后不再担任公司任何职务。</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徐文峰</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任免</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日召开第三届董事会第十二次临时会议 审议通过聘任徐文峰先生为公司副总经理。</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2"/>
        <w:spacing w:line="240" w:lineRule="auto" w:before="26"/>
        <w:ind w:right="0"/>
        <w:jc w:val="left"/>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550" w:lineRule="atLeast" w:before="14"/>
        <w:ind w:left="497" w:right="0" w:firstLine="14"/>
        <w:jc w:val="left"/>
      </w:pPr>
      <w:r>
        <w:rPr>
          <w:rFonts w:ascii="Times New Roman" w:hAnsi="Times New Roman" w:cs="Times New Roman" w:eastAsia="Times New Roman" w:hint="default"/>
          <w:b/>
          <w:bCs/>
        </w:rPr>
        <w:t>1</w:t>
      </w:r>
      <w:r>
        <w:rPr>
          <w:rFonts w:ascii="宋体" w:hAnsi="宋体" w:cs="宋体" w:eastAsia="宋体" w:hint="default"/>
          <w:b/>
          <w:bCs/>
        </w:rPr>
        <w:t>、现任董事情况</w:t>
      </w:r>
      <w:r>
        <w:rPr>
          <w:rFonts w:ascii="宋体" w:hAnsi="宋体" w:cs="宋体" w:eastAsia="宋体" w:hint="default"/>
          <w:b/>
          <w:bCs/>
          <w:w w:val="99"/>
        </w:rPr>
        <w:t> </w:t>
      </w:r>
      <w:r>
        <w:rPr>
          <w:spacing w:val="-2"/>
        </w:rPr>
        <w:t>林皓，中国国籍，无境外永久居留权，</w:t>
      </w:r>
      <w:r>
        <w:rPr>
          <w:rFonts w:ascii="Times New Roman" w:hAnsi="Times New Roman" w:cs="Times New Roman" w:eastAsia="Times New Roman" w:hint="default"/>
          <w:spacing w:val="-2"/>
        </w:rPr>
        <w:t>1966</w:t>
      </w:r>
      <w:r>
        <w:rPr>
          <w:spacing w:val="-2"/>
        </w:rPr>
        <w:t>年生，本科。</w:t>
      </w:r>
      <w:r>
        <w:rPr>
          <w:rFonts w:ascii="Times New Roman" w:hAnsi="Times New Roman" w:cs="Times New Roman" w:eastAsia="Times New Roman" w:hint="default"/>
          <w:spacing w:val="-2"/>
        </w:rPr>
        <w:t>1996</w:t>
      </w:r>
      <w:r>
        <w:rPr>
          <w:spacing w:val="-2"/>
        </w:rPr>
        <w:t>年创建北信源有限以来，历任董事长兼总经理。现任公司</w:t>
      </w:r>
    </w:p>
    <w:p>
      <w:pPr>
        <w:pStyle w:val="BodyText"/>
        <w:spacing w:line="316" w:lineRule="auto" w:before="63"/>
        <w:ind w:right="1117"/>
        <w:jc w:val="left"/>
      </w:pPr>
      <w:r>
        <w:rPr>
          <w:spacing w:val="-2"/>
        </w:rPr>
        <w:t>董事长兼总经理及神州信源、上海北信源执行董事，北信源（马来西亚）董事，香港公司董事，北京辰信领创信息技术有限</w:t>
      </w:r>
      <w:r>
        <w:rPr>
          <w:spacing w:val="-68"/>
        </w:rPr>
        <w:t> </w:t>
      </w:r>
      <w:r>
        <w:rPr>
          <w:spacing w:val="-68"/>
        </w:rPr>
      </w:r>
      <w:r>
        <w:rPr/>
        <w:t>公司董事长。</w:t>
      </w:r>
    </w:p>
    <w:p>
      <w:pPr>
        <w:pStyle w:val="BodyText"/>
        <w:spacing w:line="300" w:lineRule="auto" w:before="19"/>
        <w:ind w:right="1128" w:firstLine="343"/>
        <w:jc w:val="both"/>
      </w:pPr>
      <w:r>
        <w:rPr>
          <w:spacing w:val="-2"/>
        </w:rPr>
        <w:t>杨杰，中国国籍，无境外永久居留权，</w:t>
      </w:r>
      <w:r>
        <w:rPr>
          <w:rFonts w:ascii="Times New Roman" w:hAnsi="Times New Roman" w:cs="Times New Roman" w:eastAsia="Times New Roman" w:hint="default"/>
          <w:spacing w:val="-2"/>
        </w:rPr>
        <w:t>1964</w:t>
      </w:r>
      <w:r>
        <w:rPr>
          <w:spacing w:val="-2"/>
        </w:rPr>
        <w:t>年生，硕士。曾任南京中山工贸总公司驻俄罗斯莫斯科办事处负责人、恒生</w:t>
      </w:r>
      <w:r>
        <w:rPr/>
        <w:t> 电子股份有限公司深圳分公司总经理，城商</w:t>
      </w:r>
      <w:r>
        <w:rPr>
          <w:rFonts w:ascii="Times New Roman" w:hAnsi="Times New Roman" w:cs="Times New Roman" w:eastAsia="Times New Roman" w:hint="default"/>
        </w:rPr>
        <w:t>/</w:t>
      </w:r>
      <w:r>
        <w:rPr/>
        <w:t>农信部总经理，深圳奥尊金融信息技术有限公司副总经理，北信源有限董事、</w:t>
      </w:r>
      <w:r>
        <w:rPr>
          <w:spacing w:val="-50"/>
        </w:rPr>
        <w:t> </w:t>
      </w:r>
      <w:r>
        <w:rPr>
          <w:spacing w:val="-50"/>
        </w:rPr>
      </w:r>
      <w:r>
        <w:rPr/>
        <w:t>副总经理；现任公司董事、副总经理，深圳金城保密技术有限公司董事，北京信源匡恩工控安全科技有限公司董事长。</w:t>
      </w:r>
    </w:p>
    <w:p>
      <w:pPr>
        <w:pStyle w:val="BodyText"/>
        <w:spacing w:line="300" w:lineRule="auto" w:before="31"/>
        <w:ind w:right="1129" w:firstLine="373"/>
        <w:jc w:val="both"/>
      </w:pPr>
      <w:r>
        <w:rPr/>
        <w:t>高曦，中国国籍，无境外永久居留权，</w:t>
      </w:r>
      <w:r>
        <w:rPr>
          <w:rFonts w:ascii="Times New Roman" w:hAnsi="Times New Roman" w:cs="Times New Roman" w:eastAsia="Times New Roman" w:hint="default"/>
        </w:rPr>
        <w:t>1977</w:t>
      </w:r>
      <w:r>
        <w:rPr/>
        <w:t>年生，硕士。曾任唐山燕山电器有限公司软件开发员，北信源有限董事、 副总经理；现任公司董事、副总经理、研发总监，北信源（马来西亚）董事，北京信源匡恩工控安全科技有限公司董事。</w:t>
      </w:r>
    </w:p>
    <w:p>
      <w:pPr>
        <w:pStyle w:val="BodyText"/>
        <w:spacing w:line="300" w:lineRule="auto" w:before="31"/>
        <w:ind w:right="1127" w:firstLine="360"/>
        <w:jc w:val="both"/>
      </w:pPr>
      <w:r>
        <w:rPr>
          <w:spacing w:val="-2"/>
        </w:rPr>
        <w:t>胡建斌，中国国籍，无境外永久居留权，</w:t>
      </w:r>
      <w:r>
        <w:rPr>
          <w:rFonts w:ascii="Times New Roman" w:hAnsi="Times New Roman" w:cs="Times New Roman" w:eastAsia="Times New Roman" w:hint="default"/>
          <w:spacing w:val="-2"/>
        </w:rPr>
        <w:t>1971</w:t>
      </w:r>
      <w:r>
        <w:rPr>
          <w:spacing w:val="-2"/>
        </w:rPr>
        <w:t>年生，计算机软件与理论博士。先后主持国家自然科学基金、科技部国际</w:t>
      </w:r>
      <w:r>
        <w:rPr/>
        <w:t> 合作重大专项、军口</w:t>
      </w:r>
      <w:r>
        <w:rPr>
          <w:rFonts w:ascii="Times New Roman" w:hAnsi="Times New Roman" w:cs="Times New Roman" w:eastAsia="Times New Roman" w:hint="default"/>
        </w:rPr>
        <w:t>863</w:t>
      </w:r>
      <w:r>
        <w:rPr/>
        <w:t>、总装预研等</w:t>
      </w:r>
      <w:r>
        <w:rPr>
          <w:rFonts w:ascii="Times New Roman" w:hAnsi="Times New Roman" w:cs="Times New Roman" w:eastAsia="Times New Roman" w:hint="default"/>
        </w:rPr>
        <w:t>20</w:t>
      </w:r>
      <w:r>
        <w:rPr/>
        <w:t>余项课题，获得国家科技进步二等奖</w:t>
      </w:r>
      <w:r>
        <w:rPr>
          <w:rFonts w:ascii="Times New Roman" w:hAnsi="Times New Roman" w:cs="Times New Roman" w:eastAsia="Times New Roman" w:hint="default"/>
        </w:rPr>
        <w:t>1</w:t>
      </w:r>
      <w:r>
        <w:rPr/>
        <w:t>项、军队科技进步奖</w:t>
      </w:r>
      <w:r>
        <w:rPr>
          <w:rFonts w:ascii="Times New Roman" w:hAnsi="Times New Roman" w:cs="Times New Roman" w:eastAsia="Times New Roman" w:hint="default"/>
        </w:rPr>
        <w:t>5</w:t>
      </w:r>
      <w:r>
        <w:rPr/>
        <w:t>项，发表</w:t>
      </w:r>
      <w:r>
        <w:rPr>
          <w:rFonts w:ascii="Times New Roman" w:hAnsi="Times New Roman" w:cs="Times New Roman" w:eastAsia="Times New Roman" w:hint="default"/>
        </w:rPr>
        <w:t>SCI/EI</w:t>
      </w:r>
      <w:r>
        <w:rPr/>
        <w:t>检索学</w:t>
      </w:r>
      <w:r>
        <w:rPr>
          <w:spacing w:val="-54"/>
        </w:rPr>
        <w:t> </w:t>
      </w:r>
      <w:r>
        <w:rPr/>
        <w:t>术论文</w:t>
      </w:r>
      <w:r>
        <w:rPr>
          <w:rFonts w:ascii="Times New Roman" w:hAnsi="Times New Roman" w:cs="Times New Roman" w:eastAsia="Times New Roman" w:hint="default"/>
        </w:rPr>
        <w:t>60</w:t>
      </w:r>
      <w:r>
        <w:rPr/>
        <w:t>余篇，拥有发明专利</w:t>
      </w:r>
      <w:r>
        <w:rPr>
          <w:rFonts w:ascii="Times New Roman" w:hAnsi="Times New Roman" w:cs="Times New Roman" w:eastAsia="Times New Roman" w:hint="default"/>
        </w:rPr>
        <w:t>2</w:t>
      </w:r>
      <w:r>
        <w:rPr/>
        <w:t>项。曾任北京大学网络和软件安全保障教育部重点实验室副主任。现任公司董事、首席战略</w:t>
      </w:r>
      <w:r>
        <w:rPr>
          <w:spacing w:val="-83"/>
        </w:rPr>
        <w:t> </w:t>
      </w:r>
      <w:r>
        <w:rPr>
          <w:spacing w:val="-83"/>
        </w:rPr>
      </w:r>
      <w:r>
        <w:rPr/>
        <w:t>官，北京辰信领创信息技术有限公司董事。</w:t>
      </w:r>
    </w:p>
    <w:p>
      <w:pPr>
        <w:pStyle w:val="BodyText"/>
        <w:spacing w:line="300" w:lineRule="auto" w:before="31"/>
        <w:ind w:right="1129" w:firstLine="388"/>
        <w:jc w:val="both"/>
      </w:pPr>
      <w:r>
        <w:rPr/>
        <w:t>李涛，中国国籍，无境外永久居留权，</w:t>
      </w:r>
      <w:r>
        <w:rPr>
          <w:rFonts w:ascii="Times New Roman" w:hAnsi="Times New Roman" w:cs="Times New Roman" w:eastAsia="Times New Roman" w:hint="default"/>
        </w:rPr>
        <w:t>1961</w:t>
      </w:r>
      <w:r>
        <w:rPr/>
        <w:t>年生，博士。华北电力大学经济管理学院会计学教授、河南平高电气股份</w:t>
      </w:r>
      <w:r>
        <w:rPr>
          <w:spacing w:val="1"/>
        </w:rPr>
        <w:t> </w:t>
      </w:r>
      <w:r>
        <w:rPr/>
        <w:t>有限公司独立董事，现任公司独立董事。</w:t>
      </w:r>
    </w:p>
    <w:p>
      <w:pPr>
        <w:pStyle w:val="BodyText"/>
        <w:spacing w:line="300" w:lineRule="auto" w:before="31"/>
        <w:ind w:right="1128" w:firstLine="360"/>
        <w:jc w:val="both"/>
      </w:pPr>
      <w:r>
        <w:rPr>
          <w:spacing w:val="-2"/>
        </w:rPr>
        <w:t>齐越，中国国籍，男，</w:t>
      </w:r>
      <w:r>
        <w:rPr>
          <w:rFonts w:ascii="Times New Roman" w:hAnsi="Times New Roman" w:cs="Times New Roman" w:eastAsia="Times New Roman" w:hint="default"/>
          <w:spacing w:val="-2"/>
        </w:rPr>
        <w:t>1969</w:t>
      </w:r>
      <w:r>
        <w:rPr>
          <w:spacing w:val="-2"/>
        </w:rPr>
        <w:t>年生，博士，教授，博士生导师。北京航空航天大学计算机学院工作。美国哈佛大学高级访</w:t>
      </w:r>
      <w:r>
        <w:rPr/>
        <w:t> 问学者。主要从事虚拟现实、增强现实等方面研究。主持了国家自然科学基金、国家重点研发计划、国家</w:t>
      </w:r>
      <w:r>
        <w:rPr>
          <w:rFonts w:ascii="Times New Roman" w:hAnsi="Times New Roman" w:cs="Times New Roman" w:eastAsia="Times New Roman" w:hint="default"/>
        </w:rPr>
        <w:t>863</w:t>
      </w:r>
      <w:r>
        <w:rPr/>
        <w:t>计划、国家科</w:t>
      </w:r>
      <w:r>
        <w:rPr>
          <w:spacing w:val="-84"/>
        </w:rPr>
        <w:t> </w:t>
      </w:r>
      <w:r>
        <w:rPr>
          <w:spacing w:val="-84"/>
        </w:rPr>
      </w:r>
      <w:r>
        <w:rPr/>
        <w:t>技支撑计划等科研项目。在国内外重要学术期刊和会议发表论文</w:t>
      </w:r>
      <w:r>
        <w:rPr>
          <w:rFonts w:ascii="Times New Roman" w:hAnsi="Times New Roman" w:cs="Times New Roman" w:eastAsia="Times New Roman" w:hint="default"/>
        </w:rPr>
        <w:t>80</w:t>
      </w:r>
      <w:r>
        <w:rPr/>
        <w:t>余篇，出版学术著作</w:t>
      </w:r>
      <w:r>
        <w:rPr>
          <w:rFonts w:ascii="Times New Roman" w:hAnsi="Times New Roman" w:cs="Times New Roman" w:eastAsia="Times New Roman" w:hint="default"/>
        </w:rPr>
        <w:t>1</w:t>
      </w:r>
      <w:r>
        <w:rPr/>
        <w:t>部；获中国发明专利授权</w:t>
      </w:r>
      <w:r>
        <w:rPr>
          <w:rFonts w:ascii="Times New Roman" w:hAnsi="Times New Roman" w:cs="Times New Roman" w:eastAsia="Times New Roman" w:hint="default"/>
        </w:rPr>
        <w:t>20</w:t>
      </w:r>
      <w:r>
        <w:rPr/>
        <w:t>余项；</w:t>
      </w:r>
      <w:r>
        <w:rPr>
          <w:spacing w:val="-83"/>
        </w:rPr>
        <w:t> </w:t>
      </w:r>
      <w:r>
        <w:rPr/>
        <w:t>获国家科技进步一等奖</w:t>
      </w:r>
      <w:r>
        <w:rPr>
          <w:rFonts w:ascii="Times New Roman" w:hAnsi="Times New Roman" w:cs="Times New Roman" w:eastAsia="Times New Roman" w:hint="default"/>
        </w:rPr>
        <w:t>1</w:t>
      </w:r>
      <w:r>
        <w:rPr/>
        <w:t>项，教育部技术发明一等奖</w:t>
      </w:r>
      <w:r>
        <w:rPr>
          <w:rFonts w:ascii="Times New Roman" w:hAnsi="Times New Roman" w:cs="Times New Roman" w:eastAsia="Times New Roman" w:hint="default"/>
        </w:rPr>
        <w:t>1</w:t>
      </w:r>
      <w:r>
        <w:rPr/>
        <w:t>项。现任公司独立董事。</w:t>
      </w:r>
    </w:p>
    <w:p>
      <w:pPr>
        <w:pStyle w:val="BodyText"/>
        <w:spacing w:line="300" w:lineRule="auto" w:before="13"/>
        <w:ind w:right="1128" w:firstLine="360"/>
        <w:jc w:val="both"/>
      </w:pPr>
      <w:r>
        <w:rPr>
          <w:spacing w:val="-2"/>
        </w:rPr>
        <w:t>杨逢柱，中国国籍，无境外永久居留权，</w:t>
      </w:r>
      <w:r>
        <w:rPr>
          <w:rFonts w:ascii="Times New Roman" w:hAnsi="Times New Roman" w:cs="Times New Roman" w:eastAsia="Times New Roman" w:hint="default"/>
          <w:spacing w:val="-2"/>
        </w:rPr>
        <w:t>1978</w:t>
      </w:r>
      <w:r>
        <w:rPr>
          <w:spacing w:val="-2"/>
        </w:rPr>
        <w:t>年生，国际法博士。曾任江西省燕真了商标事务所专员，曾获得北京中医</w:t>
      </w:r>
      <w:r>
        <w:rPr/>
        <w:t> </w:t>
      </w:r>
      <w:r>
        <w:rPr>
          <w:spacing w:val="-2"/>
        </w:rPr>
        <w:t>药大学</w:t>
      </w:r>
      <w:r>
        <w:rPr>
          <w:rFonts w:ascii="Times New Roman" w:hAnsi="Times New Roman" w:cs="Times New Roman" w:eastAsia="Times New Roman" w:hint="default"/>
          <w:spacing w:val="-2"/>
        </w:rPr>
        <w:t>“</w:t>
      </w:r>
      <w:r>
        <w:rPr>
          <w:spacing w:val="-2"/>
        </w:rPr>
        <w:t>就业先进个人</w:t>
      </w:r>
      <w:r>
        <w:rPr>
          <w:rFonts w:ascii="Times New Roman" w:hAnsi="Times New Roman" w:cs="Times New Roman" w:eastAsia="Times New Roman" w:hint="default"/>
          <w:spacing w:val="-2"/>
        </w:rPr>
        <w:t>”</w:t>
      </w:r>
      <w:r>
        <w:rPr>
          <w:spacing w:val="-2"/>
        </w:rPr>
        <w:t>，北京中医药大学优秀教师。曾出版《法律基础》、《中医药法学》等文献。现任北京中医药大学法</w:t>
      </w:r>
      <w:r>
        <w:rPr>
          <w:spacing w:val="-49"/>
        </w:rPr>
        <w:t> </w:t>
      </w:r>
      <w:r>
        <w:rPr>
          <w:spacing w:val="-49"/>
        </w:rPr>
      </w:r>
      <w:r>
        <w:rPr/>
        <w:t>律系主任、副教授、北京北中医国医堂医疗健康管理有限公司董事。现任公司独立董事。</w:t>
      </w:r>
    </w:p>
    <w:p>
      <w:pPr>
        <w:spacing w:after="0" w:line="300" w:lineRule="auto"/>
        <w:jc w:val="both"/>
        <w:sectPr>
          <w:pgSz w:w="11910" w:h="16840"/>
          <w:pgMar w:header="747" w:footer="1190" w:top="1060" w:bottom="138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3" w:right="1121"/>
        <w:jc w:val="left"/>
      </w:pPr>
      <w:r>
        <w:rPr>
          <w:rFonts w:ascii="Times New Roman" w:hAnsi="Times New Roman" w:cs="Times New Roman" w:eastAsia="Times New Roman" w:hint="default"/>
          <w:b/>
          <w:bCs/>
        </w:rPr>
        <w:t>2</w:t>
      </w:r>
      <w:r>
        <w:rPr>
          <w:rFonts w:ascii="宋体" w:hAnsi="宋体" w:cs="宋体" w:eastAsia="宋体" w:hint="default"/>
          <w:b/>
          <w:bCs/>
        </w:rPr>
        <w:t>、现任监事情况</w:t>
      </w:r>
      <w:r>
        <w:rPr>
          <w:rFonts w:ascii="宋体" w:hAnsi="宋体" w:cs="宋体" w:eastAsia="宋体" w:hint="default"/>
          <w:b/>
          <w:bCs/>
          <w:w w:val="99"/>
        </w:rPr>
        <w:t> </w:t>
      </w:r>
      <w:r>
        <w:rPr/>
        <w:t>钟力，中国国籍，无境外永久居留权，1970年4月出生，博士，教授级高级工程师。曾任解放军信息安全测评认证中心</w:t>
      </w:r>
    </w:p>
    <w:p>
      <w:pPr>
        <w:pStyle w:val="BodyText"/>
        <w:spacing w:line="316" w:lineRule="auto" w:before="31"/>
        <w:ind w:left="513" w:right="0" w:hanging="360"/>
        <w:jc w:val="left"/>
      </w:pPr>
      <w:r>
        <w:rPr/>
        <w:t>工程师、高级工程师和网络安全实验室主任；现任公司监事会主席、核心技术发展中心总经理。 </w:t>
      </w:r>
      <w:r>
        <w:rPr>
          <w:spacing w:val="-2"/>
        </w:rPr>
        <w:t>杨华，中国国籍，无境外永久居留权，1977年生，博士。现任公司监事、研发总经理。人工智能产业技术创新联盟（北</w:t>
      </w:r>
    </w:p>
    <w:p>
      <w:pPr>
        <w:pStyle w:val="BodyText"/>
        <w:spacing w:line="316" w:lineRule="auto" w:before="19"/>
        <w:ind w:left="513" w:right="0" w:hanging="360"/>
        <w:jc w:val="left"/>
      </w:pPr>
      <w:r>
        <w:rPr/>
        <w:t>京）科技有限公司总经理。 </w:t>
      </w:r>
      <w:r>
        <w:rPr>
          <w:spacing w:val="-2"/>
        </w:rPr>
        <w:t>徐扬，中国国籍，无境外永久居留权，1981年生，硕士。曾任南京保旺达科技有限公司副总经理，现任公司监事，江苏</w:t>
      </w:r>
    </w:p>
    <w:p>
      <w:pPr>
        <w:pStyle w:val="BodyText"/>
        <w:spacing w:line="240" w:lineRule="auto" w:before="19"/>
        <w:ind w:left="153" w:right="0"/>
        <w:jc w:val="left"/>
      </w:pPr>
      <w:r>
        <w:rPr/>
        <w:t>神州信源系统工程有限公司总经理。</w:t>
      </w:r>
    </w:p>
    <w:p>
      <w:pPr>
        <w:spacing w:line="240" w:lineRule="auto" w:before="0"/>
        <w:rPr>
          <w:rFonts w:ascii="宋体" w:hAnsi="宋体" w:cs="宋体" w:eastAsia="宋体" w:hint="default"/>
          <w:sz w:val="18"/>
          <w:szCs w:val="18"/>
        </w:rPr>
      </w:pPr>
    </w:p>
    <w:p>
      <w:pPr>
        <w:pStyle w:val="BodyText"/>
        <w:spacing w:line="312" w:lineRule="auto" w:before="153"/>
        <w:ind w:left="528" w:right="5696" w:firstLine="60"/>
        <w:jc w:val="left"/>
      </w:pPr>
      <w:r>
        <w:rPr>
          <w:rFonts w:ascii="Times New Roman" w:hAnsi="Times New Roman" w:cs="Times New Roman" w:eastAsia="Times New Roman" w:hint="default"/>
          <w:b/>
          <w:bCs/>
        </w:rPr>
        <w:t>3</w:t>
      </w:r>
      <w:r>
        <w:rPr>
          <w:rFonts w:ascii="宋体" w:hAnsi="宋体" w:cs="宋体" w:eastAsia="宋体" w:hint="default"/>
          <w:b/>
          <w:bCs/>
        </w:rPr>
        <w:t>、现任高级管理人员</w:t>
      </w:r>
      <w:r>
        <w:rPr>
          <w:rFonts w:ascii="宋体" w:hAnsi="宋体" w:cs="宋体" w:eastAsia="宋体" w:hint="default"/>
          <w:b/>
          <w:bCs/>
          <w:w w:val="99"/>
        </w:rPr>
        <w:t> </w:t>
      </w:r>
      <w:r>
        <w:rPr/>
        <w:t>林皓先生，现任公司总经理，简历参见董事会成员介绍。 杨杰先生，现任公司副总经理，简历参见董事会成员介绍。 高曦先生，现任公司副总经理，简历参见董事会成员介绍。</w:t>
      </w:r>
    </w:p>
    <w:p>
      <w:pPr>
        <w:pStyle w:val="BodyText"/>
        <w:spacing w:line="300" w:lineRule="auto" w:before="22"/>
        <w:ind w:left="153" w:right="0" w:firstLine="374"/>
        <w:jc w:val="left"/>
      </w:pPr>
      <w:r>
        <w:rPr>
          <w:spacing w:val="-1"/>
        </w:rPr>
        <w:t>王晓娜女士，中国国籍，无境外永久居留权，</w:t>
      </w:r>
      <w:r>
        <w:rPr>
          <w:rFonts w:ascii="Times New Roman" w:hAnsi="Times New Roman" w:cs="Times New Roman" w:eastAsia="Times New Roman" w:hint="default"/>
          <w:spacing w:val="-1"/>
        </w:rPr>
        <w:t>1975</w:t>
      </w:r>
      <w:r>
        <w:rPr>
          <w:spacing w:val="-1"/>
        </w:rPr>
        <w:t>年</w:t>
      </w:r>
      <w:r>
        <w:rPr>
          <w:rFonts w:ascii="Times New Roman" w:hAnsi="Times New Roman" w:cs="Times New Roman" w:eastAsia="Times New Roman" w:hint="default"/>
          <w:spacing w:val="-1"/>
        </w:rPr>
        <w:t>2</w:t>
      </w:r>
      <w:r>
        <w:rPr>
          <w:spacing w:val="-1"/>
        </w:rPr>
        <w:t>月出生，硕士，曾任北信源有限公司副总经理，现任公司副总经</w:t>
      </w:r>
      <w:r>
        <w:rPr/>
        <w:t> 理、浙江华睿北信源数据信息产业投资合伙企业（有限合伙）投委会委员、北京信源健和科技有限责任公司董事。</w:t>
      </w:r>
    </w:p>
    <w:p>
      <w:pPr>
        <w:pStyle w:val="BodyText"/>
        <w:spacing w:line="309" w:lineRule="auto" w:before="31"/>
        <w:ind w:left="153" w:right="0" w:firstLine="374"/>
        <w:jc w:val="left"/>
      </w:pPr>
      <w:r>
        <w:rPr/>
        <w:t>杨维先生，中国国籍，无境外永久居留权，</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5</w:t>
      </w:r>
      <w:r>
        <w:rPr/>
        <w:t>月出生，硕士。历任北京市人民政府电子工业办公室人事教育处科 </w:t>
      </w:r>
      <w:r>
        <w:rPr>
          <w:spacing w:val="-4"/>
        </w:rPr>
        <w:t>员，北京松下电子部品有限公司副课长，北信源有限副总经理；现任公司副总经理，深圳金城保密技术有限公司监事会主席，</w:t>
      </w:r>
      <w:r>
        <w:rPr>
          <w:spacing w:val="-46"/>
        </w:rPr>
        <w:t> </w:t>
      </w:r>
      <w:r>
        <w:rPr>
          <w:spacing w:val="-46"/>
        </w:rPr>
      </w:r>
      <w:r>
        <w:rPr/>
        <w:t>国保联盟信息安全技术有限公司董事长，北京北信源信息安全技术有限公司总经理。</w:t>
      </w:r>
    </w:p>
    <w:p>
      <w:pPr>
        <w:pStyle w:val="BodyText"/>
        <w:spacing w:line="307" w:lineRule="auto" w:before="24"/>
        <w:ind w:left="153" w:right="1031" w:firstLine="360"/>
        <w:jc w:val="left"/>
      </w:pPr>
      <w:r>
        <w:rPr>
          <w:spacing w:val="-4"/>
        </w:rPr>
        <w:t>陈曦先生：中国国籍，无境外永久居留权，</w:t>
      </w:r>
      <w:r>
        <w:rPr>
          <w:rFonts w:ascii="Times New Roman" w:hAnsi="Times New Roman" w:cs="Times New Roman" w:eastAsia="Times New Roman" w:hint="default"/>
          <w:spacing w:val="-4"/>
        </w:rPr>
        <w:t>1976</w:t>
      </w:r>
      <w:r>
        <w:rPr>
          <w:spacing w:val="-4"/>
        </w:rPr>
        <w:t>年</w:t>
      </w:r>
      <w:r>
        <w:rPr>
          <w:rFonts w:ascii="Times New Roman" w:hAnsi="Times New Roman" w:cs="Times New Roman" w:eastAsia="Times New Roman" w:hint="default"/>
          <w:spacing w:val="-4"/>
        </w:rPr>
        <w:t>01</w:t>
      </w:r>
      <w:r>
        <w:rPr>
          <w:spacing w:val="-4"/>
        </w:rPr>
        <w:t>月出生，学士学位，曾先后任成都铁路局通信信号厂技术室技术员，</w:t>
      </w:r>
      <w:r>
        <w:rPr/>
        <w:t> </w:t>
      </w:r>
      <w:r>
        <w:rPr>
          <w:spacing w:val="-2"/>
        </w:rPr>
        <w:t>成都卫士通信息股份有限公司研发工程师、课题负责人、研发部门经理、行业营销事业部总经理、行业营销总监，总经理助</w:t>
      </w:r>
      <w:r>
        <w:rPr>
          <w:spacing w:val="-66"/>
        </w:rPr>
        <w:t> </w:t>
      </w:r>
      <w:r>
        <w:rPr>
          <w:spacing w:val="-66"/>
        </w:rPr>
      </w:r>
      <w:r>
        <w:rPr>
          <w:spacing w:val="-2"/>
        </w:rPr>
        <w:t>理及成都卫士通信息安全技术有限公司副总经理，中电科软件信息服务有限公司行业总监及中电科华云信息技术有限公司营</w:t>
      </w:r>
      <w:r>
        <w:rPr>
          <w:spacing w:val="-64"/>
        </w:rPr>
        <w:t> </w:t>
      </w:r>
      <w:r>
        <w:rPr>
          <w:spacing w:val="-64"/>
        </w:rPr>
      </w:r>
      <w:r>
        <w:rPr/>
        <w:t>销总监；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月加入公司，任公司董事长助理、战略发展部总经理，现任公司副总经理</w:t>
      </w:r>
      <w:r>
        <w:rPr>
          <w:rFonts w:ascii="Times New Roman" w:hAnsi="Times New Roman" w:cs="Times New Roman" w:eastAsia="Times New Roman" w:hint="default"/>
        </w:rPr>
        <w:t>,</w:t>
      </w:r>
      <w:r>
        <w:rPr/>
        <w:t>嘉兴北源投资合伙企业（有限合 伙）投资决策委员会委员</w:t>
      </w:r>
      <w:r>
        <w:rPr>
          <w:rFonts w:ascii="Times New Roman" w:hAnsi="Times New Roman" w:cs="Times New Roman" w:eastAsia="Times New Roman" w:hint="default"/>
        </w:rPr>
        <w:t>, </w:t>
      </w:r>
      <w:r>
        <w:rPr/>
        <w:t>北京信源匡恩工控安全科技有限公司监事</w:t>
      </w:r>
      <w:r>
        <w:rPr>
          <w:rFonts w:ascii="Times New Roman" w:hAnsi="Times New Roman" w:cs="Times New Roman" w:eastAsia="Times New Roman" w:hint="default"/>
        </w:rPr>
        <w:t>,</w:t>
      </w:r>
      <w:r>
        <w:rPr/>
        <w:t>北京双洲科技有限公司董事</w:t>
      </w:r>
      <w:r>
        <w:rPr>
          <w:rFonts w:ascii="Times New Roman" w:hAnsi="Times New Roman" w:cs="Times New Roman" w:eastAsia="Times New Roman" w:hint="default"/>
        </w:rPr>
        <w:t>,</w:t>
      </w:r>
      <w:r>
        <w:rPr/>
        <w:t>杭州芸品绿信息科技有限</w:t>
      </w:r>
      <w:r>
        <w:rPr>
          <w:spacing w:val="-48"/>
        </w:rPr>
        <w:t> </w:t>
      </w:r>
      <w:r>
        <w:rPr>
          <w:spacing w:val="-48"/>
        </w:rPr>
      </w:r>
      <w:r>
        <w:rPr/>
        <w:t>公司董事。</w:t>
      </w:r>
    </w:p>
    <w:p>
      <w:pPr>
        <w:pStyle w:val="BodyText"/>
        <w:spacing w:line="309" w:lineRule="auto" w:before="26"/>
        <w:ind w:left="153" w:right="1128" w:firstLine="301"/>
        <w:jc w:val="both"/>
      </w:pPr>
      <w:r>
        <w:rPr>
          <w:spacing w:val="-1"/>
        </w:rPr>
        <w:t>徐文峰先生，中国国籍，无境外永久居留权，</w:t>
      </w:r>
      <w:r>
        <w:rPr>
          <w:rFonts w:ascii="Times New Roman" w:hAnsi="Times New Roman" w:cs="Times New Roman" w:eastAsia="Times New Roman" w:hint="default"/>
          <w:spacing w:val="-1"/>
        </w:rPr>
        <w:t>1976</w:t>
      </w:r>
      <w:r>
        <w:rPr>
          <w:spacing w:val="-1"/>
        </w:rPr>
        <w:t>年</w:t>
      </w:r>
      <w:r>
        <w:rPr>
          <w:rFonts w:ascii="Times New Roman" w:hAnsi="Times New Roman" w:cs="Times New Roman" w:eastAsia="Times New Roman" w:hint="default"/>
          <w:spacing w:val="-1"/>
        </w:rPr>
        <w:t>10</w:t>
      </w:r>
      <w:r>
        <w:rPr>
          <w:spacing w:val="-1"/>
        </w:rPr>
        <w:t>月出生，硕士，曾任华东计算技术研究所经理、北京讯飞信息技</w:t>
      </w:r>
      <w:r>
        <w:rPr/>
        <w:t> </w:t>
      </w:r>
      <w:r>
        <w:rPr>
          <w:spacing w:val="-2"/>
        </w:rPr>
        <w:t>术有限公司（合伙创业）副总经理、平安证券有限责任公司投资银行事业部高级业务总监、济南山山股权投资管理有限公司</w:t>
      </w:r>
      <w:r>
        <w:rPr>
          <w:spacing w:val="-66"/>
        </w:rPr>
        <w:t> </w:t>
      </w:r>
      <w:r>
        <w:rPr>
          <w:spacing w:val="-66"/>
        </w:rPr>
      </w:r>
      <w:r>
        <w:rPr/>
        <w:t>总经理、嘉数（湖北）创业投资基金管理股份有限公司投资总监，现任公司副总经理。</w:t>
      </w:r>
    </w:p>
    <w:p>
      <w:pPr>
        <w:pStyle w:val="BodyText"/>
        <w:spacing w:line="309" w:lineRule="auto" w:before="24"/>
        <w:ind w:left="153" w:right="0" w:firstLine="374"/>
        <w:jc w:val="left"/>
      </w:pPr>
      <w:r>
        <w:rPr/>
        <w:t>邓华明女士，中国国籍，无境外永久居留权，</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11</w:t>
      </w:r>
      <w:r>
        <w:rPr/>
        <w:t>月出生，硕士，注册会计师（非执业会员），曾先后任深圳航 </w:t>
      </w:r>
      <w:r>
        <w:rPr>
          <w:spacing w:val="-4"/>
        </w:rPr>
        <w:t>空有限责任公司会计，中关村发展集团股份有限公司财务管理专业经理，北京知识产权运营管理有限公司资金财务部负责人，</w:t>
      </w:r>
      <w:r>
        <w:rPr>
          <w:spacing w:val="-44"/>
        </w:rPr>
        <w:t> </w:t>
      </w:r>
      <w:r>
        <w:rPr>
          <w:spacing w:val="-44"/>
        </w:rPr>
      </w:r>
      <w:r>
        <w:rPr/>
        <w:t>现任公司财务总监、北信源（马来西亚）信息技术公司董事。</w:t>
      </w:r>
    </w:p>
    <w:p>
      <w:pPr>
        <w:pStyle w:val="BodyText"/>
        <w:spacing w:line="240" w:lineRule="auto" w:before="65"/>
        <w:ind w:left="153" w:right="0"/>
        <w:jc w:val="left"/>
      </w:pPr>
      <w:r>
        <w:rPr/>
        <w:t>在股东单位任职情况</w:t>
      </w:r>
    </w:p>
    <w:p>
      <w:pPr>
        <w:pStyle w:val="BodyText"/>
        <w:spacing w:line="338" w:lineRule="auto" w:before="117"/>
        <w:ind w:right="9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492"/>
        <w:gridCol w:w="1028"/>
        <w:gridCol w:w="1594"/>
      </w:tblGrid>
      <w:tr>
        <w:trPr>
          <w:trHeight w:val="75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0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0" w:lineRule="auto" w:before="51"/>
              <w:ind w:left="330" w:right="146"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北京辰信领创信息技术有限公司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华北电力大学经济管理学院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河南平高电气股份有限公司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杨逢柱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北京中医药大学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法律系主任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杨逢柱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北京北中医国医堂医疗健康管理有限公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492"/>
        <w:gridCol w:w="1028"/>
        <w:gridCol w:w="1594"/>
      </w:tblGrid>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北京航空航天大学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北京信源健和科技有限责任公司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王晓娜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浙江华睿北信源数据信息产业投资合伙 企业（有限合伙）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投委会委员</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深圳金城保密技术有限公司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国保联盟信息安全技术有限公司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深圳金城保密技术有限公司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胡建斌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北京辰信领创信息技术有限公司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北京双洲科技有限公司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杭州芸品绿信息科技有限公司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嘉兴北源投资合伙企业（有限合伙）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投委会委员</w:t>
            </w:r>
          </w:p>
        </w:tc>
        <w:tc>
          <w:tcPr>
            <w:tcW w:w="1492"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0" w:right="1030"/>
        <w:jc w:val="right"/>
      </w:pPr>
      <w:r>
        <w:rPr/>
        <w:pict>
          <v:shape style="position:absolute;margin-left:56.34pt;margin-top:-56.387978pt;width:484pt;height:129.2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18"/>
                    <w:gridCol w:w="6439"/>
                  </w:tblGrid>
                  <w:tr>
                    <w:trPr>
                      <w:trHeight w:val="371" w:hRule="exact"/>
                    </w:trPr>
                    <w:tc>
                      <w:tcPr>
                        <w:tcW w:w="32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董事、监事、高级管理人员报酬的决策程</w:t>
                        </w:r>
                      </w:p>
                    </w:tc>
                    <w:tc>
                      <w:tcPr>
                        <w:tcW w:w="643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pacing w:val="-2"/>
                            <w:sz w:val="18"/>
                            <w:szCs w:val="18"/>
                          </w:rPr>
                          <w:t>公司董事、监事报酬由股东大会决定，高级管理人员报酬由董事会决定；在公司担</w:t>
                        </w:r>
                      </w:p>
                    </w:tc>
                  </w:tr>
                  <w:tr>
                    <w:trPr>
                      <w:trHeight w:val="313" w:hRule="exact"/>
                    </w:trPr>
                    <w:tc>
                      <w:tcPr>
                        <w:tcW w:w="3218"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序</w:t>
                        </w:r>
                      </w:p>
                    </w:tc>
                    <w:tc>
                      <w:tcPr>
                        <w:tcW w:w="643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2"/>
                            <w:sz w:val="18"/>
                            <w:szCs w:val="18"/>
                          </w:rPr>
                          <w:t>任职务的董事、监事、高级管理人员报酬由公司根据担任的职务支付，董事、监事</w:t>
                        </w:r>
                      </w:p>
                    </w:tc>
                  </w:tr>
                  <w:tr>
                    <w:trPr>
                      <w:trHeight w:val="367" w:hRule="exact"/>
                    </w:trPr>
                    <w:tc>
                      <w:tcPr>
                        <w:tcW w:w="3218" w:type="dxa"/>
                        <w:tcBorders>
                          <w:top w:val="nil" w:sz="6" w:space="0" w:color="auto"/>
                          <w:left w:val="single" w:sz="6" w:space="0" w:color="000000"/>
                          <w:bottom w:val="single" w:sz="6" w:space="0" w:color="000000"/>
                          <w:right w:val="single" w:sz="6" w:space="0" w:color="000000"/>
                        </w:tcBorders>
                      </w:tcPr>
                      <w:p>
                        <w:pPr/>
                      </w:p>
                    </w:tc>
                    <w:tc>
                      <w:tcPr>
                        <w:tcW w:w="643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不另外支付津贴。独立董事津贴根据股东大会所通过的决议来进行支付。</w:t>
                        </w:r>
                      </w:p>
                    </w:tc>
                  </w:tr>
                  <w:tr>
                    <w:trPr>
                      <w:trHeight w:val="739" w:hRule="exact"/>
                    </w:trPr>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董事、监事、高级管理人员报酬确定依据</w:t>
                        </w:r>
                      </w:p>
                    </w:tc>
                    <w:tc>
                      <w:tcPr>
                        <w:tcW w:w="6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0"/>
                          <w:jc w:val="left"/>
                          <w:rPr>
                            <w:rFonts w:ascii="宋体" w:hAnsi="宋体" w:cs="宋体" w:eastAsia="宋体" w:hint="default"/>
                            <w:sz w:val="18"/>
                            <w:szCs w:val="18"/>
                          </w:rPr>
                        </w:pPr>
                        <w:r>
                          <w:rPr>
                            <w:rFonts w:ascii="宋体" w:hAnsi="宋体" w:cs="宋体" w:eastAsia="宋体" w:hint="default"/>
                            <w:spacing w:val="-5"/>
                            <w:sz w:val="18"/>
                            <w:szCs w:val="18"/>
                          </w:rPr>
                          <w:t>董事、监事、高级管理人员的报酬按照公司《薪酬与考核委员会工作细则》等规定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结合其经营绩效、岗位分工及履行情况等考核确定并发放。</w:t>
                        </w:r>
                      </w:p>
                    </w:tc>
                  </w:tr>
                  <w:tr>
                    <w:trPr>
                      <w:trHeight w:val="371" w:hRule="exact"/>
                    </w:trPr>
                    <w:tc>
                      <w:tcPr>
                        <w:tcW w:w="32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w:t>
                        </w:r>
                      </w:p>
                    </w:tc>
                    <w:tc>
                      <w:tcPr>
                        <w:tcW w:w="643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报告期内，董事、监事及公司高级管理人员的薪酬均已按照确定的薪酬标准全额</w:t>
                        </w:r>
                      </w:p>
                    </w:tc>
                  </w:tr>
                  <w:tr>
                    <w:trPr>
                      <w:trHeight w:val="409" w:hRule="exact"/>
                    </w:trPr>
                    <w:tc>
                      <w:tcPr>
                        <w:tcW w:w="321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付情况</w:t>
                        </w:r>
                      </w:p>
                    </w:tc>
                    <w:tc>
                      <w:tcPr>
                        <w:tcW w:w="643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支付。</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before="44"/>
        <w:ind w:right="0"/>
        <w:jc w:val="left"/>
      </w:pPr>
      <w:r>
        <w:rPr/>
        <w:t>公司报告期内董事、监事和高级管理人员报酬情况</w:t>
      </w:r>
    </w:p>
    <w:p>
      <w:pPr>
        <w:pStyle w:val="BodyText"/>
        <w:spacing w:line="240" w:lineRule="auto" w:before="116"/>
        <w:ind w:left="0" w:right="113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胡建斌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杨逢柱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邓华明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412.2</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1,293</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1,293</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1" w:firstLine="357"/>
        <w:jc w:val="both"/>
      </w:pPr>
      <w:r>
        <w:rPr>
          <w:spacing w:val="-2"/>
        </w:rPr>
        <w:t>公司根据国家有关劳动法规和政策，结合公司实际情况，采取</w:t>
      </w:r>
      <w:r>
        <w:rPr>
          <w:rFonts w:ascii="Times New Roman" w:hAnsi="Times New Roman" w:cs="Times New Roman" w:eastAsia="Times New Roman" w:hint="default"/>
          <w:spacing w:val="-2"/>
        </w:rPr>
        <w:t>“</w:t>
      </w:r>
      <w:r>
        <w:rPr>
          <w:spacing w:val="-2"/>
        </w:rPr>
        <w:t>竞争性、公平性、业绩导向</w:t>
      </w:r>
      <w:r>
        <w:rPr>
          <w:rFonts w:ascii="Times New Roman" w:hAnsi="Times New Roman" w:cs="Times New Roman" w:eastAsia="Times New Roman" w:hint="default"/>
          <w:spacing w:val="-2"/>
        </w:rPr>
        <w:t>”</w:t>
      </w:r>
      <w:r>
        <w:rPr>
          <w:spacing w:val="-2"/>
        </w:rPr>
        <w:t>的薪酬原则，使公司薪酬政</w:t>
      </w:r>
      <w:r>
        <w:rPr/>
        <w:t> </w:t>
      </w:r>
      <w:r>
        <w:rPr>
          <w:spacing w:val="-2"/>
        </w:rPr>
        <w:t>策服务于公司发展战略。公司整体薪酬水平以市场为导向，以公司经营效益和财务支付能力为前提，员工个人薪酬以员工个</w:t>
      </w:r>
      <w:r>
        <w:rPr>
          <w:spacing w:val="-66"/>
        </w:rPr>
        <w:t> </w:t>
      </w:r>
      <w:r>
        <w:rPr>
          <w:spacing w:val="-66"/>
        </w:rPr>
      </w:r>
      <w:r>
        <w:rPr/>
        <w:t>人的工作能力、工作业绩为依据，把提高工作效率作为目标等。</w:t>
      </w:r>
    </w:p>
    <w:p>
      <w:pPr>
        <w:spacing w:line="240" w:lineRule="auto" w:before="0"/>
        <w:rPr>
          <w:rFonts w:ascii="宋体" w:hAnsi="宋体" w:cs="宋体" w:eastAsia="宋体" w:hint="default"/>
          <w:sz w:val="18"/>
          <w:szCs w:val="18"/>
        </w:rPr>
      </w:pPr>
    </w:p>
    <w:p>
      <w:pPr>
        <w:pStyle w:val="BodyText"/>
        <w:spacing w:line="338" w:lineRule="auto" w:before="141"/>
        <w:ind w:left="444" w:right="0" w:hanging="291"/>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w:t>
      </w:r>
      <w:r>
        <w:rPr>
          <w:spacing w:val="-2"/>
        </w:rPr>
        <w:t>公司人员薪酬计入主营业务成本</w:t>
      </w:r>
      <w:r>
        <w:rPr>
          <w:rFonts w:ascii="Times New Roman" w:hAnsi="Times New Roman" w:cs="Times New Roman" w:eastAsia="Times New Roman" w:hint="default"/>
          <w:spacing w:val="-2"/>
        </w:rPr>
        <w:t>774.41</w:t>
      </w:r>
      <w:r>
        <w:rPr>
          <w:spacing w:val="-2"/>
        </w:rPr>
        <w:t>万元，占公司成本总额</w:t>
      </w:r>
      <w:r>
        <w:rPr>
          <w:rFonts w:ascii="Times New Roman" w:hAnsi="Times New Roman" w:cs="Times New Roman" w:eastAsia="Times New Roman" w:hint="default"/>
          <w:spacing w:val="-2"/>
        </w:rPr>
        <w:t>15,482.72</w:t>
      </w:r>
      <w:r>
        <w:rPr>
          <w:spacing w:val="-2"/>
        </w:rPr>
        <w:t>万元的</w:t>
      </w:r>
      <w:r>
        <w:rPr>
          <w:rFonts w:ascii="Times New Roman" w:hAnsi="Times New Roman" w:cs="Times New Roman" w:eastAsia="Times New Roman" w:hint="default"/>
          <w:spacing w:val="-2"/>
        </w:rPr>
        <w:t>5.00%</w:t>
      </w:r>
      <w:r>
        <w:rPr>
          <w:spacing w:val="-2"/>
        </w:rPr>
        <w:t>。报告期内，公司核心技术人员数量</w:t>
      </w:r>
    </w:p>
    <w:p>
      <w:pPr>
        <w:pStyle w:val="BodyText"/>
        <w:spacing w:line="231" w:lineRule="exact"/>
        <w:ind w:right="0"/>
        <w:jc w:val="left"/>
      </w:pPr>
      <w:r>
        <w:rPr/>
        <w:t>较去年同期无变化，公司核心技术人员数量占比为</w:t>
      </w:r>
      <w:r>
        <w:rPr>
          <w:rFonts w:ascii="Times New Roman" w:hAnsi="Times New Roman" w:cs="Times New Roman" w:eastAsia="Times New Roman" w:hint="default"/>
        </w:rPr>
        <w:t>0.23%</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0" w:firstLine="362"/>
        <w:jc w:val="left"/>
      </w:pPr>
      <w:r>
        <w:rPr>
          <w:spacing w:val="-2"/>
        </w:rPr>
        <w:t>公司十分注重员工培训工作，建立了完善的培训体系，报告期内制定并实施了针对各岗位人员的培训计划，包括入职培</w:t>
      </w:r>
      <w:r>
        <w:rPr/>
        <w:t> 训、内部管理制度培训、专业技能培训、素质培训等多种形式、多层次的培训，进一步提升了员工的专业技能和整体素质， 促进员工和公司共同发展，确保公司各项经营计划的顺利开展。</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1190"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345"/>
        <w:jc w:val="center"/>
        <w:rPr>
          <w:b w:val="0"/>
          <w:bCs w:val="0"/>
        </w:rPr>
      </w:pPr>
      <w:bookmarkStart w:name="_TOC_250003"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pPr>
      <w:r>
        <w:rPr>
          <w:spacing w:val="-2"/>
        </w:rPr>
        <w:t>报告期内，公司严格按照《公司法》、《证券法》、《上市公司治理准则》、《深圳证券交易所股票上市规则》、《深</w:t>
      </w:r>
      <w:r>
        <w:rPr/>
        <w:t> </w:t>
      </w:r>
      <w:r>
        <w:rPr>
          <w:spacing w:val="-2"/>
        </w:rPr>
        <w:t>圳证券交易所创业板上市公司规范运作指引》及中国证监会有关法律法规的要求，不断完善公司法人治理结构、建立健全公</w:t>
      </w:r>
      <w:r>
        <w:rPr>
          <w:spacing w:val="-66"/>
        </w:rPr>
        <w:t> </w:t>
      </w:r>
      <w:r>
        <w:rPr>
          <w:spacing w:val="-66"/>
        </w:rPr>
      </w:r>
      <w:r>
        <w:rPr>
          <w:spacing w:val="-2"/>
        </w:rPr>
        <w:t>司内部控制体系，加强信息披露，积极开展投资者关系管理工作，持续深入开展公司治理活动，以进一步规范公司运作，提</w:t>
      </w:r>
      <w:r>
        <w:rPr>
          <w:spacing w:val="-66"/>
        </w:rPr>
        <w:t> </w:t>
      </w:r>
      <w:r>
        <w:rPr>
          <w:spacing w:val="-66"/>
        </w:rPr>
      </w:r>
      <w:r>
        <w:rPr/>
        <w:t>高公司治理水平。</w:t>
      </w:r>
    </w:p>
    <w:p>
      <w:pPr>
        <w:pStyle w:val="BodyText"/>
        <w:spacing w:line="300" w:lineRule="auto" w:before="19"/>
        <w:ind w:left="513" w:right="0"/>
        <w:jc w:val="left"/>
      </w:pPr>
      <w:r>
        <w:rPr>
          <w:rFonts w:ascii="Times New Roman" w:hAnsi="Times New Roman" w:cs="Times New Roman" w:eastAsia="Times New Roman" w:hint="default"/>
        </w:rPr>
        <w:t>1</w:t>
      </w:r>
      <w:r>
        <w:rPr/>
        <w:t>、关于股东与股东大会 </w:t>
      </w:r>
      <w:r>
        <w:rPr>
          <w:spacing w:val="-2"/>
        </w:rPr>
        <w:t>公司严格按照《公司法》、《上市公司股东大会规则》、《公司章程》和《股东大会议事规则》等规定和要求召集和召</w:t>
      </w:r>
    </w:p>
    <w:p>
      <w:pPr>
        <w:pStyle w:val="BodyText"/>
        <w:spacing w:line="316" w:lineRule="auto" w:before="31"/>
        <w:ind w:left="153" w:right="1041"/>
        <w:jc w:val="both"/>
      </w:pPr>
      <w:r>
        <w:rPr>
          <w:spacing w:val="-2"/>
        </w:rPr>
        <w:t>开股东大会，并聘请见证律师对股东大会的合法性出具法律意见书，能够确保全体股东特别是中小股东享有平等地位，充分</w:t>
      </w:r>
      <w:r>
        <w:rPr>
          <w:spacing w:val="-66"/>
        </w:rPr>
        <w:t> </w:t>
      </w:r>
      <w:r>
        <w:rPr>
          <w:spacing w:val="-66"/>
        </w:rPr>
      </w:r>
      <w:r>
        <w:rPr>
          <w:spacing w:val="-4"/>
        </w:rPr>
        <w:t>行使股东权利。报告期内，公司股东大会均由董事会召集召开，出席股东大会的人员资格及股东大会的召开和表决程序合法。</w:t>
      </w:r>
    </w:p>
    <w:p>
      <w:pPr>
        <w:pStyle w:val="BodyText"/>
        <w:spacing w:line="300" w:lineRule="auto" w:before="19"/>
        <w:ind w:left="453" w:right="0" w:firstLine="134"/>
        <w:jc w:val="left"/>
      </w:pPr>
      <w:r>
        <w:rPr>
          <w:rFonts w:ascii="Times New Roman" w:hAnsi="Times New Roman" w:cs="Times New Roman" w:eastAsia="Times New Roman" w:hint="default"/>
        </w:rPr>
        <w:t>2</w:t>
      </w:r>
      <w:r>
        <w:rPr/>
        <w:t>、关于董事与董事会 </w:t>
      </w:r>
      <w:r>
        <w:rPr>
          <w:spacing w:val="-3"/>
        </w:rPr>
        <w:t>公司依法规范董事会运作，确保公司董事会的人数及人员构成符合法律法规和《公司章程》的要求，保证董事会的召集、</w:t>
      </w:r>
    </w:p>
    <w:p>
      <w:pPr>
        <w:pStyle w:val="BodyText"/>
        <w:spacing w:line="316" w:lineRule="auto" w:before="31"/>
        <w:ind w:left="153" w:right="1132"/>
        <w:jc w:val="both"/>
      </w:pPr>
      <w:r>
        <w:rPr>
          <w:spacing w:val="-2"/>
        </w:rPr>
        <w:t>召开和表决程序合法有效，保障全体董事特别是独立董事发挥专业作用。报告期内公司董事能严格按照《公司法》和《公司</w:t>
      </w:r>
      <w:r>
        <w:rPr>
          <w:spacing w:val="-67"/>
        </w:rPr>
        <w:t> </w:t>
      </w:r>
      <w:r>
        <w:rPr>
          <w:spacing w:val="-67"/>
        </w:rPr>
      </w:r>
      <w:r>
        <w:rPr/>
        <w:t>章程》的规定，积极参与公司经营决策活动，履行其职责和义务，并参加证券监管机构组织的相关培训。</w:t>
      </w:r>
    </w:p>
    <w:p>
      <w:pPr>
        <w:pStyle w:val="BodyText"/>
        <w:spacing w:line="300" w:lineRule="auto" w:before="19"/>
        <w:ind w:left="497" w:right="0"/>
        <w:jc w:val="left"/>
      </w:pPr>
      <w:r>
        <w:rPr>
          <w:rFonts w:ascii="Times New Roman" w:hAnsi="Times New Roman" w:cs="Times New Roman" w:eastAsia="Times New Roman" w:hint="default"/>
        </w:rPr>
        <w:t>3</w:t>
      </w:r>
      <w:r>
        <w:rPr/>
        <w:t>、关于监事和监事会 </w:t>
      </w:r>
      <w:r>
        <w:rPr>
          <w:spacing w:val="-2"/>
        </w:rPr>
        <w:t>公司依法规范监事会的运作，确保公司监事会的人数及人员构成符合法律法规和《公司章程》的要求，保证监事会的召</w:t>
      </w:r>
    </w:p>
    <w:p>
      <w:pPr>
        <w:pStyle w:val="BodyText"/>
        <w:spacing w:line="316" w:lineRule="auto" w:before="31"/>
        <w:ind w:left="153" w:right="1131"/>
        <w:jc w:val="both"/>
      </w:pPr>
      <w:r>
        <w:rPr>
          <w:spacing w:val="-2"/>
        </w:rPr>
        <w:t>集、召开和表决程序合法有效。报告期内公司监事严格按照《公司法》和《公司章程》、《监事会议事规则》的规定，认真</w:t>
      </w:r>
      <w:r>
        <w:rPr>
          <w:spacing w:val="-70"/>
        </w:rPr>
        <w:t> </w:t>
      </w:r>
      <w:r>
        <w:rPr>
          <w:spacing w:val="-70"/>
        </w:rPr>
      </w:r>
      <w:r>
        <w:rPr>
          <w:spacing w:val="-2"/>
        </w:rPr>
        <w:t>履行职责，诚信、勤勉、尽责地对公司重大事项、财务状况、生产经营等各个方面进行监督，以及对公司董事、高级管理人</w:t>
      </w:r>
      <w:r>
        <w:rPr>
          <w:spacing w:val="-65"/>
        </w:rPr>
        <w:t> </w:t>
      </w:r>
      <w:r>
        <w:rPr>
          <w:spacing w:val="-65"/>
        </w:rPr>
      </w:r>
      <w:r>
        <w:rPr/>
        <w:t>员履行职责的合法、合规性进行有效监督，维护公司及股东的合法权益。</w:t>
      </w:r>
    </w:p>
    <w:p>
      <w:pPr>
        <w:pStyle w:val="BodyText"/>
        <w:spacing w:line="300" w:lineRule="auto" w:before="19"/>
        <w:ind w:left="513" w:right="0" w:firstLine="55"/>
        <w:jc w:val="left"/>
      </w:pPr>
      <w:r>
        <w:rPr>
          <w:rFonts w:ascii="Times New Roman" w:hAnsi="Times New Roman" w:cs="Times New Roman" w:eastAsia="Times New Roman" w:hint="default"/>
        </w:rPr>
        <w:t>4</w:t>
      </w:r>
      <w:r>
        <w:rPr/>
        <w:t>、关于绩效评价与激励约束机制 </w:t>
      </w:r>
      <w:r>
        <w:rPr>
          <w:spacing w:val="-2"/>
        </w:rPr>
        <w:t>公司建立了公正透明的董事、监事和经理人员的绩效评价标准和程序，强化公司高管勤勉尽责意识，充分进行约束与激</w:t>
      </w:r>
    </w:p>
    <w:p>
      <w:pPr>
        <w:pStyle w:val="BodyText"/>
        <w:spacing w:line="309" w:lineRule="auto" w:before="31"/>
        <w:ind w:left="453" w:right="1031" w:hanging="300"/>
        <w:jc w:val="left"/>
      </w:pPr>
      <w:r>
        <w:rPr/>
        <w:t>励，提升公司工作效率及经营效益；公司董事、监事及高级管理人员的聘任及薪酬情况公开、透明，符合法律法规的规定。 </w:t>
      </w:r>
      <w:r>
        <w:rPr>
          <w:rFonts w:ascii="Times New Roman" w:hAnsi="Times New Roman" w:cs="Times New Roman" w:eastAsia="Times New Roman" w:hint="default"/>
        </w:rPr>
        <w:t>5</w:t>
      </w:r>
      <w:r>
        <w:rPr/>
        <w:t>、关于信息披露与透明度 公司根据《深圳证券交易所股票上市规则》、《公司章程》、《公司信息披露管理办法》等规定，认真履行信息披露义</w:t>
      </w:r>
    </w:p>
    <w:p>
      <w:pPr>
        <w:pStyle w:val="BodyText"/>
        <w:spacing w:line="307" w:lineRule="auto" w:before="24"/>
        <w:ind w:left="153" w:right="1131"/>
        <w:jc w:val="both"/>
      </w:pPr>
      <w:r>
        <w:rPr>
          <w:spacing w:val="-5"/>
        </w:rPr>
        <w:t>务，真实、准确、及时、完整地披露信息，确保公司所有股东公平的获得公司相关信息。</w:t>
      </w:r>
      <w:r>
        <w:rPr>
          <w:rFonts w:ascii="Times New Roman" w:hAnsi="Times New Roman" w:cs="Times New Roman" w:eastAsia="Times New Roman" w:hint="default"/>
          <w:spacing w:val="-5"/>
        </w:rPr>
        <w:t>2018</w:t>
      </w:r>
      <w:r>
        <w:rPr>
          <w:spacing w:val="-5"/>
        </w:rPr>
        <w:t>年公司指定《证券日报》、《证</w:t>
      </w:r>
      <w:r>
        <w:rPr>
          <w:spacing w:val="-72"/>
        </w:rPr>
        <w:t> </w:t>
      </w:r>
      <w:r>
        <w:rPr>
          <w:spacing w:val="-72"/>
        </w:rPr>
      </w:r>
      <w:r>
        <w:rPr/>
        <w:t>券时报》、《中国证券报》和巨潮资讯网</w:t>
      </w:r>
      <w:hyperlink r:id="rId16">
        <w:r>
          <w:rPr>
            <w:rFonts w:ascii="Times New Roman" w:hAnsi="Times New Roman" w:cs="Times New Roman" w:eastAsia="Times New Roman" w:hint="default"/>
          </w:rPr>
          <w:t>http://www.cninfo.com.cn</w:t>
        </w:r>
        <w:r>
          <w:rPr/>
          <w:t>为公司信息披露的报纸和网站，同时还努力通过不同的方</w:t>
        </w:r>
      </w:hyperlink>
      <w:r>
        <w:rPr/>
        <w:t> </w:t>
      </w:r>
      <w:r>
        <w:rPr>
          <w:spacing w:val="-2"/>
        </w:rPr>
        <w:t>式加强投资者的沟通与互动，具体方式有：投资者来访接待、参观、网站的建设，对外的电话专线以保持与投资者的良好沟</w:t>
      </w:r>
      <w:r>
        <w:rPr>
          <w:spacing w:val="-65"/>
        </w:rPr>
        <w:t> </w:t>
      </w:r>
      <w:r>
        <w:rPr>
          <w:spacing w:val="-65"/>
        </w:rPr>
      </w:r>
      <w:r>
        <w:rPr/>
        <w:t>通和透明度。</w:t>
      </w:r>
    </w:p>
    <w:p>
      <w:pPr>
        <w:pStyle w:val="BodyText"/>
        <w:spacing w:line="240" w:lineRule="auto" w:before="67"/>
        <w:ind w:left="153" w:right="0"/>
        <w:jc w:val="both"/>
      </w:pPr>
      <w:r>
        <w:rPr/>
        <w:t>公司治理的实际状况与中国证监会发布的有关上市公司治理的规范性文件是否存在重大差异</w:t>
      </w:r>
    </w:p>
    <w:p>
      <w:pPr>
        <w:pStyle w:val="BodyText"/>
        <w:spacing w:line="338" w:lineRule="auto" w:before="117"/>
        <w:ind w:right="35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2"/>
        <w:jc w:val="both"/>
      </w:pPr>
      <w:r>
        <w:rPr>
          <w:spacing w:val="-2"/>
        </w:rPr>
        <w:t>公司严格按照《公司法》、《证券法》、《深圳证券交易所创业板股票上市规则》、《深圳证券交易所创业板上市公司</w:t>
      </w:r>
      <w:r>
        <w:rPr/>
        <w:t> </w:t>
      </w:r>
      <w:r>
        <w:rPr>
          <w:spacing w:val="-2"/>
        </w:rPr>
        <w:t>规范运作指引》等有关法律法规和《公司章程》的要求规范运作，建立并不断完善了法人治理结构，业务、资产、人员、财</w:t>
      </w:r>
      <w:r>
        <w:rPr>
          <w:spacing w:val="-68"/>
        </w:rPr>
        <w:t> </w:t>
      </w:r>
      <w:r>
        <w:rPr>
          <w:spacing w:val="-68"/>
        </w:rPr>
      </w:r>
      <w:r>
        <w:rPr>
          <w:spacing w:val="-2"/>
        </w:rPr>
        <w:t>务、机构等方面与控股股东及实际控制人完全独立，具有完整的业务体系及面向市场独立经营的能力，不存在被控股股东及</w:t>
      </w:r>
      <w:r>
        <w:rPr>
          <w:spacing w:val="-66"/>
        </w:rPr>
        <w:t> </w:t>
      </w:r>
      <w:r>
        <w:rPr>
          <w:spacing w:val="-66"/>
        </w:rPr>
      </w:r>
      <w:r>
        <w:rPr/>
        <w:t>实际控制人及其关联方控制和占用资金、资产及其他资源的情况。</w:t>
      </w:r>
    </w:p>
    <w:p>
      <w:pPr>
        <w:pStyle w:val="BodyText"/>
        <w:spacing w:line="300" w:lineRule="auto" w:before="19"/>
        <w:ind w:left="588" w:right="1136" w:hanging="20"/>
        <w:jc w:val="left"/>
      </w:pPr>
      <w:r>
        <w:rPr>
          <w:rFonts w:ascii="Times New Roman" w:hAnsi="Times New Roman" w:cs="Times New Roman" w:eastAsia="Times New Roman" w:hint="default"/>
        </w:rPr>
        <w:t>1</w:t>
      </w:r>
      <w:r>
        <w:rPr/>
        <w:t>、业务独立 公司业务独立，具备与业务经营相关的独立完整的采购系统、研发系统、销售系统、售后服务及运维系统，完全独立</w:t>
      </w:r>
    </w:p>
    <w:p>
      <w:pPr>
        <w:spacing w:after="0" w:line="300" w:lineRule="auto"/>
        <w:jc w:val="left"/>
        <w:sectPr>
          <w:pgSz w:w="11910" w:h="16840"/>
          <w:pgMar w:header="747" w:footer="1190" w:top="1060" w:bottom="1380" w:left="980" w:right="0"/>
        </w:sectPr>
      </w:pPr>
    </w:p>
    <w:p>
      <w:pPr>
        <w:spacing w:line="240" w:lineRule="auto" w:before="12"/>
        <w:rPr>
          <w:rFonts w:ascii="宋体" w:hAnsi="宋体" w:cs="宋体" w:eastAsia="宋体" w:hint="default"/>
          <w:sz w:val="25"/>
          <w:szCs w:val="25"/>
        </w:rPr>
      </w:pPr>
    </w:p>
    <w:p>
      <w:pPr>
        <w:pStyle w:val="BodyText"/>
        <w:spacing w:line="309" w:lineRule="auto" w:before="44"/>
        <w:ind w:left="497" w:right="1117" w:hanging="344"/>
        <w:jc w:val="left"/>
      </w:pPr>
      <w:r>
        <w:rPr/>
        <w:t>于控股股东、实际控制人，不存在与控股股东、实际控制人及其控制的其他企业间的同业竞争和显失公平的关联交易。 </w:t>
      </w:r>
      <w:r>
        <w:rPr>
          <w:rFonts w:ascii="Times New Roman" w:hAnsi="Times New Roman" w:cs="Times New Roman" w:eastAsia="Times New Roman" w:hint="default"/>
        </w:rPr>
        <w:t>2</w:t>
      </w:r>
      <w:r>
        <w:rPr/>
        <w:t>、资产独立 </w:t>
      </w:r>
      <w:r>
        <w:rPr>
          <w:spacing w:val="-2"/>
        </w:rPr>
        <w:t>公司拥有独立的生产经营场所、生产经营资产、采购销售系统及配套设施，不存在被控股股东或其他关联方违规占用资</w:t>
      </w:r>
    </w:p>
    <w:p>
      <w:pPr>
        <w:pStyle w:val="BodyText"/>
        <w:spacing w:line="240" w:lineRule="auto" w:before="24"/>
        <w:ind w:left="153" w:right="0"/>
        <w:jc w:val="left"/>
      </w:pPr>
      <w:r>
        <w:rPr/>
        <w:t>金、资产及其他资源的情形。</w:t>
      </w:r>
    </w:p>
    <w:p>
      <w:pPr>
        <w:pStyle w:val="BodyText"/>
        <w:spacing w:line="300" w:lineRule="auto" w:before="76"/>
        <w:ind w:left="516" w:right="1117" w:hanging="20"/>
        <w:jc w:val="left"/>
      </w:pPr>
      <w:r>
        <w:rPr>
          <w:rFonts w:ascii="Times New Roman" w:hAnsi="Times New Roman" w:cs="Times New Roman" w:eastAsia="Times New Roman" w:hint="default"/>
        </w:rPr>
        <w:t>3</w:t>
      </w:r>
      <w:r>
        <w:rPr/>
        <w:t>、人员独立 </w:t>
      </w:r>
      <w:r>
        <w:rPr>
          <w:spacing w:val="-2"/>
        </w:rPr>
        <w:t>公司董事、监事及高级管理人员均严格按照《公司法》、《公司章程》的有关规定产生，控股股东没有干预公司董事和</w:t>
      </w:r>
    </w:p>
    <w:p>
      <w:pPr>
        <w:pStyle w:val="BodyText"/>
        <w:spacing w:line="240" w:lineRule="auto" w:before="31"/>
        <w:ind w:left="153" w:right="0"/>
        <w:jc w:val="left"/>
      </w:pPr>
      <w:r>
        <w:rPr/>
        <w:t>股东大会已经作出的人事任免决定。公司在劳动、人事、工资管理等方面均完全独立。</w:t>
      </w:r>
    </w:p>
    <w:p>
      <w:pPr>
        <w:pStyle w:val="BodyText"/>
        <w:spacing w:line="300" w:lineRule="auto" w:before="76"/>
        <w:ind w:left="516" w:right="1117" w:hanging="3"/>
        <w:jc w:val="left"/>
      </w:pPr>
      <w:r>
        <w:rPr>
          <w:rFonts w:ascii="Times New Roman" w:hAnsi="Times New Roman" w:cs="Times New Roman" w:eastAsia="Times New Roman" w:hint="default"/>
        </w:rPr>
        <w:t>4</w:t>
      </w:r>
      <w:r>
        <w:rPr/>
        <w:t>、财务独立 </w:t>
      </w:r>
      <w:r>
        <w:rPr>
          <w:spacing w:val="-2"/>
        </w:rPr>
        <w:t>公司设立了独立的财务部门，配备了专职财务人员，建立了独立的财务核算体系，具有规范的财务会计制度和对子公司</w:t>
      </w:r>
    </w:p>
    <w:p>
      <w:pPr>
        <w:pStyle w:val="BodyText"/>
        <w:spacing w:line="316" w:lineRule="auto" w:before="31"/>
        <w:ind w:left="153" w:right="0"/>
        <w:jc w:val="left"/>
      </w:pPr>
      <w:r>
        <w:rPr>
          <w:spacing w:val="-2"/>
        </w:rPr>
        <w:t>的财务管理制度，独立进行财务决策，不存在公司股东干预公司投资和资金使用安排的情况。公司开立独立的银行账户，未</w:t>
      </w:r>
      <w:r>
        <w:rPr>
          <w:spacing w:val="-66"/>
        </w:rPr>
        <w:t> </w:t>
      </w:r>
      <w:r>
        <w:rPr>
          <w:spacing w:val="-66"/>
        </w:rPr>
      </w:r>
      <w:r>
        <w:rPr/>
        <w:t>与其他任何单位共用银行账户。公司依法独立进行纳税申报和履行纳税义务，不存在与控股股东混合纳税的情况。</w:t>
      </w:r>
    </w:p>
    <w:p>
      <w:pPr>
        <w:pStyle w:val="BodyText"/>
        <w:spacing w:line="340" w:lineRule="auto" w:before="19"/>
        <w:ind w:left="516" w:right="1117" w:hanging="3"/>
        <w:jc w:val="left"/>
      </w:pPr>
      <w:r>
        <w:rPr>
          <w:rFonts w:ascii="Times New Roman" w:hAnsi="Times New Roman" w:cs="Times New Roman" w:eastAsia="Times New Roman" w:hint="default"/>
        </w:rPr>
        <w:t>5</w:t>
      </w:r>
      <w:r>
        <w:rPr/>
        <w:t>、机构独立 </w:t>
      </w:r>
      <w:r>
        <w:rPr>
          <w:spacing w:val="-2"/>
        </w:rPr>
        <w:t>公司已建立股东大会、董事会、监事会、经营管理层等公司治理机构，独立行使经营管理职权，与控股股东、实际控制</w:t>
      </w:r>
    </w:p>
    <w:p>
      <w:pPr>
        <w:pStyle w:val="BodyText"/>
        <w:spacing w:line="319" w:lineRule="auto"/>
        <w:ind w:left="153" w:right="0"/>
        <w:jc w:val="left"/>
      </w:pPr>
      <w:r>
        <w:rPr>
          <w:spacing w:val="-2"/>
        </w:rPr>
        <w:t>人及其控制的其他企业间不存在机构混同的情形。公司设立了独立的财务部门，建立了独立的会计核算体系，能够独立作出</w:t>
      </w:r>
      <w:r>
        <w:rPr>
          <w:spacing w:val="-66"/>
        </w:rPr>
        <w:t> </w:t>
      </w:r>
      <w:r>
        <w:rPr>
          <w:spacing w:val="-66"/>
        </w:rPr>
      </w:r>
      <w:r>
        <w:rPr/>
        <w:t>财务决策，具有规范的财务会计制度，财务完全独立。</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843"/>
        <w:gridCol w:w="1276"/>
        <w:gridCol w:w="1417"/>
        <w:gridCol w:w="1560"/>
        <w:gridCol w:w="1559"/>
        <w:gridCol w:w="1912"/>
      </w:tblGrid>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7" w:hRule="exact"/>
        </w:trPr>
        <w:tc>
          <w:tcPr>
            <w:tcW w:w="1843"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9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公司刊登于巨潮资讯网</w:t>
            </w:r>
          </w:p>
        </w:tc>
      </w:tr>
      <w:tr>
        <w:trPr>
          <w:trHeight w:val="628" w:hRule="exact"/>
        </w:trPr>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31.75%</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2"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32"/>
              <w:jc w:val="left"/>
              <w:rPr>
                <w:rFonts w:ascii="宋体" w:hAnsi="宋体" w:cs="宋体" w:eastAsia="宋体" w:hint="default"/>
                <w:sz w:val="18"/>
                <w:szCs w:val="18"/>
              </w:rPr>
            </w:pPr>
            <w:r>
              <w:rPr>
                <w:rFonts w:ascii="宋体" w:hAnsi="宋体" w:cs="宋体" w:eastAsia="宋体" w:hint="default"/>
                <w:sz w:val="18"/>
                <w:szCs w:val="18"/>
              </w:rPr>
              <w:t>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会决议公告》编号</w:t>
            </w:r>
          </w:p>
        </w:tc>
      </w:tr>
      <w:tr>
        <w:trPr>
          <w:trHeight w:val="353" w:hRule="exact"/>
        </w:trPr>
        <w:tc>
          <w:tcPr>
            <w:tcW w:w="1843"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9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2018-051</w:t>
            </w:r>
          </w:p>
        </w:tc>
      </w:tr>
      <w:tr>
        <w:trPr>
          <w:trHeight w:val="357" w:hRule="exact"/>
        </w:trPr>
        <w:tc>
          <w:tcPr>
            <w:tcW w:w="1843"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9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公司刊登于巨潮资讯网</w:t>
            </w:r>
          </w:p>
        </w:tc>
      </w:tr>
      <w:tr>
        <w:trPr>
          <w:trHeight w:val="625" w:hRule="exact"/>
        </w:trPr>
        <w:tc>
          <w:tcPr>
            <w:tcW w:w="1843"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 东大会</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31.80%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2"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32"/>
              <w:jc w:val="left"/>
              <w:rPr>
                <w:rFonts w:ascii="宋体" w:hAnsi="宋体" w:cs="宋体" w:eastAsia="宋体" w:hint="default"/>
                <w:sz w:val="18"/>
                <w:szCs w:val="18"/>
              </w:rPr>
            </w:pPr>
            <w:r>
              <w:rPr>
                <w:rFonts w:ascii="宋体" w:hAnsi="宋体" w:cs="宋体" w:eastAsia="宋体" w:hint="default"/>
                <w:sz w:val="18"/>
                <w:szCs w:val="18"/>
              </w:rPr>
              <w:t>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股东大会决议公告》编</w:t>
            </w:r>
          </w:p>
        </w:tc>
      </w:tr>
      <w:tr>
        <w:trPr>
          <w:trHeight w:val="356" w:hRule="exact"/>
        </w:trPr>
        <w:tc>
          <w:tcPr>
            <w:tcW w:w="1843"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9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2018-071</w:t>
            </w:r>
          </w:p>
        </w:tc>
      </w:tr>
      <w:tr>
        <w:trPr>
          <w:trHeight w:val="357" w:hRule="exact"/>
        </w:trPr>
        <w:tc>
          <w:tcPr>
            <w:tcW w:w="1843"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9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公司刊登于巨潮资讯网</w:t>
            </w:r>
          </w:p>
        </w:tc>
      </w:tr>
      <w:tr>
        <w:trPr>
          <w:trHeight w:val="625" w:hRule="exact"/>
        </w:trPr>
        <w:tc>
          <w:tcPr>
            <w:tcW w:w="1843"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 东大会</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31.77%</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2"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32"/>
              <w:jc w:val="left"/>
              <w:rPr>
                <w:rFonts w:ascii="宋体" w:hAnsi="宋体" w:cs="宋体" w:eastAsia="宋体" w:hint="default"/>
                <w:sz w:val="18"/>
                <w:szCs w:val="18"/>
              </w:rPr>
            </w:pPr>
            <w:r>
              <w:rPr>
                <w:rFonts w:ascii="宋体" w:hAnsi="宋体" w:cs="宋体" w:eastAsia="宋体" w:hint="default"/>
                <w:sz w:val="18"/>
                <w:szCs w:val="18"/>
              </w:rPr>
              <w:t>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股东大会决议公告》编</w:t>
            </w:r>
          </w:p>
        </w:tc>
      </w:tr>
      <w:tr>
        <w:trPr>
          <w:trHeight w:val="356" w:hRule="exact"/>
        </w:trPr>
        <w:tc>
          <w:tcPr>
            <w:tcW w:w="1843"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9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2018-111</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1190" w:top="1060" w:bottom="13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6"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杨逢柱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right="0"/>
        <w:jc w:val="left"/>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6"/>
        <w:ind w:right="69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0" w:firstLine="380"/>
        <w:jc w:val="left"/>
      </w:pPr>
      <w:r>
        <w:rPr/>
        <w:t>报告期内，独立董事严格按照有关法律、法规、《公司章程》、《独立董事工作制度》的规定勤勉履行职责，忠实履 </w:t>
      </w:r>
      <w:r>
        <w:rPr>
          <w:spacing w:val="-2"/>
        </w:rPr>
        <w:t>行职务，积极参加董事会，审议各项议案。通过出席董事会、股东大会、与公司董事、董事会秘书、财务总监及其他相关人</w:t>
      </w:r>
      <w:r>
        <w:rPr>
          <w:spacing w:val="-65"/>
        </w:rPr>
        <w:t> </w:t>
      </w:r>
      <w:r>
        <w:rPr>
          <w:spacing w:val="-65"/>
        </w:rPr>
      </w:r>
      <w:r>
        <w:rPr>
          <w:spacing w:val="-2"/>
        </w:rPr>
        <w:t>员进行交流等方式，深入了解公司生产经营状况和内部控制的建设及董事会各项决议执行情况，并利用自已的专业优势为公</w:t>
      </w:r>
      <w:r>
        <w:rPr>
          <w:spacing w:val="-64"/>
        </w:rPr>
        <w:t> </w:t>
      </w:r>
      <w:r>
        <w:rPr>
          <w:spacing w:val="-64"/>
        </w:rPr>
      </w:r>
      <w:r>
        <w:rPr>
          <w:spacing w:val="-4"/>
        </w:rPr>
        <w:t>司经营和发展提出了合理化的意见和建议，对公司利润分配、关联交易、对外投资等相关事项发表了客观、公正的独立意见，</w:t>
      </w:r>
      <w:r>
        <w:rPr>
          <w:spacing w:val="-46"/>
        </w:rPr>
        <w:t> </w:t>
      </w:r>
      <w:r>
        <w:rPr>
          <w:spacing w:val="-46"/>
        </w:rPr>
      </w:r>
      <w:r>
        <w:rPr>
          <w:spacing w:val="-2"/>
        </w:rPr>
        <w:t>对董事会决策的公正、公平及保护中小投资者利益起到了积极作用。公司董事会、高管团队认真听取了独立董事的意见，不</w:t>
      </w:r>
      <w:r>
        <w:rPr>
          <w:spacing w:val="-66"/>
        </w:rPr>
        <w:t> </w:t>
      </w:r>
      <w:r>
        <w:rPr>
          <w:spacing w:val="-66"/>
        </w:rPr>
      </w:r>
      <w:r>
        <w:rPr>
          <w:spacing w:val="-2"/>
        </w:rPr>
        <w:t>断优化公司管理结构、明确部门职能、优化业务流程，深入开展公司治理、加大公司内部审核力度和内控建设，加强对公司</w:t>
      </w:r>
      <w:r>
        <w:rPr>
          <w:spacing w:val="-66"/>
        </w:rPr>
        <w:t> </w:t>
      </w:r>
      <w:r>
        <w:rPr>
          <w:spacing w:val="-66"/>
        </w:rPr>
      </w:r>
      <w:r>
        <w:rPr/>
        <w:t>产业链的研究和布局，构建合理的产业拓展布局，不断提高公司的管理水平。</w:t>
      </w:r>
    </w:p>
    <w:p>
      <w:pPr>
        <w:pStyle w:val="BodyText"/>
        <w:spacing w:line="240" w:lineRule="auto" w:before="59"/>
        <w:ind w:left="588" w:right="0"/>
        <w:jc w:val="left"/>
      </w:pPr>
      <w:r>
        <w:rPr/>
        <w:t>报告期内，公司独立董事对董事会各项议案及公司其他事项没有提出异议。</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513" w:right="1117"/>
        <w:jc w:val="left"/>
      </w:pPr>
      <w:r>
        <w:rPr/>
        <w:t>公司董事会下设审计委员会、战略与发展委员会、提名委员会及薪酬与考核委员会四个专门委员会。 </w:t>
      </w:r>
      <w:r>
        <w:rPr>
          <w:rFonts w:ascii="Times New Roman" w:hAnsi="Times New Roman" w:cs="Times New Roman" w:eastAsia="Times New Roman" w:hint="default"/>
        </w:rPr>
        <w:t>1</w:t>
      </w:r>
      <w:r>
        <w:rPr/>
        <w:t>、董事会审计委员会 </w:t>
      </w:r>
      <w:r>
        <w:rPr>
          <w:spacing w:val="-2"/>
        </w:rPr>
        <w:t>报告期内，公司审计委员会严格按照《审计委员会工作细则》的相关要求，对公司全年生产经营情况和重大事项进展情</w:t>
      </w:r>
    </w:p>
    <w:p>
      <w:pPr>
        <w:pStyle w:val="BodyText"/>
        <w:spacing w:line="316" w:lineRule="auto" w:before="24"/>
        <w:ind w:left="153" w:right="1117"/>
        <w:jc w:val="left"/>
      </w:pPr>
      <w:r>
        <w:rPr>
          <w:spacing w:val="-2"/>
        </w:rPr>
        <w:t>况的进行了监控，对年度审计工作进行安排，并就审计过程中发现的问题与相关人员进行有效沟通切实履行了审计委员会工</w:t>
      </w:r>
      <w:r>
        <w:rPr>
          <w:spacing w:val="-64"/>
        </w:rPr>
        <w:t> </w:t>
      </w:r>
      <w:r>
        <w:rPr>
          <w:spacing w:val="-64"/>
        </w:rPr>
      </w:r>
      <w:r>
        <w:rPr/>
        <w:t>作职责。</w:t>
      </w:r>
    </w:p>
    <w:p>
      <w:pPr>
        <w:pStyle w:val="BodyText"/>
        <w:spacing w:line="340" w:lineRule="auto" w:before="19"/>
        <w:ind w:left="513" w:right="0"/>
        <w:jc w:val="left"/>
      </w:pPr>
      <w:r>
        <w:rPr>
          <w:rFonts w:ascii="Times New Roman" w:hAnsi="Times New Roman" w:cs="Times New Roman" w:eastAsia="Times New Roman" w:hint="default"/>
        </w:rPr>
        <w:t>2</w:t>
      </w:r>
      <w:r>
        <w:rPr/>
        <w:t>、董事会战略与发展委员会 </w:t>
      </w:r>
      <w:r>
        <w:rPr>
          <w:spacing w:val="-4"/>
        </w:rPr>
        <w:t>报告期内，董事会战略委员会严格按照《战略与发展委员会工作细则》的相关要求，积极开展相关工作，认真履行职责。</w:t>
      </w:r>
    </w:p>
    <w:p>
      <w:pPr>
        <w:spacing w:after="0" w:line="340" w:lineRule="auto"/>
        <w:jc w:val="left"/>
        <w:sectPr>
          <w:pgSz w:w="11910" w:h="16840"/>
          <w:pgMar w:header="747" w:footer="1190" w:top="1060" w:bottom="1380" w:left="980" w:right="0"/>
        </w:sectPr>
      </w:pPr>
    </w:p>
    <w:p>
      <w:pPr>
        <w:spacing w:line="240" w:lineRule="auto" w:before="12"/>
        <w:rPr>
          <w:rFonts w:ascii="宋体" w:hAnsi="宋体" w:cs="宋体" w:eastAsia="宋体" w:hint="default"/>
          <w:sz w:val="25"/>
          <w:szCs w:val="25"/>
        </w:rPr>
      </w:pPr>
    </w:p>
    <w:p>
      <w:pPr>
        <w:pStyle w:val="BodyText"/>
        <w:spacing w:line="319" w:lineRule="auto" w:before="44"/>
        <w:ind w:left="153" w:right="1130"/>
        <w:jc w:val="both"/>
      </w:pPr>
      <w:r>
        <w:rPr>
          <w:spacing w:val="-2"/>
        </w:rPr>
        <w:t>董事会战略委员会委员对公司中长期发展战略和重大投资决策与公司管理层保持日常沟通，了解公司运营情况，实地考察公</w:t>
      </w:r>
      <w:r>
        <w:rPr>
          <w:spacing w:val="-64"/>
        </w:rPr>
        <w:t> </w:t>
      </w:r>
      <w:r>
        <w:rPr>
          <w:spacing w:val="-64"/>
        </w:rPr>
      </w:r>
      <w:r>
        <w:rPr>
          <w:spacing w:val="-2"/>
        </w:rPr>
        <w:t>司基本面。报告期内公司战略发展委员会严格按照就公司中长期战略规划及对外投资，对其他影响公司发展的重大事项进行</w:t>
      </w:r>
      <w:r>
        <w:rPr>
          <w:spacing w:val="-64"/>
        </w:rPr>
        <w:t> </w:t>
      </w:r>
      <w:r>
        <w:rPr>
          <w:spacing w:val="-64"/>
        </w:rPr>
      </w:r>
      <w:r>
        <w:rPr/>
        <w:t>研究并提出建议，进一步提高公司战略决策的合理性和科学性。</w:t>
      </w:r>
    </w:p>
    <w:p>
      <w:pPr>
        <w:pStyle w:val="BodyText"/>
        <w:spacing w:line="300" w:lineRule="auto" w:before="55"/>
        <w:ind w:left="516" w:right="0" w:hanging="3"/>
        <w:jc w:val="left"/>
      </w:pPr>
      <w:r>
        <w:rPr>
          <w:rFonts w:ascii="Times New Roman" w:hAnsi="Times New Roman" w:cs="Times New Roman" w:eastAsia="Times New Roman" w:hint="default"/>
        </w:rPr>
        <w:t>3</w:t>
      </w:r>
      <w:r>
        <w:rPr/>
        <w:t>、董事会提名委员会 </w:t>
      </w:r>
      <w:r>
        <w:rPr>
          <w:spacing w:val="-2"/>
        </w:rPr>
        <w:t>报告期内，董事会提名委员会依照相关法规及《公司章程》及《董事会提名委员会议事规则》的规定，积极履行了职责</w:t>
      </w:r>
    </w:p>
    <w:p>
      <w:pPr>
        <w:pStyle w:val="BodyText"/>
        <w:spacing w:line="240" w:lineRule="auto" w:before="31"/>
        <w:ind w:left="153" w:right="0"/>
        <w:jc w:val="both"/>
      </w:pPr>
      <w:r>
        <w:rPr/>
        <w:t>对公司董事、高级管理人员的选聘上发挥积极的作用。</w:t>
      </w:r>
    </w:p>
    <w:p>
      <w:pPr>
        <w:pStyle w:val="BodyText"/>
        <w:spacing w:line="300" w:lineRule="auto" w:before="76"/>
        <w:ind w:left="516" w:right="0" w:hanging="3"/>
        <w:jc w:val="left"/>
      </w:pPr>
      <w:r>
        <w:rPr>
          <w:rFonts w:ascii="Times New Roman" w:hAnsi="Times New Roman" w:cs="Times New Roman" w:eastAsia="Times New Roman" w:hint="default"/>
        </w:rPr>
        <w:t>4</w:t>
      </w:r>
      <w:r>
        <w:rPr/>
        <w:t>、董事会薪酬与考核委员会 </w:t>
      </w:r>
      <w:r>
        <w:rPr>
          <w:spacing w:val="-2"/>
        </w:rPr>
        <w:t>报告期内，公司薪酬与考核委员会按照其工作细则的相关要求，对公司董事和高级管理人员进行考核，根据公司各个董</w:t>
      </w:r>
    </w:p>
    <w:p>
      <w:pPr>
        <w:pStyle w:val="BodyText"/>
        <w:spacing w:line="316" w:lineRule="auto" w:before="31"/>
        <w:ind w:left="153" w:right="0"/>
        <w:jc w:val="left"/>
      </w:pPr>
      <w:r>
        <w:rPr>
          <w:spacing w:val="-2"/>
        </w:rPr>
        <w:t>事和高级管理人员所负责的工作范围、重要程度等因素，对考核和评价标准提出建议，促进公司在规范运作的基础上，进一</w:t>
      </w:r>
      <w:r>
        <w:rPr>
          <w:spacing w:val="-66"/>
        </w:rPr>
        <w:t> </w:t>
      </w:r>
      <w:r>
        <w:rPr>
          <w:spacing w:val="-66"/>
        </w:rPr>
      </w:r>
      <w:r>
        <w:rPr/>
        <w:t>步提高在薪酬考核方面的科学性。</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38" w:lineRule="auto" w:before="117"/>
        <w:ind w:right="73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firstLine="360"/>
        <w:jc w:val="both"/>
      </w:pPr>
      <w:r>
        <w:rPr>
          <w:spacing w:val="-2"/>
        </w:rPr>
        <w:t>公司高级管理人员均由公司董事会聘任，执行岗位工资与绩效工资相结合的薪酬制度，年初根据总体发展战略和经营目</w:t>
      </w:r>
      <w:r>
        <w:rPr/>
        <w:t> </w:t>
      </w:r>
      <w:r>
        <w:rPr>
          <w:spacing w:val="-2"/>
        </w:rPr>
        <w:t>标确定具体的考核、奖惩办法。报告期内，公司不断完善高级箮理人员的绩效考评办法，有效增强了高级管理人员的履职意</w:t>
      </w:r>
      <w:r>
        <w:rPr>
          <w:spacing w:val="-66"/>
        </w:rPr>
        <w:t> </w:t>
      </w:r>
      <w:r>
        <w:rPr>
          <w:spacing w:val="-66"/>
        </w:rPr>
      </w:r>
      <w:r>
        <w:rPr/>
        <w:t>识，促进了经营业绩的稳步提升。</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3323"/>
        <w:gridCol w:w="3050"/>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3"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3"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98" w:hRule="exact"/>
        </w:trPr>
        <w:tc>
          <w:tcPr>
            <w:tcW w:w="3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3"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①重大缺陷：控制环境失效；董事、监事 和高级管理人员滥用职权及舞弊；</w:t>
            </w:r>
            <w:r>
              <w:rPr>
                <w:rFonts w:ascii="宋体" w:hAnsi="宋体" w:cs="宋体" w:eastAsia="宋体" w:hint="default"/>
                <w:spacing w:val="-63"/>
                <w:sz w:val="18"/>
                <w:szCs w:val="18"/>
              </w:rPr>
              <w:t> </w:t>
            </w:r>
            <w:r>
              <w:rPr>
                <w:rFonts w:ascii="宋体" w:hAnsi="宋体" w:cs="宋体" w:eastAsia="宋体" w:hint="default"/>
                <w:sz w:val="18"/>
                <w:szCs w:val="18"/>
              </w:rPr>
              <w:t>内部控</w:t>
            </w:r>
            <w:r>
              <w:rPr>
                <w:rFonts w:ascii="宋体" w:hAnsi="宋体" w:cs="宋体" w:eastAsia="宋体" w:hint="default"/>
                <w:sz w:val="18"/>
                <w:szCs w:val="18"/>
              </w:rPr>
              <w:t> 制在运行过程中未能发现当期财务报告存</w:t>
            </w:r>
          </w:p>
        </w:tc>
        <w:tc>
          <w:tcPr>
            <w:tcW w:w="3050" w:type="dxa"/>
            <w:vMerge w:val="restart"/>
            <w:tcBorders>
              <w:top w:val="single" w:sz="4" w:space="0" w:color="000000"/>
              <w:left w:val="single" w:sz="4" w:space="0" w:color="000000"/>
              <w:right w:val="single" w:sz="4" w:space="0" w:color="000000"/>
            </w:tcBorders>
          </w:tcPr>
          <w:p>
            <w:pPr>
              <w:pStyle w:val="TableParagraph"/>
              <w:spacing w:line="309"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①重大缺陷的认定标准 ：严重违反法 律法规；决策程序导致重大失误</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持续 </w:t>
            </w:r>
            <w:r>
              <w:rPr>
                <w:rFonts w:ascii="宋体" w:hAnsi="宋体" w:cs="宋体" w:eastAsia="宋体" w:hint="default"/>
                <w:spacing w:val="-4"/>
                <w:sz w:val="18"/>
                <w:szCs w:val="18"/>
              </w:rPr>
              <w:t>经营受到挑战；重要业务缺乏制度控制</w:t>
            </w:r>
          </w:p>
        </w:tc>
      </w:tr>
      <w:tr>
        <w:trPr>
          <w:trHeight w:val="39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vMerge/>
            <w:tcBorders>
              <w:left w:val="single" w:sz="4" w:space="0" w:color="000000"/>
              <w:right w:val="single" w:sz="4" w:space="0" w:color="000000"/>
            </w:tcBorders>
          </w:tcPr>
          <w:p>
            <w:pPr/>
          </w:p>
        </w:tc>
        <w:tc>
          <w:tcPr>
            <w:tcW w:w="3050" w:type="dxa"/>
            <w:vMerge/>
            <w:tcBorders>
              <w:left w:val="single" w:sz="4" w:space="0" w:color="000000"/>
              <w:right w:val="single" w:sz="4" w:space="0" w:color="000000"/>
            </w:tcBorders>
          </w:tcPr>
          <w:p>
            <w:pPr/>
          </w:p>
        </w:tc>
      </w:tr>
      <w:tr>
        <w:trPr>
          <w:trHeight w:val="296" w:hRule="exact"/>
        </w:trPr>
        <w:tc>
          <w:tcPr>
            <w:tcW w:w="3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3" w:type="dxa"/>
            <w:vMerge/>
            <w:tcBorders>
              <w:left w:val="single" w:sz="4" w:space="0" w:color="000000"/>
              <w:bottom w:val="single" w:sz="4" w:space="0" w:color="000000"/>
              <w:right w:val="single" w:sz="4" w:space="0" w:color="000000"/>
            </w:tcBorders>
          </w:tcPr>
          <w:p>
            <w:pPr/>
          </w:p>
        </w:tc>
        <w:tc>
          <w:tcPr>
            <w:tcW w:w="305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BodyText"/>
        <w:spacing w:line="240" w:lineRule="auto" w:before="44"/>
        <w:ind w:left="0" w:right="1163"/>
        <w:jc w:val="right"/>
      </w:pPr>
      <w:r>
        <w:rPr/>
        <w:pict>
          <v:shape style="position:absolute;margin-left:331.6203pt;margin-top:-123.127983pt;width:203.25pt;height:220.45pt;mso-position-horizontal-relative:page;mso-position-vertical-relative:paragraph;z-index:-977632" type="#_x0000_t202" filled="false" stroked="false">
            <v:textbox inset="0,0,0,0">
              <w:txbxContent>
                <w:p>
                  <w:pPr>
                    <w:spacing w:line="240" w:lineRule="auto" w:before="8"/>
                    <w:rPr>
                      <w:rFonts w:ascii="宋体" w:hAnsi="宋体" w:cs="宋体" w:eastAsia="宋体" w:hint="default"/>
                      <w:sz w:val="24"/>
                      <w:szCs w:val="24"/>
                    </w:rPr>
                  </w:pPr>
                </w:p>
                <w:p>
                  <w:pPr>
                    <w:pStyle w:val="BodyText"/>
                    <w:spacing w:line="240" w:lineRule="auto"/>
                    <w:ind w:left="0" w:right="0"/>
                    <w:jc w:val="left"/>
                  </w:pPr>
                  <w:r>
                    <w:rPr/>
                    <w:t>②重要缺陷：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BodyText"/>
                    <w:spacing w:line="240" w:lineRule="auto"/>
                    <w:ind w:left="0" w:right="0"/>
                    <w:jc w:val="left"/>
                  </w:pPr>
                  <w:r>
                    <w:rPr/>
                    <w:t>准确的目标。</w:t>
                  </w:r>
                </w:p>
              </w:txbxContent>
            </v:textbox>
            <w10:wrap type="none"/>
          </v:shape>
        </w:pict>
      </w:r>
      <w:r>
        <w:rPr/>
        <w:pict>
          <v:shape style="position:absolute;margin-left:56.459999pt;margin-top:-123.608025pt;width:479.8pt;height:524.7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3"/>
                    <w:gridCol w:w="3050"/>
                  </w:tblGrid>
                  <w:tr>
                    <w:trPr>
                      <w:trHeight w:val="322" w:hRule="exact"/>
                    </w:trPr>
                    <w:tc>
                      <w:tcPr>
                        <w:tcW w:w="3194" w:type="dxa"/>
                        <w:vMerge w:val="restart"/>
                        <w:tcBorders>
                          <w:top w:val="single" w:sz="4" w:space="0" w:color="000000"/>
                          <w:left w:val="single" w:sz="4" w:space="0" w:color="000000"/>
                          <w:right w:val="single" w:sz="4" w:space="0" w:color="000000"/>
                        </w:tcBorders>
                        <w:shd w:val="clear" w:color="auto" w:fill="D3D3D3"/>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在重大错报；企业审计委员会和内部审计</w:t>
                        </w:r>
                      </w:p>
                    </w:tc>
                    <w:tc>
                      <w:tcPr>
                        <w:tcW w:w="30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或系统性失效</w:t>
                        </w:r>
                        <w:r>
                          <w:rPr>
                            <w:rFonts w:ascii="Times New Roman" w:hAnsi="Times New Roman" w:cs="Times New Roman" w:eastAsia="Times New Roman" w:hint="default"/>
                            <w:sz w:val="18"/>
                            <w:szCs w:val="18"/>
                          </w:rPr>
                          <w:t>,</w:t>
                        </w:r>
                        <w:r>
                          <w:rPr>
                            <w:rFonts w:ascii="宋体" w:hAnsi="宋体" w:cs="宋体" w:eastAsia="宋体" w:hint="default"/>
                            <w:sz w:val="18"/>
                            <w:szCs w:val="18"/>
                          </w:rPr>
                          <w:t>且缺乏有效的补偿性控</w:t>
                        </w:r>
                      </w:p>
                    </w:tc>
                  </w:tr>
                  <w:tr>
                    <w:trPr>
                      <w:trHeight w:val="307"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机构对内部控制的监督无效。</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制；中高级管理人员和关键岗位研发人</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未依照公认会计准则选择和应用会计政</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员流失严重；内部控制评价的结果特别</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策；未建立反舞弊程序和控制措施；对于</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是重大缺陷未得到整改；其他对公司产</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非常规或特殊交易的账务处理没有建立相</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生重大负面影响的情形。②重要缺陷的</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应的控制机制或没有实施且没有相应的补</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认定标准：决策程序导致出现一般性失</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偿性控制；对于期末财务报告过程的控制</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误；重要业务制度或系统存在缺陷；关</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存在一项或多项缺陷且不能合理保证编制</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键岗位业务人员流失严重；内部控制评</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的财务报表达到真实、完整、</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价的结果特别是重要缺陷未得到整改</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③一般缺陷：不构成重大缺陷或重要缺陷</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其他对公司产生较大负面影响的情形</w:t>
                        </w:r>
                      </w:p>
                    </w:tc>
                  </w:tr>
                  <w:tr>
                    <w:trPr>
                      <w:trHeight w:val="313"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的其他内部控制缺陷。</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③一般缺陷的认定标准：决策程序效率</w:t>
                        </w:r>
                      </w:p>
                    </w:tc>
                  </w:tr>
                  <w:tr>
                    <w:trPr>
                      <w:trHeight w:val="311"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不高；一般业务制度或系统存在缺陷</w:t>
                        </w:r>
                      </w:p>
                    </w:tc>
                  </w:tr>
                  <w:tr>
                    <w:trPr>
                      <w:trHeight w:val="313"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一般岗位业务人员流失严重；一般缺陷</w:t>
                        </w:r>
                      </w:p>
                    </w:tc>
                  </w:tr>
                  <w:tr>
                    <w:trPr>
                      <w:trHeight w:val="357" w:hRule="exact"/>
                    </w:trPr>
                    <w:tc>
                      <w:tcPr>
                        <w:tcW w:w="3194" w:type="dxa"/>
                        <w:vMerge/>
                        <w:tcBorders>
                          <w:left w:val="single" w:sz="4" w:space="0" w:color="000000"/>
                          <w:bottom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single" w:sz="4" w:space="0" w:color="000000"/>
                          <w:right w:val="single" w:sz="9" w:space="0" w:color="FFFFFF"/>
                        </w:tcBorders>
                      </w:tcPr>
                      <w:p>
                        <w:pPr/>
                      </w:p>
                    </w:tc>
                    <w:tc>
                      <w:tcPr>
                        <w:tcW w:w="3050" w:type="dxa"/>
                        <w:tcBorders>
                          <w:top w:val="nil" w:sz="6" w:space="0" w:color="auto"/>
                          <w:left w:val="single" w:sz="9" w:space="0" w:color="FFFFFF"/>
                          <w:bottom w:val="single" w:sz="4" w:space="0" w:color="000000"/>
                          <w:right w:val="single" w:sz="9" w:space="0" w:color="FFFFFF"/>
                        </w:tcBorders>
                      </w:tcPr>
                      <w:p>
                        <w:pPr>
                          <w:pStyle w:val="TableParagraph"/>
                          <w:spacing w:line="240" w:lineRule="auto" w:before="11"/>
                          <w:ind w:left="16" w:right="0"/>
                          <w:jc w:val="left"/>
                          <w:rPr>
                            <w:rFonts w:ascii="宋体" w:hAnsi="宋体" w:cs="宋体" w:eastAsia="宋体" w:hint="default"/>
                            <w:sz w:val="18"/>
                            <w:szCs w:val="18"/>
                          </w:rPr>
                        </w:pPr>
                        <w:r>
                          <w:rPr>
                            <w:rFonts w:ascii="宋体" w:hAnsi="宋体" w:cs="宋体" w:eastAsia="宋体" w:hint="default"/>
                            <w:sz w:val="18"/>
                            <w:szCs w:val="18"/>
                          </w:rPr>
                          <w:t>未得到整改。</w:t>
                        </w:r>
                      </w:p>
                    </w:tc>
                  </w:tr>
                  <w:tr>
                    <w:trPr>
                      <w:trHeight w:val="362" w:hRule="exact"/>
                    </w:trPr>
                    <w:tc>
                      <w:tcPr>
                        <w:tcW w:w="3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作为利润表整体</w:t>
                        </w:r>
                      </w:p>
                    </w:tc>
                    <w:tc>
                      <w:tcPr>
                        <w:tcW w:w="305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重要性水平的衡量指标，以净资产的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作为资产负债表整体重要性水平的衡量指</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w:t>
                        </w:r>
                        <w:r>
                          <w:rPr>
                            <w:rFonts w:ascii="宋体" w:hAnsi="宋体" w:cs="宋体" w:eastAsia="宋体" w:hint="default"/>
                            <w:spacing w:val="-65"/>
                            <w:sz w:val="18"/>
                            <w:szCs w:val="18"/>
                          </w:rPr>
                          <w:t> </w:t>
                        </w:r>
                        <w:r>
                          <w:rPr>
                            <w:rFonts w:ascii="宋体" w:hAnsi="宋体" w:cs="宋体" w:eastAsia="宋体" w:hint="default"/>
                            <w:sz w:val="18"/>
                            <w:szCs w:val="18"/>
                          </w:rPr>
                          <w:t>当利润表项目潜在错报金额大于或等</w:t>
                        </w:r>
                      </w:p>
                    </w:tc>
                    <w:tc>
                      <w:tcPr>
                        <w:tcW w:w="3050" w:type="dxa"/>
                        <w:tcBorders>
                          <w:top w:val="nil" w:sz="6" w:space="0" w:color="auto"/>
                          <w:left w:val="single" w:sz="4" w:space="0" w:color="000000"/>
                          <w:bottom w:val="nil" w:sz="6" w:space="0" w:color="auto"/>
                          <w:right w:val="single" w:sz="4" w:space="0" w:color="000000"/>
                        </w:tcBorders>
                      </w:tcPr>
                      <w:p>
                        <w:pPr/>
                      </w:p>
                    </w:tc>
                  </w:tr>
                  <w:tr>
                    <w:trPr>
                      <w:trHeight w:val="1877"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304" w:lineRule="auto" w:before="10"/>
                          <w:ind w:left="23" w:right="23"/>
                          <w:jc w:val="both"/>
                          <w:rPr>
                            <w:rFonts w:ascii="宋体" w:hAnsi="宋体" w:cs="宋体" w:eastAsia="宋体" w:hint="default"/>
                            <w:sz w:val="18"/>
                            <w:szCs w:val="18"/>
                          </w:rPr>
                        </w:pPr>
                        <w:r>
                          <w:rPr>
                            <w:rFonts w:ascii="宋体" w:hAnsi="宋体" w:cs="宋体" w:eastAsia="宋体" w:hint="default"/>
                            <w:sz w:val="18"/>
                            <w:szCs w:val="18"/>
                          </w:rPr>
                          <w:t>于利润总额的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，或资产负债表项目潜在</w:t>
                        </w:r>
                        <w:r>
                          <w:rPr>
                            <w:rFonts w:ascii="宋体" w:hAnsi="宋体" w:cs="宋体" w:eastAsia="宋体" w:hint="default"/>
                            <w:sz w:val="18"/>
                            <w:szCs w:val="18"/>
                          </w:rPr>
                          <w:t> 错报金额大于或等于净资产的</w:t>
                        </w:r>
                        <w:r>
                          <w:rPr>
                            <w:rFonts w:ascii="宋体" w:hAnsi="宋体" w:cs="宋体" w:eastAsia="宋体" w:hint="default"/>
                            <w:spacing w:val="-46"/>
                            <w:sz w:val="18"/>
                            <w:szCs w:val="18"/>
                          </w:rPr>
                          <w:t> </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时，则认</w:t>
                        </w:r>
                        <w:r>
                          <w:rPr>
                            <w:rFonts w:ascii="宋体" w:hAnsi="宋体" w:cs="宋体" w:eastAsia="宋体" w:hint="default"/>
                            <w:sz w:val="18"/>
                            <w:szCs w:val="18"/>
                          </w:rPr>
                          <w:t> 定为重大缺陷；</w:t>
                        </w:r>
                        <w:r>
                          <w:rPr>
                            <w:rFonts w:ascii="宋体" w:hAnsi="宋体" w:cs="宋体" w:eastAsia="宋体" w:hint="default"/>
                            <w:spacing w:val="-64"/>
                            <w:sz w:val="18"/>
                            <w:szCs w:val="18"/>
                          </w:rPr>
                          <w:t> </w:t>
                        </w:r>
                        <w:r>
                          <w:rPr>
                            <w:rFonts w:ascii="宋体" w:hAnsi="宋体" w:cs="宋体" w:eastAsia="宋体" w:hint="default"/>
                            <w:sz w:val="18"/>
                            <w:szCs w:val="18"/>
                          </w:rPr>
                          <w:t>当利润表项目潜在错报金</w:t>
                        </w:r>
                        <w:r>
                          <w:rPr>
                            <w:rFonts w:ascii="宋体" w:hAnsi="宋体" w:cs="宋体" w:eastAsia="宋体" w:hint="default"/>
                            <w:sz w:val="18"/>
                            <w:szCs w:val="18"/>
                          </w:rPr>
                          <w:t> 额小于利润总额的</w:t>
                        </w:r>
                        <w:r>
                          <w:rPr>
                            <w:rFonts w:ascii="宋体" w:hAnsi="宋体" w:cs="宋体" w:eastAsia="宋体" w:hint="default"/>
                            <w:spacing w:val="-39"/>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，但大于或等于利润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，或资产负债表项目潜在错报金</w:t>
                        </w:r>
                        <w:r>
                          <w:rPr>
                            <w:rFonts w:ascii="宋体" w:hAnsi="宋体" w:cs="宋体" w:eastAsia="宋体" w:hint="default"/>
                            <w:sz w:val="18"/>
                            <w:szCs w:val="18"/>
                          </w:rPr>
                          <w:t> 额小于净资产的</w:t>
                        </w:r>
                        <w:r>
                          <w:rPr>
                            <w:rFonts w:ascii="宋体" w:hAnsi="宋体" w:cs="宋体" w:eastAsia="宋体" w:hint="default"/>
                            <w:spacing w:val="-40"/>
                            <w:sz w:val="18"/>
                            <w:szCs w:val="18"/>
                          </w:rPr>
                          <w:t>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，但大于或等于净资产</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37"/>
                          <w:jc w:val="both"/>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评价的定量标准与公司确定的财务报 告内部控制缺陷评价的定量标准一致 参见上文所述财务报告内部控制缺陷 评价的定量标准。</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，则认定为重要缺陷；</w:t>
                        </w:r>
                        <w:r>
                          <w:rPr>
                            <w:rFonts w:ascii="宋体" w:hAnsi="宋体" w:cs="宋体" w:eastAsia="宋体" w:hint="default"/>
                            <w:spacing w:val="-46"/>
                            <w:sz w:val="18"/>
                            <w:szCs w:val="18"/>
                          </w:rPr>
                          <w:t> </w:t>
                        </w:r>
                        <w:r>
                          <w:rPr>
                            <w:rFonts w:ascii="宋体" w:hAnsi="宋体" w:cs="宋体" w:eastAsia="宋体" w:hint="default"/>
                            <w:sz w:val="18"/>
                            <w:szCs w:val="18"/>
                          </w:rPr>
                          <w:t>当利润表项</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目潜在错报金额小于利润总额的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pacing w:val="-78"/>
                            <w:sz w:val="18"/>
                            <w:szCs w:val="18"/>
                          </w:rPr>
                          <w:t>，</w:t>
                        </w:r>
                        <w:r>
                          <w:rPr>
                            <w:rFonts w:ascii="宋体" w:hAnsi="宋体" w:cs="宋体" w:eastAsia="宋体" w:hint="default"/>
                            <w:sz w:val="18"/>
                            <w:szCs w:val="18"/>
                          </w:rPr>
                          <w:t>资产</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负债表项目潜在错报金额小于净资产的</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3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时，则认定为一般缺陷。</w:t>
                        </w:r>
                      </w:p>
                    </w:tc>
                    <w:tc>
                      <w:tcPr>
                        <w:tcW w:w="305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pStyle w:val="BodyText"/>
        <w:spacing w:line="240" w:lineRule="auto" w:before="76"/>
        <w:ind w:left="0" w:right="1163"/>
        <w:jc w:val="right"/>
      </w:pPr>
      <w:r>
        <w:rPr/>
        <w:t>。</w:t>
      </w:r>
    </w:p>
    <w:p>
      <w:pPr>
        <w:spacing w:line="240" w:lineRule="auto" w:before="4"/>
        <w:rPr>
          <w:rFonts w:ascii="宋体" w:hAnsi="宋体" w:cs="宋体" w:eastAsia="宋体" w:hint="default"/>
          <w:sz w:val="26"/>
          <w:szCs w:val="26"/>
        </w:rPr>
      </w:pPr>
    </w:p>
    <w:p>
      <w:pPr>
        <w:pStyle w:val="BodyText"/>
        <w:spacing w:line="240" w:lineRule="auto" w:before="44"/>
        <w:ind w:left="0" w:right="116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0" w:right="116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我们认为，北信源于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t>
            </w:r>
            <w:r>
              <w:rPr>
                <w:rFonts w:ascii="宋体" w:hAnsi="宋体" w:cs="宋体" w:eastAsia="宋体" w:hint="default"/>
                <w:sz w:val="18"/>
                <w:szCs w:val="18"/>
              </w:rPr>
              <w:t>内部控制鉴证报告</w:t>
            </w:r>
          </w:p>
        </w:tc>
      </w:tr>
    </w:tbl>
    <w:p>
      <w:pPr>
        <w:spacing w:after="0" w:line="240" w:lineRule="auto"/>
        <w:jc w:val="left"/>
        <w:rPr>
          <w:rFonts w:ascii="宋体" w:hAnsi="宋体" w:cs="宋体" w:eastAsia="宋体" w:hint="default"/>
          <w:sz w:val="18"/>
          <w:szCs w:val="18"/>
        </w:rPr>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会计师事务所是否出具非标准意见的内部控制鉴证报告</w:t>
      </w:r>
    </w:p>
    <w:p>
      <w:pPr>
        <w:pStyle w:val="BodyText"/>
        <w:spacing w:line="338" w:lineRule="auto" w:before="117"/>
        <w:ind w:right="46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1190"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_TOC_250002" w:id="10"/>
      <w:r>
        <w:rPr/>
        <w:t>第十节</w:t>
      </w:r>
      <w:r>
        <w:rPr>
          <w:spacing w:val="-9"/>
        </w:rPr>
        <w:t> </w:t>
      </w:r>
      <w:r>
        <w:rPr/>
        <w:t>公司债券相关情况</w:t>
      </w:r>
      <w:bookmarkEnd w:id="10"/>
      <w:r>
        <w:rPr>
          <w:b w:val="0"/>
          <w:bCs w:val="0"/>
        </w:rPr>
      </w:r>
    </w:p>
    <w:p>
      <w:pPr>
        <w:spacing w:line="240" w:lineRule="auto" w:before="8"/>
        <w:rPr>
          <w:rFonts w:ascii="宋体" w:hAnsi="宋体" w:cs="宋体" w:eastAsia="宋体" w:hint="default"/>
          <w:b/>
          <w:bCs/>
          <w:sz w:val="42"/>
          <w:szCs w:val="42"/>
        </w:rPr>
      </w:pPr>
    </w:p>
    <w:p>
      <w:pPr>
        <w:pStyle w:val="BodyText"/>
        <w:spacing w:line="357" w:lineRule="auto"/>
        <w:ind w:left="153" w:right="2111"/>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1190"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_TOC_250001" w:id="11"/>
      <w:r>
        <w:rPr/>
        <w:t>第十一节</w:t>
      </w:r>
      <w:r>
        <w:rPr>
          <w:spacing w:val="-7"/>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01660008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荣健 单大信</w:t>
            </w:r>
          </w:p>
        </w:tc>
      </w:tr>
    </w:tbl>
    <w:p>
      <w:pPr>
        <w:pStyle w:val="BodyText"/>
        <w:spacing w:line="240" w:lineRule="auto" w:before="51"/>
        <w:ind w:left="369" w:right="1346"/>
        <w:jc w:val="center"/>
      </w:pPr>
      <w:r>
        <w:rPr/>
        <w:t>审计报告正文</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4"/>
        <w:spacing w:line="240" w:lineRule="auto" w:before="44"/>
        <w:ind w:right="0"/>
        <w:jc w:val="left"/>
        <w:rPr>
          <w:b w:val="0"/>
          <w:bCs w:val="0"/>
        </w:rPr>
      </w:pPr>
      <w:r>
        <w:rPr/>
        <w:t>一、审计意见</w:t>
      </w:r>
      <w:r>
        <w:rPr>
          <w:b w:val="0"/>
          <w:bCs w:val="0"/>
        </w:rPr>
      </w:r>
    </w:p>
    <w:p>
      <w:pPr>
        <w:spacing w:line="240" w:lineRule="auto" w:before="9"/>
        <w:rPr>
          <w:rFonts w:ascii="宋体" w:hAnsi="宋体" w:cs="宋体" w:eastAsia="宋体" w:hint="default"/>
          <w:b/>
          <w:bCs/>
          <w:sz w:val="20"/>
          <w:szCs w:val="20"/>
        </w:rPr>
      </w:pPr>
    </w:p>
    <w:p>
      <w:pPr>
        <w:pStyle w:val="BodyText"/>
        <w:spacing w:line="477" w:lineRule="auto"/>
        <w:ind w:left="153" w:right="1040" w:firstLine="360"/>
        <w:jc w:val="both"/>
      </w:pPr>
      <w:r>
        <w:rPr>
          <w:spacing w:val="-5"/>
        </w:rPr>
        <w:t>我们审计了北京北信源软件股份有限公司（以下简称“北信源公司”）财务报表，包括</w:t>
      </w:r>
      <w:r>
        <w:rPr>
          <w:spacing w:val="-45"/>
        </w:rPr>
        <w:t> </w:t>
      </w:r>
      <w:r>
        <w:rPr/>
        <w:t>2018</w:t>
      </w:r>
      <w:r>
        <w:rPr>
          <w:spacing w:val="-45"/>
        </w:rPr>
        <w:t> </w:t>
      </w:r>
      <w:r>
        <w:rPr/>
        <w:t>年</w:t>
      </w:r>
      <w:r>
        <w:rPr>
          <w:spacing w:val="-45"/>
        </w:rPr>
        <w:t> </w:t>
      </w:r>
      <w:r>
        <w:rPr/>
        <w:t>12</w:t>
      </w:r>
      <w:r>
        <w:rPr>
          <w:spacing w:val="-44"/>
        </w:rPr>
        <w:t> </w:t>
      </w:r>
      <w:r>
        <w:rPr/>
        <w:t>月</w:t>
      </w:r>
      <w:r>
        <w:rPr>
          <w:spacing w:val="-45"/>
        </w:rPr>
        <w:t> </w:t>
      </w:r>
      <w:r>
        <w:rPr/>
        <w:t>31</w:t>
      </w:r>
      <w:r>
        <w:rPr>
          <w:spacing w:val="-44"/>
        </w:rPr>
        <w:t> </w:t>
      </w:r>
      <w:r>
        <w:rPr/>
        <w:t>日的合并及公司</w:t>
      </w:r>
      <w:r>
        <w:rPr/>
        <w:t> </w:t>
      </w:r>
      <w:r>
        <w:rPr>
          <w:spacing w:val="-2"/>
        </w:rPr>
        <w:t>资产负债表，2018</w:t>
      </w:r>
      <w:r>
        <w:rPr>
          <w:spacing w:val="-16"/>
        </w:rPr>
        <w:t> </w:t>
      </w:r>
      <w:r>
        <w:rPr>
          <w:spacing w:val="-1"/>
        </w:rPr>
        <w:t>年度的合并及公司利润表、合并及公司现金流量表、合并及公司股东权益变动表以及相关财务报表附注。</w:t>
      </w:r>
    </w:p>
    <w:p>
      <w:pPr>
        <w:pStyle w:val="BodyText"/>
        <w:spacing w:line="240" w:lineRule="auto" w:before="92"/>
        <w:ind w:left="513" w:right="0"/>
        <w:jc w:val="left"/>
      </w:pPr>
      <w:r>
        <w:rPr/>
        <w:t>我们认为，后附的财务报表在所有重大方面按照企业会计准则的规定编制，公允反映了北信源公司</w:t>
      </w:r>
      <w:r>
        <w:rPr>
          <w:spacing w:val="-45"/>
        </w:rPr>
        <w:t> </w:t>
      </w:r>
      <w:r>
        <w:rPr/>
        <w:t>2018</w:t>
      </w:r>
      <w:r>
        <w:rPr>
          <w:spacing w:val="-45"/>
        </w:rPr>
        <w:t> </w:t>
      </w:r>
      <w:r>
        <w:rPr/>
        <w:t>年</w:t>
      </w:r>
      <w:r>
        <w:rPr>
          <w:spacing w:val="-45"/>
        </w:rPr>
        <w:t> </w:t>
      </w:r>
      <w:r>
        <w:rPr/>
        <w:t>12</w:t>
      </w:r>
      <w:r>
        <w:rPr>
          <w:spacing w:val="-46"/>
        </w:rPr>
        <w:t> </w:t>
      </w:r>
      <w:r>
        <w:rPr/>
        <w:t>月</w:t>
      </w:r>
      <w:r>
        <w:rPr>
          <w:spacing w:val="-45"/>
        </w:rPr>
        <w:t> </w:t>
      </w:r>
      <w:r>
        <w:rPr/>
        <w:t>31</w:t>
      </w:r>
      <w:r>
        <w:rPr>
          <w:spacing w:val="-45"/>
        </w:rPr>
        <w:t> </w:t>
      </w:r>
      <w:r>
        <w:rPr/>
        <w:t>日</w:t>
      </w:r>
    </w:p>
    <w:p>
      <w:pPr>
        <w:spacing w:line="240" w:lineRule="auto" w:before="11"/>
        <w:rPr>
          <w:rFonts w:ascii="宋体" w:hAnsi="宋体" w:cs="宋体" w:eastAsia="宋体" w:hint="default"/>
          <w:sz w:val="17"/>
          <w:szCs w:val="17"/>
        </w:rPr>
      </w:pPr>
    </w:p>
    <w:p>
      <w:pPr>
        <w:spacing w:line="518" w:lineRule="auto" w:before="0"/>
        <w:ind w:left="515" w:right="4903" w:hanging="362"/>
        <w:jc w:val="left"/>
        <w:rPr>
          <w:rFonts w:ascii="宋体" w:hAnsi="宋体" w:cs="宋体" w:eastAsia="宋体" w:hint="default"/>
          <w:sz w:val="18"/>
          <w:szCs w:val="18"/>
        </w:rPr>
      </w:pPr>
      <w:r>
        <w:rPr>
          <w:rFonts w:ascii="宋体" w:hAnsi="宋体" w:cs="宋体" w:eastAsia="宋体" w:hint="default"/>
          <w:sz w:val="18"/>
          <w:szCs w:val="18"/>
        </w:rPr>
        <w:t>合并及公司的财务状况以及</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年度合并及公司的经营成果和现金流量。</w:t>
      </w:r>
      <w:r>
        <w:rPr>
          <w:rFonts w:ascii="宋体" w:hAnsi="宋体" w:cs="宋体" w:eastAsia="宋体" w:hint="default"/>
          <w:sz w:val="18"/>
          <w:szCs w:val="18"/>
        </w:rPr>
        <w:t> </w:t>
      </w:r>
      <w:r>
        <w:rPr>
          <w:rFonts w:ascii="宋体" w:hAnsi="宋体" w:cs="宋体" w:eastAsia="宋体" w:hint="default"/>
          <w:b/>
          <w:bCs/>
          <w:sz w:val="18"/>
          <w:szCs w:val="18"/>
        </w:rPr>
        <w:t>二、形成审计意见的基础</w:t>
      </w:r>
      <w:r>
        <w:rPr>
          <w:rFonts w:ascii="宋体" w:hAnsi="宋体" w:cs="宋体" w:eastAsia="宋体" w:hint="default"/>
          <w:sz w:val="18"/>
          <w:szCs w:val="18"/>
        </w:rPr>
      </w:r>
    </w:p>
    <w:p>
      <w:pPr>
        <w:pStyle w:val="BodyText"/>
        <w:spacing w:line="477" w:lineRule="auto" w:before="62"/>
        <w:ind w:left="153" w:right="1131" w:firstLine="360"/>
        <w:jc w:val="both"/>
      </w:pPr>
      <w:r>
        <w:rPr>
          <w:spacing w:val="-2"/>
        </w:rPr>
        <w:t>我们按照中国注册会计师审计准则的规定执行了审计工作。审计报告的“注册会计师对财务报表审计的责任”部分进一</w:t>
      </w:r>
      <w:r>
        <w:rPr/>
        <w:t> </w:t>
      </w:r>
      <w:r>
        <w:rPr>
          <w:spacing w:val="-2"/>
        </w:rPr>
        <w:t>步阐述了我们在这些准则下的责任。按照中国注册会计师职业道德守则，我们独立于北信源公司，并履行了职业道德方面的</w:t>
      </w:r>
      <w:r>
        <w:rPr>
          <w:spacing w:val="-66"/>
        </w:rPr>
        <w:t> </w:t>
      </w:r>
      <w:r>
        <w:rPr>
          <w:spacing w:val="-66"/>
        </w:rPr>
      </w:r>
      <w:r>
        <w:rPr/>
        <w:t>其他责任。我们相信，我们获取的审计证据是充分、适当的，为发表审计意见提供了基础。</w:t>
      </w:r>
    </w:p>
    <w:p>
      <w:pPr>
        <w:pStyle w:val="BodyText"/>
        <w:spacing w:line="516" w:lineRule="auto" w:before="94"/>
        <w:ind w:left="513" w:right="0" w:firstLine="1"/>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26"/>
        <w:ind w:left="153" w:right="0"/>
        <w:jc w:val="left"/>
      </w:pPr>
      <w:r>
        <w:rPr/>
        <w:t>审计并形成审计意见为背景，我们不对这些事项单独发表意见。我们确定下列事项是需要在审计报告中沟通的关键审计事项</w:t>
      </w:r>
    </w:p>
    <w:p>
      <w:pPr>
        <w:spacing w:line="240" w:lineRule="auto" w:before="12"/>
        <w:rPr>
          <w:rFonts w:ascii="宋体" w:hAnsi="宋体" w:cs="宋体" w:eastAsia="宋体" w:hint="default"/>
          <w:sz w:val="20"/>
          <w:szCs w:val="20"/>
        </w:rPr>
      </w:pPr>
    </w:p>
    <w:p>
      <w:pPr>
        <w:pStyle w:val="Heading4"/>
        <w:spacing w:line="516" w:lineRule="auto"/>
        <w:ind w:left="606" w:right="8944" w:hanging="92"/>
        <w:jc w:val="left"/>
        <w:rPr>
          <w:b w:val="0"/>
          <w:bCs w:val="0"/>
        </w:rPr>
      </w:pPr>
      <w:r>
        <w:rPr/>
        <w:t>（一）收入的确认</w:t>
      </w:r>
      <w:r>
        <w:rPr>
          <w:w w:val="99"/>
        </w:rPr>
        <w:t> </w:t>
      </w:r>
      <w:r>
        <w:rPr/>
        <w:t>1、事项描述</w:t>
      </w:r>
      <w:r>
        <w:rPr>
          <w:b w:val="0"/>
          <w:bCs w:val="0"/>
        </w:rPr>
      </w:r>
    </w:p>
    <w:p>
      <w:pPr>
        <w:pStyle w:val="BodyText"/>
        <w:spacing w:line="477" w:lineRule="auto" w:before="64"/>
        <w:ind w:right="1129" w:firstLine="450"/>
        <w:jc w:val="both"/>
      </w:pPr>
      <w:r>
        <w:rPr/>
        <w:t>如财务报表附注四、23</w:t>
      </w:r>
      <w:r>
        <w:rPr>
          <w:spacing w:val="-53"/>
        </w:rPr>
        <w:t> </w:t>
      </w:r>
      <w:r>
        <w:rPr/>
        <w:t>及附注六、29</w:t>
      </w:r>
      <w:r>
        <w:rPr>
          <w:spacing w:val="-53"/>
        </w:rPr>
        <w:t> </w:t>
      </w:r>
      <w:r>
        <w:rPr/>
        <w:t>所述，2018</w:t>
      </w:r>
      <w:r>
        <w:rPr>
          <w:spacing w:val="-53"/>
        </w:rPr>
        <w:t> </w:t>
      </w:r>
      <w:r>
        <w:rPr/>
        <w:t>年度北信源主营业务收入</w:t>
      </w:r>
      <w:r>
        <w:rPr>
          <w:spacing w:val="-53"/>
        </w:rPr>
        <w:t> </w:t>
      </w:r>
      <w:r>
        <w:rPr/>
        <w:t>538,403,920.59</w:t>
      </w:r>
      <w:r>
        <w:rPr>
          <w:spacing w:val="-53"/>
        </w:rPr>
        <w:t> </w:t>
      </w:r>
      <w:r>
        <w:rPr/>
        <w:t>元。由于收入是公司的关</w:t>
      </w:r>
      <w:r>
        <w:rPr/>
        <w:t> </w:t>
      </w:r>
      <w:r>
        <w:rPr>
          <w:spacing w:val="-2"/>
        </w:rPr>
        <w:t>键业绩指标之一，且收入确认存在管理层为了达到目标或期望而操纵收入的固有风险，因此我们将收入确认识别为关键审计</w:t>
      </w:r>
      <w:r>
        <w:rPr>
          <w:spacing w:val="-64"/>
        </w:rPr>
        <w:t> </w:t>
      </w:r>
      <w:r>
        <w:rPr>
          <w:spacing w:val="-64"/>
        </w:rPr>
      </w:r>
      <w:r>
        <w:rPr/>
        <w:t>事项。</w:t>
      </w:r>
    </w:p>
    <w:p>
      <w:pPr>
        <w:spacing w:after="0" w:line="477" w:lineRule="auto"/>
        <w:jc w:val="both"/>
        <w:sectPr>
          <w:pgSz w:w="11910" w:h="16840"/>
          <w:pgMar w:header="747" w:footer="1190" w:top="1060" w:bottom="138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516" w:lineRule="auto" w:before="0"/>
        <w:ind w:left="513" w:right="6611" w:firstLine="1"/>
        <w:jc w:val="left"/>
        <w:rPr>
          <w:rFonts w:ascii="宋体" w:hAnsi="宋体" w:cs="宋体" w:eastAsia="宋体" w:hint="default"/>
          <w:sz w:val="18"/>
          <w:szCs w:val="18"/>
        </w:rPr>
      </w:pPr>
      <w:r>
        <w:rPr>
          <w:rFonts w:ascii="宋体" w:hAnsi="宋体" w:cs="宋体" w:eastAsia="宋体" w:hint="default"/>
          <w:b/>
          <w:bCs/>
          <w:sz w:val="18"/>
          <w:szCs w:val="18"/>
        </w:rPr>
        <w:t>2、审计应对</w:t>
      </w:r>
      <w:r>
        <w:rPr>
          <w:rFonts w:ascii="宋体" w:hAnsi="宋体" w:cs="宋体" w:eastAsia="宋体" w:hint="default"/>
          <w:b/>
          <w:bCs/>
          <w:w w:val="99"/>
          <w:sz w:val="18"/>
          <w:szCs w:val="18"/>
        </w:rPr>
        <w:t> </w:t>
      </w:r>
      <w:r>
        <w:rPr>
          <w:rFonts w:ascii="宋体" w:hAnsi="宋体" w:cs="宋体" w:eastAsia="宋体" w:hint="default"/>
          <w:sz w:val="18"/>
          <w:szCs w:val="18"/>
        </w:rPr>
        <w:t>针对收入确认，我们执行的主要审计程序如下：</w:t>
      </w:r>
    </w:p>
    <w:p>
      <w:pPr>
        <w:pStyle w:val="BodyText"/>
        <w:spacing w:line="240" w:lineRule="auto" w:before="66"/>
        <w:ind w:left="513" w:right="0"/>
        <w:jc w:val="left"/>
      </w:pPr>
      <w:r>
        <w:rPr/>
        <w:t>（1）了解、评价管理层对北信源公司销售流程中的内部控制制度的设计，并测试关键控制的执行情况；</w:t>
      </w:r>
    </w:p>
    <w:p>
      <w:pPr>
        <w:spacing w:line="240" w:lineRule="auto" w:before="9"/>
        <w:rPr>
          <w:rFonts w:ascii="宋体" w:hAnsi="宋体" w:cs="宋体" w:eastAsia="宋体" w:hint="default"/>
          <w:sz w:val="20"/>
          <w:szCs w:val="20"/>
        </w:rPr>
      </w:pPr>
    </w:p>
    <w:p>
      <w:pPr>
        <w:pStyle w:val="BodyText"/>
        <w:spacing w:line="477" w:lineRule="auto"/>
        <w:ind w:left="153" w:right="1121" w:firstLine="360"/>
        <w:jc w:val="left"/>
      </w:pPr>
      <w:r>
        <w:rPr/>
        <w:t>（2）执行分析性程序，分析营业收入及成本的变动是否合理，与上期比较是否存在重大波动，毛利率变动是否符合行 业趋势；</w:t>
      </w:r>
    </w:p>
    <w:p>
      <w:pPr>
        <w:pStyle w:val="BodyText"/>
        <w:spacing w:line="240" w:lineRule="auto" w:before="94"/>
        <w:ind w:left="513" w:right="0"/>
        <w:jc w:val="left"/>
      </w:pPr>
      <w:r>
        <w:rPr/>
        <w:t>（3）通过审阅销售合同与管理层访谈，了解收入确认政策，评价收入确实时点是否符合企业会计准则的要求；</w:t>
      </w:r>
    </w:p>
    <w:p>
      <w:pPr>
        <w:spacing w:line="240" w:lineRule="auto" w:before="12"/>
        <w:rPr>
          <w:rFonts w:ascii="宋体" w:hAnsi="宋体" w:cs="宋体" w:eastAsia="宋体" w:hint="default"/>
          <w:sz w:val="20"/>
          <w:szCs w:val="20"/>
        </w:rPr>
      </w:pPr>
    </w:p>
    <w:p>
      <w:pPr>
        <w:pStyle w:val="BodyText"/>
        <w:spacing w:line="240" w:lineRule="auto"/>
        <w:ind w:left="513" w:right="0"/>
        <w:jc w:val="left"/>
      </w:pPr>
      <w:r>
        <w:rPr/>
        <w:t>（4）根据客户交易的性质和特点，对应收账款余额和销售收入金额选取样本执行函证程序；</w:t>
      </w:r>
    </w:p>
    <w:p>
      <w:pPr>
        <w:spacing w:line="240" w:lineRule="auto" w:before="10"/>
        <w:rPr>
          <w:rFonts w:ascii="宋体" w:hAnsi="宋体" w:cs="宋体" w:eastAsia="宋体" w:hint="default"/>
          <w:sz w:val="20"/>
          <w:szCs w:val="20"/>
        </w:rPr>
      </w:pPr>
    </w:p>
    <w:p>
      <w:pPr>
        <w:pStyle w:val="BodyText"/>
        <w:spacing w:line="240" w:lineRule="auto"/>
        <w:ind w:left="513" w:right="0"/>
        <w:jc w:val="left"/>
      </w:pPr>
      <w:r>
        <w:rPr/>
        <w:t>（5）选取重要项目实施实地走访程序，评价收入的真实性；</w:t>
      </w:r>
    </w:p>
    <w:p>
      <w:pPr>
        <w:spacing w:line="240" w:lineRule="auto" w:before="10"/>
        <w:rPr>
          <w:rFonts w:ascii="宋体" w:hAnsi="宋体" w:cs="宋体" w:eastAsia="宋体" w:hint="default"/>
          <w:sz w:val="20"/>
          <w:szCs w:val="20"/>
        </w:rPr>
      </w:pPr>
    </w:p>
    <w:p>
      <w:pPr>
        <w:pStyle w:val="BodyText"/>
        <w:spacing w:line="240" w:lineRule="auto"/>
        <w:ind w:left="513" w:right="0"/>
        <w:jc w:val="left"/>
      </w:pPr>
      <w:r>
        <w:rPr/>
        <w:t>（6）针对资产负债表日前后记录的交易执行截止性测试，检查收入是否记录在正确的会计期间。</w:t>
      </w:r>
    </w:p>
    <w:p>
      <w:pPr>
        <w:spacing w:line="240" w:lineRule="auto" w:before="12"/>
        <w:rPr>
          <w:rFonts w:ascii="宋体" w:hAnsi="宋体" w:cs="宋体" w:eastAsia="宋体" w:hint="default"/>
          <w:sz w:val="20"/>
          <w:szCs w:val="20"/>
        </w:rPr>
      </w:pPr>
    </w:p>
    <w:p>
      <w:pPr>
        <w:pStyle w:val="Heading4"/>
        <w:spacing w:line="516" w:lineRule="auto"/>
        <w:ind w:right="8220"/>
        <w:jc w:val="left"/>
        <w:rPr>
          <w:b w:val="0"/>
          <w:bCs w:val="0"/>
        </w:rPr>
      </w:pPr>
      <w:r>
        <w:rPr/>
        <w:t>（二）应收账款的坏账准备</w:t>
      </w:r>
      <w:r>
        <w:rPr>
          <w:w w:val="99"/>
        </w:rPr>
        <w:t> </w:t>
      </w:r>
      <w:r>
        <w:rPr/>
        <w:t>1、事项描述</w:t>
      </w:r>
      <w:r>
        <w:rPr>
          <w:b w:val="0"/>
          <w:bCs w:val="0"/>
        </w:rPr>
      </w:r>
    </w:p>
    <w:p>
      <w:pPr>
        <w:pStyle w:val="BodyText"/>
        <w:spacing w:line="240" w:lineRule="auto" w:before="64"/>
        <w:ind w:left="513" w:right="0"/>
        <w:jc w:val="left"/>
      </w:pPr>
      <w:r>
        <w:rPr/>
        <w:t>如财务报表附注四、</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及附注六、</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所述，北信源公司截止</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日应收账款账面余额</w:t>
      </w:r>
      <w:r>
        <w:rPr>
          <w:spacing w:val="-46"/>
        </w:rPr>
        <w:t> </w:t>
      </w:r>
      <w:r>
        <w:rPr>
          <w:rFonts w:ascii="Times New Roman" w:hAnsi="Times New Roman" w:cs="Times New Roman" w:eastAsia="Times New Roman" w:hint="default"/>
        </w:rPr>
        <w:t>1,165,953,003.59</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16"/>
          <w:szCs w:val="16"/>
        </w:rPr>
      </w:pPr>
    </w:p>
    <w:p>
      <w:pPr>
        <w:pStyle w:val="BodyText"/>
        <w:spacing w:line="465" w:lineRule="auto"/>
        <w:ind w:right="1129"/>
        <w:jc w:val="both"/>
      </w:pPr>
      <w:r>
        <w:rPr/>
        <w:t>坏账准备</w:t>
      </w:r>
      <w:r>
        <w:rPr>
          <w:spacing w:val="-53"/>
        </w:rPr>
        <w:t> </w:t>
      </w:r>
      <w:r>
        <w:rPr>
          <w:rFonts w:ascii="Times New Roman" w:hAnsi="Times New Roman" w:cs="Times New Roman" w:eastAsia="Times New Roman" w:hint="default"/>
        </w:rPr>
        <w:t>236,051,487.83</w:t>
      </w:r>
      <w:r>
        <w:rPr>
          <w:rFonts w:ascii="Times New Roman" w:hAnsi="Times New Roman" w:cs="Times New Roman" w:eastAsia="Times New Roman" w:hint="default"/>
          <w:spacing w:val="-8"/>
        </w:rPr>
        <w:t> </w:t>
      </w:r>
      <w:r>
        <w:rPr>
          <w:spacing w:val="-3"/>
        </w:rPr>
        <w:t>元，账面价值</w:t>
      </w:r>
      <w:r>
        <w:rPr>
          <w:spacing w:val="-53"/>
        </w:rPr>
        <w:t> </w:t>
      </w:r>
      <w:r>
        <w:rPr>
          <w:rFonts w:ascii="Times New Roman" w:hAnsi="Times New Roman" w:cs="Times New Roman" w:eastAsia="Times New Roman" w:hint="default"/>
        </w:rPr>
        <w:t>929,901,515.76</w:t>
      </w:r>
      <w:r>
        <w:rPr>
          <w:rFonts w:ascii="Times New Roman" w:hAnsi="Times New Roman" w:cs="Times New Roman" w:eastAsia="Times New Roman" w:hint="default"/>
          <w:spacing w:val="-8"/>
        </w:rPr>
        <w:t> </w:t>
      </w:r>
      <w:r>
        <w:rPr/>
        <w:t>元，占资产总额的比例为</w:t>
      </w:r>
      <w:r>
        <w:rPr>
          <w:spacing w:val="-53"/>
        </w:rPr>
        <w:t> </w:t>
      </w:r>
      <w:r>
        <w:rPr>
          <w:rFonts w:ascii="Times New Roman" w:hAnsi="Times New Roman" w:cs="Times New Roman" w:eastAsia="Times New Roman" w:hint="default"/>
        </w:rPr>
        <w:t>36.04%</w:t>
      </w:r>
      <w:r>
        <w:rPr/>
        <w:t>。由于应收账款账面价值较高，且涉 </w:t>
      </w:r>
      <w:r>
        <w:rPr>
          <w:spacing w:val="-2"/>
        </w:rPr>
        <w:t>及管理层运用重大会计估计和判断，应收账款的可收回性对于财务报表具有重要性，因此我们将应收账款坏账准备作为关键</w:t>
      </w:r>
      <w:r>
        <w:rPr>
          <w:spacing w:val="-64"/>
        </w:rPr>
        <w:t> </w:t>
      </w:r>
      <w:r>
        <w:rPr>
          <w:spacing w:val="-64"/>
        </w:rPr>
      </w:r>
      <w:r>
        <w:rPr/>
        <w:t>审计事项。</w:t>
      </w:r>
    </w:p>
    <w:p>
      <w:pPr>
        <w:spacing w:line="516" w:lineRule="auto" w:before="104"/>
        <w:ind w:left="514" w:right="5890" w:firstLine="1"/>
        <w:jc w:val="left"/>
        <w:rPr>
          <w:rFonts w:ascii="宋体" w:hAnsi="宋体" w:cs="宋体" w:eastAsia="宋体" w:hint="default"/>
          <w:sz w:val="18"/>
          <w:szCs w:val="18"/>
        </w:rPr>
      </w:pPr>
      <w:r>
        <w:rPr>
          <w:rFonts w:ascii="宋体" w:hAnsi="宋体" w:cs="宋体" w:eastAsia="宋体" w:hint="default"/>
          <w:b/>
          <w:bCs/>
          <w:sz w:val="18"/>
          <w:szCs w:val="18"/>
        </w:rPr>
        <w:t>2、审计应对</w:t>
      </w:r>
      <w:r>
        <w:rPr>
          <w:rFonts w:ascii="宋体" w:hAnsi="宋体" w:cs="宋体" w:eastAsia="宋体" w:hint="default"/>
          <w:b/>
          <w:bCs/>
          <w:w w:val="99"/>
          <w:sz w:val="18"/>
          <w:szCs w:val="18"/>
        </w:rPr>
        <w:t> </w:t>
      </w:r>
      <w:r>
        <w:rPr>
          <w:rFonts w:ascii="宋体" w:hAnsi="宋体" w:cs="宋体" w:eastAsia="宋体" w:hint="default"/>
          <w:sz w:val="18"/>
          <w:szCs w:val="18"/>
        </w:rPr>
        <w:t>针对应收账款坏账准备，我们执行的主要审计程序如下：</w:t>
      </w:r>
    </w:p>
    <w:p>
      <w:pPr>
        <w:pStyle w:val="BodyText"/>
        <w:spacing w:line="240" w:lineRule="auto" w:before="65"/>
        <w:ind w:left="514" w:right="0"/>
        <w:jc w:val="left"/>
      </w:pPr>
      <w:r>
        <w:rPr/>
        <w:t>（1）</w:t>
      </w:r>
      <w:r>
        <w:rPr>
          <w:spacing w:val="-60"/>
        </w:rPr>
        <w:t> </w:t>
      </w:r>
      <w:r>
        <w:rPr/>
        <w:t>评价、测试北信源公司信用政策及应收账款管理相关内部控制的设计和执行；</w:t>
      </w:r>
    </w:p>
    <w:p>
      <w:pPr>
        <w:spacing w:line="240" w:lineRule="auto" w:before="10"/>
        <w:rPr>
          <w:rFonts w:ascii="宋体" w:hAnsi="宋体" w:cs="宋体" w:eastAsia="宋体" w:hint="default"/>
          <w:sz w:val="20"/>
          <w:szCs w:val="20"/>
        </w:rPr>
      </w:pPr>
    </w:p>
    <w:p>
      <w:pPr>
        <w:pStyle w:val="BodyText"/>
        <w:spacing w:line="477" w:lineRule="auto"/>
        <w:ind w:right="1392" w:firstLine="360"/>
        <w:jc w:val="left"/>
      </w:pPr>
      <w:r>
        <w:rPr/>
        <w:t>（2）</w:t>
      </w:r>
      <w:r>
        <w:rPr>
          <w:spacing w:val="-78"/>
        </w:rPr>
        <w:t> </w:t>
      </w:r>
      <w:r>
        <w:rPr/>
        <w:t>分析北信源公司应收账款坏账准备会计估计的合理性，包括确定应收账款组合的依据、金额重大的判断、单独计</w:t>
      </w:r>
      <w:r>
        <w:rPr/>
        <w:t> 提坏账准备的判断等；</w:t>
      </w:r>
    </w:p>
    <w:p>
      <w:pPr>
        <w:pStyle w:val="BodyText"/>
        <w:spacing w:line="477" w:lineRule="auto" w:before="92"/>
        <w:ind w:right="1392" w:firstLine="360"/>
        <w:jc w:val="left"/>
      </w:pPr>
      <w:r>
        <w:rPr/>
        <w:t>（3）</w:t>
      </w:r>
      <w:r>
        <w:rPr>
          <w:spacing w:val="-77"/>
        </w:rPr>
        <w:t> </w:t>
      </w:r>
      <w:r>
        <w:rPr/>
        <w:t>通过北信源公司应收账款的账龄和客户信誉情况，选取样本执行应收账款函证程序及检查期后回款情况，评价应</w:t>
      </w:r>
      <w:r>
        <w:rPr/>
        <w:t> 收账款坏账准备计提的合理性；</w:t>
      </w:r>
    </w:p>
    <w:p>
      <w:pPr>
        <w:pStyle w:val="BodyText"/>
        <w:spacing w:line="477" w:lineRule="auto" w:before="92"/>
        <w:ind w:right="1392" w:firstLine="360"/>
        <w:jc w:val="left"/>
      </w:pPr>
      <w:r>
        <w:rPr/>
        <w:t>（4）</w:t>
      </w:r>
      <w:r>
        <w:rPr>
          <w:spacing w:val="-77"/>
        </w:rPr>
        <w:t> </w:t>
      </w:r>
      <w:r>
        <w:rPr/>
        <w:t>获取北信源公司坏账准备计提表，检查坏账准备是否按照坏账准备计提政策一贯执行，重新计算坏账准备计提金</w:t>
      </w:r>
      <w:r>
        <w:rPr/>
        <w:t> 额是否准确。</w:t>
      </w:r>
    </w:p>
    <w:p>
      <w:pPr>
        <w:pStyle w:val="Heading4"/>
        <w:spacing w:line="240" w:lineRule="auto" w:before="95"/>
        <w:ind w:right="0"/>
        <w:jc w:val="left"/>
        <w:rPr>
          <w:b w:val="0"/>
          <w:bCs w:val="0"/>
        </w:rPr>
      </w:pPr>
      <w:r>
        <w:rPr/>
        <w:t>四、其他信息</w:t>
      </w:r>
      <w:r>
        <w:rPr>
          <w:b w:val="0"/>
          <w:bCs w:val="0"/>
        </w:rPr>
      </w:r>
    </w:p>
    <w:p>
      <w:pPr>
        <w:spacing w:line="240" w:lineRule="auto" w:before="9"/>
        <w:rPr>
          <w:rFonts w:ascii="宋体" w:hAnsi="宋体" w:cs="宋体" w:eastAsia="宋体" w:hint="default"/>
          <w:b/>
          <w:bCs/>
          <w:sz w:val="20"/>
          <w:szCs w:val="20"/>
        </w:rPr>
      </w:pPr>
    </w:p>
    <w:p>
      <w:pPr>
        <w:pStyle w:val="BodyText"/>
        <w:spacing w:line="477" w:lineRule="auto"/>
        <w:ind w:right="1112" w:firstLine="360"/>
        <w:jc w:val="left"/>
      </w:pPr>
      <w:r>
        <w:rPr/>
        <w:t>北信源公司管理层对其他信息负责。其他信息包括</w:t>
      </w:r>
      <w:r>
        <w:rPr>
          <w:spacing w:val="-41"/>
        </w:rPr>
        <w:t> </w:t>
      </w:r>
      <w:r>
        <w:rPr/>
        <w:t>2018</w:t>
      </w:r>
      <w:r>
        <w:rPr>
          <w:spacing w:val="-41"/>
        </w:rPr>
        <w:t> </w:t>
      </w:r>
      <w:r>
        <w:rPr/>
        <w:t>年年度报告中涵盖的信息，但不包括财务报表和我们的审计报</w:t>
      </w:r>
      <w:r>
        <w:rPr/>
        <w:t> 告。</w:t>
      </w:r>
    </w:p>
    <w:p>
      <w:pPr>
        <w:pStyle w:val="BodyText"/>
        <w:spacing w:line="240" w:lineRule="auto" w:before="94"/>
        <w:ind w:left="514" w:right="0"/>
        <w:jc w:val="left"/>
      </w:pPr>
      <w:r>
        <w:rPr/>
        <w:t>我们对财务报表发表的审计意见不涵盖其他信息，我们也不对其他信息发表任何形式的鉴证结论。</w:t>
      </w:r>
    </w:p>
    <w:p>
      <w:pPr>
        <w:spacing w:after="0" w:line="240" w:lineRule="auto"/>
        <w:jc w:val="left"/>
        <w:sectPr>
          <w:pgSz w:w="11910" w:h="16840"/>
          <w:pgMar w:header="747" w:footer="1190" w:top="1060" w:bottom="138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153" w:right="1131" w:firstLine="360"/>
        <w:jc w:val="both"/>
      </w:pPr>
      <w:r>
        <w:rPr>
          <w:spacing w:val="-2"/>
        </w:rPr>
        <w:t>结合我们对财务报表的审计，我们的责任是阅读其他信息，在此过程中，考虑其他信息是否与财务报表或我们在审计过</w:t>
      </w:r>
      <w:r>
        <w:rPr/>
        <w:t> 程中了解到的情况存在重大不一致或者似乎存在重大错报。</w:t>
      </w:r>
    </w:p>
    <w:p>
      <w:pPr>
        <w:pStyle w:val="BodyText"/>
        <w:spacing w:line="477" w:lineRule="auto" w:before="92"/>
        <w:ind w:left="153" w:right="1131" w:firstLine="360"/>
        <w:jc w:val="both"/>
      </w:pPr>
      <w:r>
        <w:rPr>
          <w:spacing w:val="-2"/>
        </w:rPr>
        <w:t>基于我们已执行的工作，如果我们确定其他信息存在重大错报，我们应当报告该事实。在这方面，我们无任何事项需要</w:t>
      </w:r>
      <w:r>
        <w:rPr/>
        <w:t> 报告。</w:t>
      </w:r>
    </w:p>
    <w:p>
      <w:pPr>
        <w:spacing w:line="516" w:lineRule="auto" w:before="95"/>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北信源公司管理层（以下简称管理层）负责按照企业会计准则的规定编制财务报表，使其实现公允反映，并设计、执行</w:t>
      </w:r>
    </w:p>
    <w:p>
      <w:pPr>
        <w:pStyle w:val="BodyText"/>
        <w:spacing w:line="516" w:lineRule="auto" w:before="26"/>
        <w:ind w:left="513" w:right="0" w:hanging="360"/>
        <w:jc w:val="left"/>
      </w:pPr>
      <w:r>
        <w:rPr/>
        <w:t>和维护必要的内部控制，以使财务报表不存在由于舞弊或错误导致的重大错报。 </w:t>
      </w:r>
      <w:r>
        <w:rPr>
          <w:spacing w:val="-2"/>
        </w:rPr>
        <w:t>在编制财务报表时，管理层负责评估北信源公司的持续经营能力，披露与持续经营相关的事项（如适用），并运用持续</w:t>
      </w:r>
    </w:p>
    <w:p>
      <w:pPr>
        <w:spacing w:line="518" w:lineRule="auto" w:before="26"/>
        <w:ind w:left="513" w:right="4451" w:hanging="360"/>
        <w:jc w:val="left"/>
        <w:rPr>
          <w:rFonts w:ascii="宋体" w:hAnsi="宋体" w:cs="宋体" w:eastAsia="宋体" w:hint="default"/>
          <w:sz w:val="18"/>
          <w:szCs w:val="18"/>
        </w:rPr>
      </w:pPr>
      <w:r>
        <w:rPr>
          <w:rFonts w:ascii="宋体" w:hAnsi="宋体" w:cs="宋体" w:eastAsia="宋体" w:hint="default"/>
          <w:sz w:val="18"/>
          <w:szCs w:val="18"/>
        </w:rPr>
        <w:t>经营假设，除非管理层计划清算北信源公司、终止运营或别无其他现实的选择。 治理层负责监督北信源公司的财务报告过程。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477" w:lineRule="auto" w:before="62"/>
        <w:ind w:right="1128" w:firstLine="380"/>
        <w:jc w:val="both"/>
      </w:pPr>
      <w:r>
        <w:rPr/>
        <w:t>我们的目标是对财务报表整体是否不存在由于舞弊或错误导致的重大错报获取合理保证，并出具包含审计意见的审计</w:t>
      </w:r>
      <w:r>
        <w:rPr>
          <w:spacing w:val="1"/>
        </w:rPr>
        <w:t> </w:t>
      </w: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95"/>
        <w:ind w:left="354" w:right="0"/>
        <w:jc w:val="left"/>
      </w:pPr>
      <w:r>
        <w:rPr/>
        <w:t>在按照审计准则执行审计工作的过程中，我们运用职业判断，并保持职业怀疑。同时，我们也执行以下工作：</w:t>
      </w:r>
    </w:p>
    <w:p>
      <w:pPr>
        <w:spacing w:line="240" w:lineRule="auto" w:before="9"/>
        <w:rPr>
          <w:rFonts w:ascii="宋体" w:hAnsi="宋体" w:cs="宋体" w:eastAsia="宋体" w:hint="default"/>
          <w:sz w:val="20"/>
          <w:szCs w:val="20"/>
        </w:rPr>
      </w:pPr>
    </w:p>
    <w:p>
      <w:pPr>
        <w:pStyle w:val="BodyText"/>
        <w:spacing w:line="477" w:lineRule="auto"/>
        <w:ind w:right="1030" w:firstLine="200"/>
        <w:jc w:val="left"/>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94"/>
        <w:ind w:left="354" w:right="0"/>
        <w:jc w:val="left"/>
      </w:pPr>
      <w:r>
        <w:rPr/>
        <w:t>（二）了解与审计相关的内部控制，以设计恰当的审计程序，但目的并非对内部控制的有效性发表意见。</w:t>
      </w:r>
    </w:p>
    <w:p>
      <w:pPr>
        <w:spacing w:line="240" w:lineRule="auto" w:before="12"/>
        <w:rPr>
          <w:rFonts w:ascii="宋体" w:hAnsi="宋体" w:cs="宋体" w:eastAsia="宋体" w:hint="default"/>
          <w:sz w:val="20"/>
          <w:szCs w:val="20"/>
        </w:rPr>
      </w:pPr>
    </w:p>
    <w:p>
      <w:pPr>
        <w:pStyle w:val="BodyText"/>
        <w:spacing w:line="240" w:lineRule="auto"/>
        <w:ind w:left="354" w:right="0"/>
        <w:jc w:val="left"/>
      </w:pPr>
      <w:r>
        <w:rPr/>
        <w:t>（三）评价管理层选用会计政策的恰当性和作出会计估计及相关披露的合理性。</w:t>
      </w:r>
    </w:p>
    <w:p>
      <w:pPr>
        <w:spacing w:line="240" w:lineRule="auto" w:before="9"/>
        <w:rPr>
          <w:rFonts w:ascii="宋体" w:hAnsi="宋体" w:cs="宋体" w:eastAsia="宋体" w:hint="default"/>
          <w:sz w:val="20"/>
          <w:szCs w:val="20"/>
        </w:rPr>
      </w:pPr>
    </w:p>
    <w:p>
      <w:pPr>
        <w:pStyle w:val="BodyText"/>
        <w:spacing w:line="477" w:lineRule="auto"/>
        <w:ind w:right="1129" w:firstLine="200"/>
        <w:jc w:val="both"/>
      </w:pPr>
      <w:r>
        <w:rPr/>
        <w:t>（四）对管理层使用持续经营假设的恰当性得出结论。同时，根据获取的审计证据，就可能导致对北信源公司持续经营 </w:t>
      </w:r>
      <w:r>
        <w:rPr>
          <w:spacing w:val="-2"/>
        </w:rPr>
        <w:t>能力产生重大疑虑的事项或情况是否存在重大不确定性得出结论。如果我们得出结论认为存在重大不确定性，审计准则要求</w:t>
      </w:r>
      <w:r>
        <w:rPr>
          <w:spacing w:val="-64"/>
        </w:rPr>
        <w:t> </w:t>
      </w:r>
      <w:r>
        <w:rPr>
          <w:spacing w:val="-64"/>
        </w:rPr>
      </w:r>
      <w:r>
        <w:rPr>
          <w:spacing w:val="-2"/>
        </w:rPr>
        <w:t>我们在审计报告中提请报表使用者注意财务报表中的相关披露；如果披露不充分，我们应当发表非无保留意见。我们的结论</w:t>
      </w:r>
      <w:r>
        <w:rPr>
          <w:spacing w:val="-66"/>
        </w:rPr>
        <w:t> </w:t>
      </w:r>
      <w:r>
        <w:rPr>
          <w:spacing w:val="-66"/>
        </w:rPr>
      </w:r>
      <w:r>
        <w:rPr/>
        <w:t>基于截至审计报告日可获得的信息。然而，未来的事项或情况可能导致北信源公司不能持续经营。</w:t>
      </w:r>
    </w:p>
    <w:p>
      <w:pPr>
        <w:pStyle w:val="BodyText"/>
        <w:spacing w:line="240" w:lineRule="auto" w:before="94"/>
        <w:ind w:left="354" w:right="0"/>
        <w:jc w:val="left"/>
      </w:pPr>
      <w:r>
        <w:rPr/>
        <w:t>（五）评价财务报表的总体列报、结构和内容（包括披露</w:t>
      </w:r>
      <w:r>
        <w:rPr>
          <w:spacing w:val="-90"/>
        </w:rPr>
        <w:t>）</w:t>
      </w:r>
      <w:r>
        <w:rPr/>
        <w:t>，并评价财务报表是否公允反映相关交易和事项。</w:t>
      </w:r>
    </w:p>
    <w:p>
      <w:pPr>
        <w:spacing w:line="240" w:lineRule="auto" w:before="10"/>
        <w:rPr>
          <w:rFonts w:ascii="宋体" w:hAnsi="宋体" w:cs="宋体" w:eastAsia="宋体" w:hint="default"/>
          <w:sz w:val="20"/>
          <w:szCs w:val="20"/>
        </w:rPr>
      </w:pPr>
    </w:p>
    <w:p>
      <w:pPr>
        <w:pStyle w:val="BodyText"/>
        <w:spacing w:line="477" w:lineRule="auto"/>
        <w:ind w:right="0" w:firstLine="200"/>
        <w:jc w:val="left"/>
      </w:pPr>
      <w:r>
        <w:rPr>
          <w:spacing w:val="-1"/>
        </w:rPr>
        <w:t>（六）就北信源公司中实体或业务活动的财务信息获取充分、适当的审计证据，以对财务报表发表意见。我们负责指导、</w:t>
      </w:r>
      <w:r>
        <w:rPr/>
        <w:t> 监督和执行集团审计。我们对审计意见承担全部责任。</w:t>
      </w:r>
    </w:p>
    <w:p>
      <w:pPr>
        <w:spacing w:after="0" w:line="477" w:lineRule="auto"/>
        <w:jc w:val="left"/>
        <w:sectPr>
          <w:pgSz w:w="11910" w:h="16840"/>
          <w:pgMar w:header="747" w:footer="1190" w:top="1060" w:bottom="138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153" w:right="1130"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477" w:lineRule="auto" w:before="92"/>
        <w:ind w:left="153" w:right="1130" w:firstLine="360"/>
        <w:jc w:val="both"/>
      </w:pPr>
      <w:r>
        <w:rPr/>
        <w:t>我们还就已遵守与独立性相关的职业道德要求向治理层提供声明</w:t>
      </w:r>
      <w:r>
        <w:rPr>
          <w:spacing w:val="-82"/>
        </w:rPr>
        <w:t>，</w:t>
      </w:r>
      <w:r>
        <w:rPr/>
        <w:t>并与治理层沟通可能被合理认为影响我们独立性的所</w:t>
      </w:r>
      <w:r>
        <w:rPr/>
        <w:t> 有关系和其他事项，以及相关的防范措施（如适用</w:t>
      </w:r>
      <w:r>
        <w:rPr>
          <w:spacing w:val="-90"/>
        </w:rPr>
        <w:t>）</w:t>
      </w:r>
      <w:r>
        <w:rPr/>
        <w:t>。</w:t>
      </w:r>
    </w:p>
    <w:p>
      <w:pPr>
        <w:pStyle w:val="BodyText"/>
        <w:spacing w:line="477" w:lineRule="auto" w:before="94"/>
        <w:ind w:left="153" w:right="1131"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6"/>
          <w:szCs w:val="16"/>
        </w:rPr>
      </w:pPr>
    </w:p>
    <w:p>
      <w:pPr>
        <w:pStyle w:val="BodyText"/>
        <w:tabs>
          <w:tab w:pos="4615" w:val="left" w:leader="none"/>
        </w:tabs>
        <w:spacing w:line="240" w:lineRule="auto"/>
        <w:ind w:left="800" w:right="0"/>
        <w:jc w:val="left"/>
      </w:pPr>
      <w:r>
        <w:rPr/>
        <w:t>瑞华会计师事务所（特殊普通合伙）</w:t>
        <w:tab/>
        <w:t>中国注册会计师</w:t>
      </w:r>
    </w:p>
    <w:p>
      <w:pPr>
        <w:spacing w:line="240" w:lineRule="auto" w:before="7"/>
        <w:rPr>
          <w:rFonts w:ascii="宋体" w:hAnsi="宋体" w:cs="宋体" w:eastAsia="宋体" w:hint="default"/>
          <w:sz w:val="12"/>
          <w:szCs w:val="12"/>
        </w:rPr>
      </w:pPr>
    </w:p>
    <w:p>
      <w:pPr>
        <w:pStyle w:val="BodyText"/>
        <w:tabs>
          <w:tab w:pos="2086" w:val="left" w:leader="none"/>
        </w:tabs>
        <w:spacing w:line="240" w:lineRule="auto"/>
        <w:ind w:left="466" w:right="0"/>
        <w:jc w:val="center"/>
      </w:pPr>
      <w:r>
        <w:rPr/>
        <w:t>（项目合伙人</w:t>
      </w:r>
      <w:r>
        <w:rPr>
          <w:spacing w:val="-90"/>
        </w:rPr>
        <w:t>）</w:t>
      </w:r>
      <w:r>
        <w:rPr/>
        <w:t>：</w:t>
        <w:tab/>
        <w:t>荣  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pStyle w:val="BodyText"/>
        <w:tabs>
          <w:tab w:pos="4615" w:val="left" w:leader="none"/>
        </w:tabs>
        <w:spacing w:line="240" w:lineRule="auto"/>
        <w:ind w:left="1790" w:right="0"/>
        <w:jc w:val="left"/>
      </w:pPr>
      <w:r>
        <w:rPr/>
        <w:t>中国·北京</w:t>
        <w:tab/>
        <w:t>中国注册会计师： 单大信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BodyText"/>
        <w:spacing w:line="240" w:lineRule="auto"/>
        <w:ind w:left="5953" w:right="0"/>
        <w:jc w:val="left"/>
      </w:pPr>
      <w:r>
        <w:rPr>
          <w:spacing w:val="14"/>
        </w:rPr>
        <w:t>2019年4</w:t>
      </w:r>
      <w:r>
        <w:rPr>
          <w:spacing w:val="-44"/>
        </w:rPr>
        <w:t> </w:t>
      </w:r>
      <w:r>
        <w:rPr/>
        <w:t>月</w:t>
      </w:r>
      <w:r>
        <w:rPr>
          <w:spacing w:val="-45"/>
        </w:rPr>
        <w:t> </w:t>
      </w:r>
      <w:r>
        <w:rPr/>
        <w:t>25</w:t>
      </w:r>
      <w:r>
        <w:rPr>
          <w:spacing w:val="-44"/>
        </w:rPr>
        <w:t> </w:t>
      </w:r>
      <w:r>
        <w:rPr/>
        <w:t>日</w:t>
      </w:r>
    </w:p>
    <w:p>
      <w:pPr>
        <w:spacing w:after="0" w:line="240" w:lineRule="auto"/>
        <w:jc w:val="left"/>
        <w:sectPr>
          <w:pgSz w:w="11910" w:h="16840"/>
          <w:pgMar w:header="747" w:footer="1190" w:top="1060" w:bottom="13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1190" w:top="1060" w:bottom="1380" w:left="980" w:right="0"/>
        </w:sectPr>
      </w:pPr>
    </w:p>
    <w:p>
      <w:pPr>
        <w:pStyle w:val="BodyText"/>
        <w:spacing w:line="240" w:lineRule="auto" w:before="44"/>
        <w:ind w:right="-20"/>
        <w:jc w:val="left"/>
      </w:pPr>
      <w:r>
        <w:rPr/>
        <w:t>编制单位：北京北信源软件股份有限公司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380" w:left="980" w:right="0"/>
          <w:cols w:num="3" w:equalWidth="0">
            <w:col w:w="3395" w:space="682"/>
            <w:col w:w="1639" w:space="3203"/>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595,222,418.63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1,048,197,943.20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06"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934,293,334.76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735,979,808.44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4,391,819.00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3,113,240.00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929,901,515.76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732,866,568.44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61,545,662.48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36,163,137.26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19,400,403.77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16,889,511.24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87,813,241.31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69,623,995.52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162,417,727.01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167,576,382.80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1,860,692,787.96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2,074,430,778.46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40,771,259.43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38,179,117.76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21,603,826.14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11,223,788.00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95,489,397.15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79,554,945.35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71,724,078.50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26,979,737.02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119,384,375.59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75,512,175.68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51,217,954.20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49,717,973.92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82,754,563.28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82,754,563.28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9,979,439.75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6,571,063.25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40,164,527.67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30,327,525.53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186,286,093.04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19,101,841.22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719,375,514.75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419,922,731.01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2,580,068,302.71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2,494,353,509.47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8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06"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81"/>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47,708,672.56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52,535,254.29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62,631,381.42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31,612,571.80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8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518,037.78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161,896,707.81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136,283,250.14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7,181,395.98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6,741,582.70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57"/>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279,418,157.77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267,690,696.71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3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6,935,240.04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8,952,407.17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1,209,000.00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7,988,240.04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10,161,407.17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287,406,397.81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277,852,103.88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1,449,824,087.00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1,449,824,087.00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3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315,877,885.28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315,877,885.28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-1,612,024.44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-1,702,194.07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60,089,347.67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52,287,909.42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465,323,713.77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396,432,966.42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2,289,503,009.28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2,212,720,654.05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3,158,895.62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3,780,751.54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2,292,661,904.90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2,216,501,405.59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2,580,068,302.71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2,494,353,509.47</w:t>
            </w:r>
          </w:p>
        </w:tc>
      </w:tr>
    </w:tbl>
    <w:p>
      <w:pPr>
        <w:spacing w:line="240" w:lineRule="auto" w:before="3"/>
        <w:rPr>
          <w:rFonts w:ascii="Times New Roman" w:hAnsi="Times New Roman" w:cs="Times New Roman" w:eastAsia="Times New Roman" w:hint="default"/>
          <w:sz w:val="23"/>
          <w:szCs w:val="23"/>
        </w:rPr>
      </w:pPr>
    </w:p>
    <w:p>
      <w:pPr>
        <w:pStyle w:val="BodyText"/>
        <w:tabs>
          <w:tab w:pos="3419" w:val="left" w:leader="none"/>
          <w:tab w:pos="7739" w:val="left" w:leader="none"/>
        </w:tabs>
        <w:spacing w:line="240" w:lineRule="auto" w:before="44"/>
        <w:ind w:left="0" w:right="1228"/>
        <w:jc w:val="right"/>
      </w:pPr>
      <w:r>
        <w:rPr/>
        <w:t>法定代表人：林皓</w:t>
        <w:tab/>
        <w:t>主管会计工作负责人：邓华明</w:t>
        <w:tab/>
        <w:t>会计机构负责人：李丹</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01"/>
        <w:gridCol w:w="3301"/>
        <w:gridCol w:w="2965"/>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252,649,239.79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385,032,622.58</w:t>
            </w:r>
          </w:p>
        </w:tc>
      </w:tr>
      <w:tr>
        <w:trPr>
          <w:trHeight w:val="714"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01"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886,791,993.81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724,531,044.88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2,003,350.00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1,951,396.00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884,788,643.81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722,579,648.88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20,295,384.82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1,559,075.12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552,897,292.08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528,750,341.54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14,266,249.08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21,008,082.86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6,988,526.33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165,414,158.97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1,733,888,685.91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1,826,295,325.95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39,975,876.67</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37,383,735.00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370,812,069.04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348,701,454.90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80,496,889.00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63,398,909.90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301"/>
        <w:gridCol w:w="3301"/>
        <w:gridCol w:w="2965"/>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83,393,270.93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44,018,766.21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36,291,597.32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27,196,711.46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9,764,895.94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6,015,561.94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32,134,010.79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22,475,036.23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75,307,234.04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19,101,841.22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728,175,843.73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568,292,016.86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2,462,064,529.64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2,394,587,342.81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714"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01"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11,321,467.09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8,565,171.95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6,959,168.76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6,922,514.33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148,513,621.61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121,519,383.67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29,514,832.12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10,424,160.39</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196,309,089.58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187,431,230.34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6,935,240.04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8,952,407.17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301"/>
        <w:gridCol w:w="3301"/>
        <w:gridCol w:w="2965"/>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6,935,240.04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8,952,407.17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203,244,329.62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196,383,637.51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1,449,824,087.00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1,449,824,087.00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315,877,885.28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315,877,885.28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60,089,347.67</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52,287,909.42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433,028,880.07</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380,213,823.60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2,258,820,200.02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2,198,203,705.30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2,462,064,529.64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2,394,587,342.81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572,400,445.59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514,852,610.92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572,400,445.59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514,852,610.92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503,118,972.21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461,541,965.84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154,827,205.34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162,855,651.86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7,609,942.71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8,266,192.93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105,684,430.47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101,298,707.36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84,905,792.77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75,606,856.34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69,861,881.45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59,907,915.45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-3,433,195.94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-1,361,205.34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1,010,958.47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1,018,580.33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4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4,605,080.94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2,499,126.65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83,662,915.41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54,967,847.24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21,400,744.48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22,156,939.48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8,069,732.52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22,873,350.49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-11,516,064.04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-7,867,431.39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23,851.60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138,058.94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98,775,801.98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98,478,993.99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141,427.90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106,195.00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774,828.83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786,772.42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98,142,401.05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97,798,416.57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4,674,183.63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7,454,310.78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93,468,217.42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90,344,105.79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93,468,217.42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90,344,105.79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94,090,073.34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91,451,980.39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-621,855.92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-1,107,874.60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90,169.63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211,667.70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90,169.63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211,667.70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8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36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90,169.63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211,667.70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90,169.63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211,667.70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93,558,387.05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90,555,773.49</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94,180,242.97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91,663,648.09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-621,855.92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-1,107,874.60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0.0631</w:t>
            </w:r>
          </w:p>
        </w:tc>
      </w:tr>
    </w:tbl>
    <w:p>
      <w:pPr>
        <w:pStyle w:val="BodyText"/>
        <w:tabs>
          <w:tab w:pos="3573" w:val="left" w:leader="none"/>
          <w:tab w:pos="7893" w:val="left" w:leader="none"/>
        </w:tabs>
        <w:spacing w:line="592" w:lineRule="auto" w:before="51"/>
        <w:ind w:right="1228"/>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法定代表人：林皓</w:t>
        <w:tab/>
        <w:t>主管会计工作负责人：邓华明</w:t>
        <w:tab/>
        <w:t>会计机构负责人：李丹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97"/>
              <w:jc w:val="right"/>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386,374,626.58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332,514,986.49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44,411,756.13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28,887,938.47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13"/>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6,273,772.04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6,228,361.84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86,116,523.46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82,951,808.24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60,456,389.72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56,948,340.30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52,449,026.20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42,248,458.28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-650,497.50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-816,262.92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1,010,958.47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880,155.33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1,705,941.04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1,761,484.26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71,713,812.16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44,333,757.22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17,764,356.98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19,120,542.27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-906,944.10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6,936,938.49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-11,516,064.04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-7,867,431.39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23,851.60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45,980.79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82,485,108.85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97,836,046.61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141,417.65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4,987.90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746,819.12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766,703.74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81,879,707.38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97,074,330.77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3,865,324.92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7,265,518.72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78,014,382.46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89,808,812.05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78,014,382.46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89,808,812.05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78,014,382.46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89,808,812.05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0.0619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406,324,887.39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372,651,779.65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16,170,221.41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19,660,442.81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18,420,642.98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11,670,536.01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440,915,751.78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403,982,758.47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180,835,581.68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186,876,440.19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161,026,325.82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136,587,607.36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50,805,106.16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44,185,486.49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135,482,249.31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124,548,550.63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528,149,262.97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492,198,084.67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-87,233,511.19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-88,215,326.20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2,883,004,071.72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5,872,600,000.00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20,760,944.34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30,740,781.88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81,239.82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260,160.23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2,903,846,255.88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5,903,600,942.11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278,830,723.70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91,976,995.42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2,926,004,071.72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6,060,900,000.00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3,204,834,795.42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6,152,876,995.42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-300,988,539.54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-249,276,053.31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18,408,846.21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24,215,765.73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58,408,846.21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24,215,765.73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-58,408,846.21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18,784,234.27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28,452.37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113,742.30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-446,602,444.57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-318,593,402.94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1,037,421,625.20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1,356,015,028.14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590,819,180.63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1,037,421,625.20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209,707,504.42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170,318,441.69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15,159,475.75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17,306,512.52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25,586,443.90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7,190,219.39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250,453,424.07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194,815,173.60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25,089,972.83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28,004,199.75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118,940,178.15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100,267,819.52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39,411,839.92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34,516,125.29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100,325,198.96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89,414,572.23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283,767,189.86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252,202,716.79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-33,313,765.79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-57,387,543.19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11,245,667.13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14,804,369.88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53"/>
              <w:jc w:val="right"/>
              <w:rPr>
                <w:rFonts w:ascii="宋体" w:hAnsi="宋体" w:cs="宋体" w:eastAsia="宋体" w:hint="default"/>
                <w:sz w:val="18"/>
                <w:szCs w:val="18"/>
              </w:rPr>
            </w:pPr>
            <w:r>
              <w:rPr>
                <w:rFonts w:ascii="宋体" w:hAnsi="宋体" w:cs="宋体" w:eastAsia="宋体" w:hint="default"/>
                <w:sz w:val="18"/>
                <w:szCs w:val="18"/>
              </w:rPr>
              <w:t>处置固定资产、无形资产和其他</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81,239.82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164,737.87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1,743,326,906.95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2,454,969,107.75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122,780,605.27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47,768,331.37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1,636,730,576.00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2,652,800,000.00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24,204,916.47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15,562,592.91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1,783,716,097.74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2,716,130,924.28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-40,389,190.79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-261,161,816.53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18,408,846.21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24,077,340.73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58,408,846.21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24,077,340.73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-58,408,846.21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18,422,659.27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-132,111,802.79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-300,126,700.45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383,017,804.58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683,144,505.03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250,906,001.79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383,017,804.58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1"/>
        <w:jc w:val="right"/>
      </w:pPr>
      <w:r>
        <w:rPr/>
        <w:t>单位：元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5pt;height:21.1pt;mso-position-horizontal-relative:char;mso-position-vertical-relative:line" coordorigin="0,0" coordsize="9590,422">
            <v:group style="position:absolute;left:1420;top:14;width:23;height:393" coordorigin="1420,14" coordsize="23,393">
              <v:shape style="position:absolute;left:1420;top:14;width:23;height:393" coordorigin="1420,14" coordsize="23,393" path="m1420,407l1442,407,1442,14,1420,14,1420,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1383;height:393" coordorigin="37,14" coordsize="1383,393">
              <v:shape style="position:absolute;left:37;top:14;width:1383;height:393" coordorigin="37,14" coordsize="1383,393" path="m37,407l1420,407,1420,14,37,14,37,407xe" filled="true" fillcolor="#d3d3d3" stroked="false">
                <v:path arrowok="t"/>
                <v:fill type="solid"/>
              </v:shape>
            </v:group>
            <v:group style="position:absolute;left:1452;top:14;width:24;height:393" coordorigin="1452,14" coordsize="24,393">
              <v:shape style="position:absolute;left:1452;top:14;width:24;height:393" coordorigin="1452,14" coordsize="24,393" path="m1452,407l1476,407,1476,14,1452,14,1452,407xe" filled="true" fillcolor="#d3d3d3" stroked="false">
                <v:path arrowok="t"/>
                <v:fill type="solid"/>
              </v:shape>
            </v:group>
            <v:group style="position:absolute;left:9552;top:14;width:23;height:393" coordorigin="9552,14" coordsize="23,393">
              <v:shape style="position:absolute;left:9552;top:14;width:23;height:393" coordorigin="9552,14" coordsize="23,393" path="m9552,407l9575,407,9575,14,9552,14,9552,407xe" filled="true" fillcolor="#d3d3d3" stroked="false">
                <v:path arrowok="t"/>
                <v:fill type="solid"/>
              </v:shape>
            </v:group>
            <v:group style="position:absolute;left:1476;top:14;width:8076;height:393" coordorigin="1476,14" coordsize="8076,393">
              <v:shape style="position:absolute;left:1476;top:14;width:8076;height:393" coordorigin="1476,14" coordsize="8076,393" path="m1476,407l9552,407,9552,14,1476,14,1476,407xe" filled="true" fillcolor="#d3d3d3"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1438;height:2" coordorigin="5,412" coordsize="1438,2">
              <v:shape style="position:absolute;left:5;top:412;width:1438;height:2" coordorigin="5,412" coordsize="1438,0" path="m5,412l1442,412e" filled="false" stroked="true" strokeweight=".47998pt" strokecolor="#000000">
                <v:path arrowok="t"/>
              </v:shape>
            </v:group>
            <v:group style="position:absolute;left:1447;top:14;width:2;height:402" coordorigin="1447,14" coordsize="2,402">
              <v:shape style="position:absolute;left:1447;top:14;width:2;height:402" coordorigin="1447,14" coordsize="0,402" path="m1447,14l1447,416e" filled="false" stroked="true" strokeweight=".48001pt" strokecolor="#000000">
                <v:path arrowok="t"/>
              </v:shape>
            </v:group>
            <v:group style="position:absolute;left:1452;top:412;width:8123;height:2" coordorigin="1452,412" coordsize="8123,2">
              <v:shape style="position:absolute;left:1452;top:412;width:8123;height:2" coordorigin="1452,412" coordsize="8123,0" path="m1452,412l9575,412e" filled="false" stroked="true" strokeweight=".47998pt" strokecolor="#000000">
                <v:path arrowok="t"/>
              </v:shape>
            </v:group>
            <v:group style="position:absolute;left:9580;top:5;width:2;height:412" coordorigin="9580,5" coordsize="2,412">
              <v:shape style="position:absolute;left:9580;top:5;width:2;height:412" coordorigin="9580,5" coordsize="0,412" path="m9580,5l9580,416e" filled="false" stroked="true" strokeweight=".47998pt" strokecolor="#000000">
                <v:path arrowok="t"/>
              </v:shape>
              <v:shape style="position:absolute;left:10;top:10;width:1438;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5334;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9"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val="restart"/>
            <w:tcBorders>
              <w:top w:val="nil" w:sz="6" w:space="0" w:color="auto"/>
              <w:left w:val="single" w:sz="4" w:space="0" w:color="000000"/>
              <w:right w:val="single" w:sz="4" w:space="0" w:color="000000"/>
            </w:tcBorders>
            <w:shd w:val="clear" w:color="auto" w:fill="D3D3D3"/>
          </w:tcPr>
          <w:p>
            <w:pPr/>
          </w:p>
        </w:tc>
        <w:tc>
          <w:tcPr>
            <w:tcW w:w="5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3"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6"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1,449,</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824,08</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7.00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315,877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,885.28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-1,702,1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94.07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52,287,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909.42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396,432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,966.42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3,780,7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51.54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01,405.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1,449,</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824,08</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7.00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315,877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,885.28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-1,702,1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94.07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52,287,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909.42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396,432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,966.42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3,780,7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51.54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01,405.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90,169.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7,801,4</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38.25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68,890,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747.35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-621,85</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5.92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76,160,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499.31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90,169.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94,090,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073.34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-621,85</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5.92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93,558,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387.05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7,801,4</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38.25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-25,199,</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325.99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-17,397,</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887.74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7,801,4</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38.25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-7,801,4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38.25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-17,397,</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887.74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-17,397,</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887.74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1,449,</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824,08</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7.00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315,877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,885.28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-1,612,0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24.44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60,089,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347.67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465,323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,713.77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3,158,8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95.62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61,904.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r>
    </w:tbl>
    <w:p>
      <w:pPr>
        <w:pStyle w:val="BodyText"/>
        <w:spacing w:line="240" w:lineRule="auto" w:before="51"/>
        <w:ind w:right="0"/>
        <w:jc w:val="left"/>
      </w:pPr>
      <w:r>
        <w:rPr/>
        <w:t>上期金额</w:t>
      </w:r>
    </w:p>
    <w:p>
      <w:pPr>
        <w:pStyle w:val="BodyText"/>
        <w:spacing w:line="240" w:lineRule="auto" w:before="117"/>
        <w:ind w:left="0" w:right="113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8" w:type="dxa"/>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579,92</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9,635.</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1,185,7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72,337.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-1,913,8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61.77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43,307,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028.21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337,159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,052.64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4,388,6</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26.14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2,148,6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42,817.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579,92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9,635.</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72,337.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-1,913,8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61.77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43,307,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028.21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337,159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,052.64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4,388,6</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26.14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42,817.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869,89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4,452.</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-869,89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4,452.0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211,667</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8,980,8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81.21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59,273,</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z w:val="18"/>
              </w:rPr>
              <w:t>913.78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-607,87</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4.60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67,858,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588.09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211,667</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91,451,</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z w:val="18"/>
              </w:rPr>
              <w:t>980.39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-1,107,</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874.60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90,555,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773.49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8,980,8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81.21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-32,178,</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066.61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-23,197,</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185.40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8,980,8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81.21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-8,980,8</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81.21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-23,197,</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185.40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-23,197,</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185.40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869,89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4,452.</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-869,89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4,452.0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869,89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4,452.</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-869,89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4,452.0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142"/>
              <w:jc w:val="left"/>
              <w:rPr>
                <w:rFonts w:ascii="宋体" w:hAnsi="宋体" w:cs="宋体" w:eastAsia="宋体" w:hint="default"/>
                <w:sz w:val="18"/>
                <w:szCs w:val="18"/>
              </w:rPr>
            </w:pPr>
            <w:r>
              <w:rPr>
                <w:rFonts w:ascii="宋体" w:hAnsi="宋体" w:cs="宋体" w:eastAsia="宋体" w:hint="default"/>
                <w:sz w:val="18"/>
                <w:szCs w:val="18"/>
              </w:rPr>
              <w:t>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1,449,</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824,08</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7.00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315,877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,885.28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-1,702,1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94.07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52,287,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909.42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396,432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,966.42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3,780,7</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51.54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2,216,5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01,405.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1,449,82</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4,087.00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315,877,8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85.28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52,287,90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9.42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380,213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,823.60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2,198,203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,705.30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1,449,82</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4,087.00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315,877,8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85.28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52,287,90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9.42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380,213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,823.60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2,198,203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,705.30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7,801,438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52,815,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056.47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60,616,49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4.72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78,014,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382.46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78,014,38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2.46</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7,801,438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-25,199,</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325.99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-17,397,8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87.74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7,801,438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-7,801,4</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38.25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-17,397,</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887.74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-17,397,8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87.74</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1,449,82</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4,087.00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315,877,8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85.28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60,089,34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7.67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433,028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,880.07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2,258,820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,200.02</w:t>
            </w:r>
          </w:p>
        </w:tc>
      </w:tr>
    </w:tbl>
    <w:p>
      <w:pPr>
        <w:pStyle w:val="BodyText"/>
        <w:spacing w:line="240" w:lineRule="auto" w:before="51"/>
        <w:ind w:right="0"/>
        <w:jc w:val="left"/>
      </w:pPr>
      <w:r>
        <w:rPr/>
        <w:t>上期金额</w:t>
      </w:r>
    </w:p>
    <w:p>
      <w:pPr>
        <w:pStyle w:val="BodyText"/>
        <w:spacing w:line="240" w:lineRule="auto" w:before="117"/>
        <w:ind w:left="0" w:right="113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579,929,</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635.00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1,185,772</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,337.28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43,307,02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8.21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322,583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,078.16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2,131,592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,078.65</w:t>
            </w: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10"/>
                <w:sz w:val="18"/>
                <w:szCs w:val="18"/>
              </w:rPr>
              <w:t>加：会计政策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579,929,</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635.00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1,185,772</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,337.28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43,307,02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8.21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322,583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,078.16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2,131,592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,078.65</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869,894,</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452.00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-869,894,</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452.00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8,980,881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57,630,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745.44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66,611,62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6.65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89,808,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812.05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89,808,81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2.05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8,980,881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-32,178,</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066.61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-23,197,1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85.40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8,980,881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-8,980,8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81.21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-23,197,</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185.40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-23,197,1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85.40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869,894,</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452.00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-869,894,</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452.00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869,894,</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452.00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-869,894,</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452.00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1,449,82</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4,087.00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315,877,8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85.28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52,287,90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9.42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380,213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,823.60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2,198,203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,705.30</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3" w:firstLine="289"/>
        <w:jc w:val="both"/>
      </w:pPr>
      <w:r>
        <w:rPr>
          <w:spacing w:val="3"/>
        </w:rPr>
        <w:t>北京北信源软件股份有限公司前身为北京北信源自动化技术有限公司成立于</w:t>
      </w:r>
      <w:r>
        <w:rPr>
          <w:rFonts w:ascii="Times New Roman" w:hAnsi="Times New Roman" w:cs="Times New Roman" w:eastAsia="Times New Roman" w:hint="default"/>
          <w:spacing w:val="3"/>
        </w:rPr>
        <w:t>1996</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28</w:t>
      </w:r>
      <w:r>
        <w:rPr>
          <w:spacing w:val="3"/>
        </w:rPr>
        <w:t>日</w:t>
      </w:r>
      <w:r>
        <w:rPr>
          <w:rFonts w:ascii="Times New Roman" w:hAnsi="Times New Roman" w:cs="Times New Roman" w:eastAsia="Times New Roman" w:hint="default"/>
          <w:spacing w:val="3"/>
        </w:rPr>
        <w:t>,</w:t>
      </w:r>
      <w:r>
        <w:rPr>
          <w:spacing w:val="3"/>
        </w:rPr>
        <w:t>经</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18</w:t>
      </w:r>
      <w:r>
        <w:rPr>
          <w:spacing w:val="3"/>
        </w:rPr>
        <w:t>日召开的</w:t>
      </w:r>
      <w:r>
        <w:rPr>
          <w:spacing w:val="4"/>
        </w:rPr>
        <w:t> </w:t>
      </w:r>
      <w:r>
        <w:rPr>
          <w:rFonts w:ascii="Times New Roman" w:hAnsi="Times New Roman" w:cs="Times New Roman" w:eastAsia="Times New Roman" w:hint="default"/>
        </w:rPr>
        <w:t>2009</w:t>
      </w:r>
      <w:r>
        <w:rPr/>
        <w:t>年第七次股东会审议通过，公司以北信源有限截至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日经审计的净资产</w:t>
      </w:r>
      <w:r>
        <w:rPr>
          <w:rFonts w:ascii="Times New Roman" w:hAnsi="Times New Roman" w:cs="Times New Roman" w:eastAsia="Times New Roman" w:hint="default"/>
        </w:rPr>
        <w:t>6,453.88</w:t>
      </w:r>
      <w:r>
        <w:rPr/>
        <w:t>万元为折股基数</w:t>
      </w:r>
      <w:r>
        <w:rPr>
          <w:rFonts w:ascii="Times New Roman" w:hAnsi="Times New Roman" w:cs="Times New Roman" w:eastAsia="Times New Roman" w:hint="default"/>
        </w:rPr>
        <w:t>,</w:t>
      </w:r>
      <w:r>
        <w:rPr/>
        <w:t>按</w:t>
      </w:r>
      <w:r>
        <w:rPr>
          <w:rFonts w:ascii="Times New Roman" w:hAnsi="Times New Roman" w:cs="Times New Roman" w:eastAsia="Times New Roman" w:hint="default"/>
        </w:rPr>
        <w:t>1:0.7747</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spacing w:val="-1"/>
        </w:rPr>
        <w:t>的折股比例折成股本</w:t>
      </w:r>
      <w:r>
        <w:rPr>
          <w:rFonts w:ascii="Times New Roman" w:hAnsi="Times New Roman" w:cs="Times New Roman" w:eastAsia="Times New Roman" w:hint="default"/>
          <w:spacing w:val="-1"/>
        </w:rPr>
        <w:t>5,000</w:t>
      </w:r>
      <w:r>
        <w:rPr>
          <w:spacing w:val="-1"/>
        </w:rPr>
        <w:t>万股，整体变更为股份有限公司，公司于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12</w:t>
      </w:r>
      <w:r>
        <w:rPr>
          <w:spacing w:val="-1"/>
        </w:rPr>
        <w:t>日在深圳证券交易所上市，截至目前公司注</w:t>
      </w:r>
      <w:r>
        <w:rPr>
          <w:spacing w:val="-68"/>
        </w:rPr>
        <w:t> </w:t>
      </w:r>
      <w:r>
        <w:rPr>
          <w:spacing w:val="-68"/>
        </w:rPr>
      </w:r>
      <w:r>
        <w:rPr/>
        <w:t>册资本</w:t>
      </w:r>
      <w:r>
        <w:rPr>
          <w:rFonts w:ascii="Times New Roman" w:hAnsi="Times New Roman" w:cs="Times New Roman" w:eastAsia="Times New Roman" w:hint="default"/>
        </w:rPr>
        <w:t>144982.4087</w:t>
      </w:r>
      <w:r>
        <w:rPr/>
        <w:t>万元。</w:t>
      </w:r>
    </w:p>
    <w:p>
      <w:pPr>
        <w:pStyle w:val="BodyText"/>
        <w:spacing w:line="316" w:lineRule="auto" w:before="13"/>
        <w:ind w:left="514" w:right="7080"/>
        <w:jc w:val="left"/>
        <w:rPr>
          <w:rFonts w:ascii="Times New Roman" w:hAnsi="Times New Roman" w:cs="Times New Roman" w:eastAsia="Times New Roman" w:hint="default"/>
        </w:rPr>
      </w:pPr>
      <w:r>
        <w:rPr/>
        <w:t>公司法定代表人：林皓。 统一社会信用代码：</w:t>
      </w:r>
      <w:r>
        <w:rPr>
          <w:rFonts w:ascii="Times New Roman" w:hAnsi="Times New Roman" w:cs="Times New Roman" w:eastAsia="Times New Roman" w:hint="default"/>
        </w:rPr>
        <w:t>91110000101967333M</w:t>
      </w:r>
    </w:p>
    <w:p>
      <w:pPr>
        <w:pStyle w:val="BodyText"/>
        <w:spacing w:line="300" w:lineRule="auto"/>
        <w:ind w:left="514" w:right="1030"/>
        <w:jc w:val="left"/>
      </w:pPr>
      <w:r>
        <w:rPr/>
        <w:t>注册地址：北京市海淀区中关村南大街</w:t>
      </w:r>
      <w:r>
        <w:rPr>
          <w:rFonts w:ascii="Times New Roman" w:hAnsi="Times New Roman" w:cs="Times New Roman" w:eastAsia="Times New Roman" w:hint="default"/>
        </w:rPr>
        <w:t>34</w:t>
      </w:r>
      <w:r>
        <w:rPr/>
        <w:t>号中关村科技发展大厦</w:t>
      </w:r>
      <w:r>
        <w:rPr>
          <w:rFonts w:ascii="Times New Roman" w:hAnsi="Times New Roman" w:cs="Times New Roman" w:eastAsia="Times New Roman" w:hint="default"/>
        </w:rPr>
        <w:t>C</w:t>
      </w:r>
      <w:r>
        <w:rPr/>
        <w:t>座</w:t>
      </w:r>
      <w:r>
        <w:rPr>
          <w:rFonts w:ascii="Times New Roman" w:hAnsi="Times New Roman" w:cs="Times New Roman" w:eastAsia="Times New Roman" w:hint="default"/>
        </w:rPr>
        <w:t>1602</w:t>
      </w:r>
      <w:r>
        <w:rPr/>
        <w:t>室。 本公司主要经营范围：计算机系统服务；数据处理；基础软件服务；应用软件服务；计算机软硬件及通信设备的研发、</w:t>
      </w:r>
    </w:p>
    <w:p>
      <w:pPr>
        <w:pStyle w:val="BodyText"/>
        <w:spacing w:line="314" w:lineRule="auto" w:before="31"/>
        <w:ind w:right="1030"/>
        <w:jc w:val="left"/>
      </w:pPr>
      <w:r>
        <w:rPr/>
        <w:t>技术推广、技术转让、技术培训、维修、咨询、服务、销售；计算机软硬件的生产、组装；复制记录媒介（不含出版物）； </w:t>
      </w:r>
      <w:r>
        <w:rPr>
          <w:spacing w:val="-2"/>
        </w:rPr>
        <w:t>技术进出口、货物进出口、代理进出口；销售计算机信息系统安全专用产品、经国家密码管理局审批并通过指定检测机构产</w:t>
      </w:r>
      <w:r>
        <w:rPr>
          <w:spacing w:val="-66"/>
        </w:rPr>
        <w:t> </w:t>
      </w:r>
      <w:r>
        <w:rPr>
          <w:spacing w:val="-66"/>
        </w:rPr>
      </w:r>
      <w:r>
        <w:rPr>
          <w:spacing w:val="-2"/>
        </w:rPr>
        <w:t>品质量检测的商用密码产品；经国家密码管理机构批准的商用密码产品的开发；第二类增值电信业务中的信息服务业务（不</w:t>
      </w:r>
      <w:r>
        <w:rPr>
          <w:spacing w:val="-66"/>
        </w:rPr>
        <w:t> </w:t>
      </w:r>
      <w:r>
        <w:rPr>
          <w:spacing w:val="-66"/>
        </w:rPr>
      </w:r>
      <w:r>
        <w:rPr/>
        <w:t>含固定网电话信息服务）。（企业依法自主选择经营项目，开展经营活动</w:t>
      </w:r>
      <w:r>
        <w:rPr>
          <w:rFonts w:ascii="Times New Roman" w:hAnsi="Times New Roman" w:cs="Times New Roman" w:eastAsia="Times New Roman" w:hint="default"/>
        </w:rPr>
        <w:t>;</w:t>
      </w:r>
      <w:r>
        <w:rPr/>
        <w:t>第二类增值电信业务中的信息服务业务以及依法</w:t>
      </w:r>
      <w:r>
        <w:rPr>
          <w:spacing w:val="-49"/>
        </w:rPr>
        <w:t> </w:t>
      </w:r>
      <w:r>
        <w:rPr>
          <w:spacing w:val="-49"/>
        </w:rPr>
      </w:r>
      <w:r>
        <w:rPr/>
        <w:t>须经批准的项目，经相关部门批准后依批准的内容开展经营活动；不得从事本市产业政策禁止和限制类项目的经营活动。）</w:t>
      </w:r>
    </w:p>
    <w:p>
      <w:pPr>
        <w:pStyle w:val="BodyText"/>
        <w:spacing w:line="300" w:lineRule="auto" w:before="20"/>
        <w:ind w:left="514" w:right="0"/>
        <w:jc w:val="left"/>
      </w:pPr>
      <w:r>
        <w:rPr/>
        <w:t>本财务报表业经公司董事会于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日决议批准报出。 本公司</w:t>
      </w:r>
      <w:r>
        <w:rPr>
          <w:rFonts w:ascii="Times New Roman" w:hAnsi="Times New Roman" w:cs="Times New Roman" w:eastAsia="Times New Roman" w:hint="default"/>
        </w:rPr>
        <w:t>2018</w:t>
      </w:r>
      <w:r>
        <w:rPr/>
        <w:t>年度纳入合并范围的子公司共</w:t>
      </w:r>
      <w:r>
        <w:rPr>
          <w:rFonts w:ascii="Times New Roman" w:hAnsi="Times New Roman" w:cs="Times New Roman" w:eastAsia="Times New Roman" w:hint="default"/>
        </w:rPr>
        <w:t>9</w:t>
      </w:r>
      <w:r>
        <w:rPr/>
        <w:t>户，详见本附注九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。本公司本年度合并范围比上年度</w:t>
      </w:r>
    </w:p>
    <w:p>
      <w:pPr>
        <w:pStyle w:val="BodyText"/>
        <w:spacing w:line="240" w:lineRule="auto" w:before="13"/>
        <w:ind w:right="0"/>
        <w:jc w:val="left"/>
      </w:pPr>
      <w:r>
        <w:rPr/>
        <w:t>增加</w:t>
      </w:r>
      <w:r>
        <w:rPr>
          <w:rFonts w:ascii="Times New Roman" w:hAnsi="Times New Roman" w:cs="Times New Roman" w:eastAsia="Times New Roman" w:hint="default"/>
        </w:rPr>
        <w:t>1</w:t>
      </w:r>
      <w:r>
        <w:rPr/>
        <w:t>户，详见本附注八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right="0"/>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54" w:right="0"/>
        <w:jc w:val="left"/>
      </w:pPr>
      <w:r>
        <w:rPr>
          <w:spacing w:val="-3"/>
        </w:rPr>
        <w:t>本公司财务报表以持续经营假设为基础，根据实际发生的交易和事项，按照财政部发布的《企业会计准则</w:t>
      </w:r>
      <w:r>
        <w:rPr>
          <w:rFonts w:ascii="Times New Roman" w:hAnsi="Times New Roman" w:cs="Times New Roman" w:eastAsia="Times New Roman" w:hint="default"/>
          <w:spacing w:val="-3"/>
        </w:rPr>
        <w:t>——</w:t>
      </w:r>
      <w:r>
        <w:rPr>
          <w:spacing w:val="-3"/>
        </w:rPr>
        <w:t>基本准则》</w:t>
      </w:r>
    </w:p>
    <w:p>
      <w:pPr>
        <w:pStyle w:val="BodyText"/>
        <w:spacing w:line="300" w:lineRule="auto" w:before="63"/>
        <w:ind w:right="1128"/>
        <w:jc w:val="both"/>
      </w:pPr>
      <w:r>
        <w:rPr/>
        <w:t>（财政部令第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42</w:t>
      </w:r>
      <w:r>
        <w:rPr/>
        <w:t>项具体会计准则、企业会计准则</w:t>
      </w:r>
      <w:r>
        <w:rPr>
          <w:spacing w:val="-83"/>
        </w:rPr>
        <w:t> </w:t>
      </w:r>
      <w:r>
        <w:rPr>
          <w:spacing w:val="-83"/>
        </w:rPr>
      </w:r>
      <w:r>
        <w:rPr>
          <w:spacing w:val="-2"/>
        </w:rPr>
        <w:t>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w:t>
      </w:r>
      <w:r>
        <w:rPr>
          <w:spacing w:val="-42"/>
        </w:rPr>
        <w:t> </w:t>
      </w:r>
      <w:r>
        <w:rPr>
          <w:spacing w:val="-42"/>
        </w:rPr>
      </w:r>
      <w:r>
        <w:rPr/>
        <w:t>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财务报告的一般规定》的披露规定编制。</w:t>
      </w:r>
    </w:p>
    <w:p>
      <w:pPr>
        <w:pStyle w:val="BodyText"/>
        <w:spacing w:line="316" w:lineRule="auto" w:before="13"/>
        <w:ind w:right="1129" w:firstLine="300"/>
        <w:jc w:val="both"/>
      </w:pPr>
      <w:r>
        <w:rPr>
          <w:spacing w:val="-1"/>
        </w:rPr>
        <w:t>根据企业会计准则的相关规定，本公司会计核算以权责发生制为基础。除某些金融工具外，本财务报表均以历史成本为</w:t>
      </w:r>
      <w:r>
        <w:rPr/>
        <w:t> 计量基础。资产如果发生减值，则按照相关规定计提相应的减值准备。</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371" w:right="0"/>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after="0" w:line="240" w:lineRule="auto"/>
        <w:jc w:val="left"/>
        <w:sectPr>
          <w:pgSz w:w="11910" w:h="16840"/>
          <w:pgMar w:header="747" w:footer="1190" w:top="1060" w:bottom="138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3" w:right="7691"/>
        <w:jc w:val="left"/>
      </w:pPr>
      <w:r>
        <w:rPr/>
        <w:t>公司是否需要遵守特殊行业的披露要求 是</w:t>
      </w:r>
    </w:p>
    <w:p>
      <w:pPr>
        <w:pStyle w:val="BodyText"/>
        <w:spacing w:line="357" w:lineRule="auto" w:before="29"/>
        <w:ind w:left="153" w:right="8231"/>
        <w:jc w:val="left"/>
      </w:pPr>
      <w:r>
        <w:rPr/>
        <w:t>软件与信息技术服务业 具体会计政策和会计估计提示：</w:t>
      </w:r>
    </w:p>
    <w:p>
      <w:pPr>
        <w:pStyle w:val="BodyText"/>
        <w:spacing w:line="309" w:lineRule="auto" w:before="26"/>
        <w:ind w:left="153" w:right="0" w:firstLine="380"/>
        <w:jc w:val="left"/>
      </w:pPr>
      <w:r>
        <w:rPr/>
        <w:t>本公司及各子公司从事软件行业研发、生产和销售。本公司及各子公司根据实际生产经营特点，依据相关企业会计准 </w:t>
      </w:r>
      <w:r>
        <w:rPr>
          <w:spacing w:val="-2"/>
        </w:rPr>
        <w:t>则的规定，对收入确认等交易和事项制定了若干项具体会计政策和会计估计，详见本附注五、</w:t>
      </w:r>
      <w:r>
        <w:rPr>
          <w:rFonts w:ascii="Times New Roman" w:hAnsi="Times New Roman" w:cs="Times New Roman" w:eastAsia="Times New Roman" w:hint="default"/>
          <w:spacing w:val="-2"/>
        </w:rPr>
        <w:t>26“</w:t>
      </w:r>
      <w:r>
        <w:rPr>
          <w:spacing w:val="-2"/>
        </w:rPr>
        <w:t>收入</w:t>
      </w:r>
      <w:r>
        <w:rPr>
          <w:rFonts w:ascii="Times New Roman" w:hAnsi="Times New Roman" w:cs="Times New Roman" w:eastAsia="Times New Roman" w:hint="default"/>
          <w:spacing w:val="-2"/>
        </w:rPr>
        <w:t>”</w:t>
      </w:r>
      <w:r>
        <w:rPr>
          <w:spacing w:val="-2"/>
        </w:rPr>
        <w:t>等各项描述。关于管</w:t>
      </w:r>
      <w:r>
        <w:rPr>
          <w:spacing w:val="-42"/>
        </w:rPr>
        <w:t> </w:t>
      </w:r>
      <w:r>
        <w:rPr>
          <w:spacing w:val="-42"/>
        </w:rPr>
      </w:r>
      <w:r>
        <w:rPr/>
        <w:t>理层所作出的重大会计判断和估计的说明，请参阅附注五、</w:t>
      </w:r>
      <w:r>
        <w:rPr>
          <w:rFonts w:ascii="Times New Roman" w:hAnsi="Times New Roman" w:cs="Times New Roman" w:eastAsia="Times New Roman" w:hint="default"/>
        </w:rPr>
        <w:t>30“</w:t>
      </w:r>
      <w:r>
        <w:rPr/>
        <w:t>重大会计判断和估计</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0" w:firstLine="380"/>
        <w:jc w:val="left"/>
      </w:pPr>
      <w:r>
        <w:rPr/>
        <w:t>本公司编制的财务报表符合企业会计准则的要求，真实、完整地反映了本公司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日的财务状况及</w:t>
      </w:r>
      <w:r>
        <w:rPr>
          <w:rFonts w:ascii="Times New Roman" w:hAnsi="Times New Roman" w:cs="Times New Roman" w:eastAsia="Times New Roman" w:hint="default"/>
        </w:rPr>
        <w:t>2018</w:t>
      </w:r>
      <w:r>
        <w:rPr/>
        <w:t>年度 </w:t>
      </w:r>
      <w:r>
        <w:rPr>
          <w:spacing w:val="-2"/>
        </w:rPr>
        <w:t>的经营成果和现金流量等有关信息。此外，本公司的财务报表在所有重大方面符合中国证券监督管理委员会《公开发行证券</w:t>
      </w:r>
      <w:r>
        <w:rPr>
          <w:spacing w:val="-66"/>
        </w:rPr>
        <w:t> </w:t>
      </w:r>
      <w:r>
        <w:rPr>
          <w:spacing w:val="-66"/>
        </w:rPr>
      </w:r>
      <w:r>
        <w:rPr/>
        <w:t>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030" w:firstLine="360"/>
        <w:jc w:val="left"/>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0" w:firstLine="360"/>
        <w:jc w:val="left"/>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w:t>
      </w:r>
      <w:r>
        <w:rPr>
          <w:spacing w:val="2"/>
        </w:rPr>
        <w:t> </w:t>
      </w:r>
      <w:r>
        <w:rPr/>
        <w:t>期，并以其作为资产和负债的流动性划分标准。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0" w:firstLine="380"/>
        <w:jc w:val="left"/>
      </w:pPr>
      <w:r>
        <w:rPr/>
        <w:t>人民币为本公司及境内子公司经营所处的主要经济环境中的货币，本公司及境内子公司以人民币为记账本位币。本公 </w:t>
      </w:r>
      <w:r>
        <w:rPr>
          <w:spacing w:val="-2"/>
        </w:rPr>
        <w:t>司之境外子公司根据其经营所处的主要经济环境中的货币确定马币及美元为其记账本位币。本公司编制本财务报表时所采用</w:t>
      </w:r>
      <w:r>
        <w:rPr>
          <w:spacing w:val="-64"/>
        </w:rPr>
        <w:t> </w:t>
      </w:r>
      <w:r>
        <w:rPr>
          <w:spacing w:val="-64"/>
        </w:rPr>
      </w:r>
      <w:r>
        <w:rPr/>
        <w:t>的货币为人民币。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6" w:right="0" w:firstLine="360"/>
        <w:jc w:val="left"/>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00" w:lineRule="auto" w:before="19"/>
        <w:ind w:left="527" w:right="0" w:hanging="83"/>
        <w:jc w:val="left"/>
      </w:pPr>
      <w:r>
        <w:rPr/>
        <w:t>（</w:t>
      </w:r>
      <w:r>
        <w:rPr>
          <w:rFonts w:ascii="Times New Roman" w:hAnsi="Times New Roman" w:cs="Times New Roman" w:eastAsia="Times New Roman" w:hint="default"/>
        </w:rPr>
        <w:t>1</w:t>
      </w:r>
      <w:r>
        <w:rPr/>
        <w:t>）同一控制下企业合并 参与合并的企业在合并前后均受同一方或相同的多方最终控制，且该控制并非暂时性的，为同一控制下的企业合并。</w:t>
      </w:r>
    </w:p>
    <w:p>
      <w:pPr>
        <w:pStyle w:val="BodyText"/>
        <w:spacing w:line="240" w:lineRule="auto" w:before="31"/>
        <w:ind w:right="0"/>
        <w:jc w:val="left"/>
      </w:pPr>
      <w:r>
        <w:rPr/>
        <w:t>同一控制下的企业合并，在合并日取得对其他参与合并企业控制权的一方为合并方，参与合并的其他企业为被合并方。合并</w:t>
      </w:r>
    </w:p>
    <w:p>
      <w:pPr>
        <w:spacing w:after="0" w:line="240" w:lineRule="auto"/>
        <w:jc w:val="left"/>
        <w:sectPr>
          <w:footerReference w:type="default" r:id="rId17"/>
          <w:pgSz w:w="11910" w:h="16840"/>
          <w:pgMar w:footer="1190" w:header="747" w:top="1060" w:bottom="13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27" w:right="0" w:hanging="374"/>
        <w:jc w:val="left"/>
      </w:pPr>
      <w:r>
        <w:rPr/>
        <w:t>日，是指合并方实际取得对被合并方控制权的日期。 合并方取得的资产和负债均按合并日在被合并方的账面价值计量。合并方取得的净资产账面价值与支付的合并对价账</w:t>
      </w:r>
    </w:p>
    <w:p>
      <w:pPr>
        <w:pStyle w:val="BodyText"/>
        <w:spacing w:line="316" w:lineRule="auto" w:before="19"/>
        <w:ind w:left="527" w:right="0" w:hanging="374"/>
        <w:jc w:val="left"/>
      </w:pPr>
      <w:r>
        <w:rPr>
          <w:spacing w:val="-4"/>
        </w:rPr>
        <w:t>面价值（或发行股份面值总额）的差额，调整资本公积（股本溢价）；资本公积（股本溢价）不足以冲减的，调整留存收益。</w:t>
      </w:r>
      <w:r>
        <w:rPr>
          <w:spacing w:val="-50"/>
        </w:rPr>
        <w:t> </w:t>
      </w:r>
      <w:r>
        <w:rPr>
          <w:spacing w:val="-50"/>
        </w:rPr>
      </w:r>
      <w:r>
        <w:rPr/>
        <w:t>合并方为进行企业合并发生的各项直接费用，于发生时计入当期损益。</w:t>
      </w:r>
    </w:p>
    <w:p>
      <w:pPr>
        <w:pStyle w:val="BodyText"/>
        <w:spacing w:line="300" w:lineRule="auto" w:before="19"/>
        <w:ind w:left="527" w:right="0" w:hanging="74"/>
        <w:jc w:val="left"/>
      </w:pPr>
      <w:r>
        <w:rPr/>
        <w:t>（</w:t>
      </w:r>
      <w:r>
        <w:rPr>
          <w:rFonts w:ascii="Times New Roman" w:hAnsi="Times New Roman" w:cs="Times New Roman" w:eastAsia="Times New Roman" w:hint="default"/>
        </w:rPr>
        <w:t>2</w:t>
      </w:r>
      <w:r>
        <w:rPr/>
        <w:t>）非同一控制下企业合并 参与合并的企业在合并前后不受同一方或相同的多方最终控制的，为非同一控制下的企业合并。非同一控制下的企业</w:t>
      </w:r>
    </w:p>
    <w:p>
      <w:pPr>
        <w:pStyle w:val="BodyText"/>
        <w:spacing w:line="316" w:lineRule="auto" w:before="31"/>
        <w:ind w:right="0"/>
        <w:jc w:val="left"/>
      </w:pPr>
      <w:r>
        <w:rPr>
          <w:spacing w:val="-2"/>
        </w:rPr>
        <w:t>合并，在购买日取得对其他参与合并企业控制权的一方为购买方，参与合并的其他企业为被购买方。购买日，是指为购买方</w:t>
      </w:r>
      <w:r>
        <w:rPr>
          <w:spacing w:val="-66"/>
        </w:rPr>
        <w:t> </w:t>
      </w:r>
      <w:r>
        <w:rPr>
          <w:spacing w:val="-66"/>
        </w:rPr>
      </w:r>
      <w:r>
        <w:rPr/>
        <w:t>实际取得对被购买方控制权的日期。</w:t>
      </w:r>
    </w:p>
    <w:p>
      <w:pPr>
        <w:pStyle w:val="BodyText"/>
        <w:spacing w:line="316" w:lineRule="auto" w:before="19"/>
        <w:ind w:right="1129" w:firstLine="373"/>
        <w:jc w:val="both"/>
      </w:pPr>
      <w:r>
        <w:rPr/>
        <w:t>对于非同一控制下的企业合并，合并成本包含购买日购买方为取得对被购买方的控制权而付出的资产、发生或承担的 </w:t>
      </w:r>
      <w:r>
        <w:rPr>
          <w:spacing w:val="-2"/>
        </w:rPr>
        <w:t>负债以及发行的权益性证券的公允价值，为企业合并发生的审计、法律服务、评估咨询等中介费用以及其他管理费用于发生</w:t>
      </w:r>
      <w:r>
        <w:rPr>
          <w:spacing w:val="-66"/>
        </w:rPr>
        <w:t> </w:t>
      </w:r>
      <w:r>
        <w:rPr>
          <w:spacing w:val="-66"/>
        </w:rPr>
      </w:r>
      <w:r>
        <w:rPr>
          <w:spacing w:val="-2"/>
        </w:rPr>
        <w:t>时计入当期损益。购买方作为合并对价发行的权益性证券或债务性证券的交易费用，计入权益性证券或债务性证券的初始确</w:t>
      </w:r>
      <w:r>
        <w:rPr>
          <w:spacing w:val="-64"/>
        </w:rPr>
        <w:t> </w:t>
      </w:r>
      <w:r>
        <w:rPr>
          <w:spacing w:val="-64"/>
        </w:rPr>
      </w:r>
      <w:r>
        <w:rPr>
          <w:spacing w:val="-2"/>
        </w:rPr>
        <w:t>认金额。所涉及的或有对价按其在购买日的公允价值计入合并成本，购买日后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w:t>
      </w:r>
      <w:r>
        <w:rPr>
          <w:spacing w:val="-62"/>
        </w:rPr>
        <w:t> </w:t>
      </w:r>
      <w:r>
        <w:rPr>
          <w:spacing w:val="-2"/>
        </w:rPr>
        <w:t>一步证据而需要调整或有对价的，相应调整合并商誉。购买方发生的合并成本及在合并中取得的可辨认净资产按购买日的公</w:t>
      </w:r>
      <w:r>
        <w:rPr>
          <w:spacing w:val="-64"/>
        </w:rPr>
        <w:t> </w:t>
      </w:r>
      <w:r>
        <w:rPr>
          <w:spacing w:val="-64"/>
        </w:rPr>
      </w:r>
      <w:r>
        <w:rPr>
          <w:spacing w:val="-2"/>
        </w:rPr>
        <w:t>允价值计量。合并成本大于合并中取得的被购买方于购买日可辨认净资产公允价值份额的差额，确认为商誉。合并成本小于</w:t>
      </w:r>
      <w:r>
        <w:rPr>
          <w:spacing w:val="-66"/>
        </w:rPr>
        <w:t> </w:t>
      </w:r>
      <w:r>
        <w:rPr>
          <w:spacing w:val="-66"/>
        </w:rPr>
      </w:r>
      <w:r>
        <w:rPr>
          <w:spacing w:val="-2"/>
        </w:rPr>
        <w:t>合并中取得的被购买方可辨认净资产公允价值份额的，首先对取得的被购买方各项可辨认资产、负债及或有负债的公允价值</w:t>
      </w:r>
      <w:r>
        <w:rPr>
          <w:spacing w:val="-64"/>
        </w:rPr>
        <w:t> </w:t>
      </w:r>
      <w:r>
        <w:rPr>
          <w:spacing w:val="-64"/>
        </w:rPr>
      </w:r>
      <w:r>
        <w:rPr>
          <w:spacing w:val="-2"/>
        </w:rPr>
        <w:t>以及合并成本的计量进行复核，复核后合并成本仍小于合并中取得的被购买方可辨认净资产公允价值份额的，其差额计入当</w:t>
      </w:r>
      <w:r>
        <w:rPr>
          <w:spacing w:val="-64"/>
        </w:rPr>
        <w:t> </w:t>
      </w:r>
      <w:r>
        <w:rPr>
          <w:spacing w:val="-64"/>
        </w:rPr>
      </w:r>
      <w:r>
        <w:rPr/>
        <w:t>期损益。</w:t>
      </w:r>
    </w:p>
    <w:p>
      <w:pPr>
        <w:pStyle w:val="BodyText"/>
        <w:spacing w:line="312" w:lineRule="auto" w:before="19"/>
        <w:ind w:right="1129" w:firstLine="373"/>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00" w:lineRule="auto" w:before="22"/>
        <w:ind w:right="1027" w:firstLine="373"/>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的，参考本部分前面各段描述及本附注五、</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3"/>
        <w:ind w:right="1129" w:firstLine="373"/>
        <w:jc w:val="both"/>
      </w:pPr>
      <w:r>
        <w:rPr/>
        <w:t>在个别财务报表中，以购买日之前所持被购买方的股权投资的账面价值与购买日新增投资成本之和，作为该项投资的 </w:t>
      </w:r>
      <w:r>
        <w:rPr>
          <w:spacing w:val="-2"/>
        </w:rPr>
        <w:t>初始投资成本；购买日之前持有的被购买方的股权涉及其他综合收益的，在处置该项投资时将与其相关的其他综合收益采用</w:t>
      </w:r>
      <w:r>
        <w:rPr>
          <w:spacing w:val="-64"/>
        </w:rPr>
        <w:t> </w:t>
      </w:r>
      <w:r>
        <w:rPr>
          <w:spacing w:val="-64"/>
        </w:rPr>
      </w:r>
      <w:r>
        <w:rPr>
          <w:spacing w:val="-2"/>
        </w:rPr>
        <w:t>与被购买方直接处置相关资产或负债相同的基础进行会计处理（即，除了按照权益法核算的在被购买方重新计量设定受益计</w:t>
      </w:r>
      <w:r>
        <w:rPr>
          <w:spacing w:val="-64"/>
        </w:rPr>
        <w:t> </w:t>
      </w:r>
      <w:r>
        <w:rPr>
          <w:spacing w:val="-64"/>
        </w:rPr>
      </w:r>
      <w:r>
        <w:rPr/>
        <w:t>划净负债或净资产导致的变动中的相应份额以外，其余转入当期投资收益）。</w:t>
      </w:r>
    </w:p>
    <w:p>
      <w:pPr>
        <w:pStyle w:val="BodyText"/>
        <w:spacing w:line="316" w:lineRule="auto" w:before="19"/>
        <w:ind w:right="1129" w:firstLine="373"/>
        <w:jc w:val="both"/>
      </w:pPr>
      <w:r>
        <w:rPr/>
        <w:t>在合并财务报表中，对于购买日之前持有的被购买方的股权，按照该股权在购买日的公允价值进行重新计量，公允价 </w:t>
      </w:r>
      <w:r>
        <w:rPr>
          <w:spacing w:val="-2"/>
        </w:rPr>
        <w:t>值与其账面价值的差额计入当期投资收益；购买日之前持有的被购买方的股权涉及其他综合收益的，与其相关的其他综合收</w:t>
      </w:r>
      <w:r>
        <w:rPr>
          <w:spacing w:val="-64"/>
        </w:rPr>
        <w:t> </w:t>
      </w:r>
      <w:r>
        <w:rPr>
          <w:spacing w:val="-64"/>
        </w:rPr>
      </w:r>
      <w:r>
        <w:rPr>
          <w:spacing w:val="-2"/>
        </w:rPr>
        <w:t>益应当采用与被购买方直接处置相关资产或负债相同的基础进行会计处理（即，除了按照权益法核算的在被购买方重新计量</w:t>
      </w:r>
      <w:r>
        <w:rPr>
          <w:spacing w:val="-64"/>
        </w:rPr>
        <w:t> </w:t>
      </w:r>
      <w:r>
        <w:rPr>
          <w:spacing w:val="-64"/>
        </w:rPr>
      </w:r>
      <w:r>
        <w:rPr/>
        <w:t>设定受益计划净负债或净资产导致的变动中的相应份额以外，其余转为购买日所属当期投资收益）。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27" w:right="0" w:hanging="156"/>
        <w:jc w:val="left"/>
      </w:pPr>
      <w:r>
        <w:rPr/>
        <w:t>（</w:t>
      </w:r>
      <w:r>
        <w:rPr>
          <w:rFonts w:ascii="Times New Roman" w:hAnsi="Times New Roman" w:cs="Times New Roman" w:eastAsia="Times New Roman" w:hint="default"/>
        </w:rPr>
        <w:t>1</w:t>
      </w:r>
      <w:r>
        <w:rPr/>
        <w:t>）合并财务报表范围的确定原则 合并财务报表的合并范围以控制为基础予以确定。控制是指本公司拥有对被投资方的权力，通过参与被投资方的相关</w:t>
      </w:r>
    </w:p>
    <w:p>
      <w:pPr>
        <w:pStyle w:val="BodyText"/>
        <w:spacing w:line="316" w:lineRule="auto" w:before="31"/>
        <w:ind w:right="0"/>
        <w:jc w:val="left"/>
      </w:pPr>
      <w:r>
        <w:rPr>
          <w:spacing w:val="-2"/>
        </w:rPr>
        <w:t>活动而享有可变回报，并且有能力运用对被投资方的权力影响该回报金额。合并范围包括本公司及全部子公司。子公司，是</w:t>
      </w:r>
      <w:r>
        <w:rPr>
          <w:spacing w:val="-66"/>
        </w:rPr>
        <w:t> </w:t>
      </w:r>
      <w:r>
        <w:rPr>
          <w:spacing w:val="-66"/>
        </w:rPr>
      </w:r>
      <w:r>
        <w:rPr/>
        <w:t>指被本公司控制的主体。</w:t>
      </w:r>
    </w:p>
    <w:p>
      <w:pPr>
        <w:pStyle w:val="BodyText"/>
        <w:spacing w:line="240" w:lineRule="auto" w:before="19"/>
        <w:ind w:left="527" w:right="0"/>
        <w:jc w:val="left"/>
      </w:pPr>
      <w:r>
        <w:rPr/>
        <w:t>一旦相关事实和情况的变化导致上述控制定义涉及的相关要素发生了变化，本公司将进行重新评估。</w:t>
      </w:r>
    </w:p>
    <w:p>
      <w:pPr>
        <w:pStyle w:val="BodyText"/>
        <w:spacing w:line="300" w:lineRule="auto" w:before="76"/>
        <w:ind w:left="527" w:right="0" w:hanging="74"/>
        <w:jc w:val="left"/>
      </w:pPr>
      <w:r>
        <w:rPr/>
        <w:t>（</w:t>
      </w:r>
      <w:r>
        <w:rPr>
          <w:rFonts w:ascii="Times New Roman" w:hAnsi="Times New Roman" w:cs="Times New Roman" w:eastAsia="Times New Roman" w:hint="default"/>
        </w:rPr>
        <w:t>2</w:t>
      </w:r>
      <w:r>
        <w:rPr/>
        <w:t>）合并财务报表编制的方法 从取得子公司的净资产和生产经营决策的实际控制权之日起，本公司开始将其纳入合并范围；从丧失实际控制权之日</w:t>
      </w:r>
    </w:p>
    <w:p>
      <w:pPr>
        <w:pStyle w:val="BodyText"/>
        <w:spacing w:line="240" w:lineRule="auto" w:before="31"/>
        <w:ind w:right="0"/>
        <w:jc w:val="left"/>
      </w:pPr>
      <w:r>
        <w:rPr/>
        <w:t>起停止纳入合并范围。对于处置的子公司，处置日前的经营成果和现金流量已经适当地包括在合并利润表和合并现金流量表</w:t>
      </w:r>
    </w:p>
    <w:p>
      <w:pPr>
        <w:spacing w:after="0" w:line="240" w:lineRule="auto"/>
        <w:jc w:val="left"/>
        <w:sectPr>
          <w:footerReference w:type="default" r:id="rId18"/>
          <w:pgSz w:w="11910" w:h="16840"/>
          <w:pgMar w:footer="1190" w:header="747" w:top="1060" w:bottom="1380" w:left="980" w:right="0"/>
          <w:pgNumType w:start="101"/>
        </w:sectPr>
      </w:pPr>
    </w:p>
    <w:p>
      <w:pPr>
        <w:spacing w:line="240" w:lineRule="auto" w:before="12"/>
        <w:rPr>
          <w:rFonts w:ascii="宋体" w:hAnsi="宋体" w:cs="宋体" w:eastAsia="宋体" w:hint="default"/>
          <w:sz w:val="25"/>
          <w:szCs w:val="25"/>
        </w:rPr>
      </w:pPr>
    </w:p>
    <w:p>
      <w:pPr>
        <w:pStyle w:val="BodyText"/>
        <w:spacing w:line="316" w:lineRule="auto" w:before="44"/>
        <w:ind w:right="1129"/>
        <w:jc w:val="both"/>
      </w:pPr>
      <w:r>
        <w:rPr>
          <w:spacing w:val="-2"/>
        </w:rPr>
        <w:t>中；当期处置的子公司，不调整合并资产负债表的期初数。非同一控制下企业合并增加的子公司，其购买日后的经营成果及</w:t>
      </w:r>
      <w:r>
        <w:rPr>
          <w:spacing w:val="-66"/>
        </w:rPr>
        <w:t> </w:t>
      </w:r>
      <w:r>
        <w:rPr>
          <w:spacing w:val="-66"/>
        </w:rPr>
      </w:r>
      <w:r>
        <w:rPr>
          <w:spacing w:val="-2"/>
        </w:rPr>
        <w:t>现金流量已经适当地包括在合并利润表和合并现金流量表中，且不调整合并财务报表的期初数和对比数。同一控制下企业合</w:t>
      </w:r>
      <w:r>
        <w:rPr>
          <w:spacing w:val="-64"/>
        </w:rPr>
        <w:t> </w:t>
      </w:r>
      <w:r>
        <w:rPr>
          <w:spacing w:val="-64"/>
        </w:rPr>
      </w:r>
      <w:r>
        <w:rPr>
          <w:spacing w:val="-2"/>
        </w:rPr>
        <w:t>并增加的子公司其自合并当期期初至合并日的经营成果和现金流量已经适当地包括在合并利润表和合并现金流量表中，并且</w:t>
      </w:r>
      <w:r>
        <w:rPr>
          <w:spacing w:val="-64"/>
        </w:rPr>
        <w:t> </w:t>
      </w:r>
      <w:r>
        <w:rPr>
          <w:spacing w:val="-64"/>
        </w:rPr>
      </w:r>
      <w:r>
        <w:rPr/>
        <w:t>同时调整合并财务报表的对比数。</w:t>
      </w:r>
    </w:p>
    <w:p>
      <w:pPr>
        <w:pStyle w:val="BodyText"/>
        <w:spacing w:line="316" w:lineRule="auto" w:before="19"/>
        <w:ind w:right="1129" w:firstLine="373"/>
        <w:jc w:val="both"/>
      </w:pPr>
      <w:r>
        <w:rPr/>
        <w:t>在编制合并财务报表时，子公司与本公司采用的会计政策或会计期间不一致的，按照本公司的会计政策和会计期间对 </w:t>
      </w:r>
      <w:r>
        <w:rPr>
          <w:spacing w:val="-2"/>
        </w:rPr>
        <w:t>子公司财务报表进行必要的调整。对于非同一控制下企业合并取得的子公司，以购买日可辨认净资产公允价值为基础对其财</w:t>
      </w:r>
      <w:r>
        <w:rPr>
          <w:spacing w:val="-64"/>
        </w:rPr>
        <w:t> </w:t>
      </w:r>
      <w:r>
        <w:rPr>
          <w:spacing w:val="-64"/>
        </w:rPr>
      </w:r>
      <w:r>
        <w:rPr/>
        <w:t>务报表进行调整。</w:t>
      </w:r>
    </w:p>
    <w:p>
      <w:pPr>
        <w:pStyle w:val="BodyText"/>
        <w:spacing w:line="316" w:lineRule="auto" w:before="19"/>
        <w:ind w:left="527" w:right="0"/>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9"/>
        <w:ind w:right="1129"/>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9"/>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7"/>
        </w:rPr>
        <w:t> </w:t>
      </w:r>
      <w:r>
        <w:rPr>
          <w:spacing w:val="-77"/>
        </w:rPr>
      </w:r>
      <w:r>
        <w:rPr/>
        <w:t>股东权益。</w:t>
      </w:r>
    </w:p>
    <w:p>
      <w:pPr>
        <w:pStyle w:val="BodyText"/>
        <w:spacing w:line="312" w:lineRule="auto" w:before="31"/>
        <w:ind w:right="0" w:firstLine="373"/>
        <w:jc w:val="left"/>
      </w:pPr>
      <w:r>
        <w:rPr/>
        <w:t>当因处置部分股权投资或其他原因丧失了对原有子公司的控制权时，对于剩余股权，按照其在丧失控制权日的公允价 </w:t>
      </w:r>
      <w:r>
        <w:rPr>
          <w:spacing w:val="-2"/>
        </w:rPr>
        <w:t>值进行重新计量。处置股权取得的对价与剩余股权公允价值之和，减去按原持股比例计算应享有原有子公司自购买日开始持</w:t>
      </w:r>
      <w:r>
        <w:rPr>
          <w:spacing w:val="-64"/>
        </w:rPr>
        <w:t> </w:t>
      </w:r>
      <w:r>
        <w:rPr>
          <w:spacing w:val="-64"/>
        </w:rPr>
      </w:r>
      <w:r>
        <w:rPr>
          <w:spacing w:val="-2"/>
        </w:rPr>
        <w:t>续计算的净资产的份额之间的差额，计入丧失控制权当期的投资收益。与原有子公司股权投资相关的其他综合收益，在丧失</w:t>
      </w:r>
      <w:r>
        <w:rPr>
          <w:spacing w:val="-66"/>
        </w:rPr>
        <w:t> </w:t>
      </w:r>
      <w:r>
        <w:rPr>
          <w:spacing w:val="-66"/>
        </w:rPr>
      </w:r>
      <w:r>
        <w:rPr>
          <w:spacing w:val="-2"/>
        </w:rPr>
        <w:t>控制权时采用与被购买方直接处置相关资产或负债相同的基础进行会计处理（即，除了在该原有子公司重新计量设定受益计</w:t>
      </w:r>
      <w:r>
        <w:rPr>
          <w:spacing w:val="-64"/>
        </w:rPr>
        <w:t> </w:t>
      </w:r>
      <w:r>
        <w:rPr>
          <w:spacing w:val="-64"/>
        </w:rPr>
      </w:r>
      <w:r>
        <w:rPr>
          <w:spacing w:val="-4"/>
        </w:rPr>
        <w:t>划净负债或净资产导致的变动以外，其余一并转为当期投资收益）。其后，对该部分剩余股权按照《企业会计准则第</w:t>
      </w:r>
      <w:r>
        <w:rPr>
          <w:rFonts w:ascii="Times New Roman" w:hAnsi="Times New Roman" w:cs="Times New Roman" w:eastAsia="Times New Roman" w:hint="default"/>
          <w:spacing w:val="-4"/>
        </w:rPr>
        <w:t>2</w:t>
      </w:r>
      <w:r>
        <w:rPr>
          <w:spacing w:val="-4"/>
        </w:rPr>
        <w:t>号</w:t>
      </w:r>
      <w:r>
        <w:rPr>
          <w:rFonts w:ascii="Times New Roman" w:hAnsi="Times New Roman" w:cs="Times New Roman" w:eastAsia="Times New Roman" w:hint="default"/>
          <w:spacing w:val="-4"/>
        </w:rPr>
        <w:t>——</w:t>
      </w:r>
      <w:r>
        <w:rPr>
          <w:rFonts w:ascii="Times New Roman" w:hAnsi="Times New Roman" w:cs="Times New Roman" w:eastAsia="Times New Roman" w:hint="default"/>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金融工具确认和计量》等相关规定进行后续计量，详见本附注五、</w:t>
      </w:r>
      <w:r>
        <w:rPr>
          <w:rFonts w:ascii="Times New Roman" w:hAnsi="Times New Roman" w:cs="Times New Roman" w:eastAsia="Times New Roman" w:hint="default"/>
        </w:rPr>
        <w:t>14“</w:t>
      </w:r>
      <w:r>
        <w:rPr/>
        <w:t>长期股 权投资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2" w:lineRule="auto" w:before="44"/>
        <w:ind w:right="1030" w:firstLine="290"/>
        <w:jc w:val="left"/>
      </w:pPr>
      <w:r>
        <w:rPr/>
        <w:t>本公司通过多次交易分步处置对子公司股权投资直至丧失控制权的，需区分处置对子公司股权投资直至丧失控制权的各 </w:t>
      </w:r>
      <w:r>
        <w:rPr>
          <w:spacing w:val="-2"/>
        </w:rPr>
        <w:t>项交易是否属于一揽子交易。处置对子公司股权投资的各项交易的条款、条件以及经济影响符合以下一种或多种情况，通常</w:t>
      </w:r>
      <w:r>
        <w:rPr>
          <w:spacing w:val="-66"/>
        </w:rPr>
        <w:t> </w:t>
      </w:r>
      <w:r>
        <w:rPr>
          <w:spacing w:val="-66"/>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w:t>
      </w:r>
      <w:r>
        <w:rPr>
          <w:spacing w:val="-78"/>
        </w:rPr>
        <w:t> </w:t>
      </w:r>
      <w:r>
        <w:rPr>
          <w:spacing w:val="-78"/>
        </w:rPr>
      </w:r>
      <w:r>
        <w:rPr/>
        <w:t>部分处置对子公司的长期股权投资</w:t>
      </w:r>
      <w:r>
        <w:rPr>
          <w:rFonts w:ascii="Times New Roman" w:hAnsi="Times New Roman" w:cs="Times New Roman" w:eastAsia="Times New Roman" w:hint="default"/>
        </w:rPr>
        <w:t>”</w:t>
      </w:r>
      <w:r>
        <w:rPr/>
        <w:t>（详见本附注五、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w:t>
      </w:r>
      <w:r>
        <w:rPr>
          <w:spacing w:val="-70"/>
        </w:rPr>
        <w:t> </w:t>
      </w:r>
      <w:r>
        <w:rPr>
          <w:spacing w:val="-70"/>
        </w:rPr>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73"/>
        <w:jc w:val="left"/>
      </w:pPr>
      <w:r>
        <w:rPr>
          <w:spacing w:val="-1"/>
        </w:rPr>
        <w:t>合营安排，是指一项由两个或两个以上的参与方共同控制的安排。本公司根据在合营安排中享有的权利和承担的义务，</w:t>
      </w:r>
      <w:r>
        <w:rPr/>
        <w:t>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00" w:lineRule="auto" w:before="19"/>
        <w:ind w:right="1117" w:firstLine="373"/>
        <w:jc w:val="left"/>
      </w:pPr>
      <w:r>
        <w:rPr>
          <w:spacing w:val="-2"/>
        </w:rPr>
        <w:t>本公司对合营企业的投资采用权益法核算，按照本附注五、</w:t>
      </w:r>
      <w:r>
        <w:rPr>
          <w:rFonts w:ascii="Times New Roman" w:hAnsi="Times New Roman" w:cs="Times New Roman" w:eastAsia="Times New Roman" w:hint="default"/>
          <w:spacing w:val="-2"/>
        </w:rPr>
        <w:t>14</w:t>
      </w:r>
      <w:r>
        <w:rPr>
          <w:spacing w:val="-2"/>
        </w:rPr>
        <w:t>（</w:t>
      </w:r>
      <w:r>
        <w:rPr>
          <w:rFonts w:ascii="Times New Roman" w:hAnsi="Times New Roman" w:cs="Times New Roman" w:eastAsia="Times New Roman" w:hint="default"/>
          <w:spacing w:val="-2"/>
        </w:rPr>
        <w:t>2</w:t>
      </w:r>
      <w:r>
        <w:rPr>
          <w:spacing w:val="-2"/>
        </w:rPr>
        <w:t>）②</w:t>
      </w:r>
      <w:r>
        <w:rPr>
          <w:spacing w:val="-16"/>
        </w:rPr>
        <w:t> </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 处理。</w:t>
      </w:r>
    </w:p>
    <w:p>
      <w:pPr>
        <w:pStyle w:val="BodyText"/>
        <w:spacing w:line="316" w:lineRule="auto" w:before="31"/>
        <w:ind w:right="0" w:firstLine="373"/>
        <w:jc w:val="left"/>
      </w:pPr>
      <w:r>
        <w:rPr/>
        <w:t>本公司作为合营方对共同经营，确认本公司单独持有的资产、单独所承担的负债，以及按本公司份额确认共同持有的 </w:t>
      </w:r>
      <w:r>
        <w:rPr>
          <w:spacing w:val="-2"/>
        </w:rPr>
        <w:t>资产和共同承担的负债；确认出售本公司享有的共同经营产出份额所产生的收入；按本公司份额确认共同经营因出售产出所</w:t>
      </w:r>
      <w:r>
        <w:rPr>
          <w:spacing w:val="-64"/>
        </w:rPr>
        <w:t> </w:t>
      </w:r>
      <w:r>
        <w:rPr>
          <w:spacing w:val="-64"/>
        </w:rPr>
      </w:r>
      <w:r>
        <w:rPr/>
        <w:t>产生的收入；确认本公司单独所发生的费用，以及按本公司份额确认共同经营发生的费用。</w:t>
      </w:r>
    </w:p>
    <w:p>
      <w:pPr>
        <w:pStyle w:val="BodyText"/>
        <w:spacing w:line="312" w:lineRule="auto" w:before="59"/>
        <w:ind w:right="1128" w:firstLine="73"/>
        <w:jc w:val="both"/>
      </w:pPr>
      <w:r>
        <w:rPr/>
        <w:t>当本公司作为合营方向共同经营投出或出售资产（该资产不构成业务，下同）、或者自共同经营购买资产时，在该等资产 </w:t>
      </w:r>
      <w:r>
        <w:rPr>
          <w:spacing w:val="-2"/>
        </w:rPr>
        <w:t>出售给第三方之前，本公司仅确认因该交易产生的损益中归属于共同经营其他参与方的部分。该等资产发生符合《企业会计</w:t>
      </w:r>
      <w:r>
        <w:rPr>
          <w:spacing w:val="-66"/>
        </w:rPr>
        <w:t> </w:t>
      </w:r>
      <w:r>
        <w:rPr>
          <w:spacing w:val="-66"/>
        </w:rPr>
      </w:r>
      <w:r>
        <w:rPr/>
        <w:t>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资产减值》等规定的资产减值损失的，对于由本公司向共同经营投出或出售资产的情况，本公司全额确认该</w:t>
      </w:r>
      <w:r>
        <w:rPr>
          <w:spacing w:val="-83"/>
        </w:rPr>
        <w:t> </w:t>
      </w:r>
      <w:r>
        <w:rPr>
          <w:spacing w:val="-83"/>
        </w:rPr>
      </w:r>
      <w:r>
        <w:rPr/>
        <w:t>损失；对于本公司自共同经营购买资产的情况，本公司按承担的份额确认该损失。</w:t>
      </w:r>
    </w:p>
    <w:p>
      <w:pPr>
        <w:spacing w:after="0" w:line="312" w:lineRule="auto"/>
        <w:jc w:val="both"/>
        <w:sectPr>
          <w:pgSz w:w="11910" w:h="16840"/>
          <w:pgMar w:header="747" w:footer="1190" w:top="1060" w:bottom="13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0" w:firstLine="300"/>
        <w:jc w:val="left"/>
      </w:pPr>
      <w:r>
        <w:rPr>
          <w:spacing w:val="-1"/>
        </w:rPr>
        <w:t>本公司现金及现金等价物包括库存现金、可以随时用于支付的存款以及本公司持有的期限短（一般为从购买日起三个月</w:t>
      </w:r>
      <w:r>
        <w:rPr/>
        <w:t> 内到期）、流动性强、易于转换为已知金额现金、价值变动风险很小的投资。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0" w:hanging="90"/>
        <w:jc w:val="left"/>
      </w:pPr>
      <w:r>
        <w:rPr/>
        <w:t>（</w:t>
      </w:r>
      <w:r>
        <w:rPr>
          <w:rFonts w:ascii="Times New Roman" w:hAnsi="Times New Roman" w:cs="Times New Roman" w:eastAsia="Times New Roman" w:hint="default"/>
        </w:rPr>
        <w:t>1</w:t>
      </w:r>
      <w:r>
        <w:rPr/>
        <w:t>）外币交易的折算方法 </w:t>
      </w:r>
      <w:r>
        <w:rPr>
          <w:spacing w:val="-4"/>
        </w:rPr>
        <w:t>本公司发生的外币交易在初始确认时，按交易日的即期汇率（通常指中国人民银行公布的当日外汇牌价的中间价，下同）</w:t>
      </w:r>
    </w:p>
    <w:p>
      <w:pPr>
        <w:pStyle w:val="BodyText"/>
        <w:spacing w:line="316" w:lineRule="auto" w:before="31"/>
        <w:ind w:left="153" w:right="1130"/>
        <w:jc w:val="both"/>
      </w:pPr>
      <w:r>
        <w:rPr>
          <w:spacing w:val="-2"/>
        </w:rPr>
        <w:t>折算为记账本位币金额，但公司发生的外币兑换业务或涉及外币兑换的交易事项，按照实际采用的汇率折算为记账本位币金</w:t>
      </w:r>
      <w:r>
        <w:rPr>
          <w:spacing w:val="-64"/>
        </w:rPr>
        <w:t> </w:t>
      </w:r>
      <w:r>
        <w:rPr>
          <w:spacing w:val="-64"/>
        </w:rPr>
      </w:r>
      <w:r>
        <w:rPr/>
        <w:t>额。</w:t>
      </w:r>
    </w:p>
    <w:p>
      <w:pPr>
        <w:pStyle w:val="BodyText"/>
        <w:spacing w:line="300" w:lineRule="auto" w:before="19"/>
        <w:ind w:left="513" w:right="0" w:hanging="90"/>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316" w:lineRule="auto" w:before="31"/>
        <w:ind w:left="153" w:right="1129"/>
        <w:jc w:val="both"/>
      </w:pPr>
      <w:r>
        <w:rPr>
          <w:spacing w:val="-2"/>
        </w:rPr>
        <w:t>本化条件的资产相关的外币专门借款产生的汇兑差额按照借款费用资本化的原则处理；②用于境外经营净投资有效套期的套</w:t>
      </w:r>
      <w:r>
        <w:rPr>
          <w:spacing w:val="-64"/>
        </w:rPr>
        <w:t> </w:t>
      </w:r>
      <w:r>
        <w:rPr>
          <w:spacing w:val="-64"/>
        </w:rPr>
      </w:r>
      <w:r>
        <w:rPr>
          <w:spacing w:val="-2"/>
        </w:rPr>
        <w:t>期工具的汇兑差额（该差额计入其他综合收益，直至净投资被处置才被确认为当期损益）；以及③可供出售的外币货币性项</w:t>
      </w:r>
      <w:r>
        <w:rPr>
          <w:spacing w:val="-66"/>
        </w:rPr>
        <w:t> </w:t>
      </w:r>
      <w:r>
        <w:rPr>
          <w:spacing w:val="-66"/>
        </w:rPr>
      </w:r>
      <w:r>
        <w:rPr/>
        <w:t>目除摊余成本之外的其他账面余额变动产生的汇兑差额计入其他综合收益之外，均计入当期损益。</w:t>
      </w:r>
    </w:p>
    <w:p>
      <w:pPr>
        <w:pStyle w:val="BodyText"/>
        <w:spacing w:line="316" w:lineRule="auto" w:before="19"/>
        <w:ind w:left="153" w:right="0" w:firstLine="360"/>
        <w:jc w:val="left"/>
      </w:pPr>
      <w:r>
        <w:rPr>
          <w:spacing w:val="-2"/>
        </w:rPr>
        <w:t>编制合并财务报表涉及境外经营的，如有实质上构成对境外经营净投资的外币货币性项目，因汇率变动而产生的汇兑差</w:t>
      </w:r>
      <w:r>
        <w:rPr/>
        <w:t> 额，计入其他综合收益；处置境外经营时，转入处置当期损益。</w:t>
      </w:r>
    </w:p>
    <w:p>
      <w:pPr>
        <w:pStyle w:val="BodyText"/>
        <w:spacing w:line="316" w:lineRule="auto" w:before="19"/>
        <w:ind w:left="153" w:right="1130"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w:t>
      </w:r>
    </w:p>
    <w:p>
      <w:pPr>
        <w:pStyle w:val="BodyText"/>
        <w:spacing w:line="300" w:lineRule="auto" w:before="19"/>
        <w:ind w:left="513" w:right="0" w:hanging="90"/>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300" w:lineRule="auto" w:before="31"/>
        <w:ind w:left="514" w:right="0" w:hanging="360"/>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314" w:lineRule="auto" w:before="31"/>
        <w:ind w:right="1129"/>
        <w:jc w:val="both"/>
      </w:pP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44"/>
        </w:rPr>
        <w:t> </w:t>
      </w:r>
      <w:r>
        <w:rPr>
          <w:spacing w:val="-44"/>
        </w:rPr>
      </w:r>
      <w:r>
        <w:rPr>
          <w:spacing w:val="-2"/>
        </w:rPr>
        <w:t>交易发生日的即期汇率折算。年初未分配利润为上一年折算后的年末未分配利润；年末未分配利润按折算后的利润分配各项</w:t>
      </w:r>
      <w:r>
        <w:rPr>
          <w:spacing w:val="-64"/>
        </w:rPr>
        <w:t> </w:t>
      </w:r>
      <w:r>
        <w:rPr>
          <w:spacing w:val="-64"/>
        </w:rPr>
      </w:r>
      <w:r>
        <w:rPr>
          <w:spacing w:val="-2"/>
        </w:rPr>
        <w:t>目计算列示；折算后资产类项目与负债类项目和股东权益类项目合计数的差额，作为外币报表折算差额，确认为其他综合收</w:t>
      </w:r>
      <w:r>
        <w:rPr>
          <w:spacing w:val="-66"/>
        </w:rPr>
        <w:t> </w:t>
      </w:r>
      <w:r>
        <w:rPr>
          <w:spacing w:val="-66"/>
        </w:rPr>
      </w:r>
      <w:r>
        <w:rPr>
          <w:spacing w:val="-2"/>
        </w:rPr>
        <w:t>益。处置境外经营并丧失控制权时，将资产负债表中股东权益项目下列示的、与该境外经营相关的外币报表折算差额，全部</w:t>
      </w:r>
      <w:r>
        <w:rPr>
          <w:spacing w:val="-66"/>
        </w:rPr>
        <w:t> </w:t>
      </w:r>
      <w:r>
        <w:rPr>
          <w:spacing w:val="-66"/>
        </w:rPr>
      </w:r>
      <w:r>
        <w:rPr/>
        <w:t>或按处置该境外经营的比例转入处置当期损益。</w:t>
      </w:r>
    </w:p>
    <w:p>
      <w:pPr>
        <w:pStyle w:val="BodyText"/>
        <w:spacing w:line="316" w:lineRule="auto" w:before="20"/>
        <w:ind w:right="0" w:firstLine="360"/>
        <w:jc w:val="left"/>
      </w:pPr>
      <w:r>
        <w:rPr>
          <w:spacing w:val="-2"/>
        </w:rPr>
        <w:t>外币现金流量以及境外子公司的现金流量，采用现金流量发生日的即期汇率折算。汇率变动对现金的影响额作为调节项</w:t>
      </w:r>
      <w:r>
        <w:rPr/>
        <w:t> 目，在现金流量表中单独列报。</w:t>
      </w:r>
    </w:p>
    <w:p>
      <w:pPr>
        <w:pStyle w:val="BodyText"/>
        <w:spacing w:line="316" w:lineRule="auto" w:before="19"/>
        <w:ind w:left="514" w:right="0"/>
        <w:jc w:val="left"/>
      </w:pPr>
      <w:r>
        <w:rPr/>
        <w:t>年初数和上年实际数按照上年财务报表折算后的数额列示。 </w:t>
      </w:r>
      <w:r>
        <w:rPr>
          <w:spacing w:val="-2"/>
        </w:rPr>
        <w:t>在处置本公司在境外经营的全部所有者权益或因处置部分股权投资或其他原因丧失了对境外经营控制权时，将资产负债</w:t>
      </w:r>
    </w:p>
    <w:p>
      <w:pPr>
        <w:pStyle w:val="BodyText"/>
        <w:spacing w:line="300" w:lineRule="auto" w:before="19"/>
        <w:ind w:right="1129"/>
        <w:jc w:val="both"/>
      </w:pPr>
      <w:r>
        <w:rPr/>
        <w:t>表中股东权益</w:t>
      </w:r>
      <w:r>
        <w:rPr>
          <w:rFonts w:ascii="Times New Roman" w:hAnsi="Times New Roman" w:cs="Times New Roman" w:eastAsia="Times New Roman" w:hint="default"/>
        </w:rPr>
        <w:t>/</w:t>
      </w:r>
      <w:r>
        <w:rPr/>
        <w:t>所有者权益项目下列示的、与该境外经营相关的归属于母公司所有者权益的外币报表折算差额，全部转入处</w:t>
      </w:r>
      <w:r>
        <w:rPr>
          <w:spacing w:val="-52"/>
        </w:rPr>
        <w:t> </w:t>
      </w:r>
      <w:r>
        <w:rPr>
          <w:spacing w:val="-52"/>
        </w:rPr>
      </w:r>
      <w:r>
        <w:rPr/>
        <w:t>置当期损益。</w:t>
      </w:r>
    </w:p>
    <w:p>
      <w:pPr>
        <w:pStyle w:val="BodyText"/>
        <w:spacing w:line="316" w:lineRule="auto" w:before="72"/>
        <w:ind w:right="1030" w:firstLine="360"/>
        <w:jc w:val="left"/>
      </w:pPr>
      <w:r>
        <w:rPr>
          <w:spacing w:val="-2"/>
        </w:rPr>
        <w:t>在处置部分股权投资或其他原因导致持有境外经营权益比例降低但不丧失对境外经营控制权时，与该境外经营处置部分</w:t>
      </w:r>
      <w:r>
        <w:rPr/>
        <w:t>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t>在本公司成为金融工具合同的一方时确认一项金融资产或金融负债。金融资产和金融负债在初始确认时以公允价值计</w:t>
      </w:r>
      <w:r>
        <w:rPr>
          <w:spacing w:val="2"/>
        </w:rPr>
        <w:t> </w:t>
      </w:r>
      <w:r>
        <w:rPr>
          <w:spacing w:val="-2"/>
        </w:rPr>
        <w:t>量。对于以公允价值计量且其变动计入当期损益的金融资产和金融负债，相关的交易费用直接计入损益；对于其他类别的金</w:t>
      </w:r>
    </w:p>
    <w:p>
      <w:pPr>
        <w:spacing w:after="0" w:line="316" w:lineRule="auto"/>
        <w:jc w:val="left"/>
        <w:sectPr>
          <w:pgSz w:w="11910" w:h="16840"/>
          <w:pgMar w:header="747" w:footer="1190" w:top="1060" w:bottom="138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融资产和金融负债，相关交易费用计入初始确认金额。</w:t>
      </w:r>
    </w:p>
    <w:p>
      <w:pPr>
        <w:pStyle w:val="BodyText"/>
        <w:spacing w:line="300" w:lineRule="auto" w:before="76"/>
        <w:ind w:left="514" w:right="0" w:hanging="90"/>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6" w:lineRule="auto" w:before="31"/>
        <w:ind w:right="1030"/>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300" w:lineRule="auto" w:before="19"/>
        <w:ind w:left="514" w:right="0" w:hanging="90"/>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31"/>
        <w:ind w:right="0"/>
        <w:jc w:val="left"/>
      </w:pPr>
      <w:r>
        <w:rPr/>
        <w:t>计入当期损益的金融资产、持有至到期投资、贷款和应收款项以及可供出售金融资产。</w:t>
      </w:r>
    </w:p>
    <w:p>
      <w:pPr>
        <w:pStyle w:val="BodyText"/>
        <w:spacing w:line="316" w:lineRule="auto" w:before="76"/>
        <w:ind w:left="514" w:right="0"/>
        <w:jc w:val="left"/>
      </w:pPr>
      <w:r>
        <w:rPr/>
        <w:t>①</w:t>
      </w:r>
      <w:r>
        <w:rPr>
          <w:spacing w:val="-18"/>
        </w:rPr>
        <w:t> </w:t>
      </w:r>
      <w:r>
        <w:rPr/>
        <w:t>以公允价值计量且其变动计入当期损益的金融资产</w:t>
      </w:r>
      <w:r>
        <w:rPr/>
        <w:t>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p>
    <w:p>
      <w:pPr>
        <w:pStyle w:val="BodyText"/>
        <w:spacing w:line="309" w:lineRule="auto"/>
        <w:ind w:right="1129"/>
        <w:jc w:val="both"/>
      </w:pPr>
      <w:r>
        <w:rPr>
          <w:spacing w:val="-2"/>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属于衍生工</w:t>
      </w:r>
      <w:r>
        <w:rPr>
          <w:spacing w:val="-49"/>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307" w:lineRule="auto" w:before="24"/>
        <w:ind w:left="153" w:right="1130" w:firstLine="36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r>
        <w:rPr>
          <w:spacing w:val="-49"/>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6" w:lineRule="auto" w:before="26"/>
        <w:ind w:left="153" w:right="1130"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16" w:lineRule="auto" w:before="19"/>
        <w:ind w:left="513" w:right="1117"/>
        <w:jc w:val="left"/>
      </w:pPr>
      <w:r>
        <w:rPr/>
        <w:t>②</w:t>
      </w:r>
      <w:r>
        <w:rPr>
          <w:spacing w:val="-17"/>
        </w:rPr>
        <w:t> </w:t>
      </w:r>
      <w:r>
        <w:rPr/>
        <w:t>持有至到期投资</w:t>
      </w:r>
      <w:r>
        <w:rPr/>
        <w:t>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19"/>
        <w:ind w:left="153" w:right="0"/>
        <w:jc w:val="left"/>
      </w:pPr>
      <w:r>
        <w:rPr/>
        <w:t>当期损益。</w:t>
      </w:r>
    </w:p>
    <w:p>
      <w:pPr>
        <w:pStyle w:val="BodyText"/>
        <w:spacing w:line="316" w:lineRule="auto" w:before="76"/>
        <w:ind w:left="153" w:right="1130"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16" w:lineRule="auto" w:before="19"/>
        <w:ind w:left="153" w:right="1131"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316" w:lineRule="auto" w:before="19"/>
        <w:ind w:left="513" w:right="0"/>
        <w:jc w:val="left"/>
      </w:pPr>
      <w:r>
        <w:rPr/>
        <w:t>③</w:t>
      </w:r>
      <w:r>
        <w:rPr>
          <w:spacing w:val="-17"/>
        </w:rPr>
        <w:t> </w:t>
      </w:r>
      <w:r>
        <w:rPr/>
        <w:t>贷款和应收款项</w:t>
      </w:r>
      <w:r>
        <w:rPr/>
        <w:t> </w:t>
      </w:r>
      <w:r>
        <w:rPr>
          <w:spacing w:val="-2"/>
        </w:rPr>
        <w:t>是指在活跃市场中没有报价、回收金额固定或可确定的非衍生金融资产。本公司划分为贷款和应收款的金融资产包括应</w:t>
      </w:r>
    </w:p>
    <w:p>
      <w:pPr>
        <w:pStyle w:val="BodyText"/>
        <w:spacing w:line="316" w:lineRule="auto" w:before="19"/>
        <w:ind w:left="513" w:right="0"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left="153" w:right="0"/>
        <w:jc w:val="left"/>
      </w:pPr>
      <w:r>
        <w:rPr/>
        <w:t>当期损益。</w:t>
      </w:r>
    </w:p>
    <w:p>
      <w:pPr>
        <w:pStyle w:val="BodyText"/>
        <w:spacing w:line="316" w:lineRule="auto" w:before="76"/>
        <w:ind w:left="513" w:right="1031"/>
        <w:jc w:val="left"/>
      </w:pPr>
      <w:r>
        <w:rPr/>
        <w:t>④</w:t>
      </w:r>
      <w:r>
        <w:rPr>
          <w:spacing w:val="-17"/>
        </w:rPr>
        <w:t> </w:t>
      </w:r>
      <w:r>
        <w:rPr/>
        <w:t>可供出售金融资产</w:t>
      </w:r>
      <w:r>
        <w:rPr/>
        <w:t> 包括初始确认时即被指定为可供出售的非衍生金融资产，以及除了以公允价值计量且其变动计入当期损益的金融资产、</w:t>
      </w:r>
    </w:p>
    <w:p>
      <w:pPr>
        <w:pStyle w:val="BodyText"/>
        <w:spacing w:line="316" w:lineRule="auto" w:before="19"/>
        <w:ind w:left="513" w:right="0" w:hanging="360"/>
        <w:jc w:val="left"/>
      </w:pPr>
      <w:r>
        <w:rPr/>
        <w:t>贷款和应收款项、持有至到期投资以外的金融资产。 </w:t>
      </w:r>
      <w:r>
        <w:rPr>
          <w:spacing w:val="-2"/>
        </w:rPr>
        <w:t>可供出售债务工具投资的期末成本按照摊余成本法确定，即初始确认金额扣除已偿还的本金，加上或减去采用实际利率</w:t>
      </w:r>
    </w:p>
    <w:p>
      <w:pPr>
        <w:pStyle w:val="BodyText"/>
        <w:spacing w:line="316" w:lineRule="auto" w:before="19"/>
        <w:ind w:left="153" w:right="0"/>
        <w:jc w:val="left"/>
      </w:pPr>
      <w:r>
        <w:rPr>
          <w:spacing w:val="-2"/>
        </w:rPr>
        <w:t>法将该初始确认金额与到期日金额之间的差额进行摊销形成的累计摊销额，并扣除已发生的减值损失后的金额。可供出售权</w:t>
      </w:r>
      <w:r>
        <w:rPr>
          <w:spacing w:val="-64"/>
        </w:rPr>
        <w:t> </w:t>
      </w:r>
      <w:r>
        <w:rPr>
          <w:spacing w:val="-64"/>
        </w:rPr>
      </w:r>
      <w:r>
        <w:rPr/>
        <w:t>益工具投资的期末成本为其初始取得成本。</w:t>
      </w:r>
    </w:p>
    <w:p>
      <w:pPr>
        <w:pStyle w:val="BodyText"/>
        <w:spacing w:line="240" w:lineRule="auto" w:before="19"/>
        <w:ind w:left="513" w:right="0"/>
        <w:jc w:val="left"/>
      </w:pPr>
      <w:r>
        <w:rPr/>
        <w:t>可供出售金融资产采用公允价值进行后续计量，公允价值变动形成的利得或损失，除减值损失和外币货币性金融资产与</w:t>
      </w:r>
    </w:p>
    <w:p>
      <w:pPr>
        <w:spacing w:after="0" w:line="240" w:lineRule="auto"/>
        <w:jc w:val="left"/>
        <w:sectPr>
          <w:pgSz w:w="11910" w:h="16840"/>
          <w:pgMar w:header="747" w:footer="1190" w:top="1060" w:bottom="138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240" w:lineRule="auto" w:before="19"/>
        <w:ind w:left="514" w:right="0"/>
        <w:jc w:val="left"/>
      </w:pPr>
      <w:r>
        <w:rPr/>
        <w:t>可供出售金融资产持有期间取得的利息及被投资单位宣告发放的现金股利，计入投资收益。</w:t>
      </w:r>
    </w:p>
    <w:p>
      <w:pPr>
        <w:pStyle w:val="BodyText"/>
        <w:spacing w:line="300" w:lineRule="auto" w:before="76"/>
        <w:ind w:left="514" w:right="0" w:hanging="90"/>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316" w:lineRule="auto" w:before="31"/>
        <w:ind w:left="514" w:right="0" w:hanging="360"/>
        <w:jc w:val="left"/>
      </w:pPr>
      <w:r>
        <w:rPr/>
        <w:t>检查，有客观证据表明金融资产发生减值的，计提减值准备。 </w:t>
      </w:r>
      <w:r>
        <w:rPr>
          <w:spacing w:val="-2"/>
        </w:rPr>
        <w:t>本公司对单项金额重大的金融资产单独进行减值测试；对单项金额不重大的金融资产，单独进行减值测试或包括在具有</w:t>
      </w:r>
    </w:p>
    <w:p>
      <w:pPr>
        <w:pStyle w:val="BodyText"/>
        <w:spacing w:line="316" w:lineRule="auto" w:before="19"/>
        <w:ind w:right="1129"/>
        <w:jc w:val="both"/>
      </w:pP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316" w:lineRule="auto" w:before="19"/>
        <w:ind w:left="514" w:right="0"/>
        <w:jc w:val="left"/>
      </w:pPr>
      <w:r>
        <w:rPr/>
        <w:t>①</w:t>
      </w:r>
      <w:r>
        <w:rPr>
          <w:spacing w:val="-17"/>
        </w:rPr>
        <w:t> </w:t>
      </w:r>
      <w:r>
        <w:rPr/>
        <w:t>持有至到期投资、贷款和应收款项减值</w:t>
      </w:r>
      <w:r>
        <w:rPr/>
        <w:t> </w:t>
      </w:r>
      <w:r>
        <w:rPr>
          <w:spacing w:val="-2"/>
        </w:rPr>
        <w:t>以成本或摊余成本计量的金融资产将其账面价值减记至预计未来现金流量现值，减记金额确认为减值损失，计入当期损</w:t>
      </w:r>
    </w:p>
    <w:p>
      <w:pPr>
        <w:pStyle w:val="BodyText"/>
        <w:spacing w:line="316" w:lineRule="auto" w:before="19"/>
        <w:ind w:right="1129"/>
        <w:jc w:val="both"/>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19"/>
        <w:ind w:left="514" w:right="0"/>
        <w:jc w:val="left"/>
      </w:pPr>
      <w:r>
        <w:rPr/>
        <w:t>②</w:t>
      </w:r>
      <w:r>
        <w:rPr>
          <w:spacing w:val="-17"/>
        </w:rPr>
        <w:t> </w:t>
      </w:r>
      <w:r>
        <w:rPr/>
        <w:t>可供出售金融资产减值</w:t>
      </w:r>
      <w:r>
        <w:rPr/>
        <w:t> </w:t>
      </w:r>
      <w:r>
        <w:rPr>
          <w:spacing w:val="-2"/>
        </w:rPr>
        <w:t>当综合相关因素判断可供出售权益工具投资公允价值下跌是严重或非暂时性下跌时，表明该可供出售权益工具投资发生</w:t>
      </w:r>
    </w:p>
    <w:p>
      <w:pPr>
        <w:pStyle w:val="BodyText"/>
        <w:spacing w:line="300" w:lineRule="auto" w:before="19"/>
        <w:ind w:left="514" w:right="0" w:hanging="360"/>
        <w:jc w:val="left"/>
      </w:pPr>
      <w:r>
        <w:rPr/>
        <w:t>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 </w:t>
      </w:r>
      <w:r>
        <w:rPr>
          <w:spacing w:val="-2"/>
        </w:rPr>
        <w:t>可供出售金融资产发生减值时，将原计入其他综合收益的因公允价值下降形成的累计损失予以转出并计入当期损益，该</w:t>
      </w:r>
    </w:p>
    <w:p>
      <w:pPr>
        <w:pStyle w:val="BodyText"/>
        <w:spacing w:line="316" w:lineRule="auto" w:before="31"/>
        <w:ind w:left="514" w:right="1030" w:hanging="360"/>
        <w:jc w:val="left"/>
      </w:pPr>
      <w:r>
        <w:rPr/>
        <w:t>转出的累计损失为该资产初始取得成本扣除已收回本金和已摊销金额、当前公允价值和原已计入损益的减值损失后的余额。 </w:t>
      </w:r>
      <w:r>
        <w:rPr>
          <w:spacing w:val="-2"/>
        </w:rPr>
        <w:t>在确认减值损失后，期后如有客观证据表明该金融资产价值已恢复，且客观上与确认该损失后发生的事项有关，原确认</w:t>
      </w:r>
    </w:p>
    <w:p>
      <w:pPr>
        <w:pStyle w:val="BodyText"/>
        <w:spacing w:line="316" w:lineRule="auto" w:before="19"/>
        <w:ind w:right="1131"/>
        <w:jc w:val="both"/>
      </w:pP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9"/>
        <w:ind w:right="1129"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240" w:lineRule="auto" w:before="19"/>
        <w:ind w:left="424" w:right="0"/>
        <w:jc w:val="left"/>
      </w:pPr>
      <w:r>
        <w:rPr/>
        <w:t>（</w:t>
      </w:r>
      <w:r>
        <w:rPr>
          <w:rFonts w:ascii="Times New Roman" w:hAnsi="Times New Roman" w:cs="Times New Roman" w:eastAsia="Times New Roman" w:hint="default"/>
        </w:rPr>
        <w:t>4</w:t>
      </w:r>
      <w:r>
        <w:rPr/>
        <w:t>）金融资产转移的确认依据和计量方法</w:t>
      </w:r>
    </w:p>
    <w:p>
      <w:pPr>
        <w:pStyle w:val="BodyText"/>
        <w:spacing w:line="316" w:lineRule="auto" w:before="63"/>
        <w:ind w:right="1084" w:firstLine="360"/>
        <w:jc w:val="both"/>
      </w:pPr>
      <w:r>
        <w:rPr/>
        <w:t>满足下列条件之一的金融资产，予以终止确认：① 收取该金融资产现金流量的合同权利终止；②</w:t>
      </w:r>
      <w:r>
        <w:rPr>
          <w:spacing w:val="-37"/>
        </w:rPr>
        <w:t> </w:t>
      </w:r>
      <w:r>
        <w:rPr/>
        <w:t>该金融资产已转移，</w:t>
      </w:r>
      <w:r>
        <w:rPr/>
        <w:t> </w:t>
      </w: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产所有权上几乎所有的风险和报酬，但是放弃了对该金融资产的控制。</w:t>
      </w:r>
    </w:p>
    <w:p>
      <w:pPr>
        <w:pStyle w:val="BodyText"/>
        <w:spacing w:line="316" w:lineRule="auto" w:before="19"/>
        <w:ind w:right="1131" w:firstLine="360"/>
        <w:jc w:val="both"/>
      </w:pPr>
      <w:r>
        <w:rPr>
          <w:spacing w:val="-2"/>
        </w:rPr>
        <w:t>企业既没有转移也没有保留金融资产所有权上几乎所有的风险和报酬，且未放弃对该金融资产的控制的，则按照继续涉</w:t>
      </w:r>
      <w:r>
        <w:rPr/>
        <w:t> </w:t>
      </w:r>
      <w:r>
        <w:rPr>
          <w:spacing w:val="-2"/>
        </w:rPr>
        <w:t>入所转移金融资产的程度确认有关金融资产，并相应确认有关负债。继续涉入所转移金融资产的程度，是指该金融资产价值</w:t>
      </w:r>
      <w:r>
        <w:rPr>
          <w:spacing w:val="-66"/>
        </w:rPr>
        <w:t> </w:t>
      </w:r>
      <w:r>
        <w:rPr>
          <w:spacing w:val="-66"/>
        </w:rPr>
      </w:r>
      <w:r>
        <w:rPr/>
        <w:t>变动使企业面临的风险水平。</w:t>
      </w:r>
    </w:p>
    <w:p>
      <w:pPr>
        <w:pStyle w:val="BodyText"/>
        <w:spacing w:line="316" w:lineRule="auto" w:before="19"/>
        <w:ind w:right="1129"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6" w:lineRule="auto" w:before="19"/>
        <w:ind w:right="1129"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6" w:lineRule="auto" w:before="19"/>
        <w:ind w:right="1131"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300" w:lineRule="auto" w:before="19"/>
        <w:ind w:left="514" w:right="1030"/>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spacing w:after="0" w:line="300" w:lineRule="auto"/>
        <w:jc w:val="left"/>
        <w:sectPr>
          <w:pgSz w:w="11910" w:h="16840"/>
          <w:pgMar w:header="747" w:footer="1190" w:top="1060" w:bottom="138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316" w:lineRule="auto" w:before="19"/>
        <w:ind w:left="514" w:right="1210"/>
        <w:jc w:val="left"/>
      </w:pPr>
      <w:r>
        <w:rPr/>
        <w:t>①</w:t>
      </w:r>
      <w:r>
        <w:rPr>
          <w:spacing w:val="-18"/>
        </w:rPr>
        <w:t> </w:t>
      </w:r>
      <w:r>
        <w:rPr/>
        <w:t>以公允价值计量且其变动计入当期损益的金融负债</w:t>
      </w:r>
      <w:r>
        <w:rPr/>
        <w:t> 分类为交易性金融负债和在初始确认时指定为以公允价值计量且其变动计入当期损益的金融负债的条件与分类为交易</w:t>
      </w:r>
    </w:p>
    <w:p>
      <w:pPr>
        <w:pStyle w:val="BodyText"/>
        <w:spacing w:line="316" w:lineRule="auto" w:before="19"/>
        <w:ind w:left="514" w:right="0" w:hanging="360"/>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w:t>
      </w:r>
    </w:p>
    <w:p>
      <w:pPr>
        <w:pStyle w:val="BodyText"/>
        <w:spacing w:line="240" w:lineRule="auto" w:before="19"/>
        <w:ind w:right="0"/>
        <w:jc w:val="left"/>
      </w:pPr>
      <w:r>
        <w:rPr/>
        <w:t>与该等金融负债相关的股利和利息支出计入当期损益。</w:t>
      </w:r>
    </w:p>
    <w:p>
      <w:pPr>
        <w:pStyle w:val="BodyText"/>
        <w:spacing w:line="316" w:lineRule="auto" w:before="76"/>
        <w:ind w:left="514" w:right="0"/>
        <w:jc w:val="left"/>
      </w:pPr>
      <w:r>
        <w:rPr/>
        <w:t>②</w:t>
      </w:r>
      <w:r>
        <w:rPr>
          <w:spacing w:val="-17"/>
        </w:rPr>
        <w:t> </w:t>
      </w:r>
      <w:r>
        <w:rPr/>
        <w:t>其他金融负债</w:t>
      </w:r>
      <w:r>
        <w:rPr/>
        <w:t> </w:t>
      </w:r>
      <w:r>
        <w:rPr>
          <w:spacing w:val="-2"/>
        </w:rPr>
        <w:t>与在活跃市场中没有报价、公允价值不能可靠计量的权益工具挂钩并须通过交付该权益工具结算的衍生金融负债，按照</w:t>
      </w:r>
    </w:p>
    <w:p>
      <w:pPr>
        <w:pStyle w:val="BodyText"/>
        <w:spacing w:line="316" w:lineRule="auto" w:before="19"/>
        <w:ind w:right="1117"/>
        <w:jc w:val="left"/>
      </w:pPr>
      <w:r>
        <w:rPr>
          <w:spacing w:val="-2"/>
        </w:rPr>
        <w:t>成本进行后续计量。其他金融负债采用实际利率法，按摊余成本进行后续计量，终止确认或摊销产生的利得或损失计入当期</w:t>
      </w:r>
      <w:r>
        <w:rPr>
          <w:spacing w:val="-66"/>
        </w:rPr>
        <w:t> </w:t>
      </w:r>
      <w:r>
        <w:rPr>
          <w:spacing w:val="-66"/>
        </w:rPr>
      </w:r>
      <w:r>
        <w:rPr/>
        <w:t>损益。</w:t>
      </w:r>
    </w:p>
    <w:p>
      <w:pPr>
        <w:pStyle w:val="BodyText"/>
        <w:spacing w:line="300" w:lineRule="auto" w:before="19"/>
        <w:ind w:left="514" w:right="0" w:hanging="90"/>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6" w:lineRule="auto" w:before="31"/>
        <w:ind w:right="0"/>
        <w:jc w:val="left"/>
      </w:pP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316" w:lineRule="auto" w:before="19"/>
        <w:ind w:right="0" w:firstLine="360"/>
        <w:jc w:val="left"/>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00" w:lineRule="auto" w:before="19"/>
        <w:ind w:left="514" w:right="0" w:hanging="90"/>
        <w:jc w:val="left"/>
      </w:pPr>
      <w:r>
        <w:rPr/>
        <w:t>（</w:t>
      </w:r>
      <w:r>
        <w:rPr>
          <w:rFonts w:ascii="Times New Roman" w:hAnsi="Times New Roman" w:cs="Times New Roman" w:eastAsia="Times New Roman" w:hint="default"/>
        </w:rPr>
        <w:t>7</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31"/>
        <w:ind w:right="0"/>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300" w:lineRule="auto" w:before="19"/>
        <w:ind w:left="514" w:right="1117" w:hanging="90"/>
        <w:jc w:val="left"/>
      </w:pPr>
      <w:r>
        <w:rPr/>
        <w:t>（</w:t>
      </w:r>
      <w:r>
        <w:rPr>
          <w:rFonts w:ascii="Times New Roman" w:hAnsi="Times New Roman" w:cs="Times New Roman" w:eastAsia="Times New Roman" w:hint="default"/>
        </w:rPr>
        <w:t>8</w:t>
      </w:r>
      <w:r>
        <w:rPr/>
        <w:t>）权益工具 </w:t>
      </w:r>
      <w:r>
        <w:rPr>
          <w:spacing w:val="-2"/>
        </w:rPr>
        <w:t>权益工具是指能证明拥有本公司在扣除所有负债后的资产中的剩余权益的合同。本公司发行（含再融资）、回购、出售</w:t>
      </w:r>
    </w:p>
    <w:p>
      <w:pPr>
        <w:pStyle w:val="BodyText"/>
        <w:spacing w:line="316" w:lineRule="auto" w:before="31"/>
        <w:ind w:left="514" w:right="1030" w:hanging="360"/>
        <w:jc w:val="left"/>
      </w:pPr>
      <w:r>
        <w:rPr>
          <w:spacing w:val="-4"/>
        </w:rPr>
        <w:t>或注销权益工具作为权益的变动处理。本公司不确认权益工具的公允价值变动。与权益性交易相关的交易费用从权益中扣减。</w:t>
      </w:r>
      <w:r>
        <w:rPr>
          <w:spacing w:val="-44"/>
        </w:rPr>
        <w:t> </w:t>
      </w:r>
      <w:r>
        <w:rPr>
          <w:spacing w:val="-44"/>
        </w:rPr>
      </w:r>
      <w:r>
        <w:rPr/>
        <w:t>本公司对权益工具持有方的各种分配（不包括股票股利），减少股东权益。本公司不确认权益工具的公允价值变动额。</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万元以上的应收款项确认为单项金 额重大的应收款项</w:t>
            </w:r>
          </w:p>
        </w:tc>
      </w:tr>
      <w:tr>
        <w:trPr>
          <w:trHeight w:val="358"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测试未发生减值的金融资产，包括在具有类似信用风险特征</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的金融资产组合中进行减值测试。单项测试已确认减值损失</w:t>
            </w:r>
          </w:p>
        </w:tc>
      </w:tr>
      <w:tr>
        <w:trPr>
          <w:trHeight w:val="313"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的应收款项，不再包括在具有类似信用风险特征的应收款项</w:t>
            </w:r>
          </w:p>
        </w:tc>
      </w:tr>
      <w:tr>
        <w:trPr>
          <w:trHeight w:val="356"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收款无风险组合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after="0" w:line="240" w:lineRule="auto"/>
        <w:jc w:val="left"/>
        <w:rPr>
          <w:rFonts w:ascii="宋体" w:hAnsi="宋体" w:cs="宋体" w:eastAsia="宋体" w:hint="default"/>
          <w:sz w:val="18"/>
          <w:szCs w:val="18"/>
        </w:rPr>
        <w:sectPr>
          <w:pgSz w:w="11910" w:h="16840"/>
          <w:pgMar w:header="747" w:footer="1190" w:top="1060" w:bottom="1380" w:left="980" w:right="0"/>
        </w:sectPr>
      </w:pPr>
    </w:p>
    <w:p>
      <w:pPr>
        <w:spacing w:line="240" w:lineRule="auto" w:before="13"/>
        <w:rPr>
          <w:rFonts w:ascii="宋体" w:hAnsi="宋体" w:cs="宋体" w:eastAsia="宋体" w:hint="default"/>
          <w:b/>
          <w:bCs/>
          <w:sz w:val="25"/>
          <w:szCs w:val="25"/>
        </w:rPr>
      </w:pPr>
    </w:p>
    <w:p>
      <w:pPr>
        <w:pStyle w:val="BodyText"/>
        <w:spacing w:line="240" w:lineRule="auto" w:before="44"/>
        <w:ind w:right="0"/>
        <w:jc w:val="left"/>
      </w:pPr>
      <w:r>
        <w:rPr/>
        <w:t>组合中，采用账龄分析法计提坏账准备的：</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75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2"/>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096"/>
        <w:gridCol w:w="1702"/>
        <w:gridCol w:w="1771"/>
      </w:tblGrid>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1650"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本公司对于单项金额虽不重大但具备以下特征的应收款项，单独进行减值测 </w:t>
            </w:r>
            <w:r>
              <w:rPr>
                <w:rFonts w:ascii="宋体" w:hAnsi="宋体" w:cs="宋体" w:eastAsia="宋体" w:hint="default"/>
                <w:spacing w:val="-3"/>
                <w:sz w:val="18"/>
                <w:szCs w:val="18"/>
              </w:rPr>
              <w:t>试，有客观证据表明其发生了减值的，根据其未来现金流量现值低于其账面价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值的差额，确认减值损失，计提坏账准备：应收关联方款项；与对方存在争议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或涉及诉讼、仲裁的应收款项；已有明显迹象表明债务人很可能无法履行还款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义务的应收款项等。</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单项金额在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万元以下且账龄在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年以上的应收款项</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8"/>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7691"/>
        <w:jc w:val="left"/>
      </w:pPr>
      <w:r>
        <w:rPr/>
        <w:t>公司是否需要遵守特殊行业的披露要求 是</w:t>
      </w:r>
    </w:p>
    <w:p>
      <w:pPr>
        <w:pStyle w:val="BodyText"/>
        <w:spacing w:line="240" w:lineRule="auto" w:before="28"/>
        <w:ind w:left="153" w:right="0"/>
        <w:jc w:val="left"/>
      </w:pPr>
      <w:r>
        <w:rPr/>
        <w:t>软件与信息技术服务业</w:t>
      </w:r>
    </w:p>
    <w:p>
      <w:pPr>
        <w:pStyle w:val="BodyText"/>
        <w:spacing w:line="300" w:lineRule="auto" w:before="116"/>
        <w:ind w:left="513" w:right="6431" w:hanging="90"/>
        <w:jc w:val="left"/>
      </w:pPr>
      <w:r>
        <w:rPr/>
        <w:t>（</w:t>
      </w:r>
      <w:r>
        <w:rPr>
          <w:rFonts w:ascii="Times New Roman" w:hAnsi="Times New Roman" w:cs="Times New Roman" w:eastAsia="Times New Roman" w:hint="default"/>
        </w:rPr>
        <w:t>1</w:t>
      </w:r>
      <w:r>
        <w:rPr/>
        <w:t>）存货的分类 存货主要包括原材料、库存商品、低值易耗品等。</w:t>
      </w:r>
    </w:p>
    <w:p>
      <w:pPr>
        <w:pStyle w:val="BodyText"/>
        <w:spacing w:line="300" w:lineRule="auto" w:before="31"/>
        <w:ind w:left="513" w:right="1391" w:hanging="90"/>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存货在取得时按实际成本计价，存货成本包括采购成本、加工成本和其他成本。领用和发出时按加权平均法计价。</w:t>
      </w:r>
    </w:p>
    <w:p>
      <w:pPr>
        <w:pStyle w:val="BodyText"/>
        <w:spacing w:line="300" w:lineRule="auto" w:before="31"/>
        <w:ind w:left="514" w:right="0" w:hanging="90"/>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16" w:lineRule="auto" w:before="31"/>
        <w:ind w:left="514" w:right="1030" w:hanging="360"/>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spacing w:after="0" w:line="316" w:lineRule="auto"/>
        <w:jc w:val="left"/>
        <w:sectPr>
          <w:pgSz w:w="11910" w:h="16840"/>
          <w:pgMar w:header="747" w:footer="1190" w:top="1060" w:bottom="13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0" w:hanging="360"/>
        <w:jc w:val="left"/>
      </w:pPr>
      <w:r>
        <w:rPr/>
        <w:t>备按单个存货项目的成本高于其可变现净值的差额提取。 </w:t>
      </w:r>
      <w:r>
        <w:rPr>
          <w:spacing w:val="-2"/>
        </w:rPr>
        <w:t>计提存货跌价准备后，如果以前减记存货价值的影响因素已经消失，导致存货的可变现净值高于其账面价值的，在原已</w:t>
      </w:r>
    </w:p>
    <w:p>
      <w:pPr>
        <w:pStyle w:val="BodyText"/>
        <w:spacing w:line="240" w:lineRule="auto" w:before="19"/>
        <w:ind w:right="0"/>
        <w:jc w:val="left"/>
      </w:pPr>
      <w:r>
        <w:rPr/>
        <w:t>计提的存货跌价准备金额内予以转回，转回的金额计入当期损益。</w:t>
      </w:r>
    </w:p>
    <w:p>
      <w:pPr>
        <w:pStyle w:val="BodyText"/>
        <w:spacing w:line="240" w:lineRule="auto" w:before="76"/>
        <w:ind w:left="424" w:right="0"/>
        <w:jc w:val="left"/>
      </w:pPr>
      <w:r>
        <w:rPr/>
        <w:t>（</w:t>
      </w:r>
      <w:r>
        <w:rPr>
          <w:rFonts w:ascii="Times New Roman" w:hAnsi="Times New Roman" w:cs="Times New Roman" w:eastAsia="Times New Roman" w:hint="default"/>
        </w:rPr>
        <w:t>4</w:t>
      </w:r>
      <w:r>
        <w:rPr/>
        <w:t>）存货的盘存制度为永续盘存制。</w:t>
      </w:r>
    </w:p>
    <w:p>
      <w:pPr>
        <w:pStyle w:val="BodyText"/>
        <w:spacing w:line="300" w:lineRule="auto" w:before="63"/>
        <w:ind w:left="514" w:right="4270" w:hanging="90"/>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8"/>
        <w:ind w:right="1131" w:firstLine="360"/>
        <w:jc w:val="both"/>
      </w:pPr>
      <w:r>
        <w:rPr>
          <w:spacing w:val="-2"/>
        </w:rPr>
        <w:t>本公司若主要通过出售（包括具有商业实质的非货币性资产交换，下同）而非持续使用一项非流动资产或处置组收回其</w:t>
      </w:r>
      <w:r>
        <w:rPr/>
        <w:t> </w:t>
      </w:r>
      <w:r>
        <w:rPr>
          <w:spacing w:val="-2"/>
        </w:rPr>
        <w:t>账面价值的，则将其划分为持有待售类别。具体标准为同时满足以下条件：某项非流动资产或处置组根据类似交易中出售此</w:t>
      </w:r>
      <w:r>
        <w:rPr>
          <w:spacing w:val="-66"/>
        </w:rPr>
        <w:t> </w:t>
      </w:r>
      <w:r>
        <w:rPr>
          <w:spacing w:val="-66"/>
        </w:rPr>
      </w:r>
      <w:r>
        <w:rPr>
          <w:spacing w:val="-2"/>
        </w:rPr>
        <w:t>类资产或处置组的惯例，在当前状况下即可立即出售；本公司已经就出售计划作出决议且获得确定的购买承诺；预计出售将</w:t>
      </w:r>
      <w:r>
        <w:rPr>
          <w:spacing w:val="-66"/>
        </w:rPr>
        <w:t> </w:t>
      </w:r>
      <w:r>
        <w:rPr>
          <w:spacing w:val="-66"/>
        </w:rPr>
      </w:r>
      <w:r>
        <w:rPr>
          <w:spacing w:val="-2"/>
        </w:rPr>
        <w:t>在一年内完成。其中，处置组是指在一项交易中作为整体通过出售或其他方式一并处置的一组资产，以及在该交易中转让的</w:t>
      </w:r>
      <w:r>
        <w:rPr>
          <w:spacing w:val="-66"/>
        </w:rPr>
        <w:t> </w:t>
      </w:r>
      <w:r>
        <w:rPr>
          <w:spacing w:val="-66"/>
        </w:rPr>
      </w:r>
      <w:r>
        <w:rPr/>
        <w:t>与这些资产直接相关的负债。处置组所属的资产组或资产组组合按照《企业会计准则第 8 号——资产减值》分摊了企业合 并中取得的商誉的，该处置组应当包含分摊至处置组的商誉。</w:t>
      </w:r>
    </w:p>
    <w:p>
      <w:pPr>
        <w:pStyle w:val="BodyText"/>
        <w:spacing w:line="408" w:lineRule="auto" w:before="77"/>
        <w:ind w:left="153" w:right="1031" w:firstLine="360"/>
        <w:jc w:val="left"/>
      </w:pPr>
      <w:r>
        <w:rPr>
          <w:spacing w:val="-2"/>
        </w:rPr>
        <w:t>本公司初始计量或在资产负债表日重新计量划分为持有待售的非流动资产和处置组时，其账面价值高于公允价值减去出</w:t>
      </w:r>
      <w:r>
        <w:rPr/>
        <w:t> 售费用后的净额的，将账面价值减记至公允价值减去出售费用后的净额，减记的金额确认为资产减值损失，计入当期损益， </w:t>
      </w:r>
      <w:r>
        <w:rPr>
          <w:spacing w:val="-2"/>
        </w:rPr>
        <w:t>同时计提持有待售资产减值准备。对于处置组，所确认的资产减值损失先抵减处置组中商誉的账面价值，再按比例抵减该处</w:t>
      </w:r>
      <w:r>
        <w:rPr>
          <w:spacing w:val="-66"/>
        </w:rPr>
        <w:t> </w:t>
      </w:r>
      <w:r>
        <w:rPr>
          <w:spacing w:val="-66"/>
        </w:rPr>
      </w:r>
      <w:r>
        <w:rPr/>
        <w:t>置组内适用《企业会计准则第</w:t>
      </w:r>
      <w:r>
        <w:rPr>
          <w:spacing w:val="-42"/>
        </w:rPr>
        <w:t> </w:t>
      </w:r>
      <w:r>
        <w:rPr/>
        <w:t>42</w:t>
      </w:r>
      <w:r>
        <w:rPr>
          <w:spacing w:val="-42"/>
        </w:rPr>
        <w:t> </w:t>
      </w:r>
      <w:r>
        <w:rPr>
          <w:spacing w:val="-5"/>
        </w:rPr>
        <w:t>号——持有待售的非流动资产、处置组和终止经营》（以下简称“持有待售准则”）的计量</w:t>
      </w:r>
      <w:r>
        <w:rPr>
          <w:spacing w:val="-79"/>
        </w:rPr>
        <w:t> </w:t>
      </w:r>
      <w:r>
        <w:rPr>
          <w:spacing w:val="-79"/>
        </w:rPr>
      </w:r>
      <w:r>
        <w:rPr>
          <w:spacing w:val="-2"/>
        </w:rPr>
        <w:t>规定的各项非流动资产的账面价值。后续资产负债表日持有待售的处置组公允价值减去出售费用后的净额增加的，以前减记</w:t>
      </w:r>
      <w:r>
        <w:rPr>
          <w:spacing w:val="-64"/>
        </w:rPr>
        <w:t> </w:t>
      </w:r>
      <w:r>
        <w:rPr>
          <w:spacing w:val="-64"/>
        </w:rPr>
      </w:r>
      <w:r>
        <w:rPr/>
        <w:t>的金额应当予以恢复，并在划分为持有待售类别后适用持有待售准则计量规定的非流动资产确认的资产减值损失金额内转 </w:t>
      </w:r>
      <w:r>
        <w:rPr>
          <w:spacing w:val="-2"/>
        </w:rPr>
        <w:t>回，转回金额计入当期损益，并根据处置组中除商誉外适用持有待售准则计量规定的各项非流动资产账面价值所占比重按比</w:t>
      </w:r>
      <w:r>
        <w:rPr>
          <w:spacing w:val="-64"/>
        </w:rPr>
        <w:t> </w:t>
      </w:r>
      <w:r>
        <w:rPr>
          <w:spacing w:val="-64"/>
        </w:rPr>
      </w:r>
      <w:r>
        <w:rPr>
          <w:spacing w:val="-2"/>
        </w:rPr>
        <w:t>例增加其账面价值；已抵减的商誉账面价值，以及适用持有待售准则计量规定的非流动资产在划分为持有待售类别前确认的</w:t>
      </w:r>
      <w:r>
        <w:rPr>
          <w:spacing w:val="-64"/>
        </w:rPr>
        <w:t> </w:t>
      </w:r>
      <w:r>
        <w:rPr>
          <w:spacing w:val="-64"/>
        </w:rPr>
      </w:r>
      <w:r>
        <w:rPr/>
        <w:t>资产减值损失不得转回。</w:t>
      </w:r>
    </w:p>
    <w:p>
      <w:pPr>
        <w:pStyle w:val="BodyText"/>
        <w:spacing w:line="408" w:lineRule="auto" w:before="79"/>
        <w:ind w:left="153" w:right="1131" w:firstLine="360"/>
        <w:jc w:val="both"/>
      </w:pPr>
      <w:r>
        <w:rPr>
          <w:spacing w:val="-2"/>
        </w:rPr>
        <w:t>持有待售的非流动资产或处置组中的非流动资产不计提折旧或摊销，持有待售的处置组中负债的利息和其他费用继续予</w:t>
      </w:r>
      <w:r>
        <w:rPr/>
        <w:t> 以确认。</w:t>
      </w:r>
    </w:p>
    <w:p>
      <w:pPr>
        <w:pStyle w:val="BodyText"/>
        <w:spacing w:line="215" w:lineRule="exact"/>
        <w:ind w:left="153" w:right="0" w:firstLine="360"/>
        <w:jc w:val="both"/>
      </w:pPr>
      <w:r>
        <w:rPr/>
        <w:t>非流动资产或处置组不再满足持有待售类别的划分条件时，本公司不再将其继续划分为持有待售类别或将非流动资产</w:t>
      </w:r>
    </w:p>
    <w:p>
      <w:pPr>
        <w:pStyle w:val="BodyText"/>
        <w:spacing w:line="316" w:lineRule="auto" w:before="76"/>
        <w:ind w:right="1258"/>
        <w:jc w:val="left"/>
      </w:pPr>
      <w:r>
        <w:rPr/>
        <w:t>从持有待售的处置组中移除</w:t>
      </w:r>
      <w:r>
        <w:rPr>
          <w:spacing w:val="-12"/>
        </w:rPr>
        <w:t>，</w:t>
      </w:r>
      <w:r>
        <w:rPr/>
        <w:t>并按照以下两者孰低计量</w:t>
      </w:r>
      <w:r>
        <w:rPr>
          <w:spacing w:val="-102"/>
        </w:rPr>
        <w:t>：</w:t>
      </w:r>
      <w:r>
        <w:rPr/>
        <w:t>（1</w:t>
      </w:r>
      <w:r>
        <w:rPr>
          <w:spacing w:val="-12"/>
        </w:rPr>
        <w:t>）</w:t>
      </w:r>
      <w:r>
        <w:rPr/>
        <w:t>划分为持有待售类别前的账面价值</w:t>
      </w:r>
      <w:r>
        <w:rPr>
          <w:spacing w:val="-12"/>
        </w:rPr>
        <w:t>，</w:t>
      </w:r>
      <w:r>
        <w:rPr/>
        <w:t>按照假定不划分为持有</w:t>
      </w:r>
      <w:r>
        <w:rPr/>
        <w:t> 待售类别情况下本应确认的折旧、摊销或减值等进行调整后的金额</w:t>
      </w:r>
      <w:r>
        <w:rPr>
          <w:spacing w:val="-90"/>
        </w:rPr>
        <w:t>；</w:t>
      </w:r>
      <w:r>
        <w:rPr/>
        <w:t>（2）可收回金额。</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6" w:lineRule="auto"/>
        <w:ind w:left="153" w:right="1130"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6"/>
        </w:rPr>
        <w:t> </w:t>
      </w:r>
      <w:r>
        <w:rPr>
          <w:spacing w:val="-66"/>
        </w:rPr>
      </w:r>
      <w:r>
        <w:rPr/>
        <w:t>方一起共同控制这些政策的制定。</w:t>
      </w:r>
    </w:p>
    <w:p>
      <w:pPr>
        <w:pStyle w:val="BodyText"/>
        <w:spacing w:line="240" w:lineRule="auto" w:before="19"/>
        <w:ind w:left="423" w:right="0"/>
        <w:jc w:val="left"/>
      </w:pPr>
      <w:r>
        <w:rPr/>
        <w:t>（</w:t>
      </w:r>
      <w:r>
        <w:rPr>
          <w:rFonts w:ascii="Times New Roman" w:hAnsi="Times New Roman" w:cs="Times New Roman" w:eastAsia="Times New Roman" w:hint="default"/>
        </w:rPr>
        <w:t>1</w:t>
      </w:r>
      <w:r>
        <w:rPr/>
        <w:t>）投资成本的确定</w:t>
      </w:r>
    </w:p>
    <w:p>
      <w:pPr>
        <w:spacing w:after="0" w:line="240" w:lineRule="auto"/>
        <w:jc w:val="left"/>
        <w:sectPr>
          <w:pgSz w:w="11910" w:h="16840"/>
          <w:pgMar w:header="747" w:footer="1190" w:top="1060" w:bottom="1380" w:left="980" w:right="0"/>
        </w:sectPr>
      </w:pPr>
    </w:p>
    <w:p>
      <w:pPr>
        <w:spacing w:line="240" w:lineRule="auto" w:before="12"/>
        <w:rPr>
          <w:rFonts w:ascii="宋体" w:hAnsi="宋体" w:cs="宋体" w:eastAsia="宋体" w:hint="default"/>
          <w:sz w:val="25"/>
          <w:szCs w:val="25"/>
        </w:rPr>
      </w:pPr>
    </w:p>
    <w:p>
      <w:pPr>
        <w:pStyle w:val="BodyText"/>
        <w:spacing w:line="314" w:lineRule="auto" w:before="44"/>
        <w:ind w:right="1129" w:firstLine="360"/>
        <w:jc w:val="both"/>
      </w:pPr>
      <w:r>
        <w:rPr>
          <w:spacing w:val="-2"/>
        </w:rPr>
        <w:t>对于同一控制下的企业合并取得的长期股权投资，在合并日按照被合并方所有者权益在最终控制方合并财务报表中的账</w:t>
      </w:r>
      <w:r>
        <w:rPr/>
        <w:t> </w:t>
      </w: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6"/>
        </w:rPr>
        <w:t> </w:t>
      </w:r>
      <w:r>
        <w:rPr>
          <w:spacing w:val="-66"/>
        </w:rPr>
      </w:r>
      <w:r>
        <w:rPr>
          <w:spacing w:val="-2"/>
        </w:rPr>
        <w:t>并日按照被合并方所有者权益在最终控制方合并财务报表中的账面价值的份额作为长期股权投资的初始投资成本，按照发行</w:t>
      </w:r>
      <w:r>
        <w:rPr>
          <w:spacing w:val="-64"/>
        </w:rPr>
        <w:t> </w:t>
      </w:r>
      <w:r>
        <w:rPr>
          <w:spacing w:val="-64"/>
        </w:rPr>
      </w:r>
      <w:r>
        <w:rPr>
          <w:spacing w:val="-2"/>
        </w:rPr>
        <w:t>股份的面值总额作为股本，长期股权投资初始投资成本与所发行股份面值总额之间的差额，调整资本公积；资本公积不足冲</w:t>
      </w:r>
      <w:r>
        <w:rPr>
          <w:spacing w:val="-66"/>
        </w:rPr>
        <w:t> </w:t>
      </w:r>
      <w:r>
        <w:rPr>
          <w:spacing w:val="-66"/>
        </w:rPr>
      </w:r>
      <w:r>
        <w:rPr>
          <w:spacing w:val="-2"/>
        </w:rPr>
        <w:t>减的，调整留存收益。通过多次交易分步取得同一控制下被合并方的股权，最终形成同一控制下企业合并的，应分别是否属</w:t>
      </w:r>
      <w:r>
        <w:rPr>
          <w:spacing w:val="-66"/>
        </w:rPr>
        <w:t> </w:t>
      </w:r>
      <w:r>
        <w:rPr>
          <w:spacing w:val="-66"/>
        </w:rPr>
      </w:r>
      <w:r>
        <w:rPr/>
        <w:t>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 易</w:t>
      </w:r>
      <w:r>
        <w:rPr>
          <w:rFonts w:ascii="Times New Roman" w:hAnsi="Times New Roman" w:cs="Times New Roman" w:eastAsia="Times New Roman" w:hint="default"/>
        </w:rPr>
        <w:t>”</w:t>
      </w:r>
      <w:r>
        <w:rPr/>
        <w:t>的，在合并日按照应享有被合并方所有者权益在最终控制方合并财务报表中的账面价值的份额作为长期股权投资的初始 </w:t>
      </w:r>
      <w:r>
        <w:rPr>
          <w:spacing w:val="-2"/>
        </w:rPr>
        <w:t>投资成本，长期股权投资初始投资成本与达到合并前的长期股权投资账面价值加上合并日进一步取得股份新支付对价的账面</w:t>
      </w:r>
      <w:r>
        <w:rPr>
          <w:spacing w:val="-64"/>
        </w:rPr>
        <w:t> </w:t>
      </w:r>
      <w:r>
        <w:rPr>
          <w:spacing w:val="-64"/>
        </w:rPr>
      </w:r>
      <w:r>
        <w:rPr>
          <w:spacing w:val="-2"/>
        </w:rPr>
        <w:t>价值之和的差额，调整资本公积；资本公积不足冲减的，调整留存收益。合并日之前持有的股权投资因采用权益法核算或为</w:t>
      </w:r>
      <w:r>
        <w:rPr>
          <w:spacing w:val="-66"/>
        </w:rPr>
        <w:t> </w:t>
      </w:r>
      <w:r>
        <w:rPr>
          <w:spacing w:val="-66"/>
        </w:rPr>
      </w:r>
      <w:r>
        <w:rPr/>
        <w:t>可供出售金融资产而确认的其他综合收益，暂不进行会计处理。</w:t>
      </w:r>
    </w:p>
    <w:p>
      <w:pPr>
        <w:pStyle w:val="BodyText"/>
        <w:spacing w:line="312" w:lineRule="auto" w:before="20"/>
        <w:ind w:right="1038" w:firstLine="360"/>
        <w:jc w:val="left"/>
      </w:pPr>
      <w:r>
        <w:rPr>
          <w:spacing w:val="-2"/>
        </w:rPr>
        <w:t>对于非同一控制下的企业合并取得的长期股权投资，在购买日按照合并成本作为长期股权投资的初始投资成本，合并成</w:t>
      </w:r>
      <w:r>
        <w:rPr/>
        <w:t> </w:t>
      </w:r>
      <w:r>
        <w:rPr>
          <w:spacing w:val="-4"/>
        </w:rPr>
        <w:t>本包括购买方付出的资产、发生或承担的负债、发行的权益性证券的公允价值之和。通过多次交易分步取得被购买方的股权，</w:t>
      </w:r>
      <w:r>
        <w:rPr>
          <w:spacing w:val="-44"/>
        </w:rPr>
        <w:t> </w:t>
      </w:r>
      <w:r>
        <w:rPr>
          <w:spacing w:val="-44"/>
        </w:rPr>
      </w:r>
      <w:r>
        <w:rPr/>
        <w:t>最终形成非同一控制下的企业合并的，应分别是否属于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 </w:t>
      </w:r>
      <w:r>
        <w:rPr>
          <w:spacing w:val="-3"/>
        </w:rPr>
        <w:t>取得控制权的交易进行会计处理。不属于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的，按照原持有被购买方的股权投资账面价值加上新增投资成本之和，</w:t>
      </w:r>
      <w:r>
        <w:rPr>
          <w:spacing w:val="-75"/>
        </w:rPr>
        <w:t> </w:t>
      </w:r>
      <w:r>
        <w:rPr>
          <w:spacing w:val="-75"/>
        </w:rPr>
      </w:r>
      <w:r>
        <w:rPr>
          <w:spacing w:val="-2"/>
        </w:rPr>
        <w:t>作为改按成本法核算的长期股权投资的初始投资成本。原持有的股权采用权益法核算的，相关其他综合收益暂不进行会计处</w:t>
      </w:r>
      <w:r>
        <w:rPr>
          <w:spacing w:val="-64"/>
        </w:rPr>
        <w:t> </w:t>
      </w:r>
      <w:r>
        <w:rPr>
          <w:spacing w:val="-64"/>
        </w:rPr>
      </w:r>
      <w:r>
        <w:rPr>
          <w:spacing w:val="-2"/>
        </w:rPr>
        <w:t>理。原持有股权投资为可供出售金融资产的，其公允价值与账面价值之间的差额，以及原计入其他综合收益的累计公允价值</w:t>
      </w:r>
      <w:r>
        <w:rPr>
          <w:spacing w:val="-66"/>
        </w:rPr>
        <w:t> </w:t>
      </w:r>
      <w:r>
        <w:rPr>
          <w:spacing w:val="-66"/>
        </w:rPr>
      </w:r>
      <w:r>
        <w:rPr/>
        <w:t>变动转入当期损益。</w:t>
      </w:r>
    </w:p>
    <w:p>
      <w:pPr>
        <w:pStyle w:val="BodyText"/>
        <w:spacing w:line="316" w:lineRule="auto" w:before="22"/>
        <w:ind w:right="1131" w:firstLine="360"/>
        <w:jc w:val="both"/>
      </w:pPr>
      <w:r>
        <w:rPr>
          <w:spacing w:val="-2"/>
        </w:rPr>
        <w:t>合并方或购买方为企业合并发生的审计、法律服务、评估咨询等中介费用以及其他相关管理费用，于发生时计入当期损</w:t>
      </w:r>
      <w:r>
        <w:rPr/>
        <w:t> 益。</w:t>
      </w:r>
    </w:p>
    <w:p>
      <w:pPr>
        <w:pStyle w:val="BodyText"/>
        <w:spacing w:line="314" w:lineRule="auto" w:before="19"/>
        <w:ind w:right="1129"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w:t>
      </w:r>
      <w:r>
        <w:rPr>
          <w:spacing w:val="-64"/>
        </w:rPr>
        <w:t> </w:t>
      </w:r>
      <w:r>
        <w:rPr>
          <w:spacing w:val="-64"/>
        </w:rPr>
      </w:r>
      <w:r>
        <w:rPr/>
        <w:t>新增投资成本之和。</w:t>
      </w:r>
    </w:p>
    <w:p>
      <w:pPr>
        <w:pStyle w:val="BodyText"/>
        <w:spacing w:line="300" w:lineRule="auto" w:before="20"/>
        <w:ind w:left="514" w:right="0" w:hanging="90"/>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31"/>
        <w:ind w:right="0"/>
        <w:jc w:val="left"/>
      </w:pPr>
      <w:r>
        <w:rPr/>
        <w:t>表采用成本法核算能够对被投资单位实施控制的长期股权投资。</w:t>
      </w:r>
    </w:p>
    <w:p>
      <w:pPr>
        <w:pStyle w:val="BodyText"/>
        <w:spacing w:line="316" w:lineRule="auto" w:before="76"/>
        <w:ind w:left="514" w:right="0"/>
        <w:jc w:val="left"/>
      </w:pPr>
      <w:r>
        <w:rPr/>
        <w:t>①</w:t>
      </w:r>
      <w:r>
        <w:rPr>
          <w:spacing w:val="-17"/>
        </w:rPr>
        <w:t> </w:t>
      </w:r>
      <w:r>
        <w:rPr/>
        <w:t>成本法核算的长期股权投资</w:t>
      </w:r>
      <w:r>
        <w:rPr/>
        <w:t> </w:t>
      </w:r>
      <w:r>
        <w:rPr>
          <w:spacing w:val="-2"/>
        </w:rPr>
        <w:t>采用成本法核算时，长期股权投资按初始投资成本计价，追加或收回投资调整长期股权投资的成本。除取得投资时实际</w:t>
      </w:r>
    </w:p>
    <w:p>
      <w:pPr>
        <w:pStyle w:val="BodyText"/>
        <w:spacing w:line="316" w:lineRule="auto" w:before="19"/>
        <w:ind w:right="0"/>
        <w:jc w:val="left"/>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316" w:lineRule="auto" w:before="19"/>
        <w:ind w:left="514" w:right="0"/>
        <w:jc w:val="left"/>
      </w:pPr>
      <w:r>
        <w:rPr/>
        <w:t>②</w:t>
      </w:r>
      <w:r>
        <w:rPr>
          <w:spacing w:val="-17"/>
        </w:rPr>
        <w:t> </w:t>
      </w:r>
      <w:r>
        <w:rPr/>
        <w:t>权益法核算的长期股权投资</w:t>
      </w:r>
      <w:r>
        <w:rPr/>
        <w:t> </w:t>
      </w:r>
      <w:r>
        <w:rPr>
          <w:spacing w:val="-2"/>
        </w:rPr>
        <w:t>采用权益法核算时，长期股权投资的初始投资成本大于投资时应享有被投资单位可辨认净资产公允价值份额的，不调整</w:t>
      </w:r>
    </w:p>
    <w:p>
      <w:pPr>
        <w:pStyle w:val="BodyText"/>
        <w:spacing w:line="316" w:lineRule="auto" w:before="19"/>
        <w:ind w:right="0"/>
        <w:jc w:val="left"/>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right="1129" w:firstLine="360"/>
        <w:jc w:val="both"/>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p>
    <w:p>
      <w:pPr>
        <w:spacing w:after="0" w:line="316" w:lineRule="auto"/>
        <w:jc w:val="both"/>
        <w:sectPr>
          <w:pgSz w:w="11910" w:h="16840"/>
          <w:pgMar w:header="747" w:footer="1190" w:top="1060" w:bottom="1380" w:left="980" w:right="0"/>
        </w:sectPr>
      </w:pPr>
    </w:p>
    <w:p>
      <w:pPr>
        <w:spacing w:line="240" w:lineRule="auto" w:before="12"/>
        <w:rPr>
          <w:rFonts w:ascii="宋体" w:hAnsi="宋体" w:cs="宋体" w:eastAsia="宋体" w:hint="default"/>
          <w:sz w:val="25"/>
          <w:szCs w:val="25"/>
        </w:rPr>
      </w:pPr>
    </w:p>
    <w:p>
      <w:pPr>
        <w:pStyle w:val="BodyText"/>
        <w:spacing w:line="314" w:lineRule="auto" w:before="44"/>
        <w:ind w:right="1030"/>
        <w:jc w:val="left"/>
      </w:pPr>
      <w:r>
        <w:rPr>
          <w:spacing w:val="-4"/>
        </w:rPr>
        <w:t>部分予以抵销，在此基础上确认投资损益。但本公司与被投资单位发生的未实现内部交易损失，属于所转让资产减值损失的，</w:t>
      </w:r>
      <w:r>
        <w:rPr>
          <w:spacing w:val="-44"/>
        </w:rPr>
        <w:t> </w:t>
      </w:r>
      <w:r>
        <w:rPr>
          <w:spacing w:val="-44"/>
        </w:rPr>
      </w:r>
      <w:r>
        <w:rPr>
          <w:spacing w:val="-2"/>
        </w:rPr>
        <w:t>不予以抵销。本公司向合营企业或联营企业投出的资产构成业务的，投资方因此取得长期股权投资但未取得控制权的，以投</w:t>
      </w:r>
      <w:r>
        <w:rPr>
          <w:spacing w:val="-66"/>
        </w:rPr>
        <w:t> </w:t>
      </w:r>
      <w:r>
        <w:rPr>
          <w:spacing w:val="-66"/>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r>
        <w:rPr>
          <w:spacing w:val="-64"/>
        </w:rPr>
        <w:t> </w:t>
      </w:r>
      <w:r>
        <w:rPr>
          <w:spacing w:val="-64"/>
        </w:rPr>
      </w:r>
      <w:r>
        <w:rPr/>
        <w:t>相关的利得或损失。</w:t>
      </w:r>
    </w:p>
    <w:p>
      <w:pPr>
        <w:pStyle w:val="BodyText"/>
        <w:spacing w:line="316" w:lineRule="auto" w:before="20"/>
        <w:ind w:right="1129"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BodyText"/>
        <w:spacing w:line="316" w:lineRule="auto" w:before="19"/>
        <w:ind w:left="514" w:right="0"/>
        <w:jc w:val="left"/>
      </w:pPr>
      <w:r>
        <w:rPr/>
        <w:t>③</w:t>
      </w:r>
      <w:r>
        <w:rPr>
          <w:spacing w:val="-17"/>
        </w:rPr>
        <w:t> </w:t>
      </w:r>
      <w:r>
        <w:rPr/>
        <w:t>收购少数股权</w:t>
      </w:r>
      <w:r>
        <w:rPr/>
        <w:t> </w:t>
      </w:r>
      <w:r>
        <w:rPr>
          <w:spacing w:val="-2"/>
        </w:rPr>
        <w:t>在编制合并财务报表时，因购买少数股权新增的长期股权投资与按照新增持股比例计算应享有子公司自购买日（或合并</w:t>
      </w:r>
    </w:p>
    <w:p>
      <w:pPr>
        <w:pStyle w:val="BodyText"/>
        <w:spacing w:line="240" w:lineRule="auto" w:before="19"/>
        <w:ind w:right="0"/>
        <w:jc w:val="left"/>
      </w:pPr>
      <w:r>
        <w:rPr/>
        <w:t>日）开始持续计算的净资产份额之间的差额，调整资本公积，资本公积不足冲减的，调整留存收益。</w:t>
      </w:r>
    </w:p>
    <w:p>
      <w:pPr>
        <w:pStyle w:val="BodyText"/>
        <w:spacing w:line="316" w:lineRule="auto" w:before="76"/>
        <w:ind w:left="514" w:right="0"/>
        <w:jc w:val="left"/>
      </w:pPr>
      <w:r>
        <w:rPr/>
        <w:t>④</w:t>
      </w:r>
      <w:r>
        <w:rPr>
          <w:spacing w:val="-17"/>
        </w:rPr>
        <w:t> </w:t>
      </w:r>
      <w:r>
        <w:rPr/>
        <w:t>处置长期股权投资</w:t>
      </w:r>
      <w:r>
        <w:rPr/>
        <w:t> </w:t>
      </w:r>
      <w:r>
        <w:rPr>
          <w:spacing w:val="-2"/>
        </w:rPr>
        <w:t>在合并财务报表中，母公司在不丧失控制权的情况下部分处置对子公司的长期股权投资，处置价款与处置长期股权投资</w:t>
      </w:r>
    </w:p>
    <w:p>
      <w:pPr>
        <w:pStyle w:val="BodyText"/>
        <w:spacing w:line="316" w:lineRule="auto" w:before="19"/>
        <w:ind w:right="0"/>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514" w:right="0"/>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316" w:lineRule="auto" w:before="19"/>
        <w:ind w:right="0"/>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6" w:lineRule="auto" w:before="19"/>
        <w:ind w:right="1129"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6"/>
        </w:rPr>
        <w:t> </w:t>
      </w:r>
      <w:r>
        <w:rPr>
          <w:spacing w:val="-66"/>
        </w:rPr>
      </w:r>
      <w:r>
        <w:rPr/>
        <w:t>外的其他所有者权益变动按比例结转当期损益。</w:t>
      </w:r>
    </w:p>
    <w:p>
      <w:pPr>
        <w:pStyle w:val="BodyText"/>
        <w:spacing w:line="316" w:lineRule="auto" w:before="19"/>
        <w:ind w:right="1129"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6"/>
        </w:rPr>
        <w:t> </w:t>
      </w:r>
      <w:r>
        <w:rPr>
          <w:spacing w:val="-66"/>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pStyle w:val="BodyText"/>
        <w:spacing w:line="316" w:lineRule="auto" w:before="19"/>
        <w:ind w:right="1030"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pStyle w:val="BodyText"/>
        <w:spacing w:line="316" w:lineRule="auto" w:before="19"/>
        <w:ind w:right="1129" w:firstLine="360"/>
        <w:jc w:val="both"/>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after="0" w:line="316" w:lineRule="auto"/>
        <w:jc w:val="both"/>
        <w:sectPr>
          <w:pgSz w:w="11910" w:h="16840"/>
          <w:pgMar w:header="747" w:footer="1190" w:top="1060" w:bottom="13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8951"/>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29" w:firstLine="360"/>
        <w:jc w:val="both"/>
      </w:pPr>
      <w:r>
        <w:rPr>
          <w:spacing w:val="-2"/>
        </w:rPr>
        <w:t>固定资产是指为生产商品、提供劳务、出租或经营管理而持有的，使用寿命超过一个会计年度的有形资产。固定资产仅</w:t>
      </w:r>
      <w:r>
        <w:rPr/>
        <w:t> </w:t>
      </w:r>
      <w:r>
        <w:rPr>
          <w:spacing w:val="-2"/>
        </w:rPr>
        <w:t>在与其有关的经济利益很可能流入本公司，且其成本能够可靠地计量时才予以确认。固定资产按成本并考虑预计弃置费用因</w:t>
      </w:r>
      <w:r>
        <w:rPr>
          <w:spacing w:val="-64"/>
        </w:rPr>
        <w:t> </w:t>
      </w:r>
      <w:r>
        <w:rPr>
          <w:spacing w:val="-64"/>
        </w:rPr>
      </w:r>
      <w:r>
        <w:rPr/>
        <w:t>素的影响进行初始计量。</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9"/>
        <w:ind w:right="1131" w:firstLine="360"/>
        <w:jc w:val="both"/>
      </w:pPr>
      <w:r>
        <w:rPr/>
        <w:pict>
          <v:shape style="position:absolute;margin-left:56.459999pt;margin-top:44.442032pt;width:479.25pt;height:101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bl>
                <w:p>
                  <w:pPr/>
                </w:p>
              </w:txbxContent>
            </v:textbox>
            <w10:wrap type="none"/>
          </v:shape>
        </w:pict>
      </w:r>
      <w:r>
        <w:rPr>
          <w:spacing w:val="-2"/>
        </w:rPr>
        <w:t>固定资产从达到预定可使用状态的次月起，采用年限平均法在使用寿命内计提折旧。各类固定资产的使用寿命、预计净</w:t>
      </w:r>
      <w:r>
        <w:rPr/>
        <w:t> 残值和年折旧率如下：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319" w:lineRule="auto"/>
        <w:ind w:left="153" w:right="1131" w:firstLine="360"/>
        <w:jc w:val="both"/>
      </w:pPr>
      <w:r>
        <w:rPr>
          <w:spacing w:val="-2"/>
        </w:rPr>
        <w:t>预计净残值是指假定固定资产预计使用寿命已满并处于使用寿命终了时的预期状态，本公司目前从该项资产处置中获得</w:t>
      </w:r>
      <w:r>
        <w:rPr/>
        <w:t> 的扣除预计处置费用后的金额。</w:t>
      </w:r>
    </w:p>
    <w:p>
      <w:pPr>
        <w:spacing w:line="240" w:lineRule="auto" w:before="0"/>
        <w:rPr>
          <w:rFonts w:ascii="宋体" w:hAnsi="宋体" w:cs="宋体" w:eastAsia="宋体" w:hint="default"/>
          <w:sz w:val="18"/>
          <w:szCs w:val="18"/>
        </w:rPr>
      </w:pPr>
    </w:p>
    <w:p>
      <w:pPr>
        <w:pStyle w:val="Heading3"/>
        <w:spacing w:line="240" w:lineRule="auto" w:before="146"/>
        <w:ind w:right="0"/>
        <w:jc w:val="left"/>
        <w:rPr>
          <w:b w:val="0"/>
          <w:bCs w:val="0"/>
        </w:rPr>
      </w:pPr>
      <w:r>
        <w:rPr/>
        <w:t>（3）固定资产的减值测试方法及减值准备计提方法</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left="514" w:right="0"/>
        <w:jc w:val="left"/>
      </w:pPr>
      <w:r>
        <w:rPr/>
        <w:t>固定资产的减值测试方法和减值准备计提方法详见附注五、20“长期资产减值”。</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131"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权的在租赁资产使用寿命内计提折旧，无法合理确定租赁期届满能够取得租赁资产所有权的，在租赁期与租赁资产使用寿命</w:t>
      </w:r>
      <w:r>
        <w:rPr>
          <w:spacing w:val="-64"/>
        </w:rPr>
        <w:t> </w:t>
      </w:r>
      <w:r>
        <w:rPr>
          <w:spacing w:val="-64"/>
        </w:rPr>
      </w:r>
      <w:r>
        <w:rPr/>
        <w:t>两者中较短的期间内计提折旧。</w:t>
      </w:r>
    </w:p>
    <w:p>
      <w:pPr>
        <w:pStyle w:val="Heading3"/>
        <w:spacing w:line="240" w:lineRule="auto" w:before="120"/>
        <w:ind w:right="0"/>
        <w:jc w:val="left"/>
        <w:rPr>
          <w:b w:val="0"/>
          <w:bCs w:val="0"/>
        </w:rPr>
      </w:pPr>
      <w:r>
        <w:rPr/>
        <w:t>（5）其他说明</w:t>
      </w:r>
      <w:r>
        <w:rPr>
          <w:b w:val="0"/>
          <w:bCs w:val="0"/>
        </w:rPr>
      </w:r>
    </w:p>
    <w:p>
      <w:pPr>
        <w:spacing w:line="240" w:lineRule="auto" w:before="4"/>
        <w:rPr>
          <w:rFonts w:ascii="宋体" w:hAnsi="宋体" w:cs="宋体" w:eastAsia="宋体" w:hint="default"/>
          <w:b/>
          <w:bCs/>
          <w:sz w:val="15"/>
          <w:szCs w:val="15"/>
        </w:rPr>
      </w:pPr>
    </w:p>
    <w:p>
      <w:pPr>
        <w:pStyle w:val="BodyText"/>
        <w:spacing w:line="408" w:lineRule="auto"/>
        <w:ind w:right="1130" w:firstLine="360"/>
        <w:jc w:val="both"/>
      </w:pPr>
      <w:r>
        <w:rPr>
          <w:spacing w:val="-2"/>
        </w:rPr>
        <w:t>与固定资产有关的后续支出，如果与该固定资产有关的经济利益很可能流入且其成本能可靠地计量，则计入固定资产成</w:t>
      </w:r>
      <w:r>
        <w:rPr/>
        <w:t> 本，并终止确认被替换部分的账面价值。除此以外的其他后续支出，在发生时计入当期损益。</w:t>
      </w:r>
    </w:p>
    <w:p>
      <w:pPr>
        <w:pStyle w:val="BodyText"/>
        <w:spacing w:line="240" w:lineRule="auto" w:before="79"/>
        <w:ind w:left="514" w:right="0"/>
        <w:jc w:val="left"/>
      </w:pPr>
      <w:r>
        <w:rPr/>
        <w:t>当固定资产处于处置状态或预期通过使用或处置不能产生经济利益时，终止确认该固定资产。固定资产出售、转让、报</w:t>
      </w:r>
    </w:p>
    <w:p>
      <w:pPr>
        <w:spacing w:after="0" w:line="240" w:lineRule="auto"/>
        <w:jc w:val="left"/>
        <w:sectPr>
          <w:pgSz w:w="11910" w:h="16840"/>
          <w:pgMar w:header="747" w:footer="1190" w:top="1060" w:bottom="138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448" w:lineRule="auto"/>
        <w:ind w:left="514" w:right="0" w:hanging="360"/>
        <w:jc w:val="left"/>
      </w:pPr>
      <w:r>
        <w:rPr/>
        <w:t>废或毁损的处置收入扣除其账面价值和相关税费后的差额计入当期损益。 </w:t>
      </w:r>
      <w:r>
        <w:rPr>
          <w:spacing w:val="-4"/>
        </w:rPr>
        <w:t>本公司至少于年度终了对固定资产的使用寿命、预计净残值和折旧方法进行复核，如发生改变则作为会计估计变更处理。</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7691"/>
        <w:jc w:val="left"/>
      </w:pPr>
      <w:r>
        <w:rPr/>
        <w:t>公司是否需要遵守特殊行业的披露要求 是</w:t>
      </w:r>
    </w:p>
    <w:p>
      <w:pPr>
        <w:pStyle w:val="BodyText"/>
        <w:spacing w:line="357" w:lineRule="auto" w:before="26"/>
        <w:ind w:left="479" w:right="1117" w:hanging="326"/>
        <w:jc w:val="left"/>
      </w:pPr>
      <w:r>
        <w:rPr/>
        <w:t>软件与信息技术服务业 </w:t>
      </w:r>
      <w:r>
        <w:rPr>
          <w:spacing w:val="-1"/>
        </w:rPr>
        <w:t>在建工程成本按实际工程支出确定，包括在建期间发生的各项工程支出以及其他相关费用等。在建工程在达到预定可使</w:t>
      </w:r>
    </w:p>
    <w:p>
      <w:pPr>
        <w:pStyle w:val="BodyText"/>
        <w:spacing w:line="224" w:lineRule="exact"/>
        <w:ind w:left="153" w:right="0"/>
        <w:jc w:val="left"/>
      </w:pPr>
      <w:r>
        <w:rPr/>
        <w:t>用状态后结转为固定资产。</w:t>
      </w:r>
    </w:p>
    <w:p>
      <w:pPr>
        <w:pStyle w:val="BodyText"/>
        <w:spacing w:line="240" w:lineRule="auto" w:before="117"/>
        <w:ind w:left="444" w:right="0"/>
        <w:jc w:val="left"/>
        <w:rPr>
          <w:rFonts w:ascii="Times New Roman" w:hAnsi="Times New Roman" w:cs="Times New Roman" w:eastAsia="Times New Roman" w:hint="default"/>
        </w:rPr>
      </w:pPr>
      <w:r>
        <w:rPr/>
        <w:t>在建工程的减值测试方法和减值准备计提方法详见附注五、</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pStyle w:val="Heading3"/>
        <w:spacing w:line="240" w:lineRule="auto" w:before="130"/>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0"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316" w:lineRule="auto" w:before="19"/>
        <w:ind w:left="153" w:right="1131"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316" w:lineRule="auto" w:before="19"/>
        <w:ind w:left="513" w:right="0"/>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316" w:lineRule="auto" w:before="19"/>
        <w:ind w:left="514" w:right="1120" w:hanging="360"/>
        <w:jc w:val="left"/>
      </w:pPr>
      <w:r>
        <w:rPr/>
        <w:t>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w:t>
      </w:r>
    </w:p>
    <w:p>
      <w:pPr>
        <w:pStyle w:val="BodyText"/>
        <w:spacing w:line="235" w:lineRule="exact"/>
        <w:ind w:right="0"/>
        <w:jc w:val="left"/>
      </w:pPr>
      <w:r>
        <w:rPr/>
        <w:t>本化，直至资产的购建或生产活动重新开始。</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7691"/>
        <w:jc w:val="left"/>
      </w:pPr>
      <w:r>
        <w:rPr/>
        <w:t>公司是否需要遵守特殊行业的披露要求 是</w:t>
      </w:r>
    </w:p>
    <w:p>
      <w:pPr>
        <w:pStyle w:val="BodyText"/>
        <w:spacing w:line="357" w:lineRule="auto" w:before="29"/>
        <w:ind w:left="534" w:right="4430" w:hanging="381"/>
        <w:jc w:val="left"/>
      </w:pPr>
      <w:r>
        <w:rPr/>
        <w:t>软件与信息技术服务业 无形资产是指本公司拥有或者控制的没有实物形态的可辨认非货币性资产。</w:t>
      </w:r>
    </w:p>
    <w:p>
      <w:pPr>
        <w:pStyle w:val="BodyText"/>
        <w:spacing w:line="224" w:lineRule="exact"/>
        <w:ind w:left="516" w:right="0"/>
        <w:jc w:val="left"/>
      </w:pPr>
      <w:r>
        <w:rPr/>
        <w:t>无形资</w:t>
      </w:r>
      <w:r>
        <w:rPr>
          <w:spacing w:val="-2"/>
        </w:rPr>
        <w:t>产</w:t>
      </w:r>
      <w:r>
        <w:rPr/>
        <w:t>按成本进行初始计量</w:t>
      </w:r>
      <w:r>
        <w:rPr>
          <w:spacing w:val="-87"/>
        </w:rPr>
        <w:t>。</w:t>
      </w:r>
      <w:r>
        <w:rPr/>
        <w:t>与无形资产有关的支出</w:t>
      </w:r>
      <w:r>
        <w:rPr>
          <w:spacing w:val="-87"/>
        </w:rPr>
        <w:t>，</w:t>
      </w:r>
      <w:r>
        <w:rPr/>
        <w:t>如果相关的经济利益很可能流入本公司且其成本能可靠地计量，</w:t>
      </w:r>
    </w:p>
    <w:p>
      <w:pPr>
        <w:pStyle w:val="BodyText"/>
        <w:spacing w:line="316" w:lineRule="auto" w:before="76"/>
        <w:ind w:left="527" w:right="1197" w:hanging="374"/>
        <w:jc w:val="left"/>
      </w:pPr>
      <w:r>
        <w:rPr/>
        <w:t>则计入无形资产成本。除此以外的其他项目的支出，在发生时计入当期损益。 取得的土地使用权通常作为无形资产核算。自行开发建造厂房等建筑物，相关的土地使用权支出和建筑物建造成本则</w:t>
      </w:r>
    </w:p>
    <w:p>
      <w:pPr>
        <w:pStyle w:val="BodyText"/>
        <w:spacing w:line="316" w:lineRule="auto" w:before="19"/>
        <w:ind w:left="153" w:right="0"/>
        <w:jc w:val="left"/>
      </w:pPr>
      <w:r>
        <w:rPr>
          <w:spacing w:val="-2"/>
        </w:rPr>
        <w:t>分别作为无形资产和固定资产核算。如为外购的房屋及建筑物，则将有关价款在土地使用权和建筑物之间进行分配，难以合</w:t>
      </w:r>
      <w:r>
        <w:rPr>
          <w:spacing w:val="-66"/>
        </w:rPr>
        <w:t> </w:t>
      </w:r>
      <w:r>
        <w:rPr>
          <w:spacing w:val="-66"/>
        </w:rPr>
      </w:r>
      <w:r>
        <w:rPr/>
        <w:t>理分配的，全部作为固定资产处理。</w:t>
      </w:r>
    </w:p>
    <w:p>
      <w:pPr>
        <w:pStyle w:val="BodyText"/>
        <w:spacing w:line="316" w:lineRule="auto" w:before="19"/>
        <w:ind w:left="153" w:right="1131" w:firstLine="360"/>
        <w:jc w:val="both"/>
      </w:pPr>
      <w:r>
        <w:rPr>
          <w:spacing w:val="-2"/>
        </w:rPr>
        <w:t>使用寿命有限的无形资产自可供使用时起，对其原值减去预计净残值和已计提的减值准备累计金额在其预计使用寿命内</w:t>
      </w:r>
      <w:r>
        <w:rPr/>
        <w:t> 采用直线法分期摊销。使用寿命不确定的无形资产不予摊销。</w:t>
      </w:r>
    </w:p>
    <w:p>
      <w:pPr>
        <w:spacing w:after="0" w:line="316" w:lineRule="auto"/>
        <w:jc w:val="both"/>
        <w:sectPr>
          <w:pgSz w:w="11910" w:h="16840"/>
          <w:pgMar w:header="747" w:footer="1190" w:top="1060" w:bottom="138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2"/>
        <w:jc w:val="both"/>
      </w:pPr>
      <w:r>
        <w:rPr>
          <w:spacing w:val="-2"/>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使用寿命不确定的无形资产的使用寿命进行复核如果有证据表明该无形资产为企业带来经济利益的期限是可预见的，则估计</w:t>
      </w:r>
      <w:r>
        <w:rPr>
          <w:spacing w:val="-64"/>
        </w:rPr>
        <w:t> </w:t>
      </w:r>
      <w:r>
        <w:rPr>
          <w:spacing w:val="-64"/>
        </w:rPr>
      </w:r>
      <w:r>
        <w:rPr/>
        <w:t>其使用寿命并按照使用寿命有限的无形资产的摊销政策进行摊销。</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5171"/>
        <w:jc w:val="left"/>
      </w:pPr>
      <w:r>
        <w:rPr/>
        <w:t>公司内部研究开发项目的支出分为研究阶段支出与开发阶段支出。 研究阶段的支出，于发生时计入当期损益。</w:t>
      </w:r>
    </w:p>
    <w:p>
      <w:pPr>
        <w:pStyle w:val="BodyText"/>
        <w:spacing w:line="240" w:lineRule="auto" w:before="19"/>
        <w:ind w:left="513" w:right="0"/>
        <w:jc w:val="left"/>
      </w:pPr>
      <w:r>
        <w:rPr/>
        <w:t>开发阶段的支出同时满足下列条件的，确认为无形资产，不能满足下述条件的开发阶段的支出计入当期损益：</w:t>
      </w:r>
    </w:p>
    <w:p>
      <w:pPr>
        <w:pStyle w:val="BodyText"/>
        <w:spacing w:line="240" w:lineRule="auto" w:before="76"/>
        <w:ind w:left="513" w:right="0"/>
        <w:jc w:val="left"/>
      </w:pPr>
      <w:r>
        <w:rPr/>
        <w:t>①</w:t>
      </w:r>
      <w:r>
        <w:rPr>
          <w:spacing w:val="-19"/>
        </w:rPr>
        <w:t> </w:t>
      </w:r>
      <w:r>
        <w:rPr/>
        <w:t>完成该无形资产以使其能够使用或出售在技术上具有可行性；</w:t>
      </w:r>
    </w:p>
    <w:p>
      <w:pPr>
        <w:pStyle w:val="BodyText"/>
        <w:spacing w:line="240" w:lineRule="auto" w:before="76"/>
        <w:ind w:left="514" w:right="0"/>
        <w:jc w:val="left"/>
      </w:pPr>
      <w:r>
        <w:rPr/>
        <w:t>②</w:t>
      </w:r>
      <w:r>
        <w:rPr>
          <w:spacing w:val="-19"/>
        </w:rPr>
        <w:t> </w:t>
      </w:r>
      <w:r>
        <w:rPr/>
        <w:t>具有完成该无形资产并使用或出售的意图；</w:t>
      </w:r>
    </w:p>
    <w:p>
      <w:pPr>
        <w:pStyle w:val="BodyText"/>
        <w:spacing w:line="316" w:lineRule="auto" w:before="76"/>
        <w:ind w:right="1156" w:firstLine="360"/>
        <w:jc w:val="both"/>
      </w:pPr>
      <w:r>
        <w:rPr/>
        <w:t>③</w:t>
      </w:r>
      <w:r>
        <w:rPr>
          <w:spacing w:val="-19"/>
        </w:rPr>
        <w:t> </w:t>
      </w:r>
      <w:r>
        <w:rPr/>
        <w:t>无形资产产生经济利益的方式，包括能够证明运用该无形资产生产的产品存在市场或无形资产自身存在市场，无形</w:t>
      </w:r>
      <w:r>
        <w:rPr/>
        <w:t> 资产将在内部使用的，能够证明其有用性；</w:t>
      </w:r>
    </w:p>
    <w:p>
      <w:pPr>
        <w:pStyle w:val="BodyText"/>
        <w:spacing w:line="240" w:lineRule="auto" w:before="19"/>
        <w:ind w:left="514" w:right="0"/>
        <w:jc w:val="left"/>
      </w:pPr>
      <w:r>
        <w:rPr/>
        <w:t>④</w:t>
      </w:r>
      <w:r>
        <w:rPr>
          <w:spacing w:val="-19"/>
        </w:rPr>
        <w:t> </w:t>
      </w:r>
      <w:r>
        <w:rPr/>
        <w:t>有足够的技术、财务资源和其他资源支持，以完成该无形资产的开发，并有能力使用或出售该无形资产；</w:t>
      </w:r>
    </w:p>
    <w:p>
      <w:pPr>
        <w:pStyle w:val="BodyText"/>
        <w:spacing w:line="316" w:lineRule="auto" w:before="76"/>
        <w:ind w:left="514" w:right="0"/>
        <w:jc w:val="left"/>
      </w:pPr>
      <w:r>
        <w:rPr/>
        <w:t>⑤</w:t>
      </w:r>
      <w:r>
        <w:rPr>
          <w:spacing w:val="-18"/>
        </w:rPr>
        <w:t> </w:t>
      </w:r>
      <w:r>
        <w:rPr/>
        <w:t>归属于该无形资产开发阶段的支出能够可靠地计量。</w:t>
      </w:r>
      <w:r>
        <w:rPr/>
        <w:t> </w:t>
      </w:r>
      <w:r>
        <w:rPr>
          <w:spacing w:val="-2"/>
        </w:rPr>
        <w:t>本公司相关项目在满足上述条件，研发部门完成项目可行性研究取得可行性结论后，进入开发阶段。项目达到预定可使</w:t>
      </w:r>
    </w:p>
    <w:p>
      <w:pPr>
        <w:pStyle w:val="BodyText"/>
        <w:spacing w:line="316" w:lineRule="auto" w:before="19"/>
        <w:ind w:right="0"/>
        <w:jc w:val="left"/>
      </w:pPr>
      <w:r>
        <w:rPr>
          <w:spacing w:val="-2"/>
        </w:rPr>
        <w:t>用状态，完成现场测试报告及专家报告（如有），涉及软件著作权的取得著作权登记权证或者获得第一份商业合同后，予以</w:t>
      </w:r>
      <w:r>
        <w:rPr>
          <w:spacing w:val="-66"/>
        </w:rPr>
        <w:t> </w:t>
      </w:r>
      <w:r>
        <w:rPr>
          <w:spacing w:val="-66"/>
        </w:rPr>
      </w:r>
      <w:r>
        <w:rPr/>
        <w:t>资本化，转入无形资产。</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0" w:firstLine="373"/>
        <w:jc w:val="left"/>
      </w:pPr>
      <w:r>
        <w:rPr/>
        <w:t>对于固定资产、在建工程、使用寿命有限的无形资产、以成本模式计量的投资性房地产及对子公司、合营企业、联营 </w:t>
      </w:r>
      <w:r>
        <w:rPr>
          <w:spacing w:val="-2"/>
        </w:rPr>
        <w:t>企业的长期股权投资等非流动非金融资产，本公司于资产负债表日判断是否存在减值迹象。如存在减值迹象的，则估计其可</w:t>
      </w:r>
      <w:r>
        <w:rPr>
          <w:spacing w:val="-66"/>
        </w:rPr>
        <w:t> </w:t>
      </w:r>
      <w:r>
        <w:rPr>
          <w:spacing w:val="-66"/>
        </w:rPr>
      </w:r>
      <w:r>
        <w:rPr/>
        <w:t>收回金额，进行减值测试。商誉、使用寿命不确定的无形资产和尚未达到可使用状态的无形资产，无论是否存在减值迹象， 每年均进行减值测试。</w:t>
      </w:r>
    </w:p>
    <w:p>
      <w:pPr>
        <w:pStyle w:val="BodyText"/>
        <w:spacing w:line="316" w:lineRule="auto" w:before="19"/>
        <w:ind w:right="1129" w:firstLine="373"/>
        <w:jc w:val="both"/>
      </w:pPr>
      <w:r>
        <w:rPr/>
        <w:t>减值测试结果表明资产的可收回金额低于其账面价值的，按其差额计提减值准备并计入减值损失。可收回金额为资产 </w:t>
      </w:r>
      <w:r>
        <w:rPr>
          <w:spacing w:val="-2"/>
        </w:rPr>
        <w:t>的公允价值减去处置费用后的净额与资产预计未来现金流量的现值两者之间的较高者。资产的公允价值根据公平交易中销售</w:t>
      </w:r>
      <w:r>
        <w:rPr>
          <w:spacing w:val="-64"/>
        </w:rPr>
        <w:t> </w:t>
      </w:r>
      <w:r>
        <w:rPr>
          <w:spacing w:val="-64"/>
        </w:rPr>
      </w:r>
      <w:r>
        <w:rPr>
          <w:spacing w:val="-2"/>
        </w:rPr>
        <w:t>协议价格确定；不存在销售协议但存在资产活跃市场的，公允价值按照该资产的买方出价确定；不存在销售协议和资产活跃</w:t>
      </w:r>
      <w:r>
        <w:rPr>
          <w:spacing w:val="-66"/>
        </w:rPr>
        <w:t> </w:t>
      </w:r>
      <w:r>
        <w:rPr>
          <w:spacing w:val="-66"/>
        </w:rPr>
      </w:r>
      <w:r>
        <w:rPr>
          <w:spacing w:val="-2"/>
        </w:rPr>
        <w:t>市场的，则以可获取的最佳信息为基础估计资产的公允价值。处置费用包括与资产处置有关的法律费用、相关税费、搬运费</w:t>
      </w:r>
      <w:r>
        <w:rPr>
          <w:spacing w:val="-66"/>
        </w:rPr>
        <w:t> </w:t>
      </w:r>
      <w:r>
        <w:rPr>
          <w:spacing w:val="-66"/>
        </w:rPr>
      </w:r>
      <w:r>
        <w:rPr>
          <w:spacing w:val="-2"/>
        </w:rPr>
        <w:t>以及为使资产达到可销售状态所发生的直接费用。资产预计未来现金流量的现值，按照资产在持续使用过程中和最终处置时</w:t>
      </w:r>
      <w:r>
        <w:rPr>
          <w:spacing w:val="-64"/>
        </w:rPr>
        <w:t> </w:t>
      </w:r>
      <w:r>
        <w:rPr>
          <w:spacing w:val="-64"/>
        </w:rPr>
      </w:r>
      <w:r>
        <w:rPr>
          <w:spacing w:val="-2"/>
        </w:rPr>
        <w:t>所产生的预计未来现金流量，选择恰当的折现率对其进行折现后的金额加以确定。资产减值准备按单项资产为基础计算并确</w:t>
      </w:r>
      <w:r>
        <w:rPr>
          <w:spacing w:val="-64"/>
        </w:rPr>
        <w:t> </w:t>
      </w:r>
      <w:r>
        <w:rPr>
          <w:spacing w:val="-64"/>
        </w:rPr>
      </w:r>
      <w:r>
        <w:rPr>
          <w:spacing w:val="-2"/>
        </w:rPr>
        <w:t>认，如果难以对单项资产的可收回金额进行估计的，以该资产所属的资产组确定资产组的可收回金额。资产组是能够独立产</w:t>
      </w:r>
      <w:r>
        <w:rPr>
          <w:spacing w:val="-66"/>
        </w:rPr>
        <w:t> </w:t>
      </w:r>
      <w:r>
        <w:rPr>
          <w:spacing w:val="-66"/>
        </w:rPr>
      </w:r>
      <w:r>
        <w:rPr/>
        <w:t>生现金流入的最小资产组合。</w:t>
      </w:r>
    </w:p>
    <w:p>
      <w:pPr>
        <w:pStyle w:val="BodyText"/>
        <w:spacing w:line="316" w:lineRule="auto" w:before="19"/>
        <w:ind w:right="1129" w:firstLine="373"/>
        <w:jc w:val="both"/>
      </w:pPr>
      <w:r>
        <w:rPr/>
        <w:t>在财务报表中单独列示的商誉，在进行减值测试时，将商誉的账面价值分摊至预期从企业合并的协同效应中受益的资 </w:t>
      </w:r>
      <w:r>
        <w:rPr>
          <w:spacing w:val="-2"/>
        </w:rPr>
        <w:t>产组或资产组组合。测试结果表明包含分摊的商誉的资产组或资产组组合的可收回金额低于其账面价值的，确认相应的减值</w:t>
      </w:r>
      <w:r>
        <w:rPr>
          <w:spacing w:val="-64"/>
        </w:rPr>
        <w:t> </w:t>
      </w:r>
      <w:r>
        <w:rPr>
          <w:spacing w:val="-64"/>
        </w:rPr>
      </w:r>
      <w:r>
        <w:rPr>
          <w:spacing w:val="-2"/>
        </w:rPr>
        <w:t>损失。减值损失金额先抵减分摊至该资产组或资产组组合的商誉的账面价值，再根据资产组或资产组组合中除商誉以外的其</w:t>
      </w:r>
      <w:r>
        <w:rPr>
          <w:spacing w:val="-64"/>
        </w:rPr>
        <w:t> </w:t>
      </w:r>
      <w:r>
        <w:rPr>
          <w:spacing w:val="-64"/>
        </w:rPr>
      </w:r>
      <w:r>
        <w:rPr/>
        <w:t>他各项资产的账面价值所占比重，按比例抵减其他各项资产的账面价值。</w:t>
      </w:r>
    </w:p>
    <w:p>
      <w:pPr>
        <w:pStyle w:val="BodyText"/>
        <w:spacing w:line="240" w:lineRule="auto" w:before="19"/>
        <w:ind w:left="514" w:right="0"/>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130" w:firstLine="362"/>
        <w:jc w:val="both"/>
      </w:pPr>
      <w:r>
        <w:rPr>
          <w:spacing w:val="-2"/>
        </w:rPr>
        <w:t>长期待摊费用为已经发生但应由报告期和以后各期负担的分摊期限在一年以上的各项费用。长期待摊费用在预计受益期</w:t>
      </w:r>
      <w:r>
        <w:rPr/>
        <w:t> 间按直线法摊销。</w:t>
      </w:r>
    </w:p>
    <w:p>
      <w:pPr>
        <w:spacing w:after="0" w:line="316" w:lineRule="auto"/>
        <w:jc w:val="both"/>
        <w:sectPr>
          <w:pgSz w:w="11910" w:h="16840"/>
          <w:pgMar w:header="747" w:footer="1190" w:top="1060" w:bottom="13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firstLine="380"/>
        <w:jc w:val="both"/>
      </w:pPr>
      <w:r>
        <w:rPr/>
        <w:t>短期薪酬主要包括工资、奖金、津贴和补贴、职工福利费、医疗保险费、生育保险费、工伤保险费、住房公积金、工</w:t>
      </w:r>
      <w:r>
        <w:rPr>
          <w:spacing w:val="1"/>
        </w:rPr>
        <w:t> </w:t>
      </w:r>
      <w:r>
        <w:rPr>
          <w:spacing w:val="-2"/>
        </w:rPr>
        <w:t>会经费和职工教育经费、非货币性福利等。本公司在职工为本公司提供服务的会计期间将实际发生的短期职工薪酬确认为负</w:t>
      </w:r>
      <w:r>
        <w:rPr>
          <w:spacing w:val="-64"/>
        </w:rPr>
        <w:t> </w:t>
      </w:r>
      <w:r>
        <w:rPr>
          <w:spacing w:val="-64"/>
        </w:rPr>
      </w:r>
      <w:r>
        <w:rPr/>
        <w:t>债，并计入当期损益或相关资产成本。其中非货币性福利按公允价值计量。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90" w:firstLine="380"/>
        <w:jc w:val="left"/>
      </w:pPr>
      <w:r>
        <w:rPr/>
        <w:t>离职后福利主要包括基本养老保险、失业保险。离职后福利计划包括设定提存计划。采用设定提存计划的，相应的应 缴存金额于发生时计入相关资产成本或当期损益。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0"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pStyle w:val="BodyText"/>
        <w:spacing w:line="316" w:lineRule="auto" w:before="19"/>
        <w:ind w:right="0" w:firstLine="360"/>
        <w:jc w:val="left"/>
      </w:pPr>
      <w:r>
        <w:rPr>
          <w:spacing w:val="-2"/>
        </w:rPr>
        <w:t>职工内部退休计划采用与上述辞退福利相同的原则处理。本公司将自职工停止提供服务日至正常退休日的期间拟支付的</w:t>
      </w:r>
      <w:r>
        <w:rPr/>
        <w:t> 内退人员工资和缴纳的社会保险费等，在符合预计负债确认条件时，计入当期损益（辞退福利）。</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本公司向职工提供的其他长期职工福利，符合设定提存计划的，按照设定提存计划进行会计处理，除此之外按照设定受</w:t>
      </w:r>
      <w:r>
        <w:rPr/>
        <w:t> 益计划进行会计处理。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0" w:firstLine="360"/>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w:t>
      </w:r>
      <w:r>
        <w:rPr/>
        <w:t> 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left="153" w:right="0" w:firstLine="360"/>
        <w:jc w:val="left"/>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316" w:lineRule="auto" w:before="19"/>
        <w:ind w:left="153" w:right="0" w:firstLine="360"/>
        <w:jc w:val="left"/>
      </w:pPr>
      <w:r>
        <w:rPr>
          <w:spacing w:val="-2"/>
        </w:rPr>
        <w:t>如果清偿预计负债所需支出全部或部分预期由第三方补偿的，补偿金额在基本确定能够收到时，作为资产单独确认，且</w:t>
      </w:r>
      <w:r>
        <w:rPr/>
        <w:t> 确认的补偿金额不超过预计负债的账面价值。</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513" w:right="0" w:hanging="90"/>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w:t>
      </w:r>
    </w:p>
    <w:p>
      <w:pPr>
        <w:pStyle w:val="BodyText"/>
        <w:spacing w:line="240" w:lineRule="auto" w:before="31"/>
        <w:ind w:left="153" w:right="0"/>
        <w:jc w:val="left"/>
      </w:pPr>
      <w:r>
        <w:rPr/>
        <w:t>为以权益结算的股份支付和以现金结算的股份支付。</w:t>
      </w:r>
    </w:p>
    <w:p>
      <w:pPr>
        <w:pStyle w:val="BodyText"/>
        <w:spacing w:line="316" w:lineRule="auto" w:before="76"/>
        <w:ind w:left="514" w:right="0"/>
        <w:jc w:val="left"/>
      </w:pPr>
      <w:r>
        <w:rPr/>
        <w:t>①</w:t>
      </w:r>
      <w:r>
        <w:rPr>
          <w:spacing w:val="-17"/>
        </w:rPr>
        <w:t> </w:t>
      </w:r>
      <w:r>
        <w:rPr/>
        <w:t>以权益结算的股份支付</w:t>
      </w:r>
      <w:r>
        <w:rPr/>
        <w:t> </w:t>
      </w:r>
      <w:r>
        <w:rPr>
          <w:spacing w:val="-2"/>
        </w:rPr>
        <w:t>用以换取职工提供的服务的权益结算的股份支付，以授予职工权益工具在授予日的公允价值计量。该公允价值的金额在</w:t>
      </w:r>
    </w:p>
    <w:p>
      <w:pPr>
        <w:pStyle w:val="BodyText"/>
        <w:spacing w:line="316" w:lineRule="auto" w:before="19"/>
        <w:ind w:right="0"/>
        <w:jc w:val="left"/>
      </w:pP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w:t>
      </w:r>
      <w:r>
        <w:rPr>
          <w:rFonts w:ascii="Times New Roman" w:hAnsi="Times New Roman" w:cs="Times New Roman" w:eastAsia="Times New Roman" w:hint="default"/>
        </w:rPr>
        <w:t>/</w:t>
      </w:r>
      <w:r>
        <w:rPr/>
        <w:t>在授予后立即可行权时，在授予日计入相关成本或费用，相应增加资本公积。</w:t>
      </w:r>
    </w:p>
    <w:p>
      <w:pPr>
        <w:spacing w:after="0" w:line="316" w:lineRule="auto"/>
        <w:jc w:val="left"/>
        <w:sectPr>
          <w:pgSz w:w="11910" w:h="16840"/>
          <w:pgMar w:header="747" w:footer="1190" w:top="1060" w:bottom="138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firstLine="360"/>
        <w:jc w:val="both"/>
      </w:pPr>
      <w:r>
        <w:rPr>
          <w:spacing w:val="-2"/>
        </w:rPr>
        <w:t>在等待期内每个资产负债表日，本公司根据最新取得的可行权职工人数变动等后续信息做出最佳估计，修正预计可行权</w:t>
      </w:r>
      <w:r>
        <w:rPr/>
        <w:t> 的权益工具数量。上述估计的影响计入当期相关成本或费用，并相应调整资本公积。</w:t>
      </w:r>
    </w:p>
    <w:p>
      <w:pPr>
        <w:pStyle w:val="BodyText"/>
        <w:spacing w:line="316" w:lineRule="auto" w:before="19"/>
        <w:ind w:right="1130" w:firstLine="360"/>
        <w:jc w:val="both"/>
      </w:pPr>
      <w:r>
        <w:rPr>
          <w:spacing w:val="-2"/>
        </w:rPr>
        <w:t>用以换取其他方服务的权益结算的股份支付，如果其他方服务的公允价值能够可靠计量，按照其他方服务在取得日的公</w:t>
      </w:r>
      <w:r>
        <w:rPr/>
        <w:t> </w:t>
      </w:r>
      <w:r>
        <w:rPr>
          <w:spacing w:val="-2"/>
        </w:rPr>
        <w:t>允价值计量，如果其他方服务的公允价值不能可靠计量，但权益工具的公允价值能够可靠计量的，按照权益工具在服务取得</w:t>
      </w:r>
      <w:r>
        <w:rPr>
          <w:spacing w:val="-66"/>
        </w:rPr>
        <w:t> </w:t>
      </w:r>
      <w:r>
        <w:rPr>
          <w:spacing w:val="-66"/>
        </w:rPr>
      </w:r>
      <w:r>
        <w:rPr/>
        <w:t>日的公允价值计量，计入相关成本或费用，相应增加股东权益。</w:t>
      </w:r>
    </w:p>
    <w:p>
      <w:pPr>
        <w:pStyle w:val="BodyText"/>
        <w:spacing w:line="316" w:lineRule="auto" w:before="19"/>
        <w:ind w:left="514" w:right="0"/>
        <w:jc w:val="left"/>
      </w:pPr>
      <w:r>
        <w:rPr/>
        <w:t>②</w:t>
      </w:r>
      <w:r>
        <w:rPr>
          <w:spacing w:val="-17"/>
        </w:rPr>
        <w:t> </w:t>
      </w:r>
      <w:r>
        <w:rPr/>
        <w:t>以现金结算的股份支付</w:t>
      </w:r>
      <w:r>
        <w:rPr/>
        <w:t> </w:t>
      </w:r>
      <w:r>
        <w:rPr>
          <w:spacing w:val="-2"/>
        </w:rPr>
        <w:t>以现金结算的股份支付，按照本公司承担的以股份或其他权益工具为基础确定的负债的公允价值计量。如授予后立即可</w:t>
      </w:r>
    </w:p>
    <w:p>
      <w:pPr>
        <w:pStyle w:val="BodyText"/>
        <w:spacing w:line="316" w:lineRule="auto" w:before="19"/>
        <w:ind w:right="1129"/>
        <w:jc w:val="both"/>
      </w:pPr>
      <w:r>
        <w:rPr>
          <w:spacing w:val="-2"/>
        </w:rPr>
        <w:t>行权，在授予日计入相关成本或费用，相应增加负债；如须完成等待期内的服务或达到规定业绩条件以后才可行权，在等待</w:t>
      </w:r>
      <w:r>
        <w:rPr>
          <w:spacing w:val="-66"/>
        </w:rPr>
        <w:t> </w:t>
      </w:r>
      <w:r>
        <w:rPr>
          <w:spacing w:val="-66"/>
        </w:rPr>
      </w:r>
      <w:r>
        <w:rPr>
          <w:spacing w:val="-2"/>
        </w:rPr>
        <w:t>期的每个资产负债表日，以对可行权情况的最佳估计为基础，按照本公司承担负债的公允价值金额，将当期取得的服务计入</w:t>
      </w:r>
      <w:r>
        <w:rPr>
          <w:spacing w:val="-66"/>
        </w:rPr>
        <w:t> </w:t>
      </w:r>
      <w:r>
        <w:rPr>
          <w:spacing w:val="-66"/>
        </w:rPr>
      </w:r>
      <w:r>
        <w:rPr/>
        <w:t>成本或费用，相应增加负债。</w:t>
      </w:r>
    </w:p>
    <w:p>
      <w:pPr>
        <w:pStyle w:val="BodyText"/>
        <w:spacing w:line="240" w:lineRule="auto" w:before="19"/>
        <w:ind w:left="514" w:right="0"/>
        <w:jc w:val="left"/>
      </w:pPr>
      <w:r>
        <w:rPr/>
        <w:t>在相关负债结算前的每个资产负债表日以及结算日，对负债的公允价值重新计量，其变动计入当期损益。</w:t>
      </w:r>
    </w:p>
    <w:p>
      <w:pPr>
        <w:pStyle w:val="BodyText"/>
        <w:spacing w:line="300" w:lineRule="auto" w:before="76"/>
        <w:ind w:left="514" w:right="0" w:hanging="90"/>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本公司对股份支付计划进行修改时，若修改增加了所授予权益工具的公允价值，按照权益工具公允价值的增加相应确认</w:t>
      </w:r>
    </w:p>
    <w:p>
      <w:pPr>
        <w:pStyle w:val="BodyText"/>
        <w:spacing w:line="316" w:lineRule="auto" w:before="31"/>
        <w:ind w:right="1130"/>
        <w:jc w:val="both"/>
      </w:pPr>
      <w:r>
        <w:rPr>
          <w:spacing w:val="-2"/>
        </w:rPr>
        <w:t>取得服务的增加。权益工具公允价值的增加是指修改前后的权益工具在修改日的公允价值之间的差额。若修改减少了股份支</w:t>
      </w:r>
      <w:r>
        <w:rPr>
          <w:spacing w:val="-64"/>
        </w:rPr>
        <w:t> </w:t>
      </w:r>
      <w:r>
        <w:rPr>
          <w:spacing w:val="-64"/>
        </w:rPr>
      </w:r>
      <w:r>
        <w:rPr>
          <w:spacing w:val="-2"/>
        </w:rPr>
        <w:t>付公允价值总额或采用了其他不利于职工的方式，则仍继续对取得的服务进行会计处理，视同该变更从未发生，除非本公司</w:t>
      </w:r>
      <w:r>
        <w:rPr>
          <w:spacing w:val="-66"/>
        </w:rPr>
        <w:t> </w:t>
      </w:r>
      <w:r>
        <w:rPr>
          <w:spacing w:val="-66"/>
        </w:rPr>
      </w:r>
      <w:r>
        <w:rPr/>
        <w:t>取消了部分或全部已授予的权益工具。</w:t>
      </w:r>
    </w:p>
    <w:p>
      <w:pPr>
        <w:pStyle w:val="BodyText"/>
        <w:spacing w:line="316" w:lineRule="auto" w:before="19"/>
        <w:ind w:right="1131" w:firstLine="360"/>
        <w:jc w:val="both"/>
      </w:pPr>
      <w:r>
        <w:rPr>
          <w:spacing w:val="-2"/>
        </w:rPr>
        <w:t>在等待期内，如果取消了授予的权益工具，本公司对取消所授予的权益性工具作为加速行权处理，将剩余等待期内应确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认的金额立即计入当期损益，同时确认资本公积。职工或其他方能够选择满足非可行权条件但在等待期内未满足的，本公司</w:t>
      </w:r>
      <w:r>
        <w:rPr>
          <w:spacing w:val="-66"/>
        </w:rPr>
        <w:t> </w:t>
      </w:r>
      <w:r>
        <w:rPr>
          <w:spacing w:val="-66"/>
        </w:rPr>
      </w:r>
      <w:r>
        <w:rPr/>
        <w:t>将其作为授予权益工具的取消处理。</w:t>
      </w:r>
    </w:p>
    <w:p>
      <w:pPr>
        <w:pStyle w:val="BodyText"/>
        <w:spacing w:line="300" w:lineRule="auto" w:before="19"/>
        <w:ind w:left="514" w:right="0" w:hanging="90"/>
        <w:jc w:val="left"/>
      </w:pPr>
      <w:r>
        <w:rPr/>
        <w:t>（</w:t>
      </w:r>
      <w:r>
        <w:rPr>
          <w:rFonts w:ascii="Times New Roman" w:hAnsi="Times New Roman" w:cs="Times New Roman" w:eastAsia="Times New Roman" w:hint="default"/>
        </w:rPr>
        <w:t>3</w:t>
      </w:r>
      <w:r>
        <w:rPr/>
        <w:t>）涉及本公司与本公司股东或实际控制人的股份支付交易的会计处理 </w:t>
      </w:r>
      <w:r>
        <w:rPr>
          <w:spacing w:val="-2"/>
        </w:rPr>
        <w:t>涉及本公司与本公司股东或实际控制人的股份支付交易，结算企业与接受服务企业中其一在本公司内，另一在本公司外</w:t>
      </w:r>
    </w:p>
    <w:p>
      <w:pPr>
        <w:pStyle w:val="BodyText"/>
        <w:spacing w:line="240" w:lineRule="auto" w:before="31"/>
        <w:ind w:right="0"/>
        <w:jc w:val="both"/>
      </w:pPr>
      <w:r>
        <w:rPr/>
        <w:t>的，在本公司合并财务报表中按照以下规定进行会计处理：</w:t>
      </w:r>
    </w:p>
    <w:p>
      <w:pPr>
        <w:pStyle w:val="BodyText"/>
        <w:spacing w:line="316" w:lineRule="auto" w:before="76"/>
        <w:ind w:right="1156" w:firstLine="360"/>
        <w:jc w:val="both"/>
      </w:pPr>
      <w:r>
        <w:rPr/>
        <w:t>①</w:t>
      </w:r>
      <w:r>
        <w:rPr>
          <w:spacing w:val="-19"/>
        </w:rPr>
        <w:t> </w:t>
      </w:r>
      <w:r>
        <w:rPr/>
        <w:t>结算企业以其本身权益工具结算的，将该股份支付交易作为权益结算的股份支付处理；除此之外，作为现金结算的</w:t>
      </w:r>
      <w:r>
        <w:rPr/>
        <w:t> 股份支付处理。</w:t>
      </w:r>
    </w:p>
    <w:p>
      <w:pPr>
        <w:pStyle w:val="BodyText"/>
        <w:spacing w:line="316" w:lineRule="auto" w:before="19"/>
        <w:ind w:right="1131" w:firstLine="360"/>
        <w:jc w:val="both"/>
      </w:pPr>
      <w:r>
        <w:rPr>
          <w:spacing w:val="-2"/>
        </w:rPr>
        <w:t>结算企业是接受服务企业的投资者的，按照授予日权益工具的公允价值或应承担负债的公允价值确认为对接受服务企业</w:t>
      </w:r>
      <w:r>
        <w:rPr/>
        <w:t> 的长期股权投资，同时确认资本公积（其他资本公积）或负债。</w:t>
      </w:r>
    </w:p>
    <w:p>
      <w:pPr>
        <w:pStyle w:val="BodyText"/>
        <w:spacing w:line="316" w:lineRule="auto" w:before="19"/>
        <w:ind w:right="1130" w:firstLine="360"/>
        <w:jc w:val="both"/>
      </w:pPr>
      <w:r>
        <w:rPr/>
        <w:t>②</w:t>
      </w:r>
      <w:r>
        <w:rPr>
          <w:spacing w:val="-19"/>
        </w:rPr>
        <w:t> </w:t>
      </w:r>
      <w:r>
        <w:rPr/>
        <w:t>接受服务企业没有结算义务或授予本企业职工的是其本身权益工具的，将该股份支付交易作为权益结算的股份支付</w:t>
      </w:r>
      <w:r>
        <w:rPr/>
        <w:t> </w:t>
      </w:r>
      <w:r>
        <w:rPr>
          <w:spacing w:val="-2"/>
        </w:rPr>
        <w:t>处理；接受服务企业具有结算义务且授予本企业职工的并非其本身权益工具的，将该股份支付交易作为现金结算的股份支付</w:t>
      </w:r>
      <w:r>
        <w:rPr>
          <w:spacing w:val="-64"/>
        </w:rPr>
        <w:t> </w:t>
      </w:r>
      <w:r>
        <w:rPr>
          <w:spacing w:val="-64"/>
        </w:rPr>
      </w:r>
      <w:r>
        <w:rPr/>
        <w:t>处理。</w:t>
      </w:r>
    </w:p>
    <w:p>
      <w:pPr>
        <w:pStyle w:val="BodyText"/>
        <w:spacing w:line="316" w:lineRule="auto" w:before="59"/>
        <w:ind w:right="1130"/>
        <w:jc w:val="both"/>
      </w:pPr>
      <w:r>
        <w:rPr>
          <w:spacing w:val="-2"/>
        </w:rPr>
        <w:t>本公司内各企业之间发生的股份支付交易，接受服务企业和结算企业不是同一企业的，在接受服务企业和结算企业各自的个</w:t>
      </w:r>
      <w:r>
        <w:rPr>
          <w:spacing w:val="-64"/>
        </w:rPr>
        <w:t> </w:t>
      </w:r>
      <w:r>
        <w:rPr>
          <w:spacing w:val="-64"/>
        </w:rPr>
      </w:r>
      <w:r>
        <w:rPr/>
        <w:t>别财务报表中对该股份支付交易的确认和计量，比照上述原则处理。</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7691"/>
        <w:jc w:val="left"/>
      </w:pPr>
      <w:r>
        <w:rPr/>
        <w:t>公司是否需要遵守特殊行业的披露要求 是</w:t>
      </w:r>
    </w:p>
    <w:p>
      <w:pPr>
        <w:pStyle w:val="BodyText"/>
        <w:spacing w:line="240" w:lineRule="auto" w:before="26"/>
        <w:ind w:left="153" w:right="0"/>
        <w:jc w:val="both"/>
      </w:pPr>
      <w:r>
        <w:rPr/>
        <w:t>软件与信息技术服务业</w:t>
      </w:r>
    </w:p>
    <w:p>
      <w:pPr>
        <w:pStyle w:val="BodyText"/>
        <w:spacing w:line="240" w:lineRule="auto" w:before="116"/>
        <w:ind w:left="153" w:right="0"/>
        <w:jc w:val="both"/>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00" w:lineRule="auto" w:before="102"/>
        <w:ind w:left="527" w:right="1197" w:hanging="156"/>
        <w:jc w:val="left"/>
      </w:pPr>
      <w:r>
        <w:rPr/>
        <w:t>（</w:t>
      </w:r>
      <w:r>
        <w:rPr>
          <w:rFonts w:ascii="Times New Roman" w:hAnsi="Times New Roman" w:cs="Times New Roman" w:eastAsia="Times New Roman" w:hint="default"/>
        </w:rPr>
        <w:t>1</w:t>
      </w:r>
      <w:r>
        <w:rPr/>
        <w:t>）商品销售收入 在已将商品所有权上的主要风险和报酬转移给买方，既没有保留通常与所有权相联系的继续管理权，也没有对已售商</w:t>
      </w:r>
    </w:p>
    <w:p>
      <w:pPr>
        <w:pStyle w:val="BodyText"/>
        <w:spacing w:line="316" w:lineRule="auto" w:before="31"/>
        <w:ind w:right="1131"/>
        <w:jc w:val="both"/>
      </w:pPr>
      <w:r>
        <w:rPr>
          <w:spacing w:val="-2"/>
        </w:rPr>
        <w:t>品实施有效控制，收入的金额能够可靠地计量，相关的经济利益很可能流入企业，相关的已发生或将发生的成本能够可靠地</w:t>
      </w:r>
      <w:r>
        <w:rPr>
          <w:spacing w:val="-66"/>
        </w:rPr>
        <w:t> </w:t>
      </w:r>
      <w:r>
        <w:rPr>
          <w:spacing w:val="-66"/>
        </w:rPr>
      </w:r>
      <w:r>
        <w:rPr/>
        <w:t>计量时，确认商品销售收入的实现。</w:t>
      </w:r>
    </w:p>
    <w:p>
      <w:pPr>
        <w:pStyle w:val="BodyText"/>
        <w:spacing w:line="300" w:lineRule="auto" w:before="19"/>
        <w:ind w:left="527" w:right="2097" w:hanging="74"/>
        <w:jc w:val="left"/>
      </w:pPr>
      <w:r>
        <w:rPr/>
        <w:t>（</w:t>
      </w:r>
      <w:r>
        <w:rPr>
          <w:rFonts w:ascii="Times New Roman" w:hAnsi="Times New Roman" w:cs="Times New Roman" w:eastAsia="Times New Roman" w:hint="default"/>
        </w:rPr>
        <w:t>2</w:t>
      </w:r>
      <w:r>
        <w:rPr/>
        <w:t>）提供劳务收入 在提供劳务交易的结果能够可靠估计的情况下，于资产负债表日按照完工百分比法确认提供的劳务收入。</w:t>
      </w:r>
    </w:p>
    <w:p>
      <w:pPr>
        <w:spacing w:after="0" w:line="300" w:lineRule="auto"/>
        <w:jc w:val="left"/>
        <w:sectPr>
          <w:pgSz w:w="11910" w:h="16840"/>
          <w:pgMar w:header="747" w:footer="1190" w:top="1060" w:bottom="138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27" w:right="0"/>
        <w:jc w:val="left"/>
      </w:pPr>
      <w:r>
        <w:rPr/>
        <w:t>提供劳务交易的结果能够可靠估计是指同时满足：①收入的金额能够可靠地计量；②相关的经济利益很可能流入企业；</w:t>
      </w:r>
    </w:p>
    <w:p>
      <w:pPr>
        <w:pStyle w:val="BodyText"/>
        <w:spacing w:line="316" w:lineRule="auto" w:before="76"/>
        <w:ind w:left="527" w:right="1197" w:hanging="374"/>
        <w:jc w:val="left"/>
      </w:pPr>
      <w:r>
        <w:rPr/>
        <w:t>③交易的完工程度能够可靠地确定；④交易中已发生和将发生的成本能够可靠地计量。 如果提供劳务交易的结果不能够可靠估计，则按已经发生并预计能够得到补偿的劳务成本金额确认提供的劳务收入，</w:t>
      </w:r>
    </w:p>
    <w:p>
      <w:pPr>
        <w:pStyle w:val="BodyText"/>
        <w:spacing w:line="316" w:lineRule="auto" w:before="19"/>
        <w:ind w:left="527" w:right="1197" w:hanging="374"/>
        <w:jc w:val="left"/>
      </w:pPr>
      <w:r>
        <w:rPr/>
        <w:t>并将已发生的劳务成本作为当期费用。已经发生的劳务成本如预计不能得到补偿的，则不确认收入。 本公司与其他企业签订的合同或协议包括销售商品和提供劳务时，如销售商品部分和提供劳务部分能够区分并单独计</w:t>
      </w:r>
    </w:p>
    <w:p>
      <w:pPr>
        <w:pStyle w:val="BodyText"/>
        <w:spacing w:line="316" w:lineRule="auto" w:before="19"/>
        <w:ind w:right="0"/>
        <w:jc w:val="left"/>
      </w:pPr>
      <w:r>
        <w:rPr>
          <w:spacing w:val="-2"/>
        </w:rPr>
        <w:t>量的，将销售商品部分和提供劳务部分分别处理；如销售商品部分和提供劳务部分不能够区分，或虽能区分但不能够单独计</w:t>
      </w:r>
      <w:r>
        <w:rPr>
          <w:spacing w:val="-66"/>
        </w:rPr>
        <w:t> </w:t>
      </w:r>
      <w:r>
        <w:rPr>
          <w:spacing w:val="-66"/>
        </w:rPr>
      </w:r>
      <w:r>
        <w:rPr/>
        <w:t>量的，将该合同全部作为销售商品处理。</w:t>
      </w:r>
    </w:p>
    <w:p>
      <w:pPr>
        <w:pStyle w:val="BodyText"/>
        <w:spacing w:line="240" w:lineRule="auto" w:before="19"/>
        <w:ind w:left="454" w:right="0"/>
        <w:jc w:val="left"/>
      </w:pPr>
      <w:r>
        <w:rPr/>
        <w:t>（</w:t>
      </w:r>
      <w:r>
        <w:rPr>
          <w:rFonts w:ascii="Times New Roman" w:hAnsi="Times New Roman" w:cs="Times New Roman" w:eastAsia="Times New Roman" w:hint="default"/>
        </w:rPr>
        <w:t>3</w:t>
      </w:r>
      <w:r>
        <w:rPr/>
        <w:t>）收入确认的具体方法</w:t>
      </w:r>
    </w:p>
    <w:p>
      <w:pPr>
        <w:pStyle w:val="BodyText"/>
        <w:spacing w:line="316" w:lineRule="auto" w:before="63"/>
        <w:ind w:left="527" w:right="0"/>
        <w:jc w:val="left"/>
      </w:pPr>
      <w:r>
        <w:rPr/>
        <w:t>①软件产品的开发和销售 </w:t>
      </w:r>
      <w:r>
        <w:rPr>
          <w:spacing w:val="-1"/>
        </w:rPr>
        <w:t>软件产品包括自行开发研制软件产品和定制开发软件产品。自行开发研制软件产品是指拥有自主知识产权、无差异化、</w:t>
      </w:r>
    </w:p>
    <w:p>
      <w:pPr>
        <w:pStyle w:val="BodyText"/>
        <w:spacing w:line="316" w:lineRule="auto" w:before="19"/>
        <w:ind w:left="527" w:right="1197" w:hanging="374"/>
        <w:jc w:val="left"/>
      </w:pPr>
      <w:r>
        <w:rPr/>
        <w:t>可批量复制的软件产品；定制开发软件产品是指公司根据买方的实际需求进行定制、开发的软件产品。 自行开发研制软件产品的销售，公司在软件产品的重要风险和报酬已转移给买方，取得相关的验收单后，不再对其实</w:t>
      </w:r>
    </w:p>
    <w:p>
      <w:pPr>
        <w:pStyle w:val="BodyText"/>
        <w:spacing w:line="316" w:lineRule="auto" w:before="19"/>
        <w:ind w:right="1117"/>
        <w:jc w:val="left"/>
      </w:pPr>
      <w:r>
        <w:rPr>
          <w:spacing w:val="-2"/>
        </w:rPr>
        <w:t>施继续管理权和实际控制权，相关的收入已经收到或取得了收款的证据，并且与其有关的成本能够可靠地计量时，确认销售</w:t>
      </w:r>
      <w:r>
        <w:rPr>
          <w:spacing w:val="-66"/>
        </w:rPr>
        <w:t> </w:t>
      </w:r>
      <w:r>
        <w:rPr>
          <w:spacing w:val="-66"/>
        </w:rPr>
      </w:r>
      <w:r>
        <w:rPr/>
        <w:t>收入。</w:t>
      </w:r>
    </w:p>
    <w:p>
      <w:pPr>
        <w:pStyle w:val="BodyText"/>
        <w:spacing w:line="316" w:lineRule="auto" w:before="19"/>
        <w:ind w:right="1197" w:firstLine="373"/>
        <w:jc w:val="left"/>
      </w:pPr>
      <w:r>
        <w:rPr/>
        <w:t>定制开发软件项目按合同约定在项目实施完成并经对方验收合格后确认收入，对合同约定完工比例的，按合同约定的 完工确认条件确认收入。</w:t>
      </w:r>
    </w:p>
    <w:p>
      <w:pPr>
        <w:pStyle w:val="BodyText"/>
        <w:spacing w:line="316" w:lineRule="auto" w:before="19"/>
        <w:ind w:left="527" w:right="3717"/>
        <w:jc w:val="left"/>
      </w:pPr>
      <w:r>
        <w:rPr/>
        <w:t>②技术服务收入 技术服务是指公司为客户提供的技术支持、技术咨询、技术开发、系统维护等服务。</w:t>
      </w:r>
    </w:p>
    <w:p>
      <w:pPr>
        <w:pStyle w:val="BodyText"/>
        <w:spacing w:line="316" w:lineRule="auto" w:before="19"/>
        <w:ind w:right="1197" w:firstLine="373"/>
        <w:jc w:val="left"/>
      </w:pPr>
      <w:r>
        <w:rPr/>
        <w:t>技术服务收入的确认原则及方法为：在劳务已经提供，按合同约定取得验收单、收到价款或取得收取款项的证据时， 确认劳务收入。一定期限的维护合同，按合同期限平均确认收入。</w:t>
      </w:r>
    </w:p>
    <w:p>
      <w:pPr>
        <w:pStyle w:val="BodyText"/>
        <w:spacing w:line="300" w:lineRule="auto" w:before="19"/>
        <w:ind w:left="544" w:right="6580" w:hanging="90"/>
        <w:jc w:val="left"/>
      </w:pPr>
      <w:r>
        <w:rPr/>
        <w:t>（</w:t>
      </w:r>
      <w:r>
        <w:rPr>
          <w:rFonts w:ascii="Times New Roman" w:hAnsi="Times New Roman" w:cs="Times New Roman" w:eastAsia="Times New Roman" w:hint="default"/>
        </w:rPr>
        <w:t>4</w:t>
      </w:r>
      <w:r>
        <w:rPr/>
        <w:t>）使用费收入 根据有关合同或协议，按权责发生制确认收入。</w:t>
      </w:r>
    </w:p>
    <w:p>
      <w:pPr>
        <w:pStyle w:val="BodyText"/>
        <w:spacing w:line="316" w:lineRule="auto" w:before="31"/>
        <w:ind w:left="454" w:right="5770"/>
        <w:jc w:val="left"/>
      </w:pPr>
      <w:r>
        <w:rPr/>
        <w:t>（5）利息收入 按照他人使用本公司货币资金的时间和实际利率计算确定。</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73"/>
        <w:jc w:val="left"/>
      </w:pPr>
      <w:r>
        <w:rPr/>
        <w:t>政府补助是指本公司从政府无偿取得货币性资产和非货币性资产，不包括政府以投资者身份并享有相应所有者权益而 </w:t>
      </w:r>
      <w:r>
        <w:rPr>
          <w:spacing w:val="-2"/>
        </w:rPr>
        <w:t>投入的资本。政府补助分为与资产相关的政府补助和与收益相关的政府补助。政府补助为货币性资产的，按照收到或应收的</w:t>
      </w:r>
      <w:r>
        <w:rPr>
          <w:spacing w:val="-66"/>
        </w:rPr>
        <w:t> </w:t>
      </w:r>
      <w:r>
        <w:rPr>
          <w:spacing w:val="-66"/>
        </w:rPr>
      </w:r>
      <w:r>
        <w:rPr>
          <w:spacing w:val="-2"/>
        </w:rPr>
        <w:t>金额计量。政府补助为非货币性资产的，按照公允价值计量；公允价值不能够可靠取得的，按照名义金额计量。按照名义金</w:t>
      </w:r>
      <w:r>
        <w:rPr>
          <w:spacing w:val="-66"/>
        </w:rPr>
        <w:t> </w:t>
      </w:r>
      <w:r>
        <w:rPr>
          <w:spacing w:val="-66"/>
        </w:rPr>
      </w:r>
      <w:r>
        <w:rPr/>
        <w:t>额计量的政府补助，直接计入当期损益。</w:t>
      </w:r>
    </w:p>
    <w:p>
      <w:pPr>
        <w:pStyle w:val="BodyText"/>
        <w:spacing w:line="316" w:lineRule="auto" w:before="19"/>
        <w:ind w:right="0" w:firstLine="373"/>
        <w:jc w:val="left"/>
      </w:pPr>
      <w:r>
        <w:rPr/>
        <w:t>与资产相关的政府补助，确认为递延收益，并在相关资产的使用寿命内按照合理、系统的方法分期计入当期损益。与 </w:t>
      </w:r>
      <w:r>
        <w:rPr>
          <w:spacing w:val="-2"/>
        </w:rPr>
        <w:t>收益相关的政府补助，用于补偿以后期间的相关成本费用或损失的，确认为递延收益，并在确认相关成本费用或损失的期间</w:t>
      </w:r>
      <w:r>
        <w:rPr>
          <w:spacing w:val="-66"/>
        </w:rPr>
        <w:t> </w:t>
      </w:r>
      <w:r>
        <w:rPr>
          <w:spacing w:val="-66"/>
        </w:rPr>
      </w:r>
      <w:r>
        <w:rPr/>
        <w:t>计入当期损益；用于补偿已经发生的相关成本费用或损失的，直接计入当期损益。</w:t>
      </w:r>
    </w:p>
    <w:p>
      <w:pPr>
        <w:pStyle w:val="BodyText"/>
        <w:spacing w:line="316" w:lineRule="auto" w:before="19"/>
        <w:ind w:right="1197" w:firstLine="373"/>
        <w:jc w:val="left"/>
      </w:pPr>
      <w:r>
        <w:rPr/>
        <w:t>同时包含与资产相关部分和与收益相关部分的政府补助，区分不同部分分别进行会计处理；难以区分的，将其整体归 类为与收益相关的政府补助。</w:t>
      </w:r>
    </w:p>
    <w:p>
      <w:pPr>
        <w:pStyle w:val="BodyText"/>
        <w:spacing w:line="316" w:lineRule="auto" w:before="19"/>
        <w:ind w:right="1197" w:firstLine="373"/>
        <w:jc w:val="left"/>
      </w:pPr>
      <w:r>
        <w:rPr/>
        <w:t>与本公司日常活动相关的政府补助，按照经济业务的实质，计入其他收益或冲减相关成本费用；与日常活动无关的政 府补助，计入营业外收支。</w:t>
      </w:r>
    </w:p>
    <w:p>
      <w:pPr>
        <w:pStyle w:val="BodyText"/>
        <w:spacing w:line="316" w:lineRule="auto" w:before="19"/>
        <w:ind w:right="1197" w:firstLine="373"/>
        <w:jc w:val="left"/>
      </w:pPr>
      <w:r>
        <w:rPr/>
        <w:t>已确认的政府补助需要退回时，存在相关递延收益余额的，冲减相关递延收益账面余额，超出部分计入当期损益；属 于其他情况的，直接计入当期损益。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27" w:right="0" w:hanging="156"/>
        <w:jc w:val="left"/>
      </w:pPr>
      <w:r>
        <w:rPr/>
        <w:t>（</w:t>
      </w:r>
      <w:r>
        <w:rPr>
          <w:rFonts w:ascii="Times New Roman" w:hAnsi="Times New Roman" w:cs="Times New Roman" w:eastAsia="Times New Roman" w:hint="default"/>
        </w:rPr>
        <w:t>1</w:t>
      </w:r>
      <w:r>
        <w:rPr/>
        <w:t>）当期所得税 </w:t>
      </w:r>
      <w:r>
        <w:rPr>
          <w:spacing w:val="-1"/>
        </w:rPr>
        <w:t>资产负债表日，对于当期和以前期间形成的当期所得税负债（或资产），以按照税法规定计算的预期应交纳（或返还）</w:t>
      </w:r>
    </w:p>
    <w:p>
      <w:pPr>
        <w:spacing w:after="0" w:line="300" w:lineRule="auto"/>
        <w:jc w:val="left"/>
        <w:sectPr>
          <w:footerReference w:type="default" r:id="rId19"/>
          <w:pgSz w:w="11910" w:h="16840"/>
          <w:pgMar w:footer="1190" w:header="747" w:top="1060" w:bottom="1380" w:left="980" w:right="0"/>
          <w:pgNumType w:start="116"/>
        </w:sectPr>
      </w:pPr>
    </w:p>
    <w:p>
      <w:pPr>
        <w:spacing w:line="240" w:lineRule="auto" w:before="12"/>
        <w:rPr>
          <w:rFonts w:ascii="宋体" w:hAnsi="宋体" w:cs="宋体" w:eastAsia="宋体" w:hint="default"/>
          <w:sz w:val="25"/>
          <w:szCs w:val="25"/>
        </w:rPr>
      </w:pPr>
    </w:p>
    <w:p>
      <w:pPr>
        <w:pStyle w:val="BodyText"/>
        <w:spacing w:line="316" w:lineRule="auto" w:before="44"/>
        <w:ind w:right="1117"/>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00" w:lineRule="auto" w:before="19"/>
        <w:ind w:left="527" w:right="1197" w:hanging="74"/>
        <w:jc w:val="left"/>
      </w:pPr>
      <w:r>
        <w:rPr/>
        <w:t>（</w:t>
      </w:r>
      <w:r>
        <w:rPr>
          <w:rFonts w:ascii="Times New Roman" w:hAnsi="Times New Roman" w:cs="Times New Roman" w:eastAsia="Times New Roman" w:hint="default"/>
        </w:rPr>
        <w:t>2</w:t>
      </w:r>
      <w:r>
        <w:rPr/>
        <w:t>）递延所得税资产及递延所得税负债 某些资产、负债项目的账面价值与其计税基础之间的差额，以及未作为资产和负债确认但按照税法规定可以确定其计</w:t>
      </w:r>
    </w:p>
    <w:p>
      <w:pPr>
        <w:pStyle w:val="BodyText"/>
        <w:spacing w:line="316" w:lineRule="auto" w:before="31"/>
        <w:ind w:right="1117"/>
        <w:jc w:val="left"/>
      </w:pPr>
      <w:r>
        <w:rPr>
          <w:spacing w:val="-2"/>
        </w:rPr>
        <w:t>税基础的项目的账面价值与计税基础之间的差额产生的暂时性差异，采用资产负债表债务法确认递延所得税资产及递延所得</w:t>
      </w:r>
      <w:r>
        <w:rPr>
          <w:spacing w:val="-64"/>
        </w:rPr>
        <w:t> </w:t>
      </w:r>
      <w:r>
        <w:rPr>
          <w:spacing w:val="-64"/>
        </w:rPr>
      </w:r>
      <w:r>
        <w:rPr/>
        <w:t>税负债。</w:t>
      </w:r>
    </w:p>
    <w:p>
      <w:pPr>
        <w:pStyle w:val="BodyText"/>
        <w:spacing w:line="316" w:lineRule="auto" w:before="19"/>
        <w:ind w:right="1117" w:firstLine="373"/>
        <w:jc w:val="left"/>
      </w:pPr>
      <w:r>
        <w:rPr/>
        <w:t>与商誉的初始确认有关，以及与既不是企业合并、发生时也不影响会计利润和应纳税所得额（或可抵扣亏损）的交易 </w:t>
      </w:r>
      <w:r>
        <w:rPr>
          <w:spacing w:val="-2"/>
        </w:rPr>
        <w:t>中产生的资产或负债的初始确认有关的应纳税暂时性差异，不予确认有关的递延所得税负债。此外，对与子公司、联营企业</w:t>
      </w:r>
      <w:r>
        <w:rPr>
          <w:spacing w:val="-66"/>
        </w:rPr>
        <w:t> </w:t>
      </w:r>
      <w:r>
        <w:rPr>
          <w:spacing w:val="-66"/>
        </w:rPr>
      </w:r>
      <w:r>
        <w:rPr>
          <w:spacing w:val="-2"/>
        </w:rPr>
        <w:t>及合营企业投资相关的应纳税暂时性差异，如果本公司能够控制暂时性差异转回的时间，而且该暂时性差异在可预见的未来</w:t>
      </w:r>
      <w:r>
        <w:rPr>
          <w:spacing w:val="-64"/>
        </w:rPr>
        <w:t> </w:t>
      </w:r>
      <w:r>
        <w:rPr>
          <w:spacing w:val="-64"/>
        </w:rPr>
      </w:r>
      <w:r>
        <w:rPr>
          <w:spacing w:val="-2"/>
        </w:rPr>
        <w:t>很可能不会转回，也不予确认有关的递延所得税负债。除上述例外情况，本公司确认其他所有应纳税暂时性差异产生的递延</w:t>
      </w:r>
      <w:r>
        <w:rPr>
          <w:spacing w:val="-66"/>
        </w:rPr>
        <w:t> </w:t>
      </w:r>
      <w:r>
        <w:rPr>
          <w:spacing w:val="-66"/>
        </w:rPr>
      </w:r>
      <w:r>
        <w:rPr/>
        <w:t>所得税负债。</w:t>
      </w:r>
    </w:p>
    <w:p>
      <w:pPr>
        <w:pStyle w:val="BodyText"/>
        <w:spacing w:line="316" w:lineRule="auto" w:before="19"/>
        <w:ind w:right="0" w:firstLine="373"/>
        <w:jc w:val="left"/>
      </w:pPr>
      <w:r>
        <w:rPr/>
        <w:t>与既不是企业合并、发生时也不影响会计利润和应纳税所得额（或可抵扣亏损）的交易中产生的资产或负债的初始确 </w:t>
      </w:r>
      <w:r>
        <w:rPr>
          <w:spacing w:val="-2"/>
        </w:rPr>
        <w:t>认有关的可抵扣暂时性差异，不予确认有关的递延所得税资产。此外，对与子公司、联营企业及合营企业投资相关的可抵扣</w:t>
      </w:r>
      <w:r>
        <w:rPr>
          <w:spacing w:val="-66"/>
        </w:rPr>
        <w:t> </w:t>
      </w:r>
      <w:r>
        <w:rPr>
          <w:spacing w:val="-66"/>
        </w:rPr>
      </w:r>
      <w:r>
        <w:rPr>
          <w:spacing w:val="-2"/>
        </w:rPr>
        <w:t>暂时性差异，如果暂时性差异在可预见的未来不是很可能转回，或者未来不是很可能获得用来抵扣可抵扣暂时性差异的应纳</w:t>
      </w:r>
      <w:r>
        <w:rPr>
          <w:spacing w:val="-64"/>
        </w:rPr>
        <w:t> </w:t>
      </w:r>
      <w:r>
        <w:rPr>
          <w:spacing w:val="-64"/>
        </w:rPr>
      </w:r>
      <w:r>
        <w:rPr>
          <w:spacing w:val="-2"/>
        </w:rPr>
        <w:t>税所得额，不予确认有关的递延所得税资产。除上述例外情况，本公司以很可能取得用来抵扣可抵扣暂时性差异的应纳税所</w:t>
      </w:r>
      <w:r>
        <w:rPr>
          <w:spacing w:val="-66"/>
        </w:rPr>
        <w:t> </w:t>
      </w:r>
      <w:r>
        <w:rPr>
          <w:spacing w:val="-66"/>
        </w:rPr>
      </w:r>
      <w:r>
        <w:rPr/>
        <w:t>得额为限，确认其他可抵扣暂时性差异产生的递延所得税资产。</w:t>
      </w:r>
    </w:p>
    <w:p>
      <w:pPr>
        <w:pStyle w:val="BodyText"/>
        <w:spacing w:line="316" w:lineRule="auto" w:before="19"/>
        <w:ind w:right="1197" w:firstLine="373"/>
        <w:jc w:val="left"/>
      </w:pPr>
      <w:r>
        <w:rPr/>
        <w:t>对于能够结转以后年度的可抵扣亏损和税款抵减，以很可能获得用来抵扣可抵扣亏损和税款抵减的未来应纳税所得额 为限，确认相应的递延所得税资产。</w:t>
      </w:r>
    </w:p>
    <w:p>
      <w:pPr>
        <w:pStyle w:val="BodyText"/>
        <w:spacing w:line="316" w:lineRule="auto" w:before="19"/>
        <w:ind w:right="1197" w:firstLine="373"/>
        <w:jc w:val="left"/>
      </w:pPr>
      <w:r>
        <w:rPr/>
        <w:t>资产负债表日，对于递延所得税资产和递延所得税负债，根据税法规定，按照预期收回相关资产或清偿相关负债期间 的适用税率计量。</w:t>
      </w:r>
    </w:p>
    <w:p>
      <w:pPr>
        <w:pStyle w:val="BodyText"/>
        <w:spacing w:line="316" w:lineRule="auto" w:before="19"/>
        <w:ind w:right="1197" w:firstLine="373"/>
        <w:jc w:val="left"/>
      </w:pPr>
      <w:r>
        <w:rPr/>
        <w:t>于资产负债表日，对递延所得税资产的账面价值进行复核，如果未来很可能无法获得足够的应纳税所得额用以抵扣递 延所得税资产的利益，则减记递延所得税资产的账面价值。在很可能获得足够的应纳税所得额时，减记的金额予以转回。</w:t>
      </w:r>
    </w:p>
    <w:p>
      <w:pPr>
        <w:pStyle w:val="BodyText"/>
        <w:spacing w:line="300" w:lineRule="auto" w:before="19"/>
        <w:ind w:left="527" w:right="6957" w:hanging="74"/>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right="1197" w:firstLine="373"/>
        <w:jc w:val="left"/>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00" w:lineRule="auto" w:before="19"/>
        <w:ind w:left="514" w:right="0" w:firstLine="20"/>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w:t>
      </w:r>
    </w:p>
    <w:p>
      <w:pPr>
        <w:pStyle w:val="BodyText"/>
        <w:spacing w:line="316" w:lineRule="auto" w:before="31"/>
        <w:ind w:right="0"/>
        <w:jc w:val="left"/>
      </w:pPr>
      <w:r>
        <w:rPr/>
        <w:t>得税负债以抵销后的净额列报。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的期间内，涉及的纳税主体意图以净额结算当期所得税资产和负债或是同时取得资产、清偿负债时，本公司递延所得税资产</w:t>
      </w:r>
      <w:r>
        <w:rPr>
          <w:spacing w:val="-66"/>
        </w:rPr>
        <w:t> </w:t>
      </w:r>
      <w:r>
        <w:rPr>
          <w:spacing w:val="-66"/>
        </w:rPr>
      </w:r>
      <w:r>
        <w:rPr/>
        <w:t>及递延所得税负债以抵销后的净额列报。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28</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0" w:hanging="53"/>
        <w:jc w:val="left"/>
      </w:pPr>
      <w:r>
        <w:rPr/>
        <w:t>①本公司作为承租人记录经营租赁业务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19"/>
        <w:ind w:right="0"/>
        <w:jc w:val="left"/>
      </w:pPr>
      <w:r>
        <w:rPr/>
        <w:t>租金于实际发生时计入当期损益。</w:t>
      </w:r>
    </w:p>
    <w:p>
      <w:pPr>
        <w:pStyle w:val="BodyText"/>
        <w:spacing w:line="316" w:lineRule="auto" w:before="76"/>
        <w:ind w:left="514" w:right="1210" w:hanging="35"/>
        <w:jc w:val="left"/>
      </w:pPr>
      <w:r>
        <w:rPr/>
        <w:t>②本公司作为出租人记录经营租赁业务 经营租赁的租金收入在租赁期内的各个期间按直线法确认为当期损益。对金额较大的初始直接费用于发生时予以资本</w:t>
      </w:r>
    </w:p>
    <w:p>
      <w:pPr>
        <w:pStyle w:val="BodyText"/>
        <w:spacing w:line="240" w:lineRule="auto" w:before="19"/>
        <w:ind w:right="0"/>
        <w:jc w:val="left"/>
      </w:pPr>
      <w:r>
        <w:rPr/>
        <w:t>化，在整个租赁期间内按照与确认租金收入相同的基础分期计入当期损益；其他金额较小的初始直接费用于发生时计入当期</w:t>
      </w:r>
    </w:p>
    <w:p>
      <w:pPr>
        <w:spacing w:after="0" w:line="240" w:lineRule="auto"/>
        <w:jc w:val="left"/>
        <w:sectPr>
          <w:pgSz w:w="11910" w:h="16840"/>
          <w:pgMar w:header="747" w:footer="1190" w:top="1060" w:bottom="138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损益。或有租金于实际发生时计入当期损益。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53" w:right="0"/>
        <w:jc w:val="left"/>
      </w:pPr>
      <w:r>
        <w:rPr/>
        <w:t>①本公司作为承租人记录融资租赁业务 </w:t>
      </w:r>
      <w:r>
        <w:rPr>
          <w:spacing w:val="-1"/>
        </w:rPr>
        <w:t>于租赁期开始日，将租赁开始日租赁资产的公允价值与最低租赁付款额现值两者中较低者作为租入资产的入账价值，将</w:t>
      </w:r>
    </w:p>
    <w:p>
      <w:pPr>
        <w:pStyle w:val="BodyText"/>
        <w:spacing w:line="316" w:lineRule="auto" w:before="19"/>
        <w:ind w:left="153" w:right="0"/>
        <w:jc w:val="left"/>
      </w:pPr>
      <w:r>
        <w:rPr>
          <w:spacing w:val="-4"/>
        </w:rPr>
        <w:t>最低租赁付款额作为长期应付款的入账价值，其差额作为未确认融资费用。此外，在租赁谈判和签订租赁合同过程中发生的，</w:t>
      </w:r>
      <w:r>
        <w:rPr>
          <w:spacing w:val="-44"/>
        </w:rPr>
        <w:t> </w:t>
      </w:r>
      <w:r>
        <w:rPr>
          <w:spacing w:val="-44"/>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240" w:lineRule="auto" w:before="19"/>
        <w:ind w:left="454" w:right="0"/>
        <w:jc w:val="left"/>
      </w:pPr>
      <w:r>
        <w:rPr/>
        <w:t>未确认融资费用在租赁期内采用实际利率法计算确认当期的融资费用。或有租金于实际发生时计入当期损益。</w:t>
      </w:r>
    </w:p>
    <w:p>
      <w:pPr>
        <w:pStyle w:val="BodyText"/>
        <w:spacing w:line="316" w:lineRule="auto" w:before="76"/>
        <w:ind w:left="454" w:right="0"/>
        <w:jc w:val="left"/>
      </w:pPr>
      <w:r>
        <w:rPr/>
        <w:t>②本公司作为出租人记录融资租赁业务 </w:t>
      </w:r>
      <w:r>
        <w:rPr>
          <w:spacing w:val="-1"/>
        </w:rPr>
        <w:t>于租赁期开始日，将租赁开始日最低租赁收款额与初始直接费用之和作为应收融资租赁款的入账价值，同时记录未担保</w:t>
      </w:r>
    </w:p>
    <w:p>
      <w:pPr>
        <w:pStyle w:val="BodyText"/>
        <w:spacing w:line="316" w:lineRule="auto" w:before="19"/>
        <w:ind w:left="153" w:right="0"/>
        <w:jc w:val="left"/>
      </w:pPr>
      <w:r>
        <w:rPr>
          <w:spacing w:val="-2"/>
        </w:rPr>
        <w:t>余值；将最低租赁收款额、初始直接费用及未担保余值之和与其现值之和的差额确认为未实现融资收益。应收融资租赁款扣</w:t>
      </w:r>
      <w:r>
        <w:rPr>
          <w:spacing w:val="-66"/>
        </w:rPr>
        <w:t> </w:t>
      </w:r>
      <w:r>
        <w:rPr>
          <w:spacing w:val="-66"/>
        </w:rPr>
      </w:r>
      <w:r>
        <w:rPr/>
        <w:t>除未实现融资收益后的余额分别长期债权和一年内到期的长期债权列示。</w:t>
      </w:r>
    </w:p>
    <w:p>
      <w:pPr>
        <w:pStyle w:val="BodyText"/>
        <w:spacing w:line="240" w:lineRule="auto" w:before="19"/>
        <w:ind w:left="454" w:right="0"/>
        <w:jc w:val="left"/>
      </w:pPr>
      <w:r>
        <w:rPr/>
        <w:t>未实现融资收益在租赁期内采用实际利率法计算确认当期的融资收入。或有租金于实际发生时计入当期损益。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29</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0" w:firstLine="373"/>
        <w:jc w:val="left"/>
      </w:pPr>
      <w:r>
        <w:rPr/>
        <w:t>公司在运用会计政策过程中，由于经营活动内在的不确定性，本公司需要对无法准确计量的报表项目的账面价值进行 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r>
        <w:rPr>
          <w:spacing w:val="-65"/>
        </w:rPr>
        <w:t> </w:t>
      </w:r>
      <w:r>
        <w:rPr>
          <w:spacing w:val="-65"/>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6" w:lineRule="auto" w:before="19"/>
        <w:ind w:right="0" w:firstLine="360"/>
        <w:jc w:val="left"/>
      </w:pPr>
      <w:r>
        <w:rPr>
          <w:spacing w:val="-2"/>
        </w:rPr>
        <w:t>公司对前述判断、估计和假设在持续经营的基础上进行定期复核，会计估计的变更仅影响变更当期的，其影响数在变更</w:t>
      </w:r>
      <w:r>
        <w:rPr/>
        <w:t> 当期予以确认；既影响变更当期又影响未来期间的，其影响数在变更当期和未来期间予以确认。</w:t>
      </w:r>
    </w:p>
    <w:p>
      <w:pPr>
        <w:pStyle w:val="BodyText"/>
        <w:spacing w:line="240" w:lineRule="auto" w:before="19"/>
        <w:ind w:left="454" w:right="0"/>
        <w:jc w:val="left"/>
      </w:pPr>
      <w:r>
        <w:rPr/>
        <w:t>于资产负债表日，本公司需对财务报表项目金额进行判断、估计和假设的重要领域如下：</w:t>
      </w:r>
    </w:p>
    <w:p>
      <w:pPr>
        <w:pStyle w:val="BodyText"/>
        <w:spacing w:line="300" w:lineRule="auto" w:before="76"/>
        <w:ind w:left="454" w:right="0" w:firstLine="7"/>
        <w:jc w:val="left"/>
      </w:pPr>
      <w:r>
        <w:rPr/>
        <w:t>（</w:t>
      </w:r>
      <w:r>
        <w:rPr>
          <w:rFonts w:ascii="Times New Roman" w:hAnsi="Times New Roman" w:cs="Times New Roman" w:eastAsia="Times New Roman" w:hint="default"/>
        </w:rPr>
        <w:t>1</w:t>
      </w:r>
      <w:r>
        <w:rPr/>
        <w:t>）租赁的归类 </w:t>
      </w:r>
      <w:r>
        <w:rPr>
          <w:spacing w:val="-1"/>
        </w:rPr>
        <w:t>本公司根据《企业会计准则第</w:t>
      </w:r>
      <w:r>
        <w:rPr>
          <w:rFonts w:ascii="Times New Roman" w:hAnsi="Times New Roman" w:cs="Times New Roman" w:eastAsia="Times New Roman" w:hint="default"/>
          <w:spacing w:val="-1"/>
        </w:rPr>
        <w:t>21</w:t>
      </w:r>
      <w:r>
        <w:rPr>
          <w:spacing w:val="-1"/>
        </w:rPr>
        <w:t>号</w:t>
      </w:r>
      <w:r>
        <w:rPr>
          <w:rFonts w:ascii="Times New Roman" w:hAnsi="Times New Roman" w:cs="Times New Roman" w:eastAsia="Times New Roman" w:hint="default"/>
          <w:spacing w:val="-1"/>
        </w:rPr>
        <w:t>——</w:t>
      </w:r>
      <w:r>
        <w:rPr>
          <w:spacing w:val="-1"/>
        </w:rPr>
        <w:t>租赁》的规定，将租赁归类为经营租赁和融资租赁，在进行归类时，管理层需要</w:t>
      </w:r>
    </w:p>
    <w:p>
      <w:pPr>
        <w:pStyle w:val="BodyText"/>
        <w:spacing w:line="316" w:lineRule="auto" w:before="13"/>
        <w:ind w:right="0"/>
        <w:jc w:val="left"/>
      </w:pPr>
      <w:r>
        <w:rPr>
          <w:spacing w:val="-2"/>
        </w:rPr>
        <w:t>对是否已将与租出资产所有权有关的全部风险和报酬实质上转移给承租人，或者本公司是否已经实质上承担与租入资产所有</w:t>
      </w:r>
      <w:r>
        <w:rPr>
          <w:spacing w:val="-64"/>
        </w:rPr>
        <w:t> </w:t>
      </w:r>
      <w:r>
        <w:rPr>
          <w:spacing w:val="-64"/>
        </w:rPr>
      </w:r>
      <w:r>
        <w:rPr/>
        <w:t>权有关的全部风险和报酬，作出分析和判断。</w:t>
      </w:r>
    </w:p>
    <w:p>
      <w:pPr>
        <w:pStyle w:val="BodyText"/>
        <w:spacing w:line="300" w:lineRule="auto" w:before="19"/>
        <w:ind w:left="527" w:right="0" w:hanging="66"/>
        <w:jc w:val="left"/>
      </w:pPr>
      <w:r>
        <w:rPr/>
        <w:t>（</w:t>
      </w:r>
      <w:r>
        <w:rPr>
          <w:rFonts w:ascii="Times New Roman" w:hAnsi="Times New Roman" w:cs="Times New Roman" w:eastAsia="Times New Roman" w:hint="default"/>
        </w:rPr>
        <w:t>2</w:t>
      </w:r>
      <w:r>
        <w:rPr/>
        <w:t>）坏账准备计提 公司根据应收款项的会计政策，采用备抵法核算坏账损失。应收款项减值是基于评估应收款项的可收回性。鉴定应收</w:t>
      </w:r>
    </w:p>
    <w:p>
      <w:pPr>
        <w:pStyle w:val="BodyText"/>
        <w:spacing w:line="316" w:lineRule="auto" w:before="31"/>
        <w:ind w:right="0"/>
        <w:jc w:val="left"/>
      </w:pPr>
      <w:r>
        <w:rPr>
          <w:spacing w:val="-2"/>
        </w:rPr>
        <w:t>款项减值要求管理层的判断和估计。实际的结果与原先估计的差异将在估计被改变的期间影响应收款项的账面价值及应收款</w:t>
      </w:r>
      <w:r>
        <w:rPr>
          <w:spacing w:val="-64"/>
        </w:rPr>
        <w:t> </w:t>
      </w:r>
      <w:r>
        <w:rPr>
          <w:spacing w:val="-64"/>
        </w:rPr>
      </w:r>
      <w:r>
        <w:rPr/>
        <w:t>项坏账准备的计提或转回。</w:t>
      </w:r>
    </w:p>
    <w:p>
      <w:pPr>
        <w:pStyle w:val="BodyText"/>
        <w:spacing w:line="300" w:lineRule="auto" w:before="19"/>
        <w:ind w:left="527" w:right="0" w:hanging="104"/>
        <w:jc w:val="left"/>
      </w:pPr>
      <w:r>
        <w:rPr/>
        <w:t>（</w:t>
      </w:r>
      <w:r>
        <w:rPr>
          <w:rFonts w:ascii="Times New Roman" w:hAnsi="Times New Roman" w:cs="Times New Roman" w:eastAsia="Times New Roman" w:hint="default"/>
        </w:rPr>
        <w:t>3</w:t>
      </w:r>
      <w:r>
        <w:rPr/>
        <w:t>）存货跌价准备 公司根据存货会计政策，按照成本与可变现净值孰低计量，对成本高于可变现净值及陈旧和滞销的存货，计提存货跌</w:t>
      </w:r>
    </w:p>
    <w:p>
      <w:pPr>
        <w:pStyle w:val="BodyText"/>
        <w:spacing w:line="316" w:lineRule="auto" w:before="31"/>
        <w:ind w:right="1129"/>
        <w:jc w:val="both"/>
      </w:pPr>
      <w:r>
        <w:rPr>
          <w:spacing w:val="-2"/>
        </w:rPr>
        <w:t>价准备。存货减值至可变现净值是基于评估存货的可售性及其可变现净值。鉴定存货减值要求管理层在取得确凿证据，并且</w:t>
      </w:r>
      <w:r>
        <w:rPr>
          <w:spacing w:val="-66"/>
        </w:rPr>
        <w:t> </w:t>
      </w:r>
      <w:r>
        <w:rPr>
          <w:spacing w:val="-66"/>
        </w:rPr>
      </w:r>
      <w:r>
        <w:rPr>
          <w:spacing w:val="-2"/>
        </w:rPr>
        <w:t>考虑持有存货的目的、资产负债表日后事项的影响等因素的基础上作出判断和估计。实际的结果与原先估计的差异将在估计</w:t>
      </w:r>
      <w:r>
        <w:rPr>
          <w:spacing w:val="-64"/>
        </w:rPr>
        <w:t> </w:t>
      </w:r>
      <w:r>
        <w:rPr>
          <w:spacing w:val="-64"/>
        </w:rPr>
      </w:r>
      <w:r>
        <w:rPr/>
        <w:t>被改变的期间影响存货的账面价值及存货跌价准备的计提或转回。</w:t>
      </w:r>
    </w:p>
    <w:p>
      <w:pPr>
        <w:pStyle w:val="BodyText"/>
        <w:spacing w:line="300" w:lineRule="auto" w:before="19"/>
        <w:ind w:left="527" w:right="0" w:hanging="74"/>
        <w:jc w:val="left"/>
      </w:pPr>
      <w:r>
        <w:rPr/>
        <w:t>（</w:t>
      </w:r>
      <w:r>
        <w:rPr>
          <w:rFonts w:ascii="Times New Roman" w:hAnsi="Times New Roman" w:cs="Times New Roman" w:eastAsia="Times New Roman" w:hint="default"/>
        </w:rPr>
        <w:t>4</w:t>
      </w:r>
      <w:r>
        <w:rPr/>
        <w:t>）金融工具公允价值 对不存在活跃交易市场的金融工具，本公司通过各种估值方法确定其公允价值。这些估值方法包括贴现现金流模型分</w:t>
      </w:r>
    </w:p>
    <w:p>
      <w:pPr>
        <w:pStyle w:val="BodyText"/>
        <w:spacing w:line="316" w:lineRule="auto" w:before="31"/>
        <w:ind w:right="0"/>
        <w:jc w:val="left"/>
      </w:pPr>
      <w:r>
        <w:rPr>
          <w:spacing w:val="-2"/>
        </w:rPr>
        <w:t>析等。估值时本公司需对未来现金流量、信用风险、市场波动率和相关性等方面进行估计，并选择适当的折现率。这些相关</w:t>
      </w:r>
      <w:r>
        <w:rPr>
          <w:spacing w:val="-66"/>
        </w:rPr>
        <w:t> </w:t>
      </w:r>
      <w:r>
        <w:rPr>
          <w:spacing w:val="-66"/>
        </w:rPr>
      </w:r>
      <w:r>
        <w:rPr/>
        <w:t>假设具有不确定性，其变化会对金融工具的公允价值产生影响。</w:t>
      </w:r>
    </w:p>
    <w:p>
      <w:pPr>
        <w:pStyle w:val="BodyText"/>
        <w:spacing w:line="300" w:lineRule="auto" w:before="19"/>
        <w:ind w:left="527" w:right="0" w:hanging="74"/>
        <w:jc w:val="left"/>
      </w:pPr>
      <w:r>
        <w:rPr/>
        <w:t>（</w:t>
      </w:r>
      <w:r>
        <w:rPr>
          <w:rFonts w:ascii="Times New Roman" w:hAnsi="Times New Roman" w:cs="Times New Roman" w:eastAsia="Times New Roman" w:hint="default"/>
        </w:rPr>
        <w:t>5</w:t>
      </w:r>
      <w:r>
        <w:rPr/>
        <w:t>）可供出售金融资产减值 公司确定可供出售金融资产是否减值在很大程度上依赖于管理层的判断和假设，以确定是否需要在利润表中确认其减</w:t>
      </w:r>
    </w:p>
    <w:p>
      <w:pPr>
        <w:spacing w:after="0" w:line="300" w:lineRule="auto"/>
        <w:jc w:val="left"/>
        <w:sectPr>
          <w:pgSz w:w="11910" w:h="16840"/>
          <w:pgMar w:header="747" w:footer="1190" w:top="1060" w:bottom="138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值损失。在进行判断和作出假设的过程中，本公司需评估该项投资的公允价值低于成本的程度和持续期间，以及被投资对象</w:t>
      </w:r>
      <w:r>
        <w:rPr>
          <w:spacing w:val="-66"/>
        </w:rPr>
        <w:t> </w:t>
      </w:r>
      <w:r>
        <w:rPr>
          <w:spacing w:val="-66"/>
        </w:rPr>
      </w:r>
      <w:r>
        <w:rPr/>
        <w:t>的财务状况和短期业务展望，包括行业状况、技术变革、信用评级、违约率和对手方的风险。</w:t>
      </w:r>
    </w:p>
    <w:p>
      <w:pPr>
        <w:pStyle w:val="BodyText"/>
        <w:spacing w:line="300" w:lineRule="auto" w:before="19"/>
        <w:ind w:left="527" w:right="0" w:hanging="74"/>
        <w:jc w:val="left"/>
      </w:pPr>
      <w:r>
        <w:rPr/>
        <w:t>（</w:t>
      </w:r>
      <w:r>
        <w:rPr>
          <w:rFonts w:ascii="Times New Roman" w:hAnsi="Times New Roman" w:cs="Times New Roman" w:eastAsia="Times New Roman" w:hint="default"/>
        </w:rPr>
        <w:t>6</w:t>
      </w:r>
      <w:r>
        <w:rPr/>
        <w:t>）长期资产减值准备 公司于资产负债表日对除金融资产之外的非流动资产判断是否存在可能发生减值的迹象。对使用寿命不确定的无形资</w:t>
      </w:r>
    </w:p>
    <w:p>
      <w:pPr>
        <w:pStyle w:val="BodyText"/>
        <w:spacing w:line="316" w:lineRule="auto" w:before="31"/>
        <w:ind w:right="1131"/>
        <w:jc w:val="both"/>
      </w:pPr>
      <w:r>
        <w:rPr>
          <w:spacing w:val="-2"/>
        </w:rPr>
        <w:t>产，除每年进行的减值测试外，当其存在减值迹象时，也进行减值测试。其他除金融资产之外的非流动资产，当存在迹象表</w:t>
      </w:r>
      <w:r>
        <w:rPr>
          <w:spacing w:val="-66"/>
        </w:rPr>
        <w:t> </w:t>
      </w:r>
      <w:r>
        <w:rPr>
          <w:spacing w:val="-66"/>
        </w:rPr>
      </w:r>
      <w:r>
        <w:rPr/>
        <w:t>明其账面金额不可收回时，进行减值测试。</w:t>
      </w:r>
    </w:p>
    <w:p>
      <w:pPr>
        <w:pStyle w:val="BodyText"/>
        <w:spacing w:line="316" w:lineRule="auto" w:before="19"/>
        <w:ind w:right="0" w:firstLine="373"/>
        <w:jc w:val="left"/>
      </w:pPr>
      <w:r>
        <w:rPr/>
        <w:t>当资产或资产组的账面价值高于可收回金额，即公允价值减去处置费用后的净额和预计未来现金流量的现值中的较高 者，表明发生了减值。</w:t>
      </w:r>
    </w:p>
    <w:p>
      <w:pPr>
        <w:pStyle w:val="BodyText"/>
        <w:spacing w:line="316" w:lineRule="auto" w:before="19"/>
        <w:ind w:right="0" w:firstLine="373"/>
        <w:jc w:val="left"/>
      </w:pPr>
      <w:r>
        <w:rPr/>
        <w:t>公允价值减去处置费用后的净额，参考公平交易中类似资产的销售协议价格或可观察到的市场价格，减去可直接归属 于该资产处置的增量成本确定。</w:t>
      </w:r>
    </w:p>
    <w:p>
      <w:pPr>
        <w:pStyle w:val="BodyText"/>
        <w:spacing w:line="316" w:lineRule="auto" w:before="19"/>
        <w:ind w:right="1129" w:firstLine="373"/>
        <w:jc w:val="both"/>
      </w:pPr>
      <w:r>
        <w:rPr/>
        <w:t>在预计未来现金流量现值时，需要对该资产（或资产组）的产量、售价、相关经营成本以及计算现值时使用的折现率 </w:t>
      </w:r>
      <w:r>
        <w:rPr>
          <w:spacing w:val="-2"/>
        </w:rPr>
        <w:t>等作出重大判断。本公司在估计可收回金额时会采用所有能够获得的相关资料，包括根据合理和可支持的假设所作出有关产</w:t>
      </w:r>
      <w:r>
        <w:rPr>
          <w:spacing w:val="-64"/>
        </w:rPr>
        <w:t> </w:t>
      </w:r>
      <w:r>
        <w:rPr>
          <w:spacing w:val="-64"/>
        </w:rPr>
      </w:r>
      <w:r>
        <w:rPr/>
        <w:t>量、售价和相关经营成本的预测。</w:t>
      </w:r>
    </w:p>
    <w:p>
      <w:pPr>
        <w:pStyle w:val="BodyText"/>
        <w:spacing w:line="316" w:lineRule="auto" w:before="19"/>
        <w:ind w:right="0" w:firstLine="373"/>
        <w:jc w:val="left"/>
      </w:pPr>
      <w:r>
        <w:rPr>
          <w:spacing w:val="-1"/>
        </w:rPr>
        <w:t>公司至少每年测试商誉是否发生减值。这要求对分配了商誉的资产组或者资产组组合的未来现金流量的现值进行预计。</w:t>
      </w:r>
      <w:r>
        <w:rPr/>
        <w:t> </w:t>
      </w:r>
      <w:r>
        <w:rPr>
          <w:spacing w:val="-2"/>
        </w:rPr>
        <w:t>对未来现金流量的现值进行预计时，本公司需要预计未来资产组或者资产组组合产生的现金流量，同时选择恰当的折现率确</w:t>
      </w:r>
      <w:r>
        <w:rPr>
          <w:spacing w:val="-64"/>
        </w:rPr>
        <w:t> </w:t>
      </w:r>
      <w:r>
        <w:rPr>
          <w:spacing w:val="-64"/>
        </w:rPr>
      </w:r>
      <w:r>
        <w:rPr/>
        <w:t>定未来现金流量的现值。</w:t>
      </w:r>
    </w:p>
    <w:p>
      <w:pPr>
        <w:pStyle w:val="BodyText"/>
        <w:spacing w:line="300" w:lineRule="auto" w:before="19"/>
        <w:ind w:left="527" w:right="0" w:hanging="74"/>
        <w:jc w:val="left"/>
      </w:pPr>
      <w:r>
        <w:rPr/>
        <w:t>（</w:t>
      </w:r>
      <w:r>
        <w:rPr>
          <w:rFonts w:ascii="Times New Roman" w:hAnsi="Times New Roman" w:cs="Times New Roman" w:eastAsia="Times New Roman" w:hint="default"/>
        </w:rPr>
        <w:t>7</w:t>
      </w:r>
      <w:r>
        <w:rPr/>
        <w:t>）折旧和摊销 公司对投资性房地产、固定资产和无形资产在考虑其残值后，在使用寿命内按直线法计提折旧和摊销。本公司定期复</w:t>
      </w:r>
    </w:p>
    <w:p>
      <w:pPr>
        <w:pStyle w:val="BodyText"/>
        <w:spacing w:line="316" w:lineRule="auto" w:before="31"/>
        <w:ind w:right="1129"/>
        <w:jc w:val="both"/>
      </w:pPr>
      <w:r>
        <w:rPr>
          <w:spacing w:val="-2"/>
        </w:rPr>
        <w:t>核使用寿命，以决定将计入每个报告期的折旧和摊销费用数额。使用寿命是本公司根据对同类资产的以往经验并结合预期的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309" w:lineRule="auto" w:before="19"/>
        <w:ind w:left="527" w:right="1031" w:hanging="74"/>
        <w:jc w:val="left"/>
      </w:pPr>
      <w:r>
        <w:rPr/>
        <w:t>（</w:t>
      </w:r>
      <w:r>
        <w:rPr>
          <w:rFonts w:ascii="Times New Roman" w:hAnsi="Times New Roman" w:cs="Times New Roman" w:eastAsia="Times New Roman" w:hint="default"/>
        </w:rPr>
        <w:t>8</w:t>
      </w:r>
      <w:r>
        <w:rPr/>
        <w:t>）开发支出 </w:t>
      </w:r>
      <w:r>
        <w:rPr>
          <w:spacing w:val="-1"/>
        </w:rPr>
        <w:t>确定资本化的金额时，本公司管理层需要作出有关资产的预计未来现金流量、适用的折现率以及预计受益期间的假设。</w:t>
      </w:r>
      <w:r>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日本公司自行开发的金甲防线、北信源国产终端安全管理系统、虚拟化终端安全管理系统、北信源数据</w:t>
      </w:r>
    </w:p>
    <w:p>
      <w:pPr>
        <w:pStyle w:val="BodyText"/>
        <w:spacing w:line="309" w:lineRule="auto" w:before="5"/>
        <w:ind w:right="1048"/>
        <w:jc w:val="both"/>
      </w:pPr>
      <w:r>
        <w:rPr/>
        <w:t>泄露智能防护系统、信源豆豆即时通讯软件（简称</w:t>
      </w:r>
      <w:r>
        <w:rPr>
          <w:rFonts w:ascii="Times New Roman" w:hAnsi="Times New Roman" w:cs="Times New Roman" w:eastAsia="Times New Roman" w:hint="default"/>
        </w:rPr>
        <w:t>“</w:t>
      </w:r>
      <w:r>
        <w:rPr/>
        <w:t>信源豆豆</w:t>
      </w:r>
      <w:r>
        <w:rPr>
          <w:rFonts w:ascii="Times New Roman" w:hAnsi="Times New Roman" w:cs="Times New Roman" w:eastAsia="Times New Roman" w:hint="default"/>
        </w:rPr>
        <w:t>”</w:t>
      </w:r>
      <w:r>
        <w:rPr/>
        <w:t>）和特权账号运维管理系统在资产负债表中的余额为人民币</w:t>
      </w:r>
      <w:r>
        <w:rPr>
          <w:spacing w:val="9"/>
        </w:rPr>
        <w:t> </w:t>
      </w:r>
      <w:r>
        <w:rPr>
          <w:spacing w:val="9"/>
        </w:rPr>
      </w:r>
      <w:r>
        <w:rPr>
          <w:rFonts w:ascii="Times New Roman" w:hAnsi="Times New Roman" w:cs="Times New Roman" w:eastAsia="Times New Roman" w:hint="default"/>
        </w:rPr>
        <w:t>77,303,235.88</w:t>
      </w:r>
      <w:r>
        <w:rPr/>
        <w:t>元。本公司管理层认为该业务的前景和目前的发展良好，市场对以该无形资产生产的产品的反应也证实了管理 </w:t>
      </w:r>
      <w:r>
        <w:rPr>
          <w:spacing w:val="-2"/>
        </w:rPr>
        <w:t>层之前对这一项目预期收入的估计。但是日益增加的竞争也使得管理层重新考虑对市场份额和有关产品的预计毛利等方面的</w:t>
      </w:r>
      <w:r>
        <w:rPr>
          <w:spacing w:val="-64"/>
        </w:rPr>
        <w:t> </w:t>
      </w:r>
      <w:r>
        <w:rPr>
          <w:spacing w:val="-64"/>
        </w:rPr>
      </w:r>
      <w:r>
        <w:rPr>
          <w:spacing w:val="-2"/>
        </w:rPr>
        <w:t>假设。经过全面的检视后，本公司管理层认为即使在产品回报率出现下调的情况下，仍可以全额收回无形资产账面价值。本</w:t>
      </w:r>
      <w:r>
        <w:rPr>
          <w:spacing w:val="-66"/>
        </w:rPr>
        <w:t> </w:t>
      </w:r>
      <w:r>
        <w:rPr>
          <w:spacing w:val="-66"/>
        </w:rPr>
      </w:r>
      <w:r>
        <w:rPr/>
        <w:t>公司将继续密切检视有关情况，一旦有迹象表明需要调整相关会计估计的假设，本公司将在有关迹象发生的期间作出调整。</w:t>
      </w:r>
    </w:p>
    <w:p>
      <w:pPr>
        <w:pStyle w:val="BodyText"/>
        <w:spacing w:line="300" w:lineRule="auto" w:before="24"/>
        <w:ind w:left="527" w:right="0" w:hanging="74"/>
        <w:jc w:val="left"/>
      </w:pPr>
      <w:r>
        <w:rPr/>
        <w:t>（</w:t>
      </w:r>
      <w:r>
        <w:rPr>
          <w:rFonts w:ascii="Times New Roman" w:hAnsi="Times New Roman" w:cs="Times New Roman" w:eastAsia="Times New Roman" w:hint="default"/>
        </w:rPr>
        <w:t>9</w:t>
      </w:r>
      <w:r>
        <w:rPr/>
        <w:t>）递延所得税资产 在很有可能有足够的应纳税利润来抵扣亏损的限度内，本公司就所有未利用的税务亏损确认递延所得税资产。这需要</w:t>
      </w:r>
    </w:p>
    <w:p>
      <w:pPr>
        <w:pStyle w:val="BodyText"/>
        <w:spacing w:line="316" w:lineRule="auto" w:before="31"/>
        <w:ind w:right="1129"/>
        <w:jc w:val="both"/>
      </w:pPr>
      <w:r>
        <w:rPr>
          <w:spacing w:val="-2"/>
        </w:rPr>
        <w:t>本公司管理层运用大量的判断来估计未来应纳税利润发生的时间和金额，结合纳税筹划策略，以决定应确认的递延所得税资</w:t>
      </w:r>
      <w:r>
        <w:rPr>
          <w:spacing w:val="-64"/>
        </w:rPr>
        <w:t> </w:t>
      </w:r>
      <w:r>
        <w:rPr>
          <w:spacing w:val="-64"/>
        </w:rPr>
      </w:r>
      <w:r>
        <w:rPr/>
        <w:t>产的金额。</w:t>
      </w:r>
    </w:p>
    <w:p>
      <w:pPr>
        <w:pStyle w:val="BodyText"/>
        <w:spacing w:line="300" w:lineRule="auto" w:before="19"/>
        <w:ind w:left="444" w:right="1117" w:firstLine="9"/>
        <w:jc w:val="left"/>
      </w:pPr>
      <w:r>
        <w:rPr/>
        <w:t>（</w:t>
      </w:r>
      <w:r>
        <w:rPr>
          <w:rFonts w:ascii="Times New Roman" w:hAnsi="Times New Roman" w:cs="Times New Roman" w:eastAsia="Times New Roman" w:hint="default"/>
        </w:rPr>
        <w:t>10</w:t>
      </w:r>
      <w:r>
        <w:rPr/>
        <w:t>）所得税 </w:t>
      </w:r>
      <w:r>
        <w:rPr>
          <w:spacing w:val="-1"/>
        </w:rPr>
        <w:t>公司在正常的经营活动中，有部分交易其最终的税务处理和计算存在一定的不确定性。部分项目是否能够在税前列支需</w:t>
      </w:r>
    </w:p>
    <w:p>
      <w:pPr>
        <w:pStyle w:val="BodyText"/>
        <w:spacing w:line="316" w:lineRule="auto" w:before="31"/>
        <w:ind w:right="1129"/>
        <w:jc w:val="both"/>
      </w:pPr>
      <w:r>
        <w:rPr>
          <w:spacing w:val="-2"/>
        </w:rPr>
        <w:t>要税收主管机关的审批。如果这些税务事项的最终认定结果同最初估计的金额存在差异，则该差异将对其最终认定期间的当</w:t>
      </w:r>
      <w:r>
        <w:rPr>
          <w:spacing w:val="-64"/>
        </w:rPr>
        <w:t> </w:t>
      </w:r>
      <w:r>
        <w:rPr>
          <w:spacing w:val="-64"/>
        </w:rPr>
      </w:r>
      <w:r>
        <w:rPr/>
        <w:t>期所得税和递延所得税产生影响。</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30</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5245"/>
        <w:gridCol w:w="3686"/>
        <w:gridCol w:w="637"/>
      </w:tblGrid>
      <w:tr>
        <w:trPr>
          <w:trHeight w:val="401"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3"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根据财政部于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日发布</w:t>
            </w:r>
            <w:r>
              <w:rPr>
                <w:rFonts w:ascii="宋体" w:hAnsi="宋体" w:cs="宋体" w:eastAsia="宋体" w:hint="default"/>
                <w:spacing w:val="-76"/>
                <w:sz w:val="18"/>
                <w:szCs w:val="18"/>
              </w:rPr>
              <w:t>了</w:t>
            </w:r>
            <w:r>
              <w:rPr>
                <w:rFonts w:ascii="宋体" w:hAnsi="宋体" w:cs="宋体" w:eastAsia="宋体" w:hint="default"/>
                <w:sz w:val="18"/>
                <w:szCs w:val="18"/>
              </w:rPr>
              <w:t>《财政部关于修订印发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日本公司第三届董事会第九次</w:t>
            </w:r>
          </w:p>
        </w:tc>
        <w:tc>
          <w:tcPr>
            <w:tcW w:w="6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245"/>
        <w:gridCol w:w="3686"/>
        <w:gridCol w:w="637"/>
      </w:tblGrid>
      <w:tr>
        <w:trPr>
          <w:trHeight w:val="674"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22"/>
              <w:jc w:val="left"/>
              <w:rPr>
                <w:rFonts w:ascii="宋体" w:hAnsi="宋体" w:cs="宋体" w:eastAsia="宋体" w:hint="default"/>
                <w:sz w:val="18"/>
                <w:szCs w:val="18"/>
              </w:rPr>
            </w:pPr>
            <w:r>
              <w:rPr>
                <w:rFonts w:ascii="宋体" w:hAnsi="宋体" w:cs="宋体" w:eastAsia="宋体" w:hint="default"/>
                <w:spacing w:val="-6"/>
                <w:sz w:val="18"/>
                <w:szCs w:val="18"/>
              </w:rPr>
              <w:t>年度一般企业财务报表格式的通知》（财会（</w:t>
            </w:r>
            <w:r>
              <w:rPr>
                <w:rFonts w:ascii="Times New Roman" w:hAnsi="Times New Roman" w:cs="Times New Roman" w:eastAsia="Times New Roman" w:hint="default"/>
                <w:spacing w:val="-6"/>
                <w:sz w:val="18"/>
                <w:szCs w:val="18"/>
              </w:rPr>
              <w:t>2018</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15</w:t>
            </w:r>
            <w:r>
              <w:rPr>
                <w:rFonts w:ascii="Times New Roman" w:hAnsi="Times New Roman" w:cs="Times New Roman" w:eastAsia="Times New Roman" w:hint="default"/>
                <w:spacing w:val="11"/>
                <w:sz w:val="18"/>
                <w:szCs w:val="18"/>
              </w:rPr>
              <w:t> </w:t>
            </w:r>
            <w:r>
              <w:rPr>
                <w:rFonts w:ascii="宋体" w:hAnsi="宋体" w:cs="宋体" w:eastAsia="宋体" w:hint="default"/>
                <w:spacing w:val="-19"/>
                <w:sz w:val="18"/>
                <w:szCs w:val="18"/>
              </w:rPr>
              <w:t>号），对一般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企业财务报表格式进行了修订。</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会议</w:t>
            </w:r>
            <w:r>
              <w:rPr>
                <w:rFonts w:ascii="Times New Roman" w:hAnsi="Times New Roman" w:cs="Times New Roman" w:eastAsia="Times New Roman" w:hint="default"/>
                <w:sz w:val="18"/>
                <w:szCs w:val="18"/>
              </w:rPr>
              <w:t>,</w:t>
            </w:r>
            <w:r>
              <w:rPr>
                <w:rFonts w:ascii="宋体" w:hAnsi="宋体" w:cs="宋体" w:eastAsia="宋体" w:hint="default"/>
                <w:sz w:val="18"/>
                <w:szCs w:val="18"/>
              </w:rPr>
              <w:t>审议通过《关于会计政策变更的议案</w:t>
            </w:r>
            <w:r>
              <w:rPr>
                <w:rFonts w:ascii="宋体" w:hAnsi="宋体" w:cs="宋体" w:eastAsia="宋体" w:hint="default"/>
                <w:spacing w:val="-2"/>
                <w:sz w:val="18"/>
                <w:szCs w:val="18"/>
              </w:rPr>
              <w:t> </w:t>
            </w:r>
            <w:r>
              <w:rPr>
                <w:rFonts w:ascii="宋体" w:hAnsi="宋体" w:cs="宋体" w:eastAsia="宋体" w:hint="default"/>
                <w:sz w:val="18"/>
                <w:szCs w:val="18"/>
              </w:rPr>
              <w:t>》</w:t>
            </w:r>
          </w:p>
        </w:tc>
        <w:tc>
          <w:tcPr>
            <w:tcW w:w="6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10"/>
        <w:ind w:right="1120" w:firstLine="360"/>
        <w:jc w:val="left"/>
      </w:pPr>
      <w:r>
        <w:rPr/>
        <w:t>2018年6月15日，财政部发布《关于修订印发2018年度一般企业财务报表格式的通知》（财会[2018]15号）及其解读， 有关报表项目调整如下：</w:t>
      </w:r>
    </w:p>
    <w:p>
      <w:pPr>
        <w:pStyle w:val="BodyText"/>
        <w:spacing w:line="316" w:lineRule="auto" w:before="19"/>
        <w:ind w:left="153" w:right="0" w:firstLine="270"/>
        <w:jc w:val="left"/>
      </w:pPr>
      <w:r>
        <w:rPr>
          <w:spacing w:val="-4"/>
        </w:rPr>
        <w:t>（1）资产负债表项目调整如下：原“应收票据”及“应收账款”行项目整合为“应收票据及应收账款”；原“应收利息”</w:t>
      </w:r>
      <w:r>
        <w:rPr/>
        <w:t> </w:t>
      </w:r>
      <w:r>
        <w:rPr>
          <w:spacing w:val="-2"/>
        </w:rPr>
        <w:t>及“应收股利”行项目归并至“其他应收款”；原“固定资产清理”行项目归并至“固定资产”；原“工程物资”行项目归</w:t>
      </w:r>
      <w:r>
        <w:rPr>
          <w:spacing w:val="-74"/>
        </w:rPr>
        <w:t> </w:t>
      </w:r>
      <w:r>
        <w:rPr>
          <w:spacing w:val="-74"/>
        </w:rPr>
      </w:r>
      <w:r>
        <w:rPr>
          <w:spacing w:val="-2"/>
        </w:rPr>
        <w:t>并至“在建工程”；原“应付票据”及“应付账款”行项目整合为“应付票据及应付账款”项目；原“应付利息”及“应付</w:t>
      </w:r>
      <w:r>
        <w:rPr>
          <w:spacing w:val="-66"/>
        </w:rPr>
        <w:t> </w:t>
      </w:r>
      <w:r>
        <w:rPr>
          <w:spacing w:val="-66"/>
        </w:rPr>
      </w:r>
      <w:r>
        <w:rPr/>
        <w:t>股利”行项目归并至“其他应付款”；将“专项应付款”行项目归并至“长期应付款”。</w:t>
      </w:r>
    </w:p>
    <w:p>
      <w:pPr>
        <w:pStyle w:val="BodyText"/>
        <w:spacing w:line="316" w:lineRule="auto" w:before="19"/>
        <w:ind w:left="153" w:right="1127" w:firstLine="270"/>
        <w:jc w:val="both"/>
      </w:pPr>
      <w:r>
        <w:rPr>
          <w:spacing w:val="-5"/>
        </w:rPr>
        <w:t>（2）利润表调整项目调整如下：从原“管理费用”中分拆出“研发费用”并单独列示；在“财务费用”行项目下列示“利</w:t>
      </w:r>
      <w:r>
        <w:rPr/>
        <w:t> </w:t>
      </w:r>
      <w:r>
        <w:rPr>
          <w:spacing w:val="-2"/>
        </w:rPr>
        <w:t>息费用”和“利息收入”明细项目；将“其他收益”的位置提前，企业作为个人所得税的扣缴义务人，根据《中华人民共和</w:t>
      </w:r>
      <w:r>
        <w:rPr>
          <w:spacing w:val="-69"/>
        </w:rPr>
        <w:t> </w:t>
      </w:r>
      <w:r>
        <w:rPr>
          <w:spacing w:val="-69"/>
        </w:rPr>
      </w:r>
      <w:r>
        <w:rPr>
          <w:spacing w:val="-2"/>
        </w:rPr>
        <w:t>国个人所得税法》收到的扣缴税款手续费，应作为其他与日常活动相关的项目在利润表的“其他收益”项目中填列；“其他</w:t>
      </w:r>
      <w:r>
        <w:rPr>
          <w:spacing w:val="-65"/>
        </w:rPr>
        <w:t> </w:t>
      </w:r>
      <w:r>
        <w:rPr>
          <w:spacing w:val="-65"/>
        </w:rPr>
      </w:r>
      <w:r>
        <w:rPr>
          <w:spacing w:val="-2"/>
        </w:rPr>
        <w:t>综合收益”行项目，简化部分子项目的表述：将原“重新计量设定受益计划净负债或净资产的变动”改为“重新计量设定受</w:t>
      </w:r>
      <w:r>
        <w:rPr>
          <w:spacing w:val="-70"/>
        </w:rPr>
        <w:t> </w:t>
      </w:r>
      <w:r>
        <w:rPr>
          <w:spacing w:val="-70"/>
        </w:rPr>
      </w:r>
      <w:r>
        <w:rPr>
          <w:spacing w:val="-2"/>
        </w:rPr>
        <w:t>益计划变动额”；将原“权益法下在被投资单位不能重分类进损益的其他综合收益中享有的份额”改为“权益法下不能转损</w:t>
      </w:r>
      <w:r>
        <w:rPr>
          <w:spacing w:val="-66"/>
        </w:rPr>
        <w:t> </w:t>
      </w:r>
      <w:r>
        <w:rPr>
          <w:spacing w:val="-66"/>
        </w:rPr>
      </w:r>
      <w:r>
        <w:rPr>
          <w:spacing w:val="-2"/>
        </w:rPr>
        <w:t>益的其他综合收益”；将原“权益法下在被投资单位以后将重分类进损益的其他综合收益中享有的份额”改为“权益法下可</w:t>
      </w:r>
      <w:r>
        <w:rPr>
          <w:spacing w:val="-65"/>
        </w:rPr>
        <w:t> </w:t>
      </w:r>
      <w:r>
        <w:rPr>
          <w:spacing w:val="-65"/>
        </w:rPr>
      </w:r>
      <w:r>
        <w:rPr/>
        <w:t>转损益的其他综合收益”。</w:t>
      </w:r>
    </w:p>
    <w:p>
      <w:pPr>
        <w:pStyle w:val="BodyText"/>
        <w:spacing w:line="316" w:lineRule="auto" w:before="19"/>
        <w:ind w:left="153" w:right="0" w:firstLine="270"/>
        <w:jc w:val="left"/>
      </w:pPr>
      <w:r>
        <w:rPr>
          <w:spacing w:val="-2"/>
        </w:rPr>
        <w:t>（3）现金流量表项目调整如下：企业实际收到的政府补助，无论是与资产相关还是与收益相关，在编制现金流量表时均</w:t>
      </w:r>
      <w:r>
        <w:rPr/>
        <w:t> 作为经营活动产生的现金流量列报。</w:t>
      </w:r>
    </w:p>
    <w:p>
      <w:pPr>
        <w:pStyle w:val="BodyText"/>
        <w:spacing w:line="240" w:lineRule="auto" w:before="19"/>
        <w:ind w:left="423" w:right="0"/>
        <w:jc w:val="left"/>
      </w:pPr>
      <w:r>
        <w:rPr/>
        <w:t>（4）上述会计政策变更对可比期间（2017年）财务报表科目的影响如下：</w:t>
      </w:r>
    </w:p>
    <w:p>
      <w:pPr>
        <w:pStyle w:val="BodyText"/>
        <w:spacing w:line="240" w:lineRule="auto" w:before="76"/>
        <w:ind w:left="0" w:right="1545"/>
        <w:jc w:val="right"/>
      </w:pPr>
      <w:r>
        <w:rPr/>
        <w:t>单位：元</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2413"/>
        <w:gridCol w:w="2414"/>
        <w:gridCol w:w="2416"/>
        <w:gridCol w:w="2414"/>
      </w:tblGrid>
      <w:tr>
        <w:trPr>
          <w:trHeight w:val="3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变更前</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92" w:right="0"/>
              <w:jc w:val="left"/>
              <w:rPr>
                <w:rFonts w:ascii="宋体" w:hAnsi="宋体" w:cs="宋体" w:eastAsia="宋体" w:hint="default"/>
                <w:sz w:val="18"/>
                <w:szCs w:val="18"/>
              </w:rPr>
            </w:pPr>
            <w:r>
              <w:rPr>
                <w:rFonts w:ascii="宋体" w:hAnsi="宋体" w:cs="宋体" w:eastAsia="宋体" w:hint="default"/>
                <w:sz w:val="18"/>
                <w:szCs w:val="18"/>
              </w:rPr>
              <w:t>会计政策变更的影响</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变更后</w:t>
            </w:r>
          </w:p>
        </w:tc>
      </w:tr>
      <w:tr>
        <w:trPr>
          <w:trHeight w:val="3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414" w:type="dxa"/>
            <w:tcBorders>
              <w:top w:val="single" w:sz="4" w:space="0" w:color="000000"/>
              <w:left w:val="single" w:sz="4" w:space="0" w:color="000000"/>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735,979,808.44</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735,979,808.44</w:t>
            </w:r>
          </w:p>
        </w:tc>
      </w:tr>
      <w:tr>
        <w:trPr>
          <w:trHeight w:val="3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3,113,240.00</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-3,113,240.00</w:t>
            </w:r>
          </w:p>
        </w:tc>
        <w:tc>
          <w:tcPr>
            <w:tcW w:w="24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732,866,568.44</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-732,866,568.44</w:t>
            </w:r>
          </w:p>
        </w:tc>
        <w:tc>
          <w:tcPr>
            <w:tcW w:w="24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16,889,511.24</w:t>
            </w:r>
          </w:p>
        </w:tc>
        <w:tc>
          <w:tcPr>
            <w:tcW w:w="2416"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16,889,511.24</w:t>
            </w:r>
          </w:p>
        </w:tc>
      </w:tr>
      <w:tr>
        <w:trPr>
          <w:trHeight w:val="3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14" w:type="dxa"/>
            <w:tcBorders>
              <w:top w:val="single" w:sz="4" w:space="0" w:color="000000"/>
              <w:left w:val="single" w:sz="4" w:space="0" w:color="000000"/>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14" w:type="dxa"/>
            <w:tcBorders>
              <w:top w:val="single" w:sz="4" w:space="0" w:color="000000"/>
              <w:left w:val="single" w:sz="4" w:space="0" w:color="000000"/>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79,554,945.35</w:t>
            </w:r>
          </w:p>
        </w:tc>
        <w:tc>
          <w:tcPr>
            <w:tcW w:w="2416"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79,554,945.35</w:t>
            </w:r>
          </w:p>
        </w:tc>
      </w:tr>
      <w:tr>
        <w:trPr>
          <w:trHeight w:val="3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14" w:type="dxa"/>
            <w:tcBorders>
              <w:top w:val="single" w:sz="4" w:space="0" w:color="000000"/>
              <w:left w:val="single" w:sz="4" w:space="0" w:color="000000"/>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26,979,737.02</w:t>
            </w:r>
          </w:p>
        </w:tc>
        <w:tc>
          <w:tcPr>
            <w:tcW w:w="2416"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26,979,737.02</w:t>
            </w:r>
          </w:p>
        </w:tc>
      </w:tr>
      <w:tr>
        <w:trPr>
          <w:trHeight w:val="3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14" w:type="dxa"/>
            <w:tcBorders>
              <w:top w:val="single" w:sz="4" w:space="0" w:color="000000"/>
              <w:left w:val="single" w:sz="4" w:space="0" w:color="000000"/>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414" w:type="dxa"/>
            <w:tcBorders>
              <w:top w:val="single" w:sz="4" w:space="0" w:color="000000"/>
              <w:left w:val="single" w:sz="4" w:space="0" w:color="000000"/>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52,535,254.29</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52,535,254.29</w:t>
            </w:r>
          </w:p>
        </w:tc>
      </w:tr>
      <w:tr>
        <w:trPr>
          <w:trHeight w:val="3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17,523,000.00</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-17,523,000.00</w:t>
            </w:r>
          </w:p>
        </w:tc>
        <w:tc>
          <w:tcPr>
            <w:tcW w:w="24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35,012,254.29</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-35,012,254.29</w:t>
            </w:r>
          </w:p>
        </w:tc>
        <w:tc>
          <w:tcPr>
            <w:tcW w:w="24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6,741,582.70</w:t>
            </w:r>
          </w:p>
        </w:tc>
        <w:tc>
          <w:tcPr>
            <w:tcW w:w="2416"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6,741,582.70</w:t>
            </w:r>
          </w:p>
        </w:tc>
      </w:tr>
      <w:tr>
        <w:trPr>
          <w:trHeight w:val="3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14" w:type="dxa"/>
            <w:tcBorders>
              <w:top w:val="single" w:sz="4" w:space="0" w:color="000000"/>
              <w:left w:val="single" w:sz="4" w:space="0" w:color="000000"/>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14" w:type="dxa"/>
            <w:tcBorders>
              <w:top w:val="single" w:sz="4" w:space="0" w:color="000000"/>
              <w:left w:val="single" w:sz="4" w:space="0" w:color="000000"/>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14" w:type="dxa"/>
            <w:tcBorders>
              <w:top w:val="single" w:sz="4" w:space="0" w:color="000000"/>
              <w:left w:val="single" w:sz="4" w:space="0" w:color="000000"/>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414" w:type="dxa"/>
            <w:tcBorders>
              <w:top w:val="single" w:sz="4" w:space="0" w:color="000000"/>
              <w:left w:val="single" w:sz="4" w:space="0" w:color="000000"/>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135,514,771.79</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-59,907,915.45</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75,606,856.34</w:t>
            </w:r>
          </w:p>
        </w:tc>
      </w:tr>
      <w:tr>
        <w:trPr>
          <w:trHeight w:val="34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14" w:type="dxa"/>
            <w:tcBorders>
              <w:top w:val="single" w:sz="4" w:space="0" w:color="000000"/>
              <w:left w:val="single" w:sz="4" w:space="0" w:color="000000"/>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59,907,915.45</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59,907,915.45</w:t>
            </w:r>
          </w:p>
        </w:tc>
      </w:tr>
    </w:tbl>
    <w:p>
      <w:pPr>
        <w:spacing w:after="0" w:line="240" w:lineRule="auto"/>
        <w:jc w:val="right"/>
        <w:rPr>
          <w:rFonts w:ascii="宋体" w:hAnsi="宋体" w:cs="宋体" w:eastAsia="宋体" w:hint="default"/>
          <w:sz w:val="18"/>
          <w:szCs w:val="18"/>
        </w:rPr>
        <w:sectPr>
          <w:pgSz w:w="11910" w:h="16840"/>
          <w:pgMar w:header="747" w:footer="1190" w:top="1060" w:bottom="13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8"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09"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37"/>
                <w:sz w:val="18"/>
                <w:szCs w:val="18"/>
              </w:rPr>
              <w:t> </w:t>
            </w:r>
            <w:r>
              <w:rPr>
                <w:rFonts w:ascii="Times New Roman" w:hAnsi="Times New Roman" w:cs="Times New Roman" w:eastAsia="Times New Roman" w:hint="default"/>
                <w:spacing w:val="-6"/>
                <w:sz w:val="18"/>
                <w:szCs w:val="18"/>
              </w:rPr>
              <w:t>17%</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16%</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6%</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的税率计算销项税，并按扣除当期允许 抵扣的进项税额后的差额计缴增值税。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162"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2"/>
              <w:ind w:left="22" w:right="5"/>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24%</w:t>
            </w:r>
            <w:r>
              <w:rPr>
                <w:rFonts w:ascii="宋体" w:hAnsi="宋体" w:cs="宋体" w:eastAsia="宋体" w:hint="default"/>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计缴，详见下表。</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24%</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江苏神州信源系统工程有限公司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上海北信源信息技术有限公司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北信源（马来西亚）信息技术公司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北京中软华泰信息技术有限责任公司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北信源国际有限公司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w:t>
            </w:r>
            <w:r>
              <w:rPr>
                <w:rFonts w:ascii="宋体" w:hAnsi="宋体" w:cs="宋体" w:eastAsia="宋体" w:hint="default"/>
                <w:sz w:val="18"/>
                <w:szCs w:val="18"/>
              </w:rPr>
              <w:t>计缴</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0" w:firstLine="290"/>
        <w:jc w:val="left"/>
      </w:pPr>
      <w:r>
        <w:rPr>
          <w:spacing w:val="-3"/>
        </w:rPr>
        <w:t>（</w:t>
      </w:r>
      <w:r>
        <w:rPr>
          <w:rFonts w:ascii="Times New Roman" w:hAnsi="Times New Roman" w:cs="Times New Roman" w:eastAsia="Times New Roman" w:hint="default"/>
          <w:spacing w:val="-3"/>
        </w:rPr>
        <w:t>1</w:t>
      </w:r>
      <w:r>
        <w:rPr>
          <w:spacing w:val="-3"/>
        </w:rPr>
        <w:t>）根据国务院国发</w:t>
      </w:r>
      <w:r>
        <w:rPr>
          <w:rFonts w:ascii="Times New Roman" w:hAnsi="Times New Roman" w:cs="Times New Roman" w:eastAsia="Times New Roman" w:hint="default"/>
          <w:spacing w:val="-3"/>
        </w:rPr>
        <w:t>[2000]18</w:t>
      </w:r>
      <w:r>
        <w:rPr>
          <w:spacing w:val="-3"/>
        </w:rPr>
        <w:t>号文件《国务院关于印发</w:t>
      </w:r>
      <w:r>
        <w:rPr>
          <w:rFonts w:ascii="Times New Roman" w:hAnsi="Times New Roman" w:cs="Times New Roman" w:eastAsia="Times New Roman" w:hint="default"/>
          <w:spacing w:val="-3"/>
        </w:rPr>
        <w:t>&lt;</w:t>
      </w:r>
      <w:r>
        <w:rPr>
          <w:spacing w:val="-3"/>
        </w:rPr>
        <w:t>鼓励软件产业和集成电路产业发展若干政策</w:t>
      </w:r>
      <w:r>
        <w:rPr>
          <w:rFonts w:ascii="Times New Roman" w:hAnsi="Times New Roman" w:cs="Times New Roman" w:eastAsia="Times New Roman" w:hint="default"/>
          <w:spacing w:val="-3"/>
        </w:rPr>
        <w:t>&gt;</w:t>
      </w:r>
      <w:r>
        <w:rPr>
          <w:spacing w:val="-3"/>
        </w:rPr>
        <w:t>的通知》和财政部、</w:t>
      </w:r>
      <w:r>
        <w:rPr/>
        <w:t> 国家税务总局、海关总署下发财税</w:t>
      </w:r>
      <w:r>
        <w:rPr>
          <w:rFonts w:ascii="Times New Roman" w:hAnsi="Times New Roman" w:cs="Times New Roman" w:eastAsia="Times New Roman" w:hint="default"/>
        </w:rPr>
        <w:t>[2000]25</w:t>
      </w:r>
      <w:r>
        <w:rPr/>
        <w:t>号文《关于鼓励软件产业和集成电路产业发展有关税收政策问题的通知》，</w:t>
      </w:r>
      <w:r>
        <w:rPr>
          <w:rFonts w:ascii="Times New Roman" w:hAnsi="Times New Roman" w:cs="Times New Roman" w:eastAsia="Times New Roman" w:hint="default"/>
        </w:rPr>
        <w:t>2010 </w:t>
      </w:r>
      <w:r>
        <w:rPr/>
        <w:t>年底以前，公司自行开发研制软件产品销售收入按</w:t>
      </w:r>
      <w:r>
        <w:rPr>
          <w:rFonts w:ascii="Times New Roman" w:hAnsi="Times New Roman" w:cs="Times New Roman" w:eastAsia="Times New Roman" w:hint="default"/>
        </w:rPr>
        <w:t>17%</w:t>
      </w:r>
      <w:r>
        <w:rPr/>
        <w:t>的法定税率计缴增值税，对实际税负超过</w:t>
      </w:r>
      <w:r>
        <w:rPr>
          <w:rFonts w:ascii="Times New Roman" w:hAnsi="Times New Roman" w:cs="Times New Roman" w:eastAsia="Times New Roman" w:hint="default"/>
        </w:rPr>
        <w:t>3%</w:t>
      </w:r>
      <w:r>
        <w:rPr/>
        <w:t>的部分实行即征即退政</w:t>
      </w:r>
      <w:r>
        <w:rPr>
          <w:spacing w:val="-32"/>
        </w:rPr>
        <w:t> </w:t>
      </w:r>
      <w:r>
        <w:rPr>
          <w:spacing w:val="-32"/>
        </w:rPr>
      </w:r>
      <w:r>
        <w:rPr/>
        <w:t>策。</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日，国务院《关于印发进一步鼓励软件产业和集成电路产业发展若干政策的通知》（国发</w:t>
      </w:r>
      <w:r>
        <w:rPr>
          <w:rFonts w:ascii="Times New Roman" w:hAnsi="Times New Roman" w:cs="Times New Roman" w:eastAsia="Times New Roman" w:hint="default"/>
        </w:rPr>
        <w:t>[2011]4</w:t>
      </w:r>
      <w:r>
        <w:rPr/>
        <w:t>号）继续 实施上述软件增值税税收优惠政策。</w:t>
      </w:r>
    </w:p>
    <w:p>
      <w:pPr>
        <w:pStyle w:val="BodyText"/>
        <w:spacing w:line="300" w:lineRule="auto" w:before="31"/>
        <w:ind w:right="0" w:firstLine="299"/>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日，本公司取得了北京市科学技术委员会、北京市财政局、北京市国家税务局和北京市地方税务局</w:t>
      </w:r>
      <w:r>
        <w:rPr>
          <w:spacing w:val="1"/>
        </w:rPr>
        <w:t> </w:t>
      </w:r>
      <w:r>
        <w:rPr>
          <w:spacing w:val="-2"/>
        </w:rPr>
        <w:t>联合颁发的《高新技术企业证书》。根据《中华人民共和国企业所得税法》、《中华人民共和国企业所得税暂行条例》以及</w:t>
      </w:r>
    </w:p>
    <w:p>
      <w:pPr>
        <w:pStyle w:val="BodyText"/>
        <w:spacing w:line="240" w:lineRule="auto" w:before="31"/>
        <w:ind w:right="0"/>
        <w:jc w:val="left"/>
      </w:pPr>
      <w:r>
        <w:rPr/>
        <w:t>《高新技术企业认定管理办法》的相关规定，</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年本公司适用的企业所得税税率为</w:t>
      </w:r>
      <w:r>
        <w:rPr>
          <w:rFonts w:ascii="Times New Roman" w:hAnsi="Times New Roman" w:cs="Times New Roman" w:eastAsia="Times New Roman" w:hint="default"/>
        </w:rPr>
        <w:t>15%</w:t>
      </w:r>
      <w:r>
        <w:rPr/>
        <w:t>。</w:t>
      </w:r>
    </w:p>
    <w:p>
      <w:pPr>
        <w:pStyle w:val="BodyText"/>
        <w:spacing w:line="309" w:lineRule="auto" w:before="63"/>
        <w:ind w:right="1127" w:firstLine="299"/>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日，上海北信源信息技术有限公司取得了上海市科学技术委员会、上海市财政局、上海市国家税务</w:t>
      </w:r>
      <w:r>
        <w:rPr>
          <w:spacing w:val="1"/>
        </w:rPr>
        <w:t> </w:t>
      </w:r>
      <w:r>
        <w:rPr>
          <w:spacing w:val="-2"/>
        </w:rPr>
        <w:t>局和上海市地方税务局联合颁发的《高新技术企业证书》。根据《中华人民共和国企业所得税法》、《中华人民共和国企业</w:t>
      </w:r>
      <w:r>
        <w:rPr>
          <w:spacing w:val="-65"/>
        </w:rPr>
        <w:t> </w:t>
      </w:r>
      <w:r>
        <w:rPr>
          <w:spacing w:val="-65"/>
        </w:rPr>
      </w:r>
      <w:r>
        <w:rPr>
          <w:spacing w:val="-2"/>
        </w:rPr>
        <w:t>所得税暂行条例》以及《高新技术企业认定管理办法》的相关规定，</w:t>
      </w:r>
      <w:r>
        <w:rPr>
          <w:rFonts w:ascii="Times New Roman" w:hAnsi="Times New Roman" w:cs="Times New Roman" w:eastAsia="Times New Roman" w:hint="default"/>
          <w:spacing w:val="-2"/>
        </w:rPr>
        <w:t>2016</w:t>
      </w:r>
      <w:r>
        <w:rPr>
          <w:spacing w:val="-2"/>
        </w:rPr>
        <w:t>年至</w:t>
      </w:r>
      <w:r>
        <w:rPr>
          <w:rFonts w:ascii="Times New Roman" w:hAnsi="Times New Roman" w:cs="Times New Roman" w:eastAsia="Times New Roman" w:hint="default"/>
          <w:spacing w:val="-2"/>
        </w:rPr>
        <w:t>2018</w:t>
      </w:r>
      <w:r>
        <w:rPr>
          <w:spacing w:val="-2"/>
        </w:rPr>
        <w:t>年上海北信源信息技术有限公司适用的企</w:t>
      </w:r>
    </w:p>
    <w:p>
      <w:pPr>
        <w:spacing w:after="0" w:line="309" w:lineRule="auto"/>
        <w:jc w:val="both"/>
        <w:sectPr>
          <w:pgSz w:w="11910" w:h="16840"/>
          <w:pgMar w:header="747" w:footer="1190" w:top="1060" w:bottom="138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业所得税税率为</w:t>
      </w:r>
      <w:r>
        <w:rPr>
          <w:rFonts w:ascii="Times New Roman" w:hAnsi="Times New Roman" w:cs="Times New Roman" w:eastAsia="Times New Roman" w:hint="default"/>
        </w:rPr>
        <w:t>15%</w:t>
      </w:r>
      <w:r>
        <w:rPr/>
        <w:t>。</w:t>
      </w:r>
    </w:p>
    <w:p>
      <w:pPr>
        <w:pStyle w:val="BodyText"/>
        <w:spacing w:line="307" w:lineRule="auto" w:before="63"/>
        <w:ind w:right="1127" w:firstLine="299"/>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日，北京中软华泰信息技术有限责任公司取得了北京市科学技术委员会、北京市财政局、北京市国</w:t>
      </w:r>
      <w:r>
        <w:rPr>
          <w:spacing w:val="1"/>
        </w:rPr>
        <w:t> </w:t>
      </w:r>
      <w:r>
        <w:rPr>
          <w:spacing w:val="-2"/>
        </w:rPr>
        <w:t>家税务局和北京市地方税务局联合颁发的《高新技术企业证书》。根据《中华人民共和国企业所得税法》、《中华人民共和</w:t>
      </w:r>
      <w:r>
        <w:rPr>
          <w:spacing w:val="-65"/>
        </w:rPr>
        <w:t> </w:t>
      </w:r>
      <w:r>
        <w:rPr>
          <w:spacing w:val="-65"/>
        </w:rPr>
      </w:r>
      <w:r>
        <w:rPr>
          <w:spacing w:val="-2"/>
        </w:rPr>
        <w:t>国企业所得税暂行条例》以及《高新技术企业认定管理办法》的相关规定，</w:t>
      </w:r>
      <w:r>
        <w:rPr>
          <w:rFonts w:ascii="Times New Roman" w:hAnsi="Times New Roman" w:cs="Times New Roman" w:eastAsia="Times New Roman" w:hint="default"/>
          <w:spacing w:val="-2"/>
        </w:rPr>
        <w:t>2016</w:t>
      </w:r>
      <w:r>
        <w:rPr>
          <w:spacing w:val="-2"/>
        </w:rPr>
        <w:t>年至</w:t>
      </w:r>
      <w:r>
        <w:rPr>
          <w:rFonts w:ascii="Times New Roman" w:hAnsi="Times New Roman" w:cs="Times New Roman" w:eastAsia="Times New Roman" w:hint="default"/>
          <w:spacing w:val="-2"/>
        </w:rPr>
        <w:t>2018</w:t>
      </w:r>
      <w:r>
        <w:rPr>
          <w:spacing w:val="-2"/>
        </w:rPr>
        <w:t>年北京中软华泰信息技术有限责任</w:t>
      </w:r>
      <w:r>
        <w:rPr>
          <w:spacing w:val="-58"/>
        </w:rPr>
        <w:t> </w:t>
      </w:r>
      <w:r>
        <w:rPr/>
        <w:t>公司适用的企业所得税税率为</w:t>
      </w:r>
      <w:r>
        <w:rPr>
          <w:rFonts w:ascii="Times New Roman" w:hAnsi="Times New Roman" w:cs="Times New Roman" w:eastAsia="Times New Roman" w:hint="default"/>
        </w:rPr>
        <w:t>15%</w:t>
      </w:r>
      <w:r>
        <w:rPr/>
        <w:t>。</w:t>
      </w:r>
    </w:p>
    <w:p>
      <w:pPr>
        <w:pStyle w:val="BodyText"/>
        <w:spacing w:line="307" w:lineRule="auto" w:before="7"/>
        <w:ind w:right="1127" w:firstLine="299"/>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日，江苏神州信源系统工程有限公司取得了江苏省科学技术厅、江苏省财政厅、江苏省国家税务局</w:t>
      </w:r>
      <w:r>
        <w:rPr>
          <w:spacing w:val="1"/>
        </w:rPr>
        <w:t> </w:t>
      </w:r>
      <w:r>
        <w:rPr>
          <w:spacing w:val="-2"/>
        </w:rPr>
        <w:t>和江苏省地方税务局联合颁发的《高新技术企业证书》。根据《中华人民共和国企业所得税法》、《中华人民共和国企业所</w:t>
      </w:r>
      <w:r>
        <w:rPr>
          <w:spacing w:val="-65"/>
        </w:rPr>
        <w:t> </w:t>
      </w:r>
      <w:r>
        <w:rPr>
          <w:spacing w:val="-65"/>
        </w:rPr>
      </w:r>
      <w:r>
        <w:rPr>
          <w:spacing w:val="-2"/>
        </w:rPr>
        <w:t>得税暂行条例》以及《高新技术企业认定管理办法》的相关规定，</w:t>
      </w:r>
      <w:r>
        <w:rPr>
          <w:rFonts w:ascii="Times New Roman" w:hAnsi="Times New Roman" w:cs="Times New Roman" w:eastAsia="Times New Roman" w:hint="default"/>
          <w:spacing w:val="-2"/>
        </w:rPr>
        <w:t>2017</w:t>
      </w:r>
      <w:r>
        <w:rPr>
          <w:spacing w:val="-2"/>
        </w:rPr>
        <w:t>年至</w:t>
      </w:r>
      <w:r>
        <w:rPr>
          <w:rFonts w:ascii="Times New Roman" w:hAnsi="Times New Roman" w:cs="Times New Roman" w:eastAsia="Times New Roman" w:hint="default"/>
          <w:spacing w:val="-2"/>
        </w:rPr>
        <w:t>2019</w:t>
      </w:r>
      <w:r>
        <w:rPr>
          <w:spacing w:val="-2"/>
        </w:rPr>
        <w:t>年江苏神州信源系统工程有限公司适用的企</w:t>
      </w:r>
      <w:r>
        <w:rPr>
          <w:spacing w:val="-58"/>
        </w:rPr>
        <w:t> </w:t>
      </w:r>
      <w:r>
        <w:rPr/>
        <w:t>业所得税税率为</w:t>
      </w:r>
      <w:r>
        <w:rPr>
          <w:rFonts w:ascii="Times New Roman" w:hAnsi="Times New Roman" w:cs="Times New Roman" w:eastAsia="Times New Roman" w:hint="default"/>
        </w:rPr>
        <w:t>15%</w:t>
      </w:r>
      <w:r>
        <w:rPr/>
        <w:t>。</w:t>
      </w:r>
    </w:p>
    <w:p>
      <w:pPr>
        <w:pStyle w:val="BodyText"/>
        <w:spacing w:line="240" w:lineRule="auto" w:before="48"/>
        <w:ind w:right="0"/>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97,919.41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94,224.06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590,721,261.22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1,037,327,401.14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4,403,238.00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10,776,318.00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595,222,418.63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1,048,197,943.20</w:t>
            </w:r>
          </w:p>
        </w:tc>
      </w:tr>
    </w:tbl>
    <w:p>
      <w:pPr>
        <w:pStyle w:val="BodyText"/>
        <w:spacing w:line="240" w:lineRule="auto" w:before="51"/>
        <w:ind w:right="0"/>
        <w:jc w:val="left"/>
      </w:pPr>
      <w:r>
        <w:rPr/>
        <w:t>其他说明</w:t>
      </w:r>
    </w:p>
    <w:p>
      <w:pPr>
        <w:pStyle w:val="BodyText"/>
        <w:spacing w:line="300" w:lineRule="auto" w:before="116"/>
        <w:ind w:left="153" w:right="1121" w:firstLine="290"/>
        <w:jc w:val="left"/>
      </w:pPr>
      <w:r>
        <w:rPr/>
        <w:t>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日，本公司的使用权受到限制的货币资金为人民币</w:t>
      </w:r>
      <w:r>
        <w:rPr>
          <w:rFonts w:ascii="Times New Roman" w:hAnsi="Times New Roman" w:cs="Times New Roman" w:eastAsia="Times New Roman" w:hint="default"/>
        </w:rPr>
        <w:t>4,403,238.00</w:t>
      </w:r>
      <w:r>
        <w:rPr/>
        <w:t>元，其中</w:t>
      </w:r>
      <w:r>
        <w:rPr>
          <w:rFonts w:ascii="Times New Roman" w:hAnsi="Times New Roman" w:cs="Times New Roman" w:eastAsia="Times New Roman" w:hint="default"/>
        </w:rPr>
        <w:t>1,743,238.00</w:t>
      </w:r>
      <w:r>
        <w:rPr/>
        <w:t>元系本公司向银 行申请开具无条件、不可撤销的担保函所存入的保函保证金（</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2,014,818.00</w:t>
      </w:r>
      <w:r>
        <w:rPr/>
        <w:t>元）；剩余</w:t>
      </w:r>
      <w:r>
        <w:rPr>
          <w:rFonts w:ascii="Times New Roman" w:hAnsi="Times New Roman" w:cs="Times New Roman" w:eastAsia="Times New Roman" w:hint="default"/>
        </w:rPr>
        <w:t>2,660,000.00 </w:t>
      </w:r>
      <w:r>
        <w:rPr/>
        <w:t>元为票据保证金。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w:t>
      </w:r>
      <w:r>
        <w:rPr/>
        <w:t>、应收票据及应收账款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4,391,819.00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3,113,240.00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929,901,515.76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732,866,568.44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934,293,334.76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735,979,808.44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4,115,819.00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2,870,240.00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4,391,819.00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3,113,240.00</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1,165,95</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3,003.59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236,051,</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487.83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929,901,5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15.76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892,469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,826.24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99.99%</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159,603,2</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57.80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732,866,56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8.44</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115,000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1,165,95</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3,003.59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center"/>
              <w:rPr>
                <w:rFonts w:ascii="Times New Roman" w:hAnsi="Times New Roman" w:cs="Times New Roman" w:eastAsia="Times New Roman" w:hint="default"/>
                <w:sz w:val="18"/>
                <w:szCs w:val="18"/>
              </w:rPr>
            </w:pPr>
            <w:r>
              <w:rPr>
                <w:rFonts w:ascii="Times New Roman"/>
                <w:sz w:val="18"/>
              </w:rPr>
              <w:t>236,051,</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487.83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929,901,5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15.76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892,584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,826.24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159,718,2</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57.80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732,866,56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8.44</w:t>
            </w:r>
          </w:p>
        </w:tc>
      </w:tr>
    </w:tbl>
    <w:p>
      <w:pPr>
        <w:pStyle w:val="BodyText"/>
        <w:spacing w:line="240" w:lineRule="auto" w:before="51"/>
        <w:ind w:right="0"/>
        <w:jc w:val="left"/>
      </w:pPr>
      <w:r>
        <w:rPr/>
        <w:t>期末单项金额重大并单项计提坏账准备的应收账款：</w:t>
      </w:r>
    </w:p>
    <w:p>
      <w:pPr>
        <w:spacing w:after="0" w:line="240" w:lineRule="auto"/>
        <w:jc w:val="left"/>
        <w:sectPr>
          <w:pgSz w:w="11910" w:h="16840"/>
          <w:pgMar w:header="747" w:footer="1190" w:top="1060" w:bottom="138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1190" w:top="1060" w:bottom="138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 元</w:t>
      </w:r>
    </w:p>
    <w:p>
      <w:pPr>
        <w:spacing w:after="0" w:line="240" w:lineRule="auto"/>
        <w:jc w:val="left"/>
        <w:sectPr>
          <w:type w:val="continuous"/>
          <w:pgSz w:w="11910" w:h="16840"/>
          <w:pgMar w:top="1060" w:bottom="1380" w:left="980" w:right="0"/>
          <w:cols w:num="2" w:equalWidth="0">
            <w:col w:w="4115" w:space="471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206"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17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392" w:type="dxa"/>
            <w:vMerge/>
            <w:tcBorders>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468,325,368.87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23,416,268.44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312,774,829.80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31,277,482.98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191,744,959.81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57,523,487.94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193,107,845.11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123,834,248.47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110,634,873.40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55,317,436.70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69,780,799.70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55,824,639.76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12,692,172.01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12,692,172.01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1,165,953,003.59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236,051,487.83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3" w:right="6431"/>
        <w:jc w:val="left"/>
      </w:pPr>
      <w:r>
        <w:rPr/>
        <w:t>确定该组合依据的说明： 组合中，采用余额百分比法计提坏账准备的应收账款：</w:t>
      </w:r>
    </w:p>
    <w:p>
      <w:pPr>
        <w:pStyle w:val="BodyText"/>
        <w:spacing w:line="338" w:lineRule="auto" w:before="29"/>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2"/>
        <w:ind w:right="0"/>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right="0"/>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2"/>
        <w:ind w:right="4368"/>
        <w:jc w:val="left"/>
      </w:pPr>
      <w:r>
        <w:rPr/>
        <w:t>本期计提坏账准备金额</w:t>
      </w:r>
      <w:r>
        <w:rPr>
          <w:spacing w:val="-47"/>
        </w:rPr>
        <w:t> </w:t>
      </w:r>
      <w:r>
        <w:rPr>
          <w:rFonts w:ascii="Times New Roman" w:hAnsi="Times New Roman" w:cs="Times New Roman" w:eastAsia="Times New Roman" w:hint="default"/>
        </w:rPr>
        <w:t>79,568,430.03</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pStyle w:val="BodyText"/>
        <w:spacing w:line="240" w:lineRule="auto" w:before="43"/>
        <w:ind w:left="0" w:right="112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3,235,200.00</w:t>
            </w:r>
          </w:p>
        </w:tc>
      </w:tr>
    </w:tbl>
    <w:p>
      <w:pPr>
        <w:pStyle w:val="BodyText"/>
        <w:spacing w:line="240" w:lineRule="auto" w:before="51"/>
        <w:ind w:right="0"/>
        <w:jc w:val="left"/>
      </w:pPr>
      <w:r>
        <w:rPr/>
        <w:t>其中重要的应收账款核销情况：</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北京智浩伟业科技 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2,390,400.00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企业已注销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中国电力科学院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北京滏阳晟科技有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企业已注销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59"/>
              <w:jc w:val="righ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大连奥特麦尔自动 化设备有限公司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无偿付能力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59"/>
              <w:jc w:val="righ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恒泰大通黄金投资 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59"/>
              <w:jc w:val="righ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武汉信安科技有限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吊销，未注销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59"/>
              <w:jc w:val="righ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北京圣博润高新技 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59"/>
              <w:jc w:val="righ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航空工业信息中心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9"/>
              <w:jc w:val="righ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3,235,200.00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730"/>
              <w:jc w:val="right"/>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48" w:lineRule="auto" w:before="51"/>
        <w:ind w:left="153" w:right="6821"/>
        <w:jc w:val="left"/>
      </w:pPr>
      <w:r>
        <w:rPr/>
        <w:t>应收账款核销说明： </w:t>
      </w:r>
      <w:r>
        <w:rPr>
          <w:rFonts w:ascii="Times New Roman" w:hAnsi="Times New Roman" w:cs="Times New Roman" w:eastAsia="Times New Roman" w:hint="default"/>
        </w:rPr>
        <w:t>4)</w:t>
      </w:r>
      <w:r>
        <w:rPr/>
        <w:t>按欠款方归集的期末余额前五名的应收账款情况 公司是否需要遵守特殊行业的披露要求</w:t>
      </w:r>
    </w:p>
    <w:p>
      <w:pPr>
        <w:pStyle w:val="BodyText"/>
        <w:spacing w:line="357" w:lineRule="auto" w:before="36"/>
        <w:ind w:left="153" w:right="8951"/>
        <w:jc w:val="left"/>
      </w:pPr>
      <w:r>
        <w:rPr/>
        <w:t>是 软件与信息技术服务业</w:t>
      </w:r>
    </w:p>
    <w:p>
      <w:pPr>
        <w:pStyle w:val="BodyText"/>
        <w:spacing w:line="240" w:lineRule="auto" w:before="26"/>
        <w:ind w:left="0" w:right="1131"/>
        <w:jc w:val="right"/>
      </w:pPr>
      <w:r>
        <w:rPr>
          <w:spacing w:val="-2"/>
        </w:rPr>
        <w:t>本公司本年按欠款方归集的年末余额前五名应收账款汇总金额为</w:t>
      </w:r>
      <w:r>
        <w:rPr>
          <w:rFonts w:ascii="Times New Roman" w:hAnsi="Times New Roman" w:cs="Times New Roman" w:eastAsia="Times New Roman" w:hint="default"/>
          <w:spacing w:val="-2"/>
        </w:rPr>
        <w:t>156,651,192.21</w:t>
      </w:r>
      <w:r>
        <w:rPr>
          <w:spacing w:val="-2"/>
        </w:rPr>
        <w:t>元，占应收账款年末余额合计数的比例为</w:t>
      </w:r>
    </w:p>
    <w:p>
      <w:pPr>
        <w:pStyle w:val="BodyText"/>
        <w:spacing w:line="240" w:lineRule="auto" w:before="63"/>
        <w:ind w:left="153" w:right="0"/>
        <w:jc w:val="left"/>
      </w:pPr>
      <w:r>
        <w:rPr>
          <w:rFonts w:ascii="Times New Roman" w:hAnsi="Times New Roman" w:cs="Times New Roman" w:eastAsia="Times New Roman" w:hint="default"/>
        </w:rPr>
        <w:t>13.44%</w:t>
      </w:r>
      <w:r>
        <w:rPr/>
        <w:t>，相应计提的坏账准备年末余额汇总金额为</w:t>
      </w:r>
      <w:r>
        <w:rPr>
          <w:rFonts w:ascii="Times New Roman" w:hAnsi="Times New Roman" w:cs="Times New Roman" w:eastAsia="Times New Roman" w:hint="default"/>
        </w:rPr>
        <w:t>41,944,553.99</w:t>
      </w:r>
      <w:r>
        <w:rPr/>
        <w:t>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38" w:lineRule="auto"/>
        <w:ind w:left="153" w:right="7541"/>
        <w:jc w:val="left"/>
      </w:pPr>
      <w:r>
        <w:rPr>
          <w:rFonts w:ascii="Times New Roman" w:hAnsi="Times New Roman" w:cs="Times New Roman" w:eastAsia="Times New Roman" w:hint="default"/>
        </w:rPr>
        <w:t>5)</w:t>
      </w:r>
      <w:r>
        <w:rPr/>
        <w:t>因金融资产转移而终止确认的应收账款 无</w:t>
      </w:r>
    </w:p>
    <w:p>
      <w:pPr>
        <w:pStyle w:val="BodyText"/>
        <w:spacing w:line="338" w:lineRule="auto" w:before="43"/>
        <w:ind w:left="153" w:right="6821"/>
        <w:jc w:val="left"/>
      </w:pPr>
      <w:r>
        <w:rPr>
          <w:rFonts w:ascii="Times New Roman" w:hAnsi="Times New Roman" w:cs="Times New Roman" w:eastAsia="Times New Roman" w:hint="default"/>
        </w:rPr>
        <w:t>6)</w:t>
      </w:r>
      <w:r>
        <w:rPr/>
        <w:t>转移应收账款且继续涉入形成的资产、负债金额 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7"/>
        <w:ind w:right="0"/>
        <w:jc w:val="left"/>
        <w:rPr>
          <w:b w:val="0"/>
          <w:bCs w:val="0"/>
        </w:rPr>
      </w:pPr>
      <w:r>
        <w:rPr>
          <w:rFonts w:ascii="Times New Roman" w:hAnsi="Times New Roman" w:cs="Times New Roman" w:eastAsia="Times New Roman" w:hint="default"/>
        </w:rPr>
        <w:t>3</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936"/>
        <w:gridCol w:w="1942"/>
        <w:gridCol w:w="1938"/>
        <w:gridCol w:w="1939"/>
        <w:gridCol w:w="1939"/>
      </w:tblGrid>
      <w:tr>
        <w:trPr>
          <w:trHeight w:val="402" w:hRule="exact"/>
        </w:trPr>
        <w:tc>
          <w:tcPr>
            <w:tcW w:w="19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36" w:type="dxa"/>
            <w:vMerge/>
            <w:tcBorders>
              <w:left w:val="single" w:sz="4" w:space="0" w:color="000000"/>
              <w:bottom w:val="single" w:sz="4" w:space="0" w:color="000000"/>
              <w:right w:val="single" w:sz="4" w:space="0" w:color="000000"/>
            </w:tcBorders>
            <w:shd w:val="clear" w:color="auto" w:fill="D3D3D3"/>
          </w:tcPr>
          <w:p>
            <w:pPr/>
          </w:p>
        </w:tc>
        <w:tc>
          <w:tcPr>
            <w:tcW w:w="1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52,367,103.12</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85.09%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32,432,573.49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89.68%</w:t>
            </w:r>
          </w:p>
        </w:tc>
      </w:tr>
      <w:tr>
        <w:trPr>
          <w:trHeight w:val="402" w:hRule="exact"/>
        </w:trPr>
        <w:tc>
          <w:tcPr>
            <w:tcW w:w="1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6,803,443.86</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11.05%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2,601,083.77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7.20%</w:t>
            </w:r>
          </w:p>
        </w:tc>
      </w:tr>
      <w:tr>
        <w:trPr>
          <w:trHeight w:val="402" w:hRule="exact"/>
        </w:trPr>
        <w:tc>
          <w:tcPr>
            <w:tcW w:w="1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2,375,115.50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1,129,480.00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3.12%</w:t>
            </w:r>
          </w:p>
        </w:tc>
      </w:tr>
      <w:tr>
        <w:trPr>
          <w:trHeight w:val="403" w:hRule="exact"/>
        </w:trPr>
        <w:tc>
          <w:tcPr>
            <w:tcW w:w="1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61,545,662.48</w:t>
            </w:r>
          </w:p>
        </w:tc>
        <w:tc>
          <w:tcPr>
            <w:tcW w:w="1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36,163,137.26</w:t>
            </w:r>
          </w:p>
        </w:tc>
        <w:tc>
          <w:tcPr>
            <w:tcW w:w="1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2"/>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3258"/>
        <w:gridCol w:w="2370"/>
        <w:gridCol w:w="1482"/>
        <w:gridCol w:w="1037"/>
        <w:gridCol w:w="1511"/>
      </w:tblGrid>
      <w:tr>
        <w:trPr>
          <w:trHeight w:val="348" w:hRule="exact"/>
        </w:trPr>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债权单位</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债务单位</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73"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31"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07" w:right="0"/>
              <w:jc w:val="left"/>
              <w:rPr>
                <w:rFonts w:ascii="宋体" w:hAnsi="宋体" w:cs="宋体" w:eastAsia="宋体" w:hint="default"/>
                <w:sz w:val="18"/>
                <w:szCs w:val="18"/>
              </w:rPr>
            </w:pPr>
            <w:r>
              <w:rPr>
                <w:rFonts w:ascii="宋体" w:hAnsi="宋体" w:cs="宋体" w:eastAsia="宋体" w:hint="default"/>
                <w:sz w:val="18"/>
                <w:szCs w:val="18"/>
              </w:rPr>
              <w:t>未结算的原因</w:t>
            </w:r>
          </w:p>
        </w:tc>
      </w:tr>
    </w:tbl>
    <w:p>
      <w:pPr>
        <w:spacing w:after="0" w:line="240" w:lineRule="auto"/>
        <w:jc w:val="left"/>
        <w:rPr>
          <w:rFonts w:ascii="宋体" w:hAnsi="宋体" w:cs="宋体" w:eastAsia="宋体" w:hint="default"/>
          <w:sz w:val="18"/>
          <w:szCs w:val="18"/>
        </w:rPr>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3258"/>
        <w:gridCol w:w="2370"/>
        <w:gridCol w:w="1482"/>
        <w:gridCol w:w="1037"/>
        <w:gridCol w:w="1511"/>
      </w:tblGrid>
      <w:tr>
        <w:trPr>
          <w:trHeight w:val="347" w:hRule="exact"/>
        </w:trPr>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江苏神州信源系统工程有限公司</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南京软迅科技有限公司</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4,911,811.14</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年以内</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347" w:hRule="exact"/>
        </w:trPr>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江苏神州信源系统工程有限公司</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宜昌恒畅物流有限公司</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3,566,784.28</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年以内</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347" w:hRule="exact"/>
        </w:trPr>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江苏神州信源系统工程有限公司</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徐州宏远建筑安装有限公司</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2,300,000.00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年以内</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348" w:hRule="exact"/>
        </w:trPr>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江苏神州信源系统工程有限公司</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南京鸿度装饰工程有限公司</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1,448,800.00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尚未到结算期</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spacing w:val="4"/>
        </w:rPr>
        <w:t>公司按预付对象归集的年末余额前五名预付账款汇总金额为</w:t>
      </w:r>
      <w:r>
        <w:rPr>
          <w:rFonts w:ascii="Arial" w:hAnsi="Arial" w:cs="Arial" w:eastAsia="Arial" w:hint="default"/>
          <w:spacing w:val="4"/>
        </w:rPr>
        <w:t>33,068,226.42</w:t>
      </w:r>
      <w:r>
        <w:rPr>
          <w:spacing w:val="4"/>
        </w:rPr>
        <w:t>元，占预付账款年末余额合计数的比例为</w:t>
      </w:r>
    </w:p>
    <w:p>
      <w:pPr>
        <w:pStyle w:val="BodyText"/>
        <w:spacing w:line="240" w:lineRule="auto" w:before="63"/>
        <w:ind w:right="0"/>
        <w:jc w:val="left"/>
      </w:pPr>
      <w:r>
        <w:rPr>
          <w:rFonts w:ascii="Times New Roman" w:hAnsi="Times New Roman" w:cs="Times New Roman" w:eastAsia="Times New Roman" w:hint="default"/>
        </w:rPr>
        <w:t>53.73%</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19,400,403.77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16,889,511.24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19,400,403.77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16,889,511.24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26,017,6</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68.04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6,617,26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19,400,40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3.77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21,859,</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144.03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4,969,632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16,889,511.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26,017,6</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68.04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6,617,26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19,400,40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3.77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21,859,</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144.03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4,969,632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16,889,511.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90" w:top="1060" w:bottom="138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380" w:left="980" w:right="0"/>
          <w:cols w:num="2" w:equalWidth="0">
            <w:col w:w="4475" w:space="435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12,169,997.30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608,499.87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5,302,665.45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530,266.55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2,527,029.12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758,108.74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6,017,976.17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4,720,389.11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1,878,779.58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939,389.79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1,790,986.35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1,432,789.08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2,348,210.24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2,348,210.24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26,017,668.04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6,617,264.27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0"/>
        </w:sectPr>
      </w:pPr>
    </w:p>
    <w:p>
      <w:pPr>
        <w:pStyle w:val="BodyText"/>
        <w:spacing w:line="360" w:lineRule="auto" w:before="51"/>
        <w:ind w:left="153" w:right="1779"/>
        <w:jc w:val="left"/>
      </w:pPr>
      <w:r>
        <w:rPr/>
        <w:t>确定该组合依据的说明： 组合中，采用余额百分比法计提坏账准备的其他应收款：</w:t>
      </w:r>
    </w:p>
    <w:p>
      <w:pPr>
        <w:pStyle w:val="BodyText"/>
        <w:spacing w:line="340" w:lineRule="auto" w:before="26"/>
        <w:ind w:right="21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17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779"/>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8"/>
        <w:jc w:val="left"/>
      </w:pPr>
      <w:r>
        <w:rPr/>
        <w:t>本期计提坏账准备金额</w:t>
      </w:r>
      <w:r>
        <w:rPr>
          <w:spacing w:val="-46"/>
        </w:rPr>
        <w:t> </w:t>
      </w:r>
      <w:r>
        <w:rPr>
          <w:rFonts w:ascii="Times New Roman" w:hAnsi="Times New Roman" w:cs="Times New Roman" w:eastAsia="Times New Roman" w:hint="default"/>
        </w:rPr>
        <w:t>1,686,627.05</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380" w:left="980" w:right="0"/>
          <w:cols w:num="2" w:equalWidth="0">
            <w:col w:w="6453" w:space="2375"/>
            <w:col w:w="2102"/>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40,223.00</w:t>
            </w:r>
          </w:p>
        </w:tc>
      </w:tr>
    </w:tbl>
    <w:p>
      <w:pPr>
        <w:pStyle w:val="BodyText"/>
        <w:spacing w:line="240" w:lineRule="auto" w:before="51"/>
        <w:ind w:right="0"/>
        <w:jc w:val="left"/>
      </w:pPr>
      <w:r>
        <w:rPr/>
        <w:t>其中重要的其他应收款核销情况：</w:t>
      </w:r>
    </w:p>
    <w:p>
      <w:pPr>
        <w:pStyle w:val="BodyText"/>
        <w:spacing w:line="240" w:lineRule="auto" w:before="117"/>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深圳市福田区风翔 世纪电子经营部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35,129.00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无力偿还</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济南卓诚招标代理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5,094.00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无力偿还</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40,223.00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15,167,189.01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11,933,086.11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2,963,168.00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4,876,078.52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2,597,060.43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447,627.63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5,290,250.60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4,602,351.77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26,017,668.04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21,859,144.03</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四川省监狱管理局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2,599,502.00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129,975.10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徐州九夏信息科技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长春吉大正元信息 技术股份有限公司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68"/>
              <w:jc w:val="left"/>
              <w:rPr>
                <w:rFonts w:ascii="宋体" w:hAnsi="宋体" w:cs="宋体" w:eastAsia="宋体" w:hint="default"/>
                <w:sz w:val="18"/>
                <w:szCs w:val="18"/>
              </w:rPr>
            </w:pPr>
            <w:r>
              <w:rPr>
                <w:rFonts w:ascii="宋体" w:hAnsi="宋体" w:cs="宋体" w:eastAsia="宋体" w:hint="default"/>
                <w:sz w:val="18"/>
                <w:szCs w:val="18"/>
              </w:rPr>
              <w:t>单位往来</w:t>
            </w:r>
            <w:r>
              <w:rPr>
                <w:rFonts w:ascii="Times New Roman" w:hAnsi="Times New Roman" w:cs="Times New Roman" w:eastAsia="Times New Roman" w:hint="default"/>
                <w:sz w:val="18"/>
                <w:szCs w:val="18"/>
              </w:rPr>
              <w:t>/</w:t>
            </w:r>
            <w:r>
              <w:rPr>
                <w:rFonts w:ascii="宋体" w:hAnsi="宋体" w:cs="宋体" w:eastAsia="宋体" w:hint="default"/>
                <w:sz w:val="18"/>
                <w:szCs w:val="18"/>
              </w:rPr>
              <w:t>投标保证 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1,575,046.00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847,536.80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泰州市机关事务管 理局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1,280,282.10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64,014.11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南京鸿度装饰工程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1,052,996.55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902,686.55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8,507,826.65</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2,144,212.56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7511"/>
        <w:jc w:val="left"/>
      </w:pPr>
      <w:r>
        <w:rPr/>
        <w:t>公司是否需要遵守房地产行业的披露要求 否</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9,297,297.46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9,297,297.46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7,923,330.38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7,923,330.38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78,515,943.85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78,515,943.85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61,700,665.14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61,700,665.14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87,813,241.31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87,813,241.31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69,623,995.52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69,623,995.52</w:t>
            </w:r>
          </w:p>
        </w:tc>
      </w:tr>
    </w:tbl>
    <w:p>
      <w:pPr>
        <w:pStyle w:val="BodyText"/>
        <w:spacing w:line="338" w:lineRule="auto" w:before="51"/>
        <w:ind w:right="2472"/>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1572"/>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2"/>
        <w:ind w:right="1752"/>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0"/>
        <w:ind w:right="0"/>
        <w:jc w:val="left"/>
      </w:pPr>
      <w:r>
        <w:rPr/>
        <w:t>公司需遵守《深圳证券交易所行业信息披露指引第</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w:t>
      </w:r>
    </w:p>
    <w:p>
      <w:pPr>
        <w:spacing w:after="0" w:line="240" w:lineRule="auto"/>
        <w:jc w:val="left"/>
        <w:sectPr>
          <w:pgSz w:w="11910" w:h="16840"/>
          <w:pgMar w:header="747" w:footer="1190" w:top="1060" w:bottom="138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否</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9,288,961.68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7,114,610.30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留抵税金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1,218,578.14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461,772.50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1,910,187.19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162,417,727.01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167,576,382.80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0"/>
        <w:gridCol w:w="1195"/>
        <w:gridCol w:w="1195"/>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center"/>
              <w:rPr>
                <w:rFonts w:ascii="Times New Roman" w:hAnsi="Times New Roman" w:cs="Times New Roman" w:eastAsia="Times New Roman" w:hint="default"/>
                <w:sz w:val="18"/>
                <w:szCs w:val="18"/>
              </w:rPr>
            </w:pPr>
            <w:r>
              <w:rPr>
                <w:rFonts w:ascii="Times New Roman"/>
                <w:sz w:val="18"/>
              </w:rPr>
              <w:t>43,383,735.00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2,612,475.57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center"/>
              <w:rPr>
                <w:rFonts w:ascii="Times New Roman" w:hAnsi="Times New Roman" w:cs="Times New Roman" w:eastAsia="Times New Roman" w:hint="default"/>
                <w:sz w:val="18"/>
                <w:szCs w:val="18"/>
              </w:rPr>
            </w:pPr>
            <w:r>
              <w:rPr>
                <w:rFonts w:ascii="Times New Roman"/>
                <w:sz w:val="18"/>
              </w:rPr>
              <w:t>40,771,259.43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38,383,735.00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204,617.24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6" w:right="0"/>
              <w:jc w:val="left"/>
              <w:rPr>
                <w:rFonts w:ascii="Times New Roman" w:hAnsi="Times New Roman" w:cs="Times New Roman" w:eastAsia="Times New Roman" w:hint="default"/>
                <w:sz w:val="18"/>
                <w:szCs w:val="18"/>
              </w:rPr>
            </w:pPr>
            <w:r>
              <w:rPr>
                <w:rFonts w:ascii="Times New Roman"/>
                <w:sz w:val="18"/>
              </w:rPr>
              <w:t>38,179,117.76</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center"/>
              <w:rPr>
                <w:rFonts w:ascii="Times New Roman" w:hAnsi="Times New Roman" w:cs="Times New Roman" w:eastAsia="Times New Roman" w:hint="default"/>
                <w:sz w:val="18"/>
                <w:szCs w:val="18"/>
              </w:rPr>
            </w:pPr>
            <w:r>
              <w:rPr>
                <w:rFonts w:ascii="Times New Roman"/>
                <w:sz w:val="18"/>
              </w:rPr>
              <w:t>43,383,735.00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2,612,475.57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center"/>
              <w:rPr>
                <w:rFonts w:ascii="Times New Roman" w:hAnsi="Times New Roman" w:cs="Times New Roman" w:eastAsia="Times New Roman" w:hint="default"/>
                <w:sz w:val="18"/>
                <w:szCs w:val="18"/>
              </w:rPr>
            </w:pPr>
            <w:r>
              <w:rPr>
                <w:rFonts w:ascii="Times New Roman"/>
                <w:sz w:val="18"/>
              </w:rPr>
              <w:t>40,771,259.43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38,383,735.00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204,617.24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6" w:right="0"/>
              <w:jc w:val="left"/>
              <w:rPr>
                <w:rFonts w:ascii="Times New Roman" w:hAnsi="Times New Roman" w:cs="Times New Roman" w:eastAsia="Times New Roman" w:hint="default"/>
                <w:sz w:val="18"/>
                <w:szCs w:val="18"/>
              </w:rPr>
            </w:pPr>
            <w:r>
              <w:rPr>
                <w:rFonts w:ascii="Times New Roman"/>
                <w:sz w:val="18"/>
              </w:rPr>
              <w:t>38,179,117.76</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center"/>
              <w:rPr>
                <w:rFonts w:ascii="Times New Roman" w:hAnsi="Times New Roman" w:cs="Times New Roman" w:eastAsia="Times New Roman" w:hint="default"/>
                <w:sz w:val="18"/>
                <w:szCs w:val="18"/>
              </w:rPr>
            </w:pPr>
            <w:r>
              <w:rPr>
                <w:rFonts w:ascii="Times New Roman"/>
                <w:sz w:val="18"/>
              </w:rPr>
              <w:t>43,383,735.00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2,612,475.57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center"/>
              <w:rPr>
                <w:rFonts w:ascii="Times New Roman" w:hAnsi="Times New Roman" w:cs="Times New Roman" w:eastAsia="Times New Roman" w:hint="default"/>
                <w:sz w:val="18"/>
                <w:szCs w:val="18"/>
              </w:rPr>
            </w:pPr>
            <w:r>
              <w:rPr>
                <w:rFonts w:ascii="Times New Roman"/>
                <w:sz w:val="18"/>
              </w:rPr>
              <w:t>40,771,259.43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38,383,735.00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204,617.24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6" w:right="0"/>
              <w:jc w:val="left"/>
              <w:rPr>
                <w:rFonts w:ascii="Times New Roman" w:hAnsi="Times New Roman" w:cs="Times New Roman" w:eastAsia="Times New Roman" w:hint="default"/>
                <w:sz w:val="18"/>
                <w:szCs w:val="18"/>
              </w:rPr>
            </w:pPr>
            <w:r>
              <w:rPr>
                <w:rFonts w:ascii="Times New Roman"/>
                <w:sz w:val="18"/>
              </w:rPr>
              <w:t>38,179,117.76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745"/>
        <w:gridCol w:w="1091"/>
        <w:gridCol w:w="1001"/>
        <w:gridCol w:w="752"/>
        <w:gridCol w:w="1092"/>
        <w:gridCol w:w="865"/>
        <w:gridCol w:w="1001"/>
        <w:gridCol w:w="641"/>
        <w:gridCol w:w="1001"/>
        <w:gridCol w:w="752"/>
        <w:gridCol w:w="752"/>
      </w:tblGrid>
      <w:tr>
        <w:trPr>
          <w:trHeight w:val="402" w:hRule="exact"/>
        </w:trPr>
        <w:tc>
          <w:tcPr>
            <w:tcW w:w="7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87" w:right="96"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393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50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75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00" w:right="101"/>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7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2" w:right="9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936" w:hRule="exact"/>
        </w:trPr>
        <w:tc>
          <w:tcPr>
            <w:tcW w:w="745" w:type="dxa"/>
            <w:vMerge/>
            <w:tcBorders>
              <w:left w:val="single" w:sz="4" w:space="0" w:color="000000"/>
              <w:bottom w:val="single" w:sz="4" w:space="0" w:color="000000"/>
              <w:right w:val="single" w:sz="4" w:space="0" w:color="000000"/>
            </w:tcBorders>
            <w:shd w:val="clear" w:color="auto" w:fill="D3D3D3"/>
          </w:tcPr>
          <w:p>
            <w:pP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80" w:right="101"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752" w:type="dxa"/>
            <w:vMerge/>
            <w:tcBorders>
              <w:left w:val="single" w:sz="4" w:space="0" w:color="000000"/>
              <w:bottom w:val="single" w:sz="4" w:space="0" w:color="000000"/>
              <w:right w:val="single" w:sz="4" w:space="0" w:color="000000"/>
            </w:tcBorders>
            <w:shd w:val="clear" w:color="auto" w:fill="D3D3D3"/>
          </w:tcPr>
          <w:p>
            <w:pPr/>
          </w:p>
        </w:tc>
        <w:tc>
          <w:tcPr>
            <w:tcW w:w="752" w:type="dxa"/>
            <w:vMerge/>
            <w:tcBorders>
              <w:left w:val="single" w:sz="4" w:space="0" w:color="000000"/>
              <w:bottom w:val="single" w:sz="4" w:space="0" w:color="000000"/>
              <w:right w:val="single" w:sz="4" w:space="0" w:color="000000"/>
            </w:tcBorders>
            <w:shd w:val="clear" w:color="auto" w:fill="D3D3D3"/>
          </w:tcPr>
          <w:p>
            <w:pPr/>
          </w:p>
        </w:tc>
      </w:tr>
      <w:tr>
        <w:trPr>
          <w:trHeight w:val="1650" w:hRule="exact"/>
        </w:trPr>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0"/>
              <w:jc w:val="both"/>
              <w:rPr>
                <w:rFonts w:ascii="宋体" w:hAnsi="宋体" w:cs="宋体" w:eastAsia="宋体" w:hint="default"/>
                <w:sz w:val="18"/>
                <w:szCs w:val="18"/>
              </w:rPr>
            </w:pPr>
            <w:r>
              <w:rPr>
                <w:rFonts w:ascii="宋体" w:hAnsi="宋体" w:cs="宋体" w:eastAsia="宋体" w:hint="default"/>
                <w:sz w:val="18"/>
                <w:szCs w:val="18"/>
              </w:rPr>
              <w:t>深圳中 软华泰 信息技 术有限 公司</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1,000,000.00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204,617.24</w:t>
            </w:r>
          </w:p>
        </w:tc>
        <w:tc>
          <w:tcPr>
            <w:tcW w:w="100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204,617.24</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w:t>
            </w:r>
          </w:p>
        </w:tc>
        <w:tc>
          <w:tcPr>
            <w:tcW w:w="75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0"/>
              <w:jc w:val="both"/>
              <w:rPr>
                <w:rFonts w:ascii="宋体" w:hAnsi="宋体" w:cs="宋体" w:eastAsia="宋体" w:hint="default"/>
                <w:sz w:val="18"/>
                <w:szCs w:val="18"/>
              </w:rPr>
            </w:pPr>
            <w:r>
              <w:rPr>
                <w:rFonts w:ascii="宋体" w:hAnsi="宋体" w:cs="宋体" w:eastAsia="宋体" w:hint="default"/>
                <w:sz w:val="18"/>
                <w:szCs w:val="18"/>
              </w:rPr>
              <w:t>上海无 寻网络 科技有 限公司</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3,000,000.00</w:t>
            </w:r>
          </w:p>
        </w:tc>
        <w:tc>
          <w:tcPr>
            <w:tcW w:w="86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2,407,858.33</w:t>
            </w:r>
          </w:p>
        </w:tc>
        <w:tc>
          <w:tcPr>
            <w:tcW w:w="6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2,407,858.33</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8.90%</w:t>
            </w:r>
          </w:p>
        </w:tc>
        <w:tc>
          <w:tcPr>
            <w:tcW w:w="7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北京双</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5,000,000.00</w:t>
            </w:r>
          </w:p>
        </w:tc>
        <w:tc>
          <w:tcPr>
            <w:tcW w:w="86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14.29%</w:t>
            </w:r>
          </w:p>
        </w:tc>
        <w:tc>
          <w:tcPr>
            <w:tcW w:w="7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745"/>
        <w:gridCol w:w="1091"/>
        <w:gridCol w:w="1001"/>
        <w:gridCol w:w="752"/>
        <w:gridCol w:w="1092"/>
        <w:gridCol w:w="865"/>
        <w:gridCol w:w="1001"/>
        <w:gridCol w:w="641"/>
        <w:gridCol w:w="1001"/>
        <w:gridCol w:w="752"/>
        <w:gridCol w:w="752"/>
      </w:tblGrid>
      <w:tr>
        <w:trPr>
          <w:trHeight w:val="986" w:hRule="exact"/>
        </w:trPr>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0"/>
              <w:jc w:val="both"/>
              <w:rPr>
                <w:rFonts w:ascii="宋体" w:hAnsi="宋体" w:cs="宋体" w:eastAsia="宋体" w:hint="default"/>
                <w:sz w:val="18"/>
                <w:szCs w:val="18"/>
              </w:rPr>
            </w:pPr>
            <w:r>
              <w:rPr>
                <w:rFonts w:ascii="宋体" w:hAnsi="宋体" w:cs="宋体" w:eastAsia="宋体" w:hint="default"/>
                <w:sz w:val="18"/>
                <w:szCs w:val="18"/>
              </w:rPr>
              <w:t>洲科技 有限公 司</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091" w:type="dxa"/>
            <w:tcBorders>
              <w:top w:val="single" w:sz="4" w:space="0" w:color="000000"/>
              <w:left w:val="single" w:sz="4" w:space="0" w:color="000000"/>
              <w:bottom w:val="nil" w:sz="6" w:space="0" w:color="auto"/>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752" w:type="dxa"/>
            <w:vMerge w:val="restart"/>
            <w:tcBorders>
              <w:top w:val="single" w:sz="4" w:space="0" w:color="000000"/>
              <w:left w:val="single" w:sz="4" w:space="0" w:color="000000"/>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865" w:type="dxa"/>
            <w:vMerge w:val="restart"/>
            <w:tcBorders>
              <w:top w:val="single" w:sz="4" w:space="0" w:color="000000"/>
              <w:left w:val="single" w:sz="4" w:space="0" w:color="000000"/>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752" w:type="dxa"/>
            <w:tcBorders>
              <w:top w:val="single" w:sz="4" w:space="0" w:color="000000"/>
              <w:left w:val="single" w:sz="4" w:space="0" w:color="000000"/>
              <w:bottom w:val="nil" w:sz="6" w:space="0" w:color="auto"/>
              <w:right w:val="single" w:sz="4" w:space="0" w:color="000000"/>
            </w:tcBorders>
          </w:tcPr>
          <w:p>
            <w:pPr/>
          </w:p>
        </w:tc>
        <w:tc>
          <w:tcPr>
            <w:tcW w:w="752" w:type="dxa"/>
            <w:vMerge w:val="restart"/>
            <w:tcBorders>
              <w:top w:val="single" w:sz="4" w:space="0" w:color="000000"/>
              <w:left w:val="single" w:sz="4" w:space="0" w:color="000000"/>
              <w:right w:val="single" w:sz="4" w:space="0" w:color="000000"/>
            </w:tcBorders>
          </w:tcPr>
          <w:p>
            <w:pPr/>
          </w:p>
        </w:tc>
      </w:tr>
      <w:tr>
        <w:trPr>
          <w:trHeight w:val="311" w:hRule="exact"/>
        </w:trPr>
        <w:tc>
          <w:tcPr>
            <w:tcW w:w="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金城保</w:t>
            </w:r>
          </w:p>
        </w:tc>
        <w:tc>
          <w:tcPr>
            <w:tcW w:w="1091" w:type="dxa"/>
            <w:tcBorders>
              <w:top w:val="nil" w:sz="6" w:space="0" w:color="auto"/>
              <w:left w:val="single" w:sz="4" w:space="0" w:color="000000"/>
              <w:bottom w:val="nil" w:sz="6" w:space="0" w:color="auto"/>
              <w:right w:val="single" w:sz="4" w:space="0" w:color="000000"/>
            </w:tcBorders>
          </w:tcPr>
          <w:p>
            <w:pPr/>
          </w:p>
        </w:tc>
        <w:tc>
          <w:tcPr>
            <w:tcW w:w="1001" w:type="dxa"/>
            <w:vMerge/>
            <w:tcBorders>
              <w:left w:val="single" w:sz="4" w:space="0" w:color="000000"/>
              <w:right w:val="single" w:sz="4" w:space="0" w:color="000000"/>
            </w:tcBorders>
          </w:tcPr>
          <w:p>
            <w:pPr/>
          </w:p>
        </w:tc>
        <w:tc>
          <w:tcPr>
            <w:tcW w:w="752"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65"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752" w:type="dxa"/>
            <w:tcBorders>
              <w:top w:val="nil" w:sz="6" w:space="0" w:color="auto"/>
              <w:left w:val="single" w:sz="4" w:space="0" w:color="000000"/>
              <w:bottom w:val="nil" w:sz="6" w:space="0" w:color="auto"/>
              <w:right w:val="single" w:sz="4" w:space="0" w:color="000000"/>
            </w:tcBorders>
          </w:tcPr>
          <w:p>
            <w:pPr/>
          </w:p>
        </w:tc>
        <w:tc>
          <w:tcPr>
            <w:tcW w:w="752" w:type="dxa"/>
            <w:vMerge/>
            <w:tcBorders>
              <w:left w:val="single" w:sz="4" w:space="0" w:color="000000"/>
              <w:right w:val="single" w:sz="4" w:space="0" w:color="000000"/>
            </w:tcBorders>
          </w:tcPr>
          <w:p>
            <w:pPr/>
          </w:p>
        </w:tc>
      </w:tr>
      <w:tr>
        <w:trPr>
          <w:trHeight w:val="316" w:hRule="exact"/>
        </w:trPr>
        <w:tc>
          <w:tcPr>
            <w:tcW w:w="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密技术</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4,383,735.00</w:t>
            </w:r>
          </w:p>
        </w:tc>
        <w:tc>
          <w:tcPr>
            <w:tcW w:w="1001" w:type="dxa"/>
            <w:vMerge/>
            <w:tcBorders>
              <w:left w:val="single" w:sz="4" w:space="0" w:color="000000"/>
              <w:right w:val="single" w:sz="4" w:space="0" w:color="000000"/>
            </w:tcBorders>
          </w:tcPr>
          <w:p>
            <w:pPr/>
          </w:p>
        </w:tc>
        <w:tc>
          <w:tcPr>
            <w:tcW w:w="752"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93" w:right="0"/>
              <w:jc w:val="center"/>
              <w:rPr>
                <w:rFonts w:ascii="Times New Roman" w:hAnsi="Times New Roman" w:cs="Times New Roman" w:eastAsia="Times New Roman" w:hint="default"/>
                <w:sz w:val="18"/>
                <w:szCs w:val="18"/>
              </w:rPr>
            </w:pPr>
            <w:r>
              <w:rPr>
                <w:rFonts w:ascii="Times New Roman"/>
                <w:sz w:val="18"/>
              </w:rPr>
              <w:t>4,383,735.00</w:t>
            </w:r>
          </w:p>
        </w:tc>
        <w:tc>
          <w:tcPr>
            <w:tcW w:w="865"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15.00%</w:t>
            </w:r>
          </w:p>
        </w:tc>
        <w:tc>
          <w:tcPr>
            <w:tcW w:w="752" w:type="dxa"/>
            <w:vMerge/>
            <w:tcBorders>
              <w:left w:val="single" w:sz="4" w:space="0" w:color="000000"/>
              <w:right w:val="single" w:sz="4" w:space="0" w:color="000000"/>
            </w:tcBorders>
          </w:tcPr>
          <w:p>
            <w:pPr/>
          </w:p>
        </w:tc>
      </w:tr>
      <w:tr>
        <w:trPr>
          <w:trHeight w:val="308" w:hRule="exact"/>
        </w:trPr>
        <w:tc>
          <w:tcPr>
            <w:tcW w:w="7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1091" w:type="dxa"/>
            <w:tcBorders>
              <w:top w:val="nil" w:sz="6" w:space="0" w:color="auto"/>
              <w:left w:val="single" w:sz="4" w:space="0" w:color="000000"/>
              <w:bottom w:val="nil" w:sz="6" w:space="0" w:color="auto"/>
              <w:right w:val="single" w:sz="4" w:space="0" w:color="000000"/>
            </w:tcBorders>
          </w:tcPr>
          <w:p>
            <w:pPr/>
          </w:p>
        </w:tc>
        <w:tc>
          <w:tcPr>
            <w:tcW w:w="1001" w:type="dxa"/>
            <w:vMerge/>
            <w:tcBorders>
              <w:left w:val="single" w:sz="4" w:space="0" w:color="000000"/>
              <w:right w:val="single" w:sz="4" w:space="0" w:color="000000"/>
            </w:tcBorders>
          </w:tcPr>
          <w:p>
            <w:pPr/>
          </w:p>
        </w:tc>
        <w:tc>
          <w:tcPr>
            <w:tcW w:w="752"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65"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752" w:type="dxa"/>
            <w:tcBorders>
              <w:top w:val="nil" w:sz="6" w:space="0" w:color="auto"/>
              <w:left w:val="single" w:sz="4" w:space="0" w:color="000000"/>
              <w:bottom w:val="nil" w:sz="6" w:space="0" w:color="auto"/>
              <w:right w:val="single" w:sz="4" w:space="0" w:color="000000"/>
            </w:tcBorders>
          </w:tcPr>
          <w:p>
            <w:pPr/>
          </w:p>
        </w:tc>
        <w:tc>
          <w:tcPr>
            <w:tcW w:w="752" w:type="dxa"/>
            <w:vMerge/>
            <w:tcBorders>
              <w:left w:val="single" w:sz="4" w:space="0" w:color="000000"/>
              <w:right w:val="single" w:sz="4" w:space="0" w:color="000000"/>
            </w:tcBorders>
          </w:tcPr>
          <w:p>
            <w:pPr/>
          </w:p>
        </w:tc>
      </w:tr>
      <w:tr>
        <w:trPr>
          <w:trHeight w:val="357" w:hRule="exact"/>
        </w:trPr>
        <w:tc>
          <w:tcPr>
            <w:tcW w:w="7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91" w:type="dxa"/>
            <w:tcBorders>
              <w:top w:val="nil" w:sz="6" w:space="0" w:color="auto"/>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752" w:type="dxa"/>
            <w:vMerge/>
            <w:tcBorders>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865"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752" w:type="dxa"/>
            <w:tcBorders>
              <w:top w:val="nil" w:sz="6" w:space="0" w:color="auto"/>
              <w:left w:val="single" w:sz="4" w:space="0" w:color="000000"/>
              <w:bottom w:val="single" w:sz="4" w:space="0" w:color="000000"/>
              <w:right w:val="single" w:sz="4" w:space="0" w:color="000000"/>
            </w:tcBorders>
          </w:tcPr>
          <w:p>
            <w:pPr/>
          </w:p>
        </w:tc>
        <w:tc>
          <w:tcPr>
            <w:tcW w:w="752" w:type="dxa"/>
            <w:vMerge/>
            <w:tcBorders>
              <w:left w:val="single" w:sz="4" w:space="0" w:color="000000"/>
              <w:bottom w:val="single" w:sz="4" w:space="0" w:color="000000"/>
              <w:right w:val="single" w:sz="4" w:space="0" w:color="000000"/>
            </w:tcBorders>
          </w:tcPr>
          <w:p>
            <w:pPr/>
          </w:p>
        </w:tc>
      </w:tr>
      <w:tr>
        <w:trPr>
          <w:trHeight w:val="357" w:hRule="exact"/>
        </w:trPr>
        <w:tc>
          <w:tcPr>
            <w:tcW w:w="7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w:t>
            </w:r>
          </w:p>
        </w:tc>
        <w:tc>
          <w:tcPr>
            <w:tcW w:w="1091" w:type="dxa"/>
            <w:tcBorders>
              <w:top w:val="single" w:sz="4" w:space="0" w:color="000000"/>
              <w:left w:val="single" w:sz="4" w:space="0" w:color="000000"/>
              <w:bottom w:val="nil" w:sz="6" w:space="0" w:color="auto"/>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752" w:type="dxa"/>
            <w:vMerge w:val="restart"/>
            <w:tcBorders>
              <w:top w:val="single" w:sz="4" w:space="0" w:color="000000"/>
              <w:left w:val="single" w:sz="4" w:space="0" w:color="000000"/>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865" w:type="dxa"/>
            <w:vMerge w:val="restart"/>
            <w:tcBorders>
              <w:top w:val="single" w:sz="4" w:space="0" w:color="000000"/>
              <w:left w:val="single" w:sz="4" w:space="0" w:color="000000"/>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752" w:type="dxa"/>
            <w:tcBorders>
              <w:top w:val="single" w:sz="4" w:space="0" w:color="000000"/>
              <w:left w:val="single" w:sz="4" w:space="0" w:color="000000"/>
              <w:bottom w:val="nil" w:sz="6" w:space="0" w:color="auto"/>
              <w:right w:val="single" w:sz="4" w:space="0" w:color="000000"/>
            </w:tcBorders>
          </w:tcPr>
          <w:p>
            <w:pPr/>
          </w:p>
        </w:tc>
        <w:tc>
          <w:tcPr>
            <w:tcW w:w="752" w:type="dxa"/>
            <w:vMerge w:val="restart"/>
            <w:tcBorders>
              <w:top w:val="single" w:sz="4" w:space="0" w:color="000000"/>
              <w:left w:val="single" w:sz="4" w:space="0" w:color="000000"/>
              <w:right w:val="single" w:sz="4" w:space="0" w:color="000000"/>
            </w:tcBorders>
          </w:tcPr>
          <w:p>
            <w:pPr/>
          </w:p>
        </w:tc>
      </w:tr>
      <w:tr>
        <w:trPr>
          <w:trHeight w:val="311" w:hRule="exact"/>
        </w:trPr>
        <w:tc>
          <w:tcPr>
            <w:tcW w:w="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睿北信</w:t>
            </w:r>
          </w:p>
        </w:tc>
        <w:tc>
          <w:tcPr>
            <w:tcW w:w="1091" w:type="dxa"/>
            <w:tcBorders>
              <w:top w:val="nil" w:sz="6" w:space="0" w:color="auto"/>
              <w:left w:val="single" w:sz="4" w:space="0" w:color="000000"/>
              <w:bottom w:val="nil" w:sz="6" w:space="0" w:color="auto"/>
              <w:right w:val="single" w:sz="4" w:space="0" w:color="000000"/>
            </w:tcBorders>
          </w:tcPr>
          <w:p>
            <w:pPr/>
          </w:p>
        </w:tc>
        <w:tc>
          <w:tcPr>
            <w:tcW w:w="1001" w:type="dxa"/>
            <w:vMerge/>
            <w:tcBorders>
              <w:left w:val="single" w:sz="4" w:space="0" w:color="000000"/>
              <w:right w:val="single" w:sz="4" w:space="0" w:color="000000"/>
            </w:tcBorders>
          </w:tcPr>
          <w:p>
            <w:pPr/>
          </w:p>
        </w:tc>
        <w:tc>
          <w:tcPr>
            <w:tcW w:w="752"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65"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752" w:type="dxa"/>
            <w:tcBorders>
              <w:top w:val="nil" w:sz="6" w:space="0" w:color="auto"/>
              <w:left w:val="single" w:sz="4" w:space="0" w:color="000000"/>
              <w:bottom w:val="nil" w:sz="6" w:space="0" w:color="auto"/>
              <w:right w:val="single" w:sz="4" w:space="0" w:color="000000"/>
            </w:tcBorders>
          </w:tcPr>
          <w:p>
            <w:pPr/>
          </w:p>
        </w:tc>
        <w:tc>
          <w:tcPr>
            <w:tcW w:w="752" w:type="dxa"/>
            <w:vMerge/>
            <w:tcBorders>
              <w:left w:val="single" w:sz="4" w:space="0" w:color="000000"/>
              <w:right w:val="single" w:sz="4" w:space="0" w:color="000000"/>
            </w:tcBorders>
          </w:tcPr>
          <w:p>
            <w:pPr/>
          </w:p>
        </w:tc>
      </w:tr>
      <w:tr>
        <w:trPr>
          <w:trHeight w:val="312" w:hRule="exact"/>
        </w:trPr>
        <w:tc>
          <w:tcPr>
            <w:tcW w:w="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源数据</w:t>
            </w:r>
          </w:p>
        </w:tc>
        <w:tc>
          <w:tcPr>
            <w:tcW w:w="1091" w:type="dxa"/>
            <w:tcBorders>
              <w:top w:val="nil" w:sz="6" w:space="0" w:color="auto"/>
              <w:left w:val="single" w:sz="4" w:space="0" w:color="000000"/>
              <w:bottom w:val="nil" w:sz="6" w:space="0" w:color="auto"/>
              <w:right w:val="single" w:sz="4" w:space="0" w:color="000000"/>
            </w:tcBorders>
          </w:tcPr>
          <w:p>
            <w:pPr/>
          </w:p>
        </w:tc>
        <w:tc>
          <w:tcPr>
            <w:tcW w:w="1001" w:type="dxa"/>
            <w:vMerge/>
            <w:tcBorders>
              <w:left w:val="single" w:sz="4" w:space="0" w:color="000000"/>
              <w:right w:val="single" w:sz="4" w:space="0" w:color="000000"/>
            </w:tcBorders>
          </w:tcPr>
          <w:p>
            <w:pPr/>
          </w:p>
        </w:tc>
        <w:tc>
          <w:tcPr>
            <w:tcW w:w="752"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65"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752" w:type="dxa"/>
            <w:tcBorders>
              <w:top w:val="nil" w:sz="6" w:space="0" w:color="auto"/>
              <w:left w:val="single" w:sz="4" w:space="0" w:color="000000"/>
              <w:bottom w:val="nil" w:sz="6" w:space="0" w:color="auto"/>
              <w:right w:val="single" w:sz="4" w:space="0" w:color="000000"/>
            </w:tcBorders>
          </w:tcPr>
          <w:p>
            <w:pPr/>
          </w:p>
        </w:tc>
        <w:tc>
          <w:tcPr>
            <w:tcW w:w="752" w:type="dxa"/>
            <w:vMerge/>
            <w:tcBorders>
              <w:left w:val="single" w:sz="4" w:space="0" w:color="000000"/>
              <w:right w:val="single" w:sz="4" w:space="0" w:color="000000"/>
            </w:tcBorders>
          </w:tcPr>
          <w:p>
            <w:pPr/>
          </w:p>
        </w:tc>
      </w:tr>
      <w:tr>
        <w:trPr>
          <w:trHeight w:val="624" w:hRule="exact"/>
        </w:trPr>
        <w:tc>
          <w:tcPr>
            <w:tcW w:w="7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0"/>
              <w:jc w:val="left"/>
              <w:rPr>
                <w:rFonts w:ascii="宋体" w:hAnsi="宋体" w:cs="宋体" w:eastAsia="宋体" w:hint="default"/>
                <w:sz w:val="18"/>
                <w:szCs w:val="18"/>
              </w:rPr>
            </w:pPr>
            <w:r>
              <w:rPr>
                <w:rFonts w:ascii="宋体" w:hAnsi="宋体" w:cs="宋体" w:eastAsia="宋体" w:hint="default"/>
                <w:sz w:val="18"/>
                <w:szCs w:val="18"/>
              </w:rPr>
              <w:t>信息产 业投资</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001" w:type="dxa"/>
            <w:vMerge/>
            <w:tcBorders>
              <w:left w:val="single" w:sz="4" w:space="0" w:color="000000"/>
              <w:right w:val="single" w:sz="4" w:space="0" w:color="000000"/>
            </w:tcBorders>
          </w:tcPr>
          <w:p>
            <w:pPr/>
          </w:p>
        </w:tc>
        <w:tc>
          <w:tcPr>
            <w:tcW w:w="752"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15,000,000.00</w:t>
            </w:r>
          </w:p>
        </w:tc>
        <w:tc>
          <w:tcPr>
            <w:tcW w:w="865"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7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14.63%</w:t>
            </w:r>
          </w:p>
        </w:tc>
        <w:tc>
          <w:tcPr>
            <w:tcW w:w="752" w:type="dxa"/>
            <w:vMerge/>
            <w:tcBorders>
              <w:left w:val="single" w:sz="4" w:space="0" w:color="000000"/>
              <w:right w:val="single" w:sz="4" w:space="0" w:color="000000"/>
            </w:tcBorders>
          </w:tcPr>
          <w:p>
            <w:pPr/>
          </w:p>
        </w:tc>
      </w:tr>
      <w:tr>
        <w:trPr>
          <w:trHeight w:val="312" w:hRule="exact"/>
        </w:trPr>
        <w:tc>
          <w:tcPr>
            <w:tcW w:w="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合伙企</w:t>
            </w:r>
          </w:p>
        </w:tc>
        <w:tc>
          <w:tcPr>
            <w:tcW w:w="1091" w:type="dxa"/>
            <w:tcBorders>
              <w:top w:val="nil" w:sz="6" w:space="0" w:color="auto"/>
              <w:left w:val="single" w:sz="4" w:space="0" w:color="000000"/>
              <w:bottom w:val="nil" w:sz="6" w:space="0" w:color="auto"/>
              <w:right w:val="single" w:sz="4" w:space="0" w:color="000000"/>
            </w:tcBorders>
          </w:tcPr>
          <w:p>
            <w:pPr/>
          </w:p>
        </w:tc>
        <w:tc>
          <w:tcPr>
            <w:tcW w:w="1001" w:type="dxa"/>
            <w:vMerge/>
            <w:tcBorders>
              <w:left w:val="single" w:sz="4" w:space="0" w:color="000000"/>
              <w:right w:val="single" w:sz="4" w:space="0" w:color="000000"/>
            </w:tcBorders>
          </w:tcPr>
          <w:p>
            <w:pPr/>
          </w:p>
        </w:tc>
        <w:tc>
          <w:tcPr>
            <w:tcW w:w="752"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65"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752" w:type="dxa"/>
            <w:tcBorders>
              <w:top w:val="nil" w:sz="6" w:space="0" w:color="auto"/>
              <w:left w:val="single" w:sz="4" w:space="0" w:color="000000"/>
              <w:bottom w:val="nil" w:sz="6" w:space="0" w:color="auto"/>
              <w:right w:val="single" w:sz="4" w:space="0" w:color="000000"/>
            </w:tcBorders>
          </w:tcPr>
          <w:p>
            <w:pPr/>
          </w:p>
        </w:tc>
        <w:tc>
          <w:tcPr>
            <w:tcW w:w="752" w:type="dxa"/>
            <w:vMerge/>
            <w:tcBorders>
              <w:left w:val="single" w:sz="4" w:space="0" w:color="000000"/>
              <w:right w:val="single" w:sz="4" w:space="0" w:color="000000"/>
            </w:tcBorders>
          </w:tcPr>
          <w:p>
            <w:pPr/>
          </w:p>
        </w:tc>
      </w:tr>
      <w:tr>
        <w:trPr>
          <w:trHeight w:val="313" w:hRule="exact"/>
        </w:trPr>
        <w:tc>
          <w:tcPr>
            <w:tcW w:w="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业（有限</w:t>
            </w:r>
          </w:p>
        </w:tc>
        <w:tc>
          <w:tcPr>
            <w:tcW w:w="1091" w:type="dxa"/>
            <w:tcBorders>
              <w:top w:val="nil" w:sz="6" w:space="0" w:color="auto"/>
              <w:left w:val="single" w:sz="4" w:space="0" w:color="000000"/>
              <w:bottom w:val="nil" w:sz="6" w:space="0" w:color="auto"/>
              <w:right w:val="single" w:sz="4" w:space="0" w:color="000000"/>
            </w:tcBorders>
          </w:tcPr>
          <w:p>
            <w:pPr/>
          </w:p>
        </w:tc>
        <w:tc>
          <w:tcPr>
            <w:tcW w:w="1001" w:type="dxa"/>
            <w:vMerge/>
            <w:tcBorders>
              <w:left w:val="single" w:sz="4" w:space="0" w:color="000000"/>
              <w:right w:val="single" w:sz="4" w:space="0" w:color="000000"/>
            </w:tcBorders>
          </w:tcPr>
          <w:p>
            <w:pPr/>
          </w:p>
        </w:tc>
        <w:tc>
          <w:tcPr>
            <w:tcW w:w="752"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65"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752" w:type="dxa"/>
            <w:tcBorders>
              <w:top w:val="nil" w:sz="6" w:space="0" w:color="auto"/>
              <w:left w:val="single" w:sz="4" w:space="0" w:color="000000"/>
              <w:bottom w:val="nil" w:sz="6" w:space="0" w:color="auto"/>
              <w:right w:val="single" w:sz="4" w:space="0" w:color="000000"/>
            </w:tcBorders>
          </w:tcPr>
          <w:p>
            <w:pPr/>
          </w:p>
        </w:tc>
        <w:tc>
          <w:tcPr>
            <w:tcW w:w="752" w:type="dxa"/>
            <w:vMerge/>
            <w:tcBorders>
              <w:left w:val="single" w:sz="4" w:space="0" w:color="000000"/>
              <w:right w:val="single" w:sz="4" w:space="0" w:color="000000"/>
            </w:tcBorders>
          </w:tcPr>
          <w:p>
            <w:pPr/>
          </w:p>
        </w:tc>
      </w:tr>
      <w:tr>
        <w:trPr>
          <w:trHeight w:val="357" w:hRule="exact"/>
        </w:trPr>
        <w:tc>
          <w:tcPr>
            <w:tcW w:w="7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091" w:type="dxa"/>
            <w:tcBorders>
              <w:top w:val="nil" w:sz="6" w:space="0" w:color="auto"/>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752" w:type="dxa"/>
            <w:vMerge/>
            <w:tcBorders>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865"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752" w:type="dxa"/>
            <w:tcBorders>
              <w:top w:val="nil" w:sz="6" w:space="0" w:color="auto"/>
              <w:left w:val="single" w:sz="4" w:space="0" w:color="000000"/>
              <w:bottom w:val="single" w:sz="4" w:space="0" w:color="000000"/>
              <w:right w:val="single" w:sz="4" w:space="0" w:color="000000"/>
            </w:tcBorders>
          </w:tcPr>
          <w:p>
            <w:pPr/>
          </w:p>
        </w:tc>
        <w:tc>
          <w:tcPr>
            <w:tcW w:w="752" w:type="dxa"/>
            <w:vMerge/>
            <w:tcBorders>
              <w:left w:val="single" w:sz="4" w:space="0" w:color="000000"/>
              <w:bottom w:val="single" w:sz="4" w:space="0" w:color="000000"/>
              <w:right w:val="single" w:sz="4" w:space="0" w:color="000000"/>
            </w:tcBorders>
          </w:tcPr>
          <w:p>
            <w:pPr/>
          </w:p>
        </w:tc>
      </w:tr>
      <w:tr>
        <w:trPr>
          <w:trHeight w:val="357" w:hRule="exact"/>
        </w:trPr>
        <w:tc>
          <w:tcPr>
            <w:tcW w:w="7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杭州芸</w:t>
            </w:r>
          </w:p>
        </w:tc>
        <w:tc>
          <w:tcPr>
            <w:tcW w:w="1091" w:type="dxa"/>
            <w:tcBorders>
              <w:top w:val="single" w:sz="4" w:space="0" w:color="000000"/>
              <w:left w:val="single" w:sz="4" w:space="0" w:color="000000"/>
              <w:bottom w:val="nil" w:sz="6" w:space="0" w:color="auto"/>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752" w:type="dxa"/>
            <w:vMerge w:val="restart"/>
            <w:tcBorders>
              <w:top w:val="single" w:sz="4" w:space="0" w:color="000000"/>
              <w:left w:val="single" w:sz="4" w:space="0" w:color="000000"/>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865" w:type="dxa"/>
            <w:vMerge w:val="restart"/>
            <w:tcBorders>
              <w:top w:val="single" w:sz="4" w:space="0" w:color="000000"/>
              <w:left w:val="single" w:sz="4" w:space="0" w:color="000000"/>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752" w:type="dxa"/>
            <w:tcBorders>
              <w:top w:val="single" w:sz="4" w:space="0" w:color="000000"/>
              <w:left w:val="single" w:sz="4" w:space="0" w:color="000000"/>
              <w:bottom w:val="nil" w:sz="6" w:space="0" w:color="auto"/>
              <w:right w:val="single" w:sz="4" w:space="0" w:color="000000"/>
            </w:tcBorders>
          </w:tcPr>
          <w:p>
            <w:pPr/>
          </w:p>
        </w:tc>
        <w:tc>
          <w:tcPr>
            <w:tcW w:w="752" w:type="dxa"/>
            <w:vMerge w:val="restart"/>
            <w:tcBorders>
              <w:top w:val="single" w:sz="4" w:space="0" w:color="000000"/>
              <w:left w:val="single" w:sz="4" w:space="0" w:color="000000"/>
              <w:right w:val="single" w:sz="4" w:space="0" w:color="000000"/>
            </w:tcBorders>
          </w:tcPr>
          <w:p>
            <w:pPr/>
          </w:p>
        </w:tc>
      </w:tr>
      <w:tr>
        <w:trPr>
          <w:trHeight w:val="311" w:hRule="exact"/>
        </w:trPr>
        <w:tc>
          <w:tcPr>
            <w:tcW w:w="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品绿信</w:t>
            </w:r>
          </w:p>
        </w:tc>
        <w:tc>
          <w:tcPr>
            <w:tcW w:w="1091" w:type="dxa"/>
            <w:tcBorders>
              <w:top w:val="nil" w:sz="6" w:space="0" w:color="auto"/>
              <w:left w:val="single" w:sz="4" w:space="0" w:color="000000"/>
              <w:bottom w:val="nil" w:sz="6" w:space="0" w:color="auto"/>
              <w:right w:val="single" w:sz="4" w:space="0" w:color="000000"/>
            </w:tcBorders>
          </w:tcPr>
          <w:p>
            <w:pPr/>
          </w:p>
        </w:tc>
        <w:tc>
          <w:tcPr>
            <w:tcW w:w="1001" w:type="dxa"/>
            <w:vMerge/>
            <w:tcBorders>
              <w:left w:val="single" w:sz="4" w:space="0" w:color="000000"/>
              <w:right w:val="single" w:sz="4" w:space="0" w:color="000000"/>
            </w:tcBorders>
          </w:tcPr>
          <w:p>
            <w:pPr/>
          </w:p>
        </w:tc>
        <w:tc>
          <w:tcPr>
            <w:tcW w:w="752"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65"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752" w:type="dxa"/>
            <w:tcBorders>
              <w:top w:val="nil" w:sz="6" w:space="0" w:color="auto"/>
              <w:left w:val="single" w:sz="4" w:space="0" w:color="000000"/>
              <w:bottom w:val="nil" w:sz="6" w:space="0" w:color="auto"/>
              <w:right w:val="single" w:sz="4" w:space="0" w:color="000000"/>
            </w:tcBorders>
          </w:tcPr>
          <w:p>
            <w:pPr/>
          </w:p>
        </w:tc>
        <w:tc>
          <w:tcPr>
            <w:tcW w:w="752" w:type="dxa"/>
            <w:vMerge/>
            <w:tcBorders>
              <w:left w:val="single" w:sz="4" w:space="0" w:color="000000"/>
              <w:right w:val="single" w:sz="4" w:space="0" w:color="000000"/>
            </w:tcBorders>
          </w:tcPr>
          <w:p>
            <w:pPr/>
          </w:p>
        </w:tc>
      </w:tr>
      <w:tr>
        <w:trPr>
          <w:trHeight w:val="316" w:hRule="exact"/>
        </w:trPr>
        <w:tc>
          <w:tcPr>
            <w:tcW w:w="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息科技</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001" w:type="dxa"/>
            <w:vMerge/>
            <w:tcBorders>
              <w:left w:val="single" w:sz="4" w:space="0" w:color="000000"/>
              <w:right w:val="single" w:sz="4" w:space="0" w:color="000000"/>
            </w:tcBorders>
          </w:tcPr>
          <w:p>
            <w:pPr/>
          </w:p>
        </w:tc>
        <w:tc>
          <w:tcPr>
            <w:tcW w:w="752"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93" w:right="0"/>
              <w:jc w:val="center"/>
              <w:rPr>
                <w:rFonts w:ascii="Times New Roman" w:hAnsi="Times New Roman" w:cs="Times New Roman" w:eastAsia="Times New Roman" w:hint="default"/>
                <w:sz w:val="18"/>
                <w:szCs w:val="18"/>
              </w:rPr>
            </w:pPr>
            <w:r>
              <w:rPr>
                <w:rFonts w:ascii="Times New Roman"/>
                <w:sz w:val="18"/>
              </w:rPr>
              <w:t>5,000,000.00</w:t>
            </w:r>
          </w:p>
        </w:tc>
        <w:tc>
          <w:tcPr>
            <w:tcW w:w="865"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4.54%</w:t>
            </w:r>
          </w:p>
        </w:tc>
        <w:tc>
          <w:tcPr>
            <w:tcW w:w="752" w:type="dxa"/>
            <w:vMerge/>
            <w:tcBorders>
              <w:left w:val="single" w:sz="4" w:space="0" w:color="000000"/>
              <w:right w:val="single" w:sz="4" w:space="0" w:color="000000"/>
            </w:tcBorders>
          </w:tcPr>
          <w:p>
            <w:pPr/>
          </w:p>
        </w:tc>
      </w:tr>
      <w:tr>
        <w:trPr>
          <w:trHeight w:val="308" w:hRule="exact"/>
        </w:trPr>
        <w:tc>
          <w:tcPr>
            <w:tcW w:w="7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1091" w:type="dxa"/>
            <w:tcBorders>
              <w:top w:val="nil" w:sz="6" w:space="0" w:color="auto"/>
              <w:left w:val="single" w:sz="4" w:space="0" w:color="000000"/>
              <w:bottom w:val="nil" w:sz="6" w:space="0" w:color="auto"/>
              <w:right w:val="single" w:sz="4" w:space="0" w:color="000000"/>
            </w:tcBorders>
          </w:tcPr>
          <w:p>
            <w:pPr/>
          </w:p>
        </w:tc>
        <w:tc>
          <w:tcPr>
            <w:tcW w:w="1001" w:type="dxa"/>
            <w:vMerge/>
            <w:tcBorders>
              <w:left w:val="single" w:sz="4" w:space="0" w:color="000000"/>
              <w:right w:val="single" w:sz="4" w:space="0" w:color="000000"/>
            </w:tcBorders>
          </w:tcPr>
          <w:p>
            <w:pPr/>
          </w:p>
        </w:tc>
        <w:tc>
          <w:tcPr>
            <w:tcW w:w="752"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65"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752" w:type="dxa"/>
            <w:tcBorders>
              <w:top w:val="nil" w:sz="6" w:space="0" w:color="auto"/>
              <w:left w:val="single" w:sz="4" w:space="0" w:color="000000"/>
              <w:bottom w:val="nil" w:sz="6" w:space="0" w:color="auto"/>
              <w:right w:val="single" w:sz="4" w:space="0" w:color="000000"/>
            </w:tcBorders>
          </w:tcPr>
          <w:p>
            <w:pPr/>
          </w:p>
        </w:tc>
        <w:tc>
          <w:tcPr>
            <w:tcW w:w="752" w:type="dxa"/>
            <w:vMerge/>
            <w:tcBorders>
              <w:left w:val="single" w:sz="4" w:space="0" w:color="000000"/>
              <w:right w:val="single" w:sz="4" w:space="0" w:color="000000"/>
            </w:tcBorders>
          </w:tcPr>
          <w:p>
            <w:pPr/>
          </w:p>
        </w:tc>
      </w:tr>
      <w:tr>
        <w:trPr>
          <w:trHeight w:val="357" w:hRule="exact"/>
        </w:trPr>
        <w:tc>
          <w:tcPr>
            <w:tcW w:w="7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91" w:type="dxa"/>
            <w:tcBorders>
              <w:top w:val="nil" w:sz="6" w:space="0" w:color="auto"/>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752" w:type="dxa"/>
            <w:vMerge/>
            <w:tcBorders>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865"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752" w:type="dxa"/>
            <w:tcBorders>
              <w:top w:val="nil" w:sz="6" w:space="0" w:color="auto"/>
              <w:left w:val="single" w:sz="4" w:space="0" w:color="000000"/>
              <w:bottom w:val="single" w:sz="4" w:space="0" w:color="000000"/>
              <w:right w:val="single" w:sz="4" w:space="0" w:color="000000"/>
            </w:tcBorders>
          </w:tcPr>
          <w:p>
            <w:pPr/>
          </w:p>
        </w:tc>
        <w:tc>
          <w:tcPr>
            <w:tcW w:w="752" w:type="dxa"/>
            <w:vMerge/>
            <w:tcBorders>
              <w:left w:val="single" w:sz="4" w:space="0" w:color="000000"/>
              <w:bottom w:val="single" w:sz="4" w:space="0" w:color="000000"/>
              <w:right w:val="single" w:sz="4" w:space="0" w:color="000000"/>
            </w:tcBorders>
          </w:tcPr>
          <w:p>
            <w:pPr/>
          </w:p>
        </w:tc>
      </w:tr>
      <w:tr>
        <w:trPr>
          <w:trHeight w:val="357" w:hRule="exact"/>
        </w:trPr>
        <w:tc>
          <w:tcPr>
            <w:tcW w:w="7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国保联</w:t>
            </w:r>
          </w:p>
        </w:tc>
        <w:tc>
          <w:tcPr>
            <w:tcW w:w="1091"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752" w:type="dxa"/>
            <w:vMerge w:val="restart"/>
            <w:tcBorders>
              <w:top w:val="single" w:sz="4" w:space="0" w:color="000000"/>
              <w:left w:val="single" w:sz="4" w:space="0" w:color="000000"/>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865" w:type="dxa"/>
            <w:vMerge w:val="restart"/>
            <w:tcBorders>
              <w:top w:val="single" w:sz="4" w:space="0" w:color="000000"/>
              <w:left w:val="single" w:sz="4" w:space="0" w:color="000000"/>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752" w:type="dxa"/>
            <w:tcBorders>
              <w:top w:val="single" w:sz="4" w:space="0" w:color="000000"/>
              <w:left w:val="single" w:sz="4" w:space="0" w:color="000000"/>
              <w:bottom w:val="nil" w:sz="6" w:space="0" w:color="auto"/>
              <w:right w:val="single" w:sz="4" w:space="0" w:color="000000"/>
            </w:tcBorders>
          </w:tcPr>
          <w:p>
            <w:pPr/>
          </w:p>
        </w:tc>
        <w:tc>
          <w:tcPr>
            <w:tcW w:w="752" w:type="dxa"/>
            <w:vMerge w:val="restart"/>
            <w:tcBorders>
              <w:top w:val="single" w:sz="4" w:space="0" w:color="000000"/>
              <w:left w:val="single" w:sz="4" w:space="0" w:color="000000"/>
              <w:right w:val="single" w:sz="4" w:space="0" w:color="000000"/>
            </w:tcBorders>
          </w:tcPr>
          <w:p>
            <w:pPr/>
          </w:p>
        </w:tc>
      </w:tr>
      <w:tr>
        <w:trPr>
          <w:trHeight w:val="311" w:hRule="exact"/>
        </w:trPr>
        <w:tc>
          <w:tcPr>
            <w:tcW w:w="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盟信息</w:t>
            </w:r>
          </w:p>
        </w:tc>
        <w:tc>
          <w:tcPr>
            <w:tcW w:w="1091"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752"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65"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752" w:type="dxa"/>
            <w:tcBorders>
              <w:top w:val="nil" w:sz="6" w:space="0" w:color="auto"/>
              <w:left w:val="single" w:sz="4" w:space="0" w:color="000000"/>
              <w:bottom w:val="nil" w:sz="6" w:space="0" w:color="auto"/>
              <w:right w:val="single" w:sz="4" w:space="0" w:color="000000"/>
            </w:tcBorders>
          </w:tcPr>
          <w:p>
            <w:pPr/>
          </w:p>
        </w:tc>
        <w:tc>
          <w:tcPr>
            <w:tcW w:w="752" w:type="dxa"/>
            <w:vMerge/>
            <w:tcBorders>
              <w:left w:val="single" w:sz="4" w:space="0" w:color="000000"/>
              <w:right w:val="single" w:sz="4" w:space="0" w:color="000000"/>
            </w:tcBorders>
          </w:tcPr>
          <w:p>
            <w:pPr/>
          </w:p>
        </w:tc>
      </w:tr>
      <w:tr>
        <w:trPr>
          <w:trHeight w:val="316" w:hRule="exact"/>
        </w:trPr>
        <w:tc>
          <w:tcPr>
            <w:tcW w:w="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安全技</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5,000,000.00</w:t>
            </w:r>
          </w:p>
        </w:tc>
        <w:tc>
          <w:tcPr>
            <w:tcW w:w="752"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Times New Roman"/>
                <w:sz w:val="18"/>
              </w:rPr>
              <w:t>10,000,000.00</w:t>
            </w:r>
          </w:p>
        </w:tc>
        <w:tc>
          <w:tcPr>
            <w:tcW w:w="865"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18.18%</w:t>
            </w:r>
          </w:p>
        </w:tc>
        <w:tc>
          <w:tcPr>
            <w:tcW w:w="752" w:type="dxa"/>
            <w:vMerge/>
            <w:tcBorders>
              <w:left w:val="single" w:sz="4" w:space="0" w:color="000000"/>
              <w:right w:val="single" w:sz="4" w:space="0" w:color="000000"/>
            </w:tcBorders>
          </w:tcPr>
          <w:p>
            <w:pPr/>
          </w:p>
        </w:tc>
      </w:tr>
      <w:tr>
        <w:trPr>
          <w:trHeight w:val="308" w:hRule="exact"/>
        </w:trPr>
        <w:tc>
          <w:tcPr>
            <w:tcW w:w="7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术有限</w:t>
            </w:r>
          </w:p>
        </w:tc>
        <w:tc>
          <w:tcPr>
            <w:tcW w:w="1091"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752"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65"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752" w:type="dxa"/>
            <w:tcBorders>
              <w:top w:val="nil" w:sz="6" w:space="0" w:color="auto"/>
              <w:left w:val="single" w:sz="4" w:space="0" w:color="000000"/>
              <w:bottom w:val="nil" w:sz="6" w:space="0" w:color="auto"/>
              <w:right w:val="single" w:sz="4" w:space="0" w:color="000000"/>
            </w:tcBorders>
          </w:tcPr>
          <w:p>
            <w:pPr/>
          </w:p>
        </w:tc>
        <w:tc>
          <w:tcPr>
            <w:tcW w:w="752" w:type="dxa"/>
            <w:vMerge/>
            <w:tcBorders>
              <w:left w:val="single" w:sz="4" w:space="0" w:color="000000"/>
              <w:right w:val="single" w:sz="4" w:space="0" w:color="000000"/>
            </w:tcBorders>
          </w:tcPr>
          <w:p>
            <w:pPr/>
          </w:p>
        </w:tc>
      </w:tr>
      <w:tr>
        <w:trPr>
          <w:trHeight w:val="357" w:hRule="exact"/>
        </w:trPr>
        <w:tc>
          <w:tcPr>
            <w:tcW w:w="7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91"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752" w:type="dxa"/>
            <w:vMerge/>
            <w:tcBorders>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865"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752" w:type="dxa"/>
            <w:tcBorders>
              <w:top w:val="nil" w:sz="6" w:space="0" w:color="auto"/>
              <w:left w:val="single" w:sz="4" w:space="0" w:color="000000"/>
              <w:bottom w:val="single" w:sz="4" w:space="0" w:color="000000"/>
              <w:right w:val="single" w:sz="4" w:space="0" w:color="000000"/>
            </w:tcBorders>
          </w:tcPr>
          <w:p>
            <w:pPr/>
          </w:p>
        </w:tc>
        <w:tc>
          <w:tcPr>
            <w:tcW w:w="752" w:type="dxa"/>
            <w:vMerge/>
            <w:tcBorders>
              <w:left w:val="single" w:sz="4" w:space="0" w:color="000000"/>
              <w:bottom w:val="single" w:sz="4" w:space="0" w:color="000000"/>
              <w:right w:val="single" w:sz="4" w:space="0" w:color="000000"/>
            </w:tcBorders>
          </w:tcPr>
          <w:p>
            <w:pPr/>
          </w:p>
        </w:tc>
      </w:tr>
      <w:tr>
        <w:trPr>
          <w:trHeight w:val="402" w:hRule="exact"/>
        </w:trPr>
        <w:tc>
          <w:tcPr>
            <w:tcW w:w="7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38,383,735.00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5,000,000.00</w:t>
            </w:r>
          </w:p>
        </w:tc>
        <w:tc>
          <w:tcPr>
            <w:tcW w:w="7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43,383,735.00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204,617.24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2,407,858.33</w:t>
            </w:r>
          </w:p>
        </w:tc>
        <w:tc>
          <w:tcPr>
            <w:tcW w:w="6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2,612,475.57</w:t>
            </w:r>
          </w:p>
        </w:tc>
        <w:tc>
          <w:tcPr>
            <w:tcW w:w="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204,617.24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204,617.24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2,407,858.33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2,407,858.33</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2,612,475.57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2,612,475.57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670"/>
        <w:gridCol w:w="1085"/>
        <w:gridCol w:w="1091"/>
        <w:gridCol w:w="672"/>
        <w:gridCol w:w="1061"/>
        <w:gridCol w:w="671"/>
        <w:gridCol w:w="671"/>
        <w:gridCol w:w="671"/>
        <w:gridCol w:w="671"/>
        <w:gridCol w:w="672"/>
        <w:gridCol w:w="1091"/>
        <w:gridCol w:w="670"/>
      </w:tblGrid>
      <w:tr>
        <w:trPr>
          <w:trHeight w:val="402" w:hRule="exact"/>
        </w:trPr>
        <w:tc>
          <w:tcPr>
            <w:tcW w:w="6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50" w:right="59"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0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179"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17"/>
              <w:ind w:left="59" w:right="58"/>
              <w:jc w:val="left"/>
              <w:rPr>
                <w:rFonts w:ascii="宋体" w:hAnsi="宋体" w:cs="宋体" w:eastAsia="宋体" w:hint="default"/>
                <w:sz w:val="18"/>
                <w:szCs w:val="18"/>
              </w:rPr>
            </w:pPr>
            <w:r>
              <w:rPr>
                <w:rFonts w:ascii="宋体" w:hAnsi="宋体" w:cs="宋体" w:eastAsia="宋体" w:hint="default"/>
                <w:sz w:val="18"/>
                <w:szCs w:val="18"/>
              </w:rPr>
              <w:t>减值准 备期末</w:t>
            </w:r>
          </w:p>
        </w:tc>
      </w:tr>
      <w:tr>
        <w:trPr>
          <w:trHeight w:val="402" w:hRule="exact"/>
        </w:trPr>
        <w:tc>
          <w:tcPr>
            <w:tcW w:w="670" w:type="dxa"/>
            <w:vMerge/>
            <w:tcBorders>
              <w:left w:val="single" w:sz="4" w:space="0" w:color="000000"/>
              <w:bottom w:val="single" w:sz="4" w:space="0" w:color="000000"/>
              <w:right w:val="single" w:sz="4" w:space="0" w:color="000000"/>
            </w:tcBorders>
            <w:shd w:val="clear" w:color="auto" w:fill="D3D3D3"/>
          </w:tcPr>
          <w:p>
            <w:pPr/>
          </w:p>
        </w:tc>
        <w:tc>
          <w:tcPr>
            <w:tcW w:w="1085" w:type="dxa"/>
            <w:vMerge/>
            <w:tcBorders>
              <w:left w:val="single" w:sz="4" w:space="0" w:color="000000"/>
              <w:bottom w:val="single" w:sz="4" w:space="0" w:color="000000"/>
              <w:right w:val="single" w:sz="4" w:space="0" w:color="000000"/>
            </w:tcBorders>
            <w:shd w:val="clear" w:color="auto" w:fill="D3D3D3"/>
          </w:tcPr>
          <w:p>
            <w:pP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6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61" w:right="0"/>
              <w:jc w:val="left"/>
              <w:rPr>
                <w:rFonts w:ascii="宋体" w:hAnsi="宋体" w:cs="宋体" w:eastAsia="宋体" w:hint="default"/>
                <w:sz w:val="18"/>
                <w:szCs w:val="18"/>
              </w:rPr>
            </w:pPr>
            <w:r>
              <w:rPr>
                <w:rFonts w:ascii="宋体" w:hAnsi="宋体" w:cs="宋体" w:eastAsia="宋体" w:hint="default"/>
                <w:sz w:val="18"/>
                <w:szCs w:val="18"/>
              </w:rPr>
              <w:t>减少投</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5" w:right="0"/>
              <w:jc w:val="left"/>
              <w:rPr>
                <w:rFonts w:ascii="宋体" w:hAnsi="宋体" w:cs="宋体" w:eastAsia="宋体" w:hint="default"/>
                <w:sz w:val="18"/>
                <w:szCs w:val="18"/>
              </w:rPr>
            </w:pPr>
            <w:r>
              <w:rPr>
                <w:rFonts w:ascii="宋体" w:hAnsi="宋体" w:cs="宋体" w:eastAsia="宋体" w:hint="default"/>
                <w:sz w:val="18"/>
                <w:szCs w:val="18"/>
              </w:rPr>
              <w:t>权益法下确</w:t>
            </w:r>
          </w:p>
        </w:tc>
        <w:tc>
          <w:tcPr>
            <w:tcW w:w="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60" w:right="0"/>
              <w:jc w:val="left"/>
              <w:rPr>
                <w:rFonts w:ascii="宋体" w:hAnsi="宋体" w:cs="宋体" w:eastAsia="宋体" w:hint="default"/>
                <w:sz w:val="18"/>
                <w:szCs w:val="18"/>
              </w:rPr>
            </w:pPr>
            <w:r>
              <w:rPr>
                <w:rFonts w:ascii="宋体" w:hAnsi="宋体" w:cs="宋体" w:eastAsia="宋体" w:hint="default"/>
                <w:sz w:val="18"/>
                <w:szCs w:val="18"/>
              </w:rPr>
              <w:t>其他综</w:t>
            </w:r>
          </w:p>
        </w:tc>
        <w:tc>
          <w:tcPr>
            <w:tcW w:w="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60" w:right="0"/>
              <w:jc w:val="left"/>
              <w:rPr>
                <w:rFonts w:ascii="宋体" w:hAnsi="宋体" w:cs="宋体" w:eastAsia="宋体" w:hint="default"/>
                <w:sz w:val="18"/>
                <w:szCs w:val="18"/>
              </w:rPr>
            </w:pPr>
            <w:r>
              <w:rPr>
                <w:rFonts w:ascii="宋体" w:hAnsi="宋体" w:cs="宋体" w:eastAsia="宋体" w:hint="default"/>
                <w:sz w:val="18"/>
                <w:szCs w:val="18"/>
              </w:rPr>
              <w:t>其他权</w:t>
            </w:r>
          </w:p>
        </w:tc>
        <w:tc>
          <w:tcPr>
            <w:tcW w:w="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59" w:right="0"/>
              <w:jc w:val="left"/>
              <w:rPr>
                <w:rFonts w:ascii="宋体" w:hAnsi="宋体" w:cs="宋体" w:eastAsia="宋体" w:hint="default"/>
                <w:sz w:val="18"/>
                <w:szCs w:val="18"/>
              </w:rPr>
            </w:pPr>
            <w:r>
              <w:rPr>
                <w:rFonts w:ascii="宋体" w:hAnsi="宋体" w:cs="宋体" w:eastAsia="宋体" w:hint="default"/>
                <w:sz w:val="18"/>
                <w:szCs w:val="18"/>
              </w:rPr>
              <w:t>宣告发</w:t>
            </w:r>
          </w:p>
        </w:tc>
        <w:tc>
          <w:tcPr>
            <w:tcW w:w="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59" w:right="0"/>
              <w:jc w:val="left"/>
              <w:rPr>
                <w:rFonts w:ascii="宋体" w:hAnsi="宋体" w:cs="宋体" w:eastAsia="宋体" w:hint="default"/>
                <w:sz w:val="18"/>
                <w:szCs w:val="18"/>
              </w:rPr>
            </w:pPr>
            <w:r>
              <w:rPr>
                <w:rFonts w:ascii="宋体" w:hAnsi="宋体" w:cs="宋体" w:eastAsia="宋体" w:hint="default"/>
                <w:sz w:val="18"/>
                <w:szCs w:val="18"/>
              </w:rPr>
              <w:t>计提减</w:t>
            </w:r>
          </w:p>
        </w:tc>
        <w:tc>
          <w:tcPr>
            <w:tcW w:w="6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1" w:type="dxa"/>
            <w:vMerge/>
            <w:tcBorders>
              <w:left w:val="single" w:sz="4" w:space="0" w:color="000000"/>
              <w:bottom w:val="single" w:sz="4" w:space="0" w:color="000000"/>
              <w:right w:val="single" w:sz="4" w:space="0" w:color="000000"/>
            </w:tcBorders>
            <w:shd w:val="clear" w:color="auto" w:fill="D3D3D3"/>
          </w:tcPr>
          <w:p>
            <w:pPr/>
          </w:p>
        </w:tc>
        <w:tc>
          <w:tcPr>
            <w:tcW w:w="670"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670"/>
        <w:gridCol w:w="1085"/>
        <w:gridCol w:w="1091"/>
        <w:gridCol w:w="672"/>
        <w:gridCol w:w="1061"/>
        <w:gridCol w:w="671"/>
        <w:gridCol w:w="671"/>
        <w:gridCol w:w="671"/>
        <w:gridCol w:w="671"/>
        <w:gridCol w:w="672"/>
        <w:gridCol w:w="1091"/>
        <w:gridCol w:w="670"/>
      </w:tblGrid>
      <w:tr>
        <w:trPr>
          <w:trHeight w:val="986" w:hRule="exact"/>
        </w:trPr>
        <w:tc>
          <w:tcPr>
            <w:tcW w:w="6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资</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435" w:right="73" w:hanging="360"/>
              <w:jc w:val="left"/>
              <w:rPr>
                <w:rFonts w:ascii="宋体" w:hAnsi="宋体" w:cs="宋体" w:eastAsia="宋体" w:hint="default"/>
                <w:sz w:val="18"/>
                <w:szCs w:val="18"/>
              </w:rPr>
            </w:pPr>
            <w:r>
              <w:rPr>
                <w:rFonts w:ascii="宋体" w:hAnsi="宋体" w:cs="宋体" w:eastAsia="宋体" w:hint="default"/>
                <w:sz w:val="18"/>
                <w:szCs w:val="18"/>
              </w:rPr>
              <w:t>认的投资损 益</w:t>
            </w:r>
          </w:p>
        </w:tc>
        <w:tc>
          <w:tcPr>
            <w:tcW w:w="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150" w:right="59" w:hanging="90"/>
              <w:jc w:val="left"/>
              <w:rPr>
                <w:rFonts w:ascii="宋体" w:hAnsi="宋体" w:cs="宋体" w:eastAsia="宋体" w:hint="default"/>
                <w:sz w:val="18"/>
                <w:szCs w:val="18"/>
              </w:rPr>
            </w:pPr>
            <w:r>
              <w:rPr>
                <w:rFonts w:ascii="宋体" w:hAnsi="宋体" w:cs="宋体" w:eastAsia="宋体" w:hint="default"/>
                <w:sz w:val="18"/>
                <w:szCs w:val="18"/>
              </w:rPr>
              <w:t>合收益 调整</w:t>
            </w:r>
          </w:p>
        </w:tc>
        <w:tc>
          <w:tcPr>
            <w:tcW w:w="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60" w:right="0"/>
              <w:jc w:val="left"/>
              <w:rPr>
                <w:rFonts w:ascii="宋体" w:hAnsi="宋体" w:cs="宋体" w:eastAsia="宋体" w:hint="default"/>
                <w:sz w:val="18"/>
                <w:szCs w:val="18"/>
              </w:rPr>
            </w:pPr>
            <w:r>
              <w:rPr>
                <w:rFonts w:ascii="宋体" w:hAnsi="宋体" w:cs="宋体" w:eastAsia="宋体" w:hint="default"/>
                <w:sz w:val="18"/>
                <w:szCs w:val="18"/>
              </w:rPr>
              <w:t>益变动</w:t>
            </w:r>
          </w:p>
        </w:tc>
        <w:tc>
          <w:tcPr>
            <w:tcW w:w="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59" w:right="59"/>
              <w:jc w:val="both"/>
              <w:rPr>
                <w:rFonts w:ascii="宋体" w:hAnsi="宋体" w:cs="宋体" w:eastAsia="宋体" w:hint="default"/>
                <w:sz w:val="18"/>
                <w:szCs w:val="18"/>
              </w:rPr>
            </w:pPr>
            <w:r>
              <w:rPr>
                <w:rFonts w:ascii="宋体" w:hAnsi="宋体" w:cs="宋体" w:eastAsia="宋体" w:hint="default"/>
                <w:sz w:val="18"/>
                <w:szCs w:val="18"/>
              </w:rPr>
              <w:t>放现金 股利或 利润</w:t>
            </w:r>
          </w:p>
        </w:tc>
        <w:tc>
          <w:tcPr>
            <w:tcW w:w="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9"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6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9" w:right="0"/>
              <w:jc w:val="left"/>
              <w:rPr>
                <w:rFonts w:ascii="宋体" w:hAnsi="宋体" w:cs="宋体" w:eastAsia="宋体" w:hint="default"/>
                <w:sz w:val="18"/>
                <w:szCs w:val="18"/>
              </w:rPr>
            </w:pPr>
            <w:r>
              <w:rPr>
                <w:rFonts w:ascii="宋体" w:hAnsi="宋体" w:cs="宋体" w:eastAsia="宋体" w:hint="default"/>
                <w:sz w:val="18"/>
                <w:szCs w:val="18"/>
              </w:rPr>
              <w:t>余额</w:t>
            </w:r>
          </w:p>
        </w:tc>
      </w:tr>
      <w:tr>
        <w:trPr>
          <w:trHeight w:val="402" w:hRule="exact"/>
        </w:trPr>
        <w:tc>
          <w:tcPr>
            <w:tcW w:w="9694"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694"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7" w:hRule="exact"/>
        </w:trPr>
        <w:tc>
          <w:tcPr>
            <w:tcW w:w="6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北京辰</w:t>
            </w:r>
          </w:p>
        </w:tc>
        <w:tc>
          <w:tcPr>
            <w:tcW w:w="1085" w:type="dxa"/>
            <w:tcBorders>
              <w:top w:val="single" w:sz="4" w:space="0" w:color="000000"/>
              <w:left w:val="single" w:sz="4" w:space="0" w:color="000000"/>
              <w:bottom w:val="nil" w:sz="6" w:space="0" w:color="auto"/>
              <w:right w:val="single" w:sz="4" w:space="0" w:color="000000"/>
            </w:tcBorders>
          </w:tcPr>
          <w:p>
            <w:pPr/>
          </w:p>
        </w:tc>
        <w:tc>
          <w:tcPr>
            <w:tcW w:w="1091" w:type="dxa"/>
            <w:vMerge w:val="restart"/>
            <w:tcBorders>
              <w:top w:val="single" w:sz="4" w:space="0" w:color="000000"/>
              <w:left w:val="single" w:sz="4" w:space="0" w:color="000000"/>
              <w:right w:val="single" w:sz="4" w:space="0" w:color="000000"/>
            </w:tcBorders>
          </w:tcPr>
          <w:p>
            <w:pPr/>
          </w:p>
        </w:tc>
        <w:tc>
          <w:tcPr>
            <w:tcW w:w="672"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671" w:type="dxa"/>
            <w:vMerge w:val="restart"/>
            <w:tcBorders>
              <w:top w:val="single" w:sz="4" w:space="0" w:color="000000"/>
              <w:left w:val="single" w:sz="4" w:space="0" w:color="000000"/>
              <w:right w:val="single" w:sz="4" w:space="0" w:color="000000"/>
            </w:tcBorders>
          </w:tcPr>
          <w:p>
            <w:pPr/>
          </w:p>
        </w:tc>
        <w:tc>
          <w:tcPr>
            <w:tcW w:w="671" w:type="dxa"/>
            <w:vMerge w:val="restart"/>
            <w:tcBorders>
              <w:top w:val="single" w:sz="4" w:space="0" w:color="000000"/>
              <w:left w:val="single" w:sz="4" w:space="0" w:color="000000"/>
              <w:right w:val="single" w:sz="4" w:space="0" w:color="000000"/>
            </w:tcBorders>
          </w:tcPr>
          <w:p>
            <w:pPr/>
          </w:p>
        </w:tc>
        <w:tc>
          <w:tcPr>
            <w:tcW w:w="671" w:type="dxa"/>
            <w:vMerge w:val="restart"/>
            <w:tcBorders>
              <w:top w:val="single" w:sz="4" w:space="0" w:color="000000"/>
              <w:left w:val="single" w:sz="4" w:space="0" w:color="000000"/>
              <w:right w:val="single" w:sz="4" w:space="0" w:color="000000"/>
            </w:tcBorders>
          </w:tcPr>
          <w:p>
            <w:pPr/>
          </w:p>
        </w:tc>
        <w:tc>
          <w:tcPr>
            <w:tcW w:w="671" w:type="dxa"/>
            <w:vMerge w:val="restart"/>
            <w:tcBorders>
              <w:top w:val="single" w:sz="4" w:space="0" w:color="000000"/>
              <w:left w:val="single" w:sz="4" w:space="0" w:color="000000"/>
              <w:right w:val="single" w:sz="4" w:space="0" w:color="000000"/>
            </w:tcBorders>
          </w:tcPr>
          <w:p>
            <w:pPr/>
          </w:p>
        </w:tc>
        <w:tc>
          <w:tcPr>
            <w:tcW w:w="672" w:type="dxa"/>
            <w:vMerge w:val="restart"/>
            <w:tcBorders>
              <w:top w:val="single" w:sz="4" w:space="0" w:color="000000"/>
              <w:left w:val="single" w:sz="4" w:space="0" w:color="000000"/>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
        </w:tc>
      </w:tr>
      <w:tr>
        <w:trPr>
          <w:trHeight w:val="311" w:hRule="exact"/>
        </w:trPr>
        <w:tc>
          <w:tcPr>
            <w:tcW w:w="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信领创</w:t>
            </w:r>
          </w:p>
        </w:tc>
        <w:tc>
          <w:tcPr>
            <w:tcW w:w="1085" w:type="dxa"/>
            <w:tcBorders>
              <w:top w:val="nil" w:sz="6" w:space="0" w:color="auto"/>
              <w:left w:val="single" w:sz="4" w:space="0" w:color="000000"/>
              <w:bottom w:val="nil" w:sz="6" w:space="0" w:color="auto"/>
              <w:right w:val="single" w:sz="4" w:space="0" w:color="000000"/>
            </w:tcBorders>
          </w:tcPr>
          <w:p>
            <w:pPr/>
          </w:p>
        </w:tc>
        <w:tc>
          <w:tcPr>
            <w:tcW w:w="1091" w:type="dxa"/>
            <w:vMerge/>
            <w:tcBorders>
              <w:left w:val="single" w:sz="4" w:space="0" w:color="000000"/>
              <w:right w:val="single" w:sz="4" w:space="0" w:color="000000"/>
            </w:tcBorders>
          </w:tcPr>
          <w:p>
            <w:pPr/>
          </w:p>
        </w:tc>
        <w:tc>
          <w:tcPr>
            <w:tcW w:w="672"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671"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672" w:type="dxa"/>
            <w:vMerge/>
            <w:tcBorders>
              <w:left w:val="single" w:sz="4" w:space="0" w:color="000000"/>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c>
          <w:tcPr>
            <w:tcW w:w="670" w:type="dxa"/>
            <w:vMerge/>
            <w:tcBorders>
              <w:left w:val="single" w:sz="4" w:space="0" w:color="000000"/>
              <w:right w:val="single" w:sz="4" w:space="0" w:color="000000"/>
            </w:tcBorders>
          </w:tcPr>
          <w:p>
            <w:pPr/>
          </w:p>
        </w:tc>
      </w:tr>
      <w:tr>
        <w:trPr>
          <w:trHeight w:val="316" w:hRule="exact"/>
        </w:trPr>
        <w:tc>
          <w:tcPr>
            <w:tcW w:w="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信息技</w:t>
            </w:r>
          </w:p>
        </w:tc>
        <w:tc>
          <w:tcPr>
            <w:tcW w:w="108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11,223,788.00</w:t>
            </w:r>
          </w:p>
        </w:tc>
        <w:tc>
          <w:tcPr>
            <w:tcW w:w="1091" w:type="dxa"/>
            <w:vMerge/>
            <w:tcBorders>
              <w:left w:val="single" w:sz="4" w:space="0" w:color="000000"/>
              <w:right w:val="single" w:sz="4" w:space="0" w:color="000000"/>
            </w:tcBorders>
          </w:tcPr>
          <w:p>
            <w:pPr/>
          </w:p>
        </w:tc>
        <w:tc>
          <w:tcPr>
            <w:tcW w:w="672"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-7,029,076.84</w:t>
            </w:r>
          </w:p>
        </w:tc>
        <w:tc>
          <w:tcPr>
            <w:tcW w:w="671"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672" w:type="dxa"/>
            <w:vMerge/>
            <w:tcBorders>
              <w:left w:val="single" w:sz="4" w:space="0" w:color="000000"/>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4,194,711.16</w:t>
            </w:r>
          </w:p>
        </w:tc>
        <w:tc>
          <w:tcPr>
            <w:tcW w:w="670" w:type="dxa"/>
            <w:vMerge/>
            <w:tcBorders>
              <w:left w:val="single" w:sz="4" w:space="0" w:color="000000"/>
              <w:right w:val="single" w:sz="4" w:space="0" w:color="000000"/>
            </w:tcBorders>
          </w:tcPr>
          <w:p>
            <w:pPr/>
          </w:p>
        </w:tc>
      </w:tr>
      <w:tr>
        <w:trPr>
          <w:trHeight w:val="308" w:hRule="exact"/>
        </w:trPr>
        <w:tc>
          <w:tcPr>
            <w:tcW w:w="6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术有限</w:t>
            </w:r>
          </w:p>
        </w:tc>
        <w:tc>
          <w:tcPr>
            <w:tcW w:w="1085" w:type="dxa"/>
            <w:tcBorders>
              <w:top w:val="nil" w:sz="6" w:space="0" w:color="auto"/>
              <w:left w:val="single" w:sz="4" w:space="0" w:color="000000"/>
              <w:bottom w:val="nil" w:sz="6" w:space="0" w:color="auto"/>
              <w:right w:val="single" w:sz="4" w:space="0" w:color="000000"/>
            </w:tcBorders>
          </w:tcPr>
          <w:p>
            <w:pPr/>
          </w:p>
        </w:tc>
        <w:tc>
          <w:tcPr>
            <w:tcW w:w="1091" w:type="dxa"/>
            <w:vMerge/>
            <w:tcBorders>
              <w:left w:val="single" w:sz="4" w:space="0" w:color="000000"/>
              <w:right w:val="single" w:sz="4" w:space="0" w:color="000000"/>
            </w:tcBorders>
          </w:tcPr>
          <w:p>
            <w:pPr/>
          </w:p>
        </w:tc>
        <w:tc>
          <w:tcPr>
            <w:tcW w:w="672"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671"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672" w:type="dxa"/>
            <w:vMerge/>
            <w:tcBorders>
              <w:left w:val="single" w:sz="4" w:space="0" w:color="000000"/>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c>
          <w:tcPr>
            <w:tcW w:w="670" w:type="dxa"/>
            <w:vMerge/>
            <w:tcBorders>
              <w:left w:val="single" w:sz="4" w:space="0" w:color="000000"/>
              <w:right w:val="single" w:sz="4" w:space="0" w:color="000000"/>
            </w:tcBorders>
          </w:tcPr>
          <w:p>
            <w:pPr/>
          </w:p>
        </w:tc>
      </w:tr>
      <w:tr>
        <w:trPr>
          <w:trHeight w:val="357" w:hRule="exact"/>
        </w:trPr>
        <w:tc>
          <w:tcPr>
            <w:tcW w:w="6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85" w:type="dxa"/>
            <w:tcBorders>
              <w:top w:val="nil" w:sz="6" w:space="0" w:color="auto"/>
              <w:left w:val="single" w:sz="4" w:space="0" w:color="000000"/>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r>
      <w:tr>
        <w:trPr>
          <w:trHeight w:val="357" w:hRule="exact"/>
        </w:trPr>
        <w:tc>
          <w:tcPr>
            <w:tcW w:w="6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w:t>
            </w:r>
          </w:p>
        </w:tc>
        <w:tc>
          <w:tcPr>
            <w:tcW w:w="1085" w:type="dxa"/>
            <w:vMerge w:val="restart"/>
            <w:tcBorders>
              <w:top w:val="single" w:sz="4" w:space="0" w:color="000000"/>
              <w:left w:val="single" w:sz="4" w:space="0" w:color="000000"/>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672"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671" w:type="dxa"/>
            <w:vMerge w:val="restart"/>
            <w:tcBorders>
              <w:top w:val="single" w:sz="4" w:space="0" w:color="000000"/>
              <w:left w:val="single" w:sz="4" w:space="0" w:color="000000"/>
              <w:right w:val="single" w:sz="4" w:space="0" w:color="000000"/>
            </w:tcBorders>
          </w:tcPr>
          <w:p>
            <w:pPr/>
          </w:p>
        </w:tc>
        <w:tc>
          <w:tcPr>
            <w:tcW w:w="671" w:type="dxa"/>
            <w:vMerge w:val="restart"/>
            <w:tcBorders>
              <w:top w:val="single" w:sz="4" w:space="0" w:color="000000"/>
              <w:left w:val="single" w:sz="4" w:space="0" w:color="000000"/>
              <w:right w:val="single" w:sz="4" w:space="0" w:color="000000"/>
            </w:tcBorders>
          </w:tcPr>
          <w:p>
            <w:pPr/>
          </w:p>
        </w:tc>
        <w:tc>
          <w:tcPr>
            <w:tcW w:w="671" w:type="dxa"/>
            <w:vMerge w:val="restart"/>
            <w:tcBorders>
              <w:top w:val="single" w:sz="4" w:space="0" w:color="000000"/>
              <w:left w:val="single" w:sz="4" w:space="0" w:color="000000"/>
              <w:right w:val="single" w:sz="4" w:space="0" w:color="000000"/>
            </w:tcBorders>
          </w:tcPr>
          <w:p>
            <w:pPr/>
          </w:p>
        </w:tc>
        <w:tc>
          <w:tcPr>
            <w:tcW w:w="671" w:type="dxa"/>
            <w:vMerge w:val="restart"/>
            <w:tcBorders>
              <w:top w:val="single" w:sz="4" w:space="0" w:color="000000"/>
              <w:left w:val="single" w:sz="4" w:space="0" w:color="000000"/>
              <w:right w:val="single" w:sz="4" w:space="0" w:color="000000"/>
            </w:tcBorders>
          </w:tcPr>
          <w:p>
            <w:pPr/>
          </w:p>
        </w:tc>
        <w:tc>
          <w:tcPr>
            <w:tcW w:w="672" w:type="dxa"/>
            <w:vMerge w:val="restart"/>
            <w:tcBorders>
              <w:top w:val="single" w:sz="4" w:space="0" w:color="000000"/>
              <w:left w:val="single" w:sz="4" w:space="0" w:color="000000"/>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
        </w:tc>
      </w:tr>
      <w:tr>
        <w:trPr>
          <w:trHeight w:val="311" w:hRule="exact"/>
        </w:trPr>
        <w:tc>
          <w:tcPr>
            <w:tcW w:w="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源健和</w:t>
            </w:r>
          </w:p>
        </w:tc>
        <w:tc>
          <w:tcPr>
            <w:tcW w:w="1085" w:type="dxa"/>
            <w:vMerge/>
            <w:tcBorders>
              <w:left w:val="single" w:sz="4" w:space="0" w:color="000000"/>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c>
          <w:tcPr>
            <w:tcW w:w="672"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671"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672" w:type="dxa"/>
            <w:vMerge/>
            <w:tcBorders>
              <w:left w:val="single" w:sz="4" w:space="0" w:color="000000"/>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c>
          <w:tcPr>
            <w:tcW w:w="670" w:type="dxa"/>
            <w:vMerge/>
            <w:tcBorders>
              <w:left w:val="single" w:sz="4" w:space="0" w:color="000000"/>
              <w:right w:val="single" w:sz="4" w:space="0" w:color="000000"/>
            </w:tcBorders>
          </w:tcPr>
          <w:p>
            <w:pPr/>
          </w:p>
        </w:tc>
      </w:tr>
      <w:tr>
        <w:trPr>
          <w:trHeight w:val="316" w:hRule="exact"/>
        </w:trPr>
        <w:tc>
          <w:tcPr>
            <w:tcW w:w="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科技有</w:t>
            </w:r>
          </w:p>
        </w:tc>
        <w:tc>
          <w:tcPr>
            <w:tcW w:w="1085" w:type="dxa"/>
            <w:vMerge/>
            <w:tcBorders>
              <w:left w:val="single" w:sz="4" w:space="0" w:color="000000"/>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20,000,000.00</w:t>
            </w:r>
          </w:p>
        </w:tc>
        <w:tc>
          <w:tcPr>
            <w:tcW w:w="672"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-2,590,885.02</w:t>
            </w:r>
          </w:p>
        </w:tc>
        <w:tc>
          <w:tcPr>
            <w:tcW w:w="671"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672" w:type="dxa"/>
            <w:vMerge/>
            <w:tcBorders>
              <w:left w:val="single" w:sz="4" w:space="0" w:color="000000"/>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17,409,114.98</w:t>
            </w:r>
          </w:p>
        </w:tc>
        <w:tc>
          <w:tcPr>
            <w:tcW w:w="670" w:type="dxa"/>
            <w:vMerge/>
            <w:tcBorders>
              <w:left w:val="single" w:sz="4" w:space="0" w:color="000000"/>
              <w:right w:val="single" w:sz="4" w:space="0" w:color="000000"/>
            </w:tcBorders>
          </w:tcPr>
          <w:p>
            <w:pPr/>
          </w:p>
        </w:tc>
      </w:tr>
      <w:tr>
        <w:trPr>
          <w:trHeight w:val="308" w:hRule="exact"/>
        </w:trPr>
        <w:tc>
          <w:tcPr>
            <w:tcW w:w="6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限责任</w:t>
            </w:r>
          </w:p>
        </w:tc>
        <w:tc>
          <w:tcPr>
            <w:tcW w:w="1085" w:type="dxa"/>
            <w:vMerge/>
            <w:tcBorders>
              <w:left w:val="single" w:sz="4" w:space="0" w:color="000000"/>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c>
          <w:tcPr>
            <w:tcW w:w="672"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671"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672" w:type="dxa"/>
            <w:vMerge/>
            <w:tcBorders>
              <w:left w:val="single" w:sz="4" w:space="0" w:color="000000"/>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c>
          <w:tcPr>
            <w:tcW w:w="670" w:type="dxa"/>
            <w:vMerge/>
            <w:tcBorders>
              <w:left w:val="single" w:sz="4" w:space="0" w:color="000000"/>
              <w:right w:val="single" w:sz="4" w:space="0" w:color="000000"/>
            </w:tcBorders>
          </w:tcPr>
          <w:p>
            <w:pPr/>
          </w:p>
        </w:tc>
      </w:tr>
      <w:tr>
        <w:trPr>
          <w:trHeight w:val="357" w:hRule="exact"/>
        </w:trPr>
        <w:tc>
          <w:tcPr>
            <w:tcW w:w="6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85" w:type="dxa"/>
            <w:vMerge/>
            <w:tcBorders>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r>
      <w:tr>
        <w:trPr>
          <w:trHeight w:val="402" w:hRule="exact"/>
        </w:trPr>
        <w:tc>
          <w:tcPr>
            <w:tcW w:w="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11,223,788.00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20,000,000.00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-9,619,961.86</w:t>
            </w:r>
          </w:p>
        </w:tc>
        <w:tc>
          <w:tcPr>
            <w:tcW w:w="671"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21,603,826.14</w:t>
            </w: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11,223,788.00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20,000,000.00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-9,619,961.86</w:t>
            </w:r>
          </w:p>
        </w:tc>
        <w:tc>
          <w:tcPr>
            <w:tcW w:w="671"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21,603,826.14</w:t>
            </w:r>
          </w:p>
        </w:tc>
        <w:tc>
          <w:tcPr>
            <w:tcW w:w="6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9</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4"/>
        <w:gridCol w:w="3187"/>
        <w:gridCol w:w="3187"/>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95,489,397.15</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79,554,945.35</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95,489,397.15</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79,554,945.35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电子及通讯设备</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47,429,283.74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58,563,129.50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16,037,369.66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219,141.13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122,248,924.03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24,445,636.34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2,656,053.51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634,616.59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8,766.93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27,745,073.37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24,445,636.34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2,656,053.51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634,616.59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8,766.93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27,745,073.37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726,213.35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571,508.00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1,297,721.35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726,213.35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571,508.00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1,297,721.35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71,874,920.08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60,492,969.66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16,100,478.25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227,908.06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148,696,276.05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3,295,342.19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28,199,388.48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11,139,444.84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59,803.17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42,693,978.68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1,132,663.37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8,801,777.30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1,721,457.11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46,617.99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11,702,515.77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1,132,663.37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8,801,777.30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1,721,457.11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46,617.99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11,702,515.77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672,655.95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516,959.60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1,189,615.55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672,655.95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516,959.60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1,189,615.55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4,428,005.56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36,328,509.83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12,343,942.35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106,421.16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53,206,878.90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67,446,914.52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24,164,459.83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3,756,535.90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121,486.90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95,489,397.15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44,133,941.55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30,363,741.02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4,897,924.82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159,337.96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79,554,945.35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房屋（中关村南大街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12,004,294.50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房屋（中关村南大街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12,004,294.50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after="0" w:line="240" w:lineRule="auto"/>
        <w:jc w:val="left"/>
        <w:rPr>
          <w:rFonts w:ascii="宋体" w:hAnsi="宋体" w:cs="宋体" w:eastAsia="宋体" w:hint="default"/>
          <w:sz w:val="18"/>
          <w:szCs w:val="18"/>
        </w:rPr>
        <w:sectPr>
          <w:pgSz w:w="11910" w:h="16840"/>
          <w:pgMar w:header="747" w:footer="1190" w:top="1060" w:bottom="13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10</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95"/>
        <w:gridCol w:w="3815"/>
        <w:gridCol w:w="3858"/>
      </w:tblGrid>
      <w:tr>
        <w:trPr>
          <w:trHeight w:val="401" w:hRule="exact"/>
        </w:trPr>
        <w:tc>
          <w:tcPr>
            <w:tcW w:w="18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71,724,078.50</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26,979,737.02</w:t>
            </w:r>
          </w:p>
        </w:tc>
      </w:tr>
      <w:tr>
        <w:trPr>
          <w:trHeight w:val="403" w:hRule="exact"/>
        </w:trPr>
        <w:tc>
          <w:tcPr>
            <w:tcW w:w="18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71,724,078.50</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26,979,737.02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南京产业园项目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71,724,078.50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71,724,078.50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26,979,737.02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26,979,737.02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71,724,078.50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71,724,078.50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26,979,737.02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26,979,737.02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南京产 业园项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602,059,</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298.75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26,979,7</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37.02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44,744,3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41.48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71,724,0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78.50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1" w:right="0"/>
              <w:jc w:val="center"/>
              <w:rPr>
                <w:rFonts w:ascii="Times New Roman" w:hAnsi="Times New Roman" w:cs="Times New Roman" w:eastAsia="Times New Roman" w:hint="default"/>
                <w:sz w:val="18"/>
                <w:szCs w:val="18"/>
              </w:rPr>
            </w:pPr>
            <w:r>
              <w:rPr>
                <w:rFonts w:ascii="Times New Roman"/>
                <w:sz w:val="18"/>
              </w:rPr>
              <w:t>11.91%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35.00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602,059,</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298.75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26,979,7</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37.02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44,744,3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41.48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71,724,0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78.50</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752"/>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0"/>
        <w:ind w:left="0" w:right="112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24,455,885.00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41,985,454.03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21,616,914.69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10,494,224.72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98,552,478.44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48,633,233.05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5,603,631.85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54,236,864.90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5,603,631.85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5,603,631.85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48,633,233.05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48,633,233.05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firstLine="52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24,455,885.00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41,985,454.03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70,250,147.74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16,097,856.57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152,789,343.34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1,018,995.23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6,348,341.49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13,556,727.06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2,116,238.98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23,040,302.76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489,117.72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4,198,545.47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4,578,563.68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1,098,438.12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10,364,664.99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489,117.72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4,198,545.47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4,578,563.68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1,098,438.12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10,364,664.99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1,508,112.95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10,546,886.96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18,135,290.74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3,214,677.10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33,404,967.75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22,947,772.05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31,438,567.07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52,114,857.00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12,883,179.47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119,384,375.59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23,436,889.77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35,637,112.54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8,060,187.63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8,377,985.74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75,512,175.68</w:t>
            </w:r>
          </w:p>
        </w:tc>
      </w:tr>
    </w:tbl>
    <w:p>
      <w:pPr>
        <w:pStyle w:val="BodyText"/>
        <w:spacing w:line="240" w:lineRule="auto" w:before="51"/>
        <w:ind w:right="0"/>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73.46%</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12</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3"/>
        <w:gridCol w:w="1063"/>
        <w:gridCol w:w="1063"/>
        <w:gridCol w:w="1062"/>
        <w:gridCol w:w="1063"/>
        <w:gridCol w:w="1063"/>
        <w:gridCol w:w="1063"/>
        <w:gridCol w:w="1063"/>
        <w:gridCol w:w="1063"/>
      </w:tblGrid>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47"/>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信源豆豆即 时通讯平台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34,105,411.7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7,671,744.81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41,777,156.5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服务器安全 运营管理平 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4,614,220.78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363,207.54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4,977,428.32</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9"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北信源 </w:t>
            </w:r>
            <w:r>
              <w:rPr>
                <w:rFonts w:ascii="Times New Roman" w:hAnsi="Times New Roman" w:cs="Times New Roman" w:eastAsia="Times New Roman" w:hint="default"/>
                <w:sz w:val="18"/>
                <w:szCs w:val="18"/>
              </w:rPr>
              <w:t>CEMS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统一 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9,039,174.32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17,945,342.0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26,984,516.3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特权账号监 管系统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1,959,167.07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4,896,909.42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6,856,076.49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应急协调指 挥平台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19,256,009.5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19,256,009.5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7"/>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49,717,973.9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50,133,213.3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48,633,233.0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51,217,954.2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13</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1367" w:type="dxa"/>
            <w:tcBorders>
              <w:top w:val="single" w:sz="4" w:space="0" w:color="000000"/>
              <w:left w:val="single" w:sz="4" w:space="0" w:color="000000"/>
              <w:bottom w:val="nil" w:sz="6" w:space="0" w:color="auto"/>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北京中软华泰信</w:t>
            </w:r>
          </w:p>
        </w:tc>
        <w:tc>
          <w:tcPr>
            <w:tcW w:w="1367"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67" w:type="dxa"/>
            <w:tcBorders>
              <w:top w:val="nil" w:sz="6" w:space="0" w:color="auto"/>
              <w:left w:val="single" w:sz="4" w:space="0" w:color="000000"/>
              <w:bottom w:val="nil" w:sz="6" w:space="0" w:color="auto"/>
              <w:right w:val="single" w:sz="4" w:space="0" w:color="000000"/>
            </w:tcBorders>
            <w:shd w:val="clear" w:color="auto" w:fill="E1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息技术有限责任</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300" w:right="0"/>
              <w:jc w:val="left"/>
              <w:rPr>
                <w:rFonts w:ascii="Times New Roman" w:hAnsi="Times New Roman" w:cs="Times New Roman" w:eastAsia="Times New Roman" w:hint="default"/>
                <w:sz w:val="18"/>
                <w:szCs w:val="18"/>
              </w:rPr>
            </w:pPr>
            <w:r>
              <w:rPr>
                <w:rFonts w:ascii="Times New Roman"/>
                <w:sz w:val="18"/>
              </w:rPr>
              <w:t>82,754,563.28</w:t>
            </w: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300" w:right="0"/>
              <w:jc w:val="left"/>
              <w:rPr>
                <w:rFonts w:ascii="Times New Roman" w:hAnsi="Times New Roman" w:cs="Times New Roman" w:eastAsia="Times New Roman" w:hint="default"/>
                <w:sz w:val="18"/>
                <w:szCs w:val="18"/>
              </w:rPr>
            </w:pPr>
            <w:r>
              <w:rPr>
                <w:rFonts w:ascii="Times New Roman"/>
                <w:sz w:val="18"/>
              </w:rPr>
              <w:t>82,754,563.28</w:t>
            </w:r>
          </w:p>
        </w:tc>
      </w:tr>
      <w:tr>
        <w:trPr>
          <w:trHeight w:val="352" w:hRule="exact"/>
        </w:trPr>
        <w:tc>
          <w:tcPr>
            <w:tcW w:w="1367" w:type="dxa"/>
            <w:tcBorders>
              <w:top w:val="nil" w:sz="6" w:space="0" w:color="auto"/>
              <w:left w:val="single" w:sz="4" w:space="0" w:color="000000"/>
              <w:bottom w:val="single" w:sz="4" w:space="0" w:color="000000"/>
              <w:right w:val="single" w:sz="4" w:space="0" w:color="000000"/>
            </w:tcBorders>
            <w:shd w:val="clear" w:color="auto" w:fill="E1FFFF"/>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82,754,563.28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82,754,563.28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14</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555,501.31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340,957.50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214,543.81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3,501,591.84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4,556,006.60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2,577,754.59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5,479,843.85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2,513,970.10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3,663,780.75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1,892,698.76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4,285,052.09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6,571,063.25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8,219,787.35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4,811,410.85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9,979,439.75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239,911,631.55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35,996,433.56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162,315,445.38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24,350,754.54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855,124.85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128,268.73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14,414,135.84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3,514,638.01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11,875,387.16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2,968,846.79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4,354,317.27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1,088,579.32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6,935,240.04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1,040,286.01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8,952,407.17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1,342,861.08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204,617.24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30,692.58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204,617.24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30,692.58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259,782,000.84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40,164,527.67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190,240,922.90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30,327,525.53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1,209,000.00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14"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40,164,527.67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30,327,525.53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1,053,000.00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1,209,000.00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16,876,083.84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18,544,154.58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5,126,015.97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2,372,445.21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内部交易未实现部分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2,153.01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22,004,252.82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20,916,599.79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339,704.57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3,563,492.50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2,583,958.26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2,583,958.26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3,093,488.15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4,970,350.37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7,426,353.45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7,426,353.45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3,432,579.41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16,876,083.84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18,544,154.58</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16</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嘉兴北源投资合伙企业（有限合伙）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45,205,739.04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19,101,841.22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30,101,495.00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110,978,859.00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186,286,093.04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19,101,841.22</w:t>
            </w:r>
          </w:p>
        </w:tc>
      </w:tr>
    </w:tbl>
    <w:p>
      <w:pPr>
        <w:pStyle w:val="BodyText"/>
        <w:spacing w:line="240" w:lineRule="auto" w:before="51"/>
        <w:ind w:right="0"/>
        <w:jc w:val="left"/>
      </w:pPr>
      <w:r>
        <w:rPr/>
        <w:t>其他说明：</w:t>
      </w:r>
    </w:p>
    <w:p>
      <w:pPr>
        <w:pStyle w:val="BodyText"/>
        <w:spacing w:line="307" w:lineRule="auto" w:before="115"/>
        <w:ind w:right="1128" w:firstLine="300"/>
        <w:jc w:val="both"/>
      </w:pPr>
      <w:r>
        <w:rPr>
          <w:spacing w:val="-1"/>
        </w:rPr>
        <w:t>注：</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22</w:t>
      </w:r>
      <w:r>
        <w:rPr>
          <w:spacing w:val="-1"/>
        </w:rPr>
        <w:t>日，本公司与普通合伙人嘉兴柒玖投资管理合伙企业（有限合伙），有限合伙人成都瑞信和科技有限</w:t>
      </w:r>
      <w:r>
        <w:rPr/>
        <w:t> </w:t>
      </w:r>
      <w:r>
        <w:rPr>
          <w:spacing w:val="-2"/>
        </w:rPr>
        <w:t>公司、北京东升科技企业加速器有限公司签署了《嘉兴北源投资合伙企业（有限合伙）有限合伙协议》，共同出资设立嘉兴</w:t>
      </w:r>
      <w:r>
        <w:rPr>
          <w:spacing w:val="-68"/>
        </w:rPr>
        <w:t> </w:t>
      </w:r>
      <w:r>
        <w:rPr>
          <w:spacing w:val="-68"/>
        </w:rPr>
      </w:r>
      <w:r>
        <w:rPr>
          <w:spacing w:val="-1"/>
        </w:rPr>
        <w:t>北源投资合伙企业（有限合伙），认缴出资额人民币</w:t>
      </w:r>
      <w:r>
        <w:rPr>
          <w:rFonts w:ascii="Times New Roman" w:hAnsi="Times New Roman" w:cs="Times New Roman" w:eastAsia="Times New Roman" w:hint="default"/>
          <w:spacing w:val="-1"/>
        </w:rPr>
        <w:t>1</w:t>
      </w:r>
      <w:r>
        <w:rPr>
          <w:spacing w:val="-1"/>
        </w:rPr>
        <w:t>亿元，其中公司认缴出资额为</w:t>
      </w:r>
      <w:r>
        <w:rPr>
          <w:rFonts w:ascii="Times New Roman" w:hAnsi="Times New Roman" w:cs="Times New Roman" w:eastAsia="Times New Roman" w:hint="default"/>
          <w:spacing w:val="-1"/>
        </w:rPr>
        <w:t>8,000</w:t>
      </w:r>
      <w:r>
        <w:rPr>
          <w:spacing w:val="-1"/>
        </w:rPr>
        <w:t>万元，截止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日，北信</w:t>
      </w:r>
      <w:r>
        <w:rPr>
          <w:spacing w:val="-70"/>
        </w:rPr>
        <w:t> </w:t>
      </w:r>
      <w:r>
        <w:rPr>
          <w:spacing w:val="-70"/>
        </w:rPr>
      </w:r>
      <w:r>
        <w:rPr/>
        <w:t>源实际出资</w:t>
      </w:r>
      <w:r>
        <w:rPr>
          <w:rFonts w:ascii="Times New Roman" w:hAnsi="Times New Roman" w:cs="Times New Roman" w:eastAsia="Times New Roman" w:hint="default"/>
        </w:rPr>
        <w:t>4,880.00</w:t>
      </w:r>
      <w:r>
        <w:rPr/>
        <w:t>万元，占比为</w:t>
      </w:r>
      <w:r>
        <w:rPr>
          <w:rFonts w:ascii="Times New Roman" w:hAnsi="Times New Roman" w:cs="Times New Roman" w:eastAsia="Times New Roman" w:hint="default"/>
        </w:rPr>
        <w:t>80%</w:t>
      </w:r>
      <w:r>
        <w:rPr/>
        <w:t>。具有重大影响，按权益法核算。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3"/>
        <w:ind w:right="0"/>
        <w:jc w:val="left"/>
        <w:rPr>
          <w:b w:val="0"/>
          <w:bCs w:val="0"/>
        </w:rPr>
      </w:pPr>
      <w:r>
        <w:rPr>
          <w:rFonts w:ascii="Times New Roman" w:hAnsi="Times New Roman" w:cs="Times New Roman" w:eastAsia="Times New Roman" w:hint="default"/>
        </w:rPr>
        <w:t>17</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18</w:t>
      </w:r>
      <w:r>
        <w:rPr/>
        <w:t>、应付票据及应付账款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17,523,000.00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41,058,672.56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35,012,254.29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47,708,672.56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52,535,254.29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17,523,000.00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17,523,000.00</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应付采购产品款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39,751,867.98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32,853,516.09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应付技术服务费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601,804.58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520,553.20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1,638,185.00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41,058,672.56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35,012,254.29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中电科华云信息技术有限公司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1,308,800.00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江苏怡海科技发展有限公司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888,461.00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深圳市金城保密技术有限公司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870,413.35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上海金电网安科技有限公司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838,000.00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山西博瑞信安网络技术有限公司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726,345.30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4,632,019.65</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19</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预收产品款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62,631,381.42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31,612,571.80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62,631,381.42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31,612,571.80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20</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494,238.57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176,724,762.13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177,219,000.70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23,799.21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16,908,542.60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16,932,341.81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195,390.09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195,390.09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102,209.00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102,209.00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518,037.78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193,930,903.82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194,448,941.60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457,601.33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156,335,033.23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156,792,634.56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6,331,782.28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6,331,782.28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19,836.96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8,784,199.91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8,804,036.87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18,033.60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7,836,787.49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7,854,821.09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201,811.78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202,172.45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1,442.69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640,635.84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642,078.53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补</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充医疗</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104,964.80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104,964.80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3,767,945.96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3,767,945.96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16,800.28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1,505,800.75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1,522,601.03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4" w:right="0"/>
              <w:jc w:val="left"/>
              <w:rPr>
                <w:rFonts w:ascii="Times New Roman" w:hAnsi="Times New Roman" w:cs="Times New Roman" w:eastAsia="Times New Roman" w:hint="default"/>
                <w:sz w:val="18"/>
                <w:szCs w:val="18"/>
              </w:rPr>
            </w:pPr>
            <w:r>
              <w:rPr>
                <w:rFonts w:ascii="Times New Roman"/>
                <w:sz w:val="18"/>
              </w:rPr>
              <w:t>494,238.57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176,724,762.13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177,219,000.70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22,837.62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16,309,932.22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16,332,769.84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961.59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598,610.38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599,571.97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23,799.21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16,908,542.60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16,932,341.81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其他说明：</w:t>
      </w:r>
    </w:p>
    <w:p>
      <w:pPr>
        <w:pStyle w:val="BodyText"/>
        <w:spacing w:line="316" w:lineRule="auto" w:before="116"/>
        <w:ind w:right="1131" w:firstLine="355"/>
        <w:jc w:val="both"/>
      </w:pPr>
      <w:r>
        <w:rPr>
          <w:spacing w:val="-2"/>
        </w:rPr>
        <w:t>本公司按规定参加由政府机构设立的养老保险、失业保险计划，根据该等计划，本公司分别按员工缴费基数的一定比例</w:t>
      </w:r>
      <w:r>
        <w:rPr/>
        <w:t> </w:t>
      </w:r>
      <w:r>
        <w:rPr>
          <w:spacing w:val="-2"/>
        </w:rPr>
        <w:t>每月向该等计划缴存费用。除上述每月缴存费用外，本公司不再承担进一步支付义务。相应的支出于发生时计入当期损益或</w:t>
      </w:r>
      <w:r>
        <w:rPr>
          <w:spacing w:val="-66"/>
        </w:rPr>
        <w:t> </w:t>
      </w:r>
      <w:r>
        <w:rPr>
          <w:spacing w:val="-66"/>
        </w:rPr>
      </w:r>
      <w:r>
        <w:rPr/>
        <w:t>相关资产的成本。</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21</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129,045,448.65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102,701,429.99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16,841,304.10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20,840,708.53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457,161.96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933,316.27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8,636,243.93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6,731,472.77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6,080,572.16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4,720,880.93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85,676.45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52,068.65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698,940.00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51,360.56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33,373.00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161,896,707.81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136,283,250.14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22</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7,181,395.98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6,741,582.70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7,181,395.98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6,741,582.70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2,152,026.60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2,313,475.55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2,089,347.94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1,622,579.00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280,318.34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253,815.67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2,659,703.10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2,551,712.48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7,181,395.98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6,741,582.70</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田秋桂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887,800.00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股权收购款，未到支付期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马永清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869,800.00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股权收购款，未到支付期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王俊锋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242,400.00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股权收购款，未到支付期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浙江江南工程管理股份有限公司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履约保证金，未到支付期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北京东方微点信息技术有限责任公司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代理费，未到支付期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2,360,000.00</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23</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8,952,407.17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2,017,167.13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6,935,240.04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w:t>
            </w:r>
            <w:r>
              <w:rPr>
                <w:rFonts w:ascii="Times New Roman" w:hAnsi="Times New Roman" w:cs="Times New Roman" w:eastAsia="Times New Roman" w:hint="default"/>
                <w:sz w:val="18"/>
                <w:szCs w:val="18"/>
              </w:rPr>
              <w:t>/</w:t>
            </w:r>
            <w:r>
              <w:rPr>
                <w:rFonts w:ascii="宋体" w:hAnsi="宋体" w:cs="宋体" w:eastAsia="宋体" w:hint="default"/>
                <w:sz w:val="18"/>
                <w:szCs w:val="18"/>
              </w:rPr>
              <w:t>收益相关</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8,952,407.17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2,017,167.13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6,935,240.04</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3"/>
        <w:gridCol w:w="1063"/>
        <w:gridCol w:w="1063"/>
        <w:gridCol w:w="1063"/>
        <w:gridCol w:w="1062"/>
        <w:gridCol w:w="1063"/>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7"/>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工程实验室 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6,217,975.00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1,349,300.00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4,868,675.00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10"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北京市经济 和信息化委 员会支付北 京高精尖产 业发展资金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234,432.17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234,432.17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3"/>
        <w:gridCol w:w="1063"/>
        <w:gridCol w:w="1063"/>
        <w:gridCol w:w="1063"/>
        <w:gridCol w:w="1062"/>
        <w:gridCol w:w="1063"/>
      </w:tblGrid>
      <w:tr>
        <w:trPr>
          <w:trHeight w:val="362"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款项目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北京市经济</w:t>
            </w: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和信息化委</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28"/>
              <w:jc w:val="left"/>
              <w:rPr>
                <w:rFonts w:ascii="宋体" w:hAnsi="宋体" w:cs="宋体" w:eastAsia="宋体" w:hint="default"/>
                <w:sz w:val="18"/>
                <w:szCs w:val="18"/>
              </w:rPr>
            </w:pPr>
            <w:r>
              <w:rPr>
                <w:rFonts w:ascii="宋体" w:hAnsi="宋体" w:cs="宋体" w:eastAsia="宋体" w:hint="default"/>
                <w:sz w:val="18"/>
                <w:szCs w:val="18"/>
              </w:rPr>
              <w:t>员会支付北 京高精尖产</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2,500,000.00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433,434.96</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2,066,565.04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业发展资金</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款项目</w:t>
            </w: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24</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5"/>
        <w:gridCol w:w="1196"/>
        <w:gridCol w:w="1196"/>
        <w:gridCol w:w="1196"/>
        <w:gridCol w:w="1195"/>
        <w:gridCol w:w="1196"/>
        <w:gridCol w:w="1196"/>
        <w:gridCol w:w="1195"/>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1,449,824,087.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1,449,824,087.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311,874,096.77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311,874,096.77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4,003,788.51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4,003,788.51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315,877,885.28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315,877,885.28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26</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403" w:hRule="exact"/>
        </w:trPr>
        <w:tc>
          <w:tcPr>
            <w:tcW w:w="2810" w:type="dxa"/>
            <w:vMerge w:val="restart"/>
            <w:tcBorders>
              <w:top w:val="single" w:sz="4" w:space="0" w:color="000000"/>
              <w:left w:val="single" w:sz="4" w:space="0" w:color="000000"/>
              <w:right w:val="single" w:sz="4" w:space="0" w:color="000000"/>
            </w:tcBorders>
            <w:shd w:val="clear" w:color="auto" w:fill="D3D3D3"/>
          </w:tcPr>
          <w:p>
            <w:pPr/>
          </w:p>
        </w:tc>
        <w:tc>
          <w:tcPr>
            <w:tcW w:w="10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6" w:hRule="exact"/>
        </w:trPr>
        <w:tc>
          <w:tcPr>
            <w:tcW w:w="2810" w:type="dxa"/>
            <w:vMerge/>
            <w:tcBorders>
              <w:left w:val="single" w:sz="4" w:space="0" w:color="000000"/>
              <w:bottom w:val="nil" w:sz="6" w:space="0" w:color="auto"/>
              <w:right w:val="single" w:sz="4" w:space="0" w:color="000000"/>
            </w:tcBorders>
            <w:shd w:val="clear" w:color="auto" w:fill="D3D3D3"/>
          </w:tcPr>
          <w:p>
            <w:pPr/>
          </w:p>
        </w:tc>
        <w:tc>
          <w:tcPr>
            <w:tcW w:w="1069" w:type="dxa"/>
            <w:vMerge/>
            <w:tcBorders>
              <w:left w:val="single" w:sz="4" w:space="0" w:color="000000"/>
              <w:right w:val="single" w:sz="4" w:space="0" w:color="000000"/>
            </w:tcBorders>
            <w:shd w:val="clear" w:color="auto" w:fill="D3D3D3"/>
          </w:tcPr>
          <w:p>
            <w:pP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right w:val="single" w:sz="4" w:space="0" w:color="000000"/>
            </w:tcBorders>
            <w:shd w:val="clear" w:color="auto" w:fill="D3D3D3"/>
          </w:tcPr>
          <w:p>
            <w:pPr/>
          </w:p>
        </w:tc>
      </w:tr>
      <w:tr>
        <w:trPr>
          <w:trHeight w:val="392" w:hRule="exact"/>
        </w:trPr>
        <w:tc>
          <w:tcPr>
            <w:tcW w:w="28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tcBorders>
              <w:left w:val="single" w:sz="4" w:space="0" w:color="000000"/>
              <w:right w:val="single" w:sz="4" w:space="0" w:color="000000"/>
            </w:tcBorders>
            <w:shd w:val="clear" w:color="auto" w:fill="D3D3D3"/>
          </w:tcPr>
          <w:p>
            <w:pPr/>
          </w:p>
        </w:tc>
        <w:tc>
          <w:tcPr>
            <w:tcW w:w="935" w:type="dxa"/>
            <w:vMerge/>
            <w:tcBorders>
              <w:left w:val="single" w:sz="4" w:space="0" w:color="000000"/>
              <w:right w:val="single" w:sz="4" w:space="0" w:color="000000"/>
            </w:tcBorders>
            <w:shd w:val="clear" w:color="auto" w:fill="D3D3D3"/>
          </w:tcPr>
          <w:p>
            <w:pPr/>
          </w:p>
        </w:tc>
        <w:tc>
          <w:tcPr>
            <w:tcW w:w="1152" w:type="dxa"/>
            <w:vMerge/>
            <w:tcBorders>
              <w:left w:val="single" w:sz="4" w:space="0" w:color="000000"/>
              <w:right w:val="single" w:sz="4" w:space="0" w:color="000000"/>
            </w:tcBorders>
            <w:shd w:val="clear" w:color="auto" w:fill="D3D3D3"/>
          </w:tcPr>
          <w:p>
            <w:pPr/>
          </w:p>
        </w:tc>
        <w:tc>
          <w:tcPr>
            <w:tcW w:w="935" w:type="dxa"/>
            <w:vMerge/>
            <w:tcBorders>
              <w:left w:val="single" w:sz="4" w:space="0" w:color="000000"/>
              <w:right w:val="single" w:sz="4" w:space="0" w:color="000000"/>
            </w:tcBorders>
            <w:shd w:val="clear" w:color="auto" w:fill="D3D3D3"/>
          </w:tcPr>
          <w:p>
            <w:pPr/>
          </w:p>
        </w:tc>
        <w:tc>
          <w:tcPr>
            <w:tcW w:w="936" w:type="dxa"/>
            <w:vMerge/>
            <w:tcBorders>
              <w:left w:val="single" w:sz="4" w:space="0" w:color="000000"/>
              <w:right w:val="single" w:sz="4" w:space="0" w:color="000000"/>
            </w:tcBorders>
            <w:shd w:val="clear" w:color="auto" w:fill="D3D3D3"/>
          </w:tcPr>
          <w:p>
            <w:pPr/>
          </w:p>
        </w:tc>
        <w:tc>
          <w:tcPr>
            <w:tcW w:w="935" w:type="dxa"/>
            <w:vMerge/>
            <w:tcBorders>
              <w:left w:val="single" w:sz="4" w:space="0" w:color="000000"/>
              <w:right w:val="single" w:sz="4" w:space="0" w:color="000000"/>
            </w:tcBorders>
            <w:shd w:val="clear" w:color="auto" w:fill="D3D3D3"/>
          </w:tcPr>
          <w:p>
            <w:pPr/>
          </w:p>
        </w:tc>
        <w:tc>
          <w:tcPr>
            <w:tcW w:w="796" w:type="dxa"/>
            <w:vMerge/>
            <w:tcBorders>
              <w:left w:val="single" w:sz="4" w:space="0" w:color="000000"/>
              <w:right w:val="single" w:sz="4" w:space="0" w:color="000000"/>
            </w:tcBorders>
            <w:shd w:val="clear" w:color="auto" w:fill="D3D3D3"/>
          </w:tcPr>
          <w:p>
            <w:pPr/>
          </w:p>
        </w:tc>
      </w:tr>
      <w:tr>
        <w:trPr>
          <w:trHeight w:val="517" w:hRule="exact"/>
        </w:trPr>
        <w:tc>
          <w:tcPr>
            <w:tcW w:w="2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1152"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936"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79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-1,702,194.07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90,169.63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90,169.63</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-1,612,02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4.44</w:t>
            </w:r>
          </w:p>
        </w:tc>
      </w:tr>
      <w:tr>
        <w:trPr>
          <w:trHeight w:val="162" w:hRule="exact"/>
        </w:trPr>
        <w:tc>
          <w:tcPr>
            <w:tcW w:w="28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-1,702,194.07</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90,169.63</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90,169.63</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-1,612,02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4.44</w:t>
            </w:r>
          </w:p>
        </w:tc>
      </w:tr>
      <w:tr>
        <w:trPr>
          <w:trHeight w:val="391" w:hRule="exact"/>
        </w:trPr>
        <w:tc>
          <w:tcPr>
            <w:tcW w:w="28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9"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2" w:hRule="exact"/>
        </w:trPr>
        <w:tc>
          <w:tcPr>
            <w:tcW w:w="28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-1,702,194.07</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90,169.63</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90,169.63</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-1,612,02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4.44</w:t>
            </w:r>
          </w:p>
        </w:tc>
      </w:tr>
      <w:tr>
        <w:trPr>
          <w:trHeight w:val="391" w:hRule="exact"/>
        </w:trPr>
        <w:tc>
          <w:tcPr>
            <w:tcW w:w="28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2" w:hRule="exact"/>
        </w:trPr>
        <w:tc>
          <w:tcPr>
            <w:tcW w:w="2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其他说明，包括对现金流量套期损益的有效部分转为被套期项目初始确认金额调整：</w:t>
      </w:r>
    </w:p>
    <w:p>
      <w:pPr>
        <w:spacing w:after="0" w:line="240" w:lineRule="auto"/>
        <w:jc w:val="left"/>
        <w:sectPr>
          <w:pgSz w:w="11910" w:h="16840"/>
          <w:pgMar w:header="747" w:footer="1190" w:top="1060" w:bottom="13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27</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52,287,909.42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7,801,438.25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60,089,347.67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52,287,909.42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7,801,438.25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60,089,347.67</w:t>
            </w:r>
          </w:p>
        </w:tc>
      </w:tr>
    </w:tbl>
    <w:p>
      <w:pPr>
        <w:pStyle w:val="BodyText"/>
        <w:spacing w:line="357" w:lineRule="auto" w:before="51"/>
        <w:ind w:left="513" w:right="1114" w:hanging="360"/>
        <w:jc w:val="left"/>
      </w:pPr>
      <w:r>
        <w:rPr/>
        <w:t>盈余公积说明，包括本期增减变动情况、变动原因说明： </w:t>
      </w:r>
      <w:r>
        <w:rPr>
          <w:spacing w:val="-1"/>
        </w:rPr>
        <w:t>根据《公司法》、公司章程的规定，本公司按净利润的</w:t>
      </w:r>
      <w:r>
        <w:rPr>
          <w:rFonts w:ascii="Times New Roman" w:hAnsi="Times New Roman" w:cs="Times New Roman" w:eastAsia="Times New Roman" w:hint="default"/>
          <w:spacing w:val="-1"/>
        </w:rPr>
        <w:t>10%</w:t>
      </w:r>
      <w:r>
        <w:rPr>
          <w:spacing w:val="-1"/>
        </w:rPr>
        <w:t>提取法定盈余公积。法定盈余公积累计额达到本公司注册资</w:t>
      </w:r>
    </w:p>
    <w:p>
      <w:pPr>
        <w:pStyle w:val="BodyText"/>
        <w:spacing w:line="214" w:lineRule="exact"/>
        <w:ind w:right="0"/>
        <w:jc w:val="left"/>
      </w:pPr>
      <w:r>
        <w:rPr/>
        <w:t>本</w:t>
      </w:r>
      <w:r>
        <w:rPr>
          <w:rFonts w:ascii="Times New Roman" w:hAnsi="Times New Roman" w:cs="Times New Roman" w:eastAsia="Times New Roman" w:hint="default"/>
        </w:rPr>
        <w:t>50%</w:t>
      </w:r>
      <w:r>
        <w:rPr/>
        <w:t>以上的，不再提取。</w:t>
      </w:r>
    </w:p>
    <w:p>
      <w:pPr>
        <w:pStyle w:val="BodyText"/>
        <w:spacing w:line="240" w:lineRule="auto" w:before="63"/>
        <w:ind w:left="453" w:right="0"/>
        <w:jc w:val="left"/>
      </w:pPr>
      <w:r>
        <w:rPr>
          <w:spacing w:val="-3"/>
        </w:rPr>
        <w:t>公司在提取法定盈余公积金后，可提取任意盈余公积金。经批准，任意盈余公积金可用于弥补以前年度亏损或增加股本。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28</w:t>
      </w:r>
      <w:r>
        <w:rPr/>
        <w:t>、未分配利润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396,432,966.42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337,159,052.64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396,432,966.42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337,159,052.64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94,090,073.34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91,451,980.39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7,801,438.25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8,980,881.21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17,397,887.74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23,197,185.40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465,323,713.77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396,432,966.42</w:t>
            </w:r>
          </w:p>
        </w:tc>
      </w:tr>
    </w:tbl>
    <w:p>
      <w:pPr>
        <w:pStyle w:val="BodyText"/>
        <w:spacing w:line="240" w:lineRule="auto" w:before="51"/>
        <w:ind w:right="0"/>
        <w:jc w:val="left"/>
      </w:pPr>
      <w:r>
        <w:rPr/>
        <w:t>调整期初未分配利润明细：</w:t>
      </w:r>
    </w:p>
    <w:p>
      <w:pPr>
        <w:pStyle w:val="BodyText"/>
        <w:spacing w:line="240" w:lineRule="auto" w:before="117"/>
        <w:ind w:left="153"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3"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29</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538,403,920.59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124,181,178.56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469,118,115.17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113,205,815.14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33,996,525.00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30,646,026.78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45,734,495.75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49,649,836.72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572,400,445.59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154,827,205.34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514,852,610.92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162,855,651.86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30</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3,662,109.73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3,621,162.15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2,616,684.26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2,515,205.35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373,159.80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169,961.43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102,913.20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101,994.64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81,954.24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30,543.33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253,105.22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1,391,473.37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520,016.26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435,852.66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7,609,942.71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8,266,192.93</w:t>
            </w:r>
          </w:p>
        </w:tc>
      </w:tr>
    </w:tbl>
    <w:p>
      <w:pPr>
        <w:pStyle w:val="BodyText"/>
        <w:spacing w:line="240" w:lineRule="auto" w:before="51"/>
        <w:ind w:right="0"/>
        <w:jc w:val="left"/>
      </w:pPr>
      <w:r>
        <w:rPr/>
        <w:t>其他说明：</w:t>
      </w:r>
    </w:p>
    <w:p>
      <w:pPr>
        <w:pStyle w:val="BodyText"/>
        <w:spacing w:line="240" w:lineRule="auto" w:before="115"/>
        <w:ind w:left="514" w:right="0"/>
        <w:jc w:val="left"/>
      </w:pPr>
      <w:r>
        <w:rPr/>
        <w:t>各项税金及附加的计缴标准详见第十一节六、税项。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31</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49,615,260.66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49,710,699.32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12,994,515.12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11,851,022.94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12,973,778.19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9,724,956.89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7,486,786.46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6,169,521.37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6,339,225.83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4,554,616.99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4,440,847.31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4,447,762.32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2,798,821.63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3,973,772.34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4,020,021.67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3,327,144.47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1,097,940.65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2,560,178.00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3,917,232.95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4,979,032.72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105,684,430.47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101,298,707.36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32</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35,340,233.15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35,084,107.41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15,802,074.57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10,414,948.54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10,126,110.23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8,723,989.86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6,826,282.21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8,403,157.26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1,883,375.43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2,242,798.75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2,000,482.29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1,959,796.04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2,085,720.93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1,656,064.85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1,631,814.83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991,817.91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9,209,699.13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6,130,175.72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84,905,792.77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75,606,856.34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33</w:t>
      </w:r>
      <w:r>
        <w:rPr/>
        <w:t>、研发费用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56,194,226.53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45,554,675.64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4,424,247.68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3,762,984.50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2,039,302.82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1,971,033.99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1,685,149.01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1,220,461.36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测试费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1,608,803.31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913,436.81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委外研发费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1,640,229.76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4,026,915.78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1,333,943.20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1,084,713.71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122,697.60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232,323.00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813,281.54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1,141,370.66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69,861,881.45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59,907,915.45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34</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1,010,958.47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1,018,580.33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4,605,080.94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2,499,126.65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-31,028.70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191,955.23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119,340.98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-3,433,195.94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-1,361,205.34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35</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81,255,057.08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54,967,847.24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2,407,858.33</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83,662,915.41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54,967,847.24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36</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16,170,221.41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19,660,442.81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工程实验室补贴款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1,279,300.00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创新能力提升资金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667,867.13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265,567.83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文化产业专项资金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市级工程技术研究中心优秀补助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展位费补贴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137,980.00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212,505.94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167,648.84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纳税积极奖励补助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技术研发项目补助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产学研合作（校企联盟）项目补贴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72,150.00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授权专利补助资金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中国技术交易所有限公司商标注册补助 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年度企业研究开发费用省级财政奖 励资金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158,700.00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r>
        <w:rPr>
          <w:rFonts w:ascii="Times New Roman" w:hAnsi="Times New Roman" w:cs="Times New Roman" w:eastAsia="Times New Roman" w:hint="default"/>
        </w:rPr>
        <w:t>37</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7"/>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70" w:right="0"/>
              <w:jc w:val="left"/>
              <w:rPr>
                <w:rFonts w:ascii="Times New Roman" w:hAnsi="Times New Roman" w:cs="Times New Roman" w:eastAsia="Times New Roman" w:hint="default"/>
                <w:sz w:val="18"/>
                <w:szCs w:val="18"/>
              </w:rPr>
            </w:pPr>
            <w:r>
              <w:rPr>
                <w:rFonts w:ascii="Times New Roman"/>
                <w:sz w:val="18"/>
              </w:rPr>
              <w:t>-11,516,064.04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0" w:right="0"/>
              <w:jc w:val="left"/>
              <w:rPr>
                <w:rFonts w:ascii="Times New Roman" w:hAnsi="Times New Roman" w:cs="Times New Roman" w:eastAsia="Times New Roman" w:hint="default"/>
                <w:sz w:val="18"/>
                <w:szCs w:val="18"/>
              </w:rPr>
            </w:pPr>
            <w:r>
              <w:rPr>
                <w:rFonts w:ascii="Times New Roman"/>
                <w:sz w:val="18"/>
              </w:rPr>
              <w:t>-7,867,431.39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7"/>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19,585,796.56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30,740,781.88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8,069,732.52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22,873,350.49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38</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
              <w:jc w:val="center"/>
              <w:rPr>
                <w:rFonts w:ascii="宋体" w:hAnsi="宋体" w:cs="宋体" w:eastAsia="宋体" w:hint="default"/>
                <w:sz w:val="18"/>
                <w:szCs w:val="18"/>
              </w:rPr>
            </w:pPr>
            <w:r>
              <w:rPr>
                <w:rFonts w:ascii="宋体" w:hAnsi="宋体" w:cs="宋体" w:eastAsia="宋体" w:hint="default"/>
                <w:sz w:val="18"/>
                <w:szCs w:val="18"/>
              </w:rPr>
              <w:t>非流动资产处置利得（损失以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23,851.60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138,058.94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71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50.88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50.88</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4"/>
              <w:jc w:val="left"/>
              <w:rPr>
                <w:rFonts w:ascii="宋体" w:hAnsi="宋体" w:cs="宋体" w:eastAsia="宋体" w:hint="default"/>
                <w:sz w:val="18"/>
                <w:szCs w:val="18"/>
              </w:rPr>
            </w:pPr>
            <w:r>
              <w:rPr>
                <w:rFonts w:ascii="宋体" w:hAnsi="宋体" w:cs="宋体" w:eastAsia="宋体" w:hint="default"/>
                <w:sz w:val="18"/>
                <w:szCs w:val="18"/>
              </w:rPr>
              <w:t>与企业日常活动无关的政府 补助</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141,377.02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6,195.00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141,377.02</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141,427.90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106,195.00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141,427.90</w:t>
            </w:r>
          </w:p>
        </w:tc>
      </w:tr>
    </w:tbl>
    <w:p>
      <w:pPr>
        <w:pStyle w:val="BodyText"/>
        <w:spacing w:line="240" w:lineRule="auto" w:before="51"/>
        <w:ind w:right="0"/>
        <w:jc w:val="left"/>
      </w:pPr>
      <w:r>
        <w:rPr/>
        <w:t>计入当期损益的政府补助：</w:t>
      </w:r>
    </w:p>
    <w:p>
      <w:pPr>
        <w:pStyle w:val="BodyText"/>
        <w:spacing w:line="240" w:lineRule="auto" w:before="116"/>
        <w:ind w:left="0" w:right="1131"/>
        <w:jc w:val="right"/>
      </w:pPr>
      <w:r>
        <w:rPr/>
        <w:t>单位： 元</w:t>
      </w:r>
    </w:p>
    <w:p>
      <w:pPr>
        <w:spacing w:line="240" w:lineRule="auto" w:before="9"/>
        <w:rPr>
          <w:rFonts w:ascii="宋体" w:hAnsi="宋体" w:cs="宋体" w:eastAsia="宋体" w:hint="default"/>
          <w:sz w:val="7"/>
          <w:szCs w:val="7"/>
        </w:rPr>
      </w:pPr>
    </w:p>
    <w:p>
      <w:pPr>
        <w:spacing w:line="6085" w:lineRule="exact"/>
        <w:ind w:left="144" w:right="0" w:firstLine="0"/>
        <w:rPr>
          <w:rFonts w:ascii="宋体" w:hAnsi="宋体" w:cs="宋体" w:eastAsia="宋体" w:hint="default"/>
          <w:sz w:val="20"/>
          <w:szCs w:val="20"/>
        </w:rPr>
      </w:pPr>
      <w:r>
        <w:rPr>
          <w:rFonts w:ascii="宋体" w:hAnsi="宋体" w:cs="宋体" w:eastAsia="宋体" w:hint="default"/>
          <w:position w:val="-121"/>
          <w:sz w:val="20"/>
          <w:szCs w:val="20"/>
        </w:rPr>
        <w:pict>
          <v:group style="width:479.4pt;height:304.3pt;mso-position-horizontal-relative:char;mso-position-vertical-relative:line" coordorigin="0,0" coordsize="9588,6086">
            <v:group style="position:absolute;left:14;top:14;width:1055;height:705" coordorigin="14,14" coordsize="1055,705">
              <v:shape style="position:absolute;left:14;top:14;width:1055;height:705" coordorigin="14,14" coordsize="1055,705" path="m14,719l1069,719,1069,14,14,14,14,719xe" filled="true" fillcolor="#d3d3d3" stroked="false">
                <v:path arrowok="t"/>
                <v:fill type="solid"/>
              </v:shape>
            </v:group>
            <v:group style="position:absolute;left:37;top:170;width:1010;height:393" coordorigin="37,170" coordsize="1010,393">
              <v:shape style="position:absolute;left:37;top:170;width:1010;height:393" coordorigin="37,170" coordsize="1010,393" path="m37,563l1046,563,1046,170,37,170,37,563xe" filled="true" fillcolor="#d3d3d3" stroked="false">
                <v:path arrowok="t"/>
                <v:fill type="solid"/>
              </v:shape>
            </v:group>
            <v:group style="position:absolute;left:1080;top:14;width:1053;height:705" coordorigin="1080,14" coordsize="1053,705">
              <v:shape style="position:absolute;left:1080;top:14;width:1053;height:705" coordorigin="1080,14" coordsize="1053,705" path="m1080,719l2132,719,2132,14,1080,14,1080,719xe" filled="true" fillcolor="#d3d3d3" stroked="false">
                <v:path arrowok="t"/>
                <v:fill type="solid"/>
              </v:shape>
            </v:group>
            <v:group style="position:absolute;left:1103;top:170;width:1007;height:393" coordorigin="1103,170" coordsize="1007,393">
              <v:shape style="position:absolute;left:1103;top:170;width:1007;height:393" coordorigin="1103,170" coordsize="1007,393" path="m1103,563l2110,563,2110,170,1103,170,1103,563xe" filled="true" fillcolor="#d3d3d3" stroked="false">
                <v:path arrowok="t"/>
                <v:fill type="solid"/>
              </v:shape>
            </v:group>
            <v:group style="position:absolute;left:2142;top:14;width:1054;height:705" coordorigin="2142,14" coordsize="1054,705">
              <v:shape style="position:absolute;left:2142;top:14;width:1054;height:705" coordorigin="2142,14" coordsize="1054,705" path="m2142,719l3196,719,3196,14,2142,14,2142,719xe" filled="true" fillcolor="#d3d3d3" stroked="false">
                <v:path arrowok="t"/>
                <v:fill type="solid"/>
              </v:shape>
            </v:group>
            <v:group style="position:absolute;left:2166;top:170;width:1007;height:393" coordorigin="2166,170" coordsize="1007,393">
              <v:shape style="position:absolute;left:2166;top:170;width:1007;height:393" coordorigin="2166,170" coordsize="1007,393" path="m2166,563l3173,563,3173,170,2166,170,2166,563xe" filled="true" fillcolor="#d3d3d3" stroked="false">
                <v:path arrowok="t"/>
                <v:fill type="solid"/>
              </v:shape>
            </v:group>
            <v:group style="position:absolute;left:3205;top:14;width:1054;height:705" coordorigin="3205,14" coordsize="1054,705">
              <v:shape style="position:absolute;left:3205;top:14;width:1054;height:705" coordorigin="3205,14" coordsize="1054,705" path="m3205,719l4259,719,4259,14,3205,14,3205,719xe" filled="true" fillcolor="#d3d3d3" stroked="false">
                <v:path arrowok="t"/>
                <v:fill type="solid"/>
              </v:shape>
            </v:group>
            <v:group style="position:absolute;left:3228;top:170;width:1008;height:393" coordorigin="3228,170" coordsize="1008,393">
              <v:shape style="position:absolute;left:3228;top:170;width:1008;height:393" coordorigin="3228,170" coordsize="1008,393" path="m3228,563l4236,563,4236,170,3228,170,3228,563xe" filled="true" fillcolor="#d3d3d3" stroked="false">
                <v:path arrowok="t"/>
                <v:fill type="solid"/>
              </v:shape>
            </v:group>
            <v:group style="position:absolute;left:4268;top:14;width:1054;height:705" coordorigin="4268,14" coordsize="1054,705">
              <v:shape style="position:absolute;left:4268;top:14;width:1054;height:705" coordorigin="4268,14" coordsize="1054,705" path="m4268,719l5322,719,5322,14,4268,14,4268,719xe" filled="true" fillcolor="#d3d3d3" stroked="false">
                <v:path arrowok="t"/>
                <v:fill type="solid"/>
              </v:shape>
            </v:group>
            <v:group style="position:absolute;left:4291;top:14;width:1007;height:352" coordorigin="4291,14" coordsize="1007,352">
              <v:shape style="position:absolute;left:4291;top:14;width:1007;height:352" coordorigin="4291,14" coordsize="1007,352" path="m4291,366l5298,366,5298,14,4291,14,4291,366xe" filled="true" fillcolor="#d3d3d3" stroked="false">
                <v:path arrowok="t"/>
                <v:fill type="solid"/>
              </v:shape>
            </v:group>
            <v:group style="position:absolute;left:4291;top:366;width:1007;height:353" coordorigin="4291,366" coordsize="1007,353">
              <v:shape style="position:absolute;left:4291;top:366;width:1007;height:353" coordorigin="4291,366" coordsize="1007,353" path="m4291,719l5298,719,5298,366,4291,366,4291,719xe" filled="true" fillcolor="#d3d3d3" stroked="false">
                <v:path arrowok="t"/>
                <v:fill type="solid"/>
              </v:shape>
            </v:group>
            <v:group style="position:absolute;left:5332;top:14;width:1053;height:705" coordorigin="5332,14" coordsize="1053,705">
              <v:shape style="position:absolute;left:5332;top:14;width:1053;height:705" coordorigin="5332,14" coordsize="1053,705" path="m5332,719l6384,719,6384,14,5332,14,5332,719xe" filled="true" fillcolor="#d3d3d3" stroked="false">
                <v:path arrowok="t"/>
                <v:fill type="solid"/>
              </v:shape>
            </v:group>
            <v:group style="position:absolute;left:5354;top:14;width:1007;height:352" coordorigin="5354,14" coordsize="1007,352">
              <v:shape style="position:absolute;left:5354;top:14;width:1007;height:352" coordorigin="5354,14" coordsize="1007,352" path="m5354,366l6361,366,6361,14,5354,14,5354,366xe" filled="true" fillcolor="#d3d3d3" stroked="false">
                <v:path arrowok="t"/>
                <v:fill type="solid"/>
              </v:shape>
            </v:group>
            <v:group style="position:absolute;left:5354;top:366;width:1007;height:353" coordorigin="5354,366" coordsize="1007,353">
              <v:shape style="position:absolute;left:5354;top:366;width:1007;height:353" coordorigin="5354,366" coordsize="1007,353" path="m5354,719l6361,719,6361,366,5354,366,5354,719xe" filled="true" fillcolor="#d3d3d3" stroked="false">
                <v:path arrowok="t"/>
                <v:fill type="solid"/>
              </v:shape>
            </v:group>
            <v:group style="position:absolute;left:6395;top:14;width:1053;height:705" coordorigin="6395,14" coordsize="1053,705">
              <v:shape style="position:absolute;left:6395;top:14;width:1053;height:705" coordorigin="6395,14" coordsize="1053,705" path="m6395,719l7447,719,7447,14,6395,14,6395,719xe" filled="true" fillcolor="#d3d3d3" stroked="false">
                <v:path arrowok="t"/>
                <v:fill type="solid"/>
              </v:shape>
            </v:group>
            <v:group style="position:absolute;left:6418;top:14;width:1007;height:352" coordorigin="6418,14" coordsize="1007,352">
              <v:shape style="position:absolute;left:6418;top:14;width:1007;height:352" coordorigin="6418,14" coordsize="1007,352" path="m6418,366l7424,366,7424,14,6418,14,6418,366xe" filled="true" fillcolor="#d3d3d3" stroked="false">
                <v:path arrowok="t"/>
                <v:fill type="solid"/>
              </v:shape>
            </v:group>
            <v:group style="position:absolute;left:6418;top:366;width:1007;height:353" coordorigin="6418,366" coordsize="1007,353">
              <v:shape style="position:absolute;left:6418;top:366;width:1007;height:353" coordorigin="6418,366" coordsize="1007,353" path="m6418,719l7424,719,7424,366,6418,366,6418,719xe" filled="true" fillcolor="#d3d3d3" stroked="false">
                <v:path arrowok="t"/>
                <v:fill type="solid"/>
              </v:shape>
            </v:group>
            <v:group style="position:absolute;left:7458;top:14;width:1053;height:705" coordorigin="7458,14" coordsize="1053,705">
              <v:shape style="position:absolute;left:7458;top:14;width:1053;height:705" coordorigin="7458,14" coordsize="1053,705" path="m7458,719l8510,719,8510,14,7458,14,7458,719xe" filled="true" fillcolor="#d3d3d3" stroked="false">
                <v:path arrowok="t"/>
                <v:fill type="solid"/>
              </v:shape>
            </v:group>
            <v:group style="position:absolute;left:7481;top:14;width:1007;height:352" coordorigin="7481,14" coordsize="1007,352">
              <v:shape style="position:absolute;left:7481;top:14;width:1007;height:352" coordorigin="7481,14" coordsize="1007,352" path="m7481,366l8488,366,8488,14,7481,14,7481,366xe" filled="true" fillcolor="#d3d3d3" stroked="false">
                <v:path arrowok="t"/>
                <v:fill type="solid"/>
              </v:shape>
            </v:group>
            <v:group style="position:absolute;left:7481;top:366;width:1007;height:353" coordorigin="7481,366" coordsize="1007,353">
              <v:shape style="position:absolute;left:7481;top:366;width:1007;height:353" coordorigin="7481,366" coordsize="1007,353" path="m7481,719l8488,719,8488,366,7481,366,7481,719xe" filled="true" fillcolor="#d3d3d3" stroked="false">
                <v:path arrowok="t"/>
                <v:fill type="solid"/>
              </v:shape>
            </v:group>
            <v:group style="position:absolute;left:8521;top:14;width:1053;height:705" coordorigin="8521,14" coordsize="1053,705">
              <v:shape style="position:absolute;left:8521;top:14;width:1053;height:705" coordorigin="8521,14" coordsize="1053,705" path="m8521,719l9574,719,9574,14,8521,14,8521,719xe" filled="true" fillcolor="#d3d3d3" stroked="false">
                <v:path arrowok="t"/>
                <v:fill type="solid"/>
              </v:shape>
            </v:group>
            <v:group style="position:absolute;left:8544;top:14;width:1007;height:352" coordorigin="8544,14" coordsize="1007,352">
              <v:shape style="position:absolute;left:8544;top:14;width:1007;height:352" coordorigin="8544,14" coordsize="1007,352" path="m8544,366l9551,366,9551,14,8544,14,8544,366xe" filled="true" fillcolor="#d3d3d3" stroked="false">
                <v:path arrowok="t"/>
                <v:fill type="solid"/>
              </v:shape>
            </v:group>
            <v:group style="position:absolute;left:8544;top:366;width:1007;height:353" coordorigin="8544,366" coordsize="1007,353">
              <v:shape style="position:absolute;left:8544;top:366;width:1007;height:353" coordorigin="8544,366" coordsize="1007,353" path="m8544,719l9551,719,9551,366,8544,366,8544,719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7998pt" strokecolor="#000000">
                <v:path arrowok="t"/>
              </v:shape>
            </v:group>
            <v:group style="position:absolute;left:10;top:5;width:2;height:714" coordorigin="10,5" coordsize="2,714">
              <v:shape style="position:absolute;left:10;top:5;width:2;height:714" coordorigin="10,5" coordsize="0,714" path="m10,5l10,719e" filled="false" stroked="true" strokeweight=".48001pt" strokecolor="#000000">
                <v:path arrowok="t"/>
              </v:shape>
            </v:group>
            <v:group style="position:absolute;left:1075;top:14;width:2;height:705" coordorigin="1075,14" coordsize="2,705">
              <v:shape style="position:absolute;left:1075;top:14;width:2;height:705" coordorigin="1075,14" coordsize="0,705" path="m1075,14l1075,719e" filled="false" stroked="true" strokeweight=".48pt" strokecolor="#000000">
                <v:path arrowok="t"/>
              </v:shape>
            </v:group>
            <v:group style="position:absolute;left:2137;top:14;width:2;height:705" coordorigin="2137,14" coordsize="2,705">
              <v:shape style="position:absolute;left:2137;top:14;width:2;height:705" coordorigin="2137,14" coordsize="0,705" path="m2137,14l2137,719e" filled="false" stroked="true" strokeweight=".48001pt" strokecolor="#000000">
                <v:path arrowok="t"/>
              </v:shape>
            </v:group>
            <v:group style="position:absolute;left:3200;top:14;width:2;height:705" coordorigin="3200,14" coordsize="2,705">
              <v:shape style="position:absolute;left:3200;top:14;width:2;height:705" coordorigin="3200,14" coordsize="0,705" path="m3200,14l3200,719e" filled="false" stroked="true" strokeweight=".48pt" strokecolor="#000000">
                <v:path arrowok="t"/>
              </v:shape>
            </v:group>
            <v:group style="position:absolute;left:4264;top:14;width:2;height:705" coordorigin="4264,14" coordsize="2,705">
              <v:shape style="position:absolute;left:4264;top:14;width:2;height:705" coordorigin="4264,14" coordsize="0,705" path="m4264,14l4264,719e" filled="false" stroked="true" strokeweight=".48001pt" strokecolor="#000000">
                <v:path arrowok="t"/>
              </v:shape>
            </v:group>
            <v:group style="position:absolute;left:5327;top:14;width:2;height:705" coordorigin="5327,14" coordsize="2,705">
              <v:shape style="position:absolute;left:5327;top:14;width:2;height:705" coordorigin="5327,14" coordsize="0,705" path="m5327,14l5327,719e" filled="false" stroked="true" strokeweight=".48001pt" strokecolor="#000000">
                <v:path arrowok="t"/>
              </v:shape>
            </v:group>
            <v:group style="position:absolute;left:6390;top:14;width:2;height:705" coordorigin="6390,14" coordsize="2,705">
              <v:shape style="position:absolute;left:6390;top:14;width:2;height:705" coordorigin="6390,14" coordsize="0,705" path="m6390,14l6390,719e" filled="false" stroked="true" strokeweight=".47998pt" strokecolor="#000000">
                <v:path arrowok="t"/>
              </v:shape>
            </v:group>
            <v:group style="position:absolute;left:7453;top:14;width:2;height:705" coordorigin="7453,14" coordsize="2,705">
              <v:shape style="position:absolute;left:7453;top:14;width:2;height:705" coordorigin="7453,14" coordsize="0,705" path="m7453,14l7453,719e" filled="false" stroked="true" strokeweight=".48001pt" strokecolor="#000000">
                <v:path arrowok="t"/>
              </v:shape>
            </v:group>
            <v:group style="position:absolute;left:8515;top:14;width:2;height:705" coordorigin="8515,14" coordsize="2,705">
              <v:shape style="position:absolute;left:8515;top:14;width:2;height:705" coordorigin="8515,14" coordsize="0,705" path="m8515,14l8515,719e" filled="false" stroked="true" strokeweight=".47998pt" strokecolor="#000000">
                <v:path arrowok="t"/>
              </v:shape>
            </v:group>
            <v:group style="position:absolute;left:9578;top:5;width:2;height:714" coordorigin="9578,5" coordsize="2,714">
              <v:shape style="position:absolute;left:9578;top:5;width:2;height:714" coordorigin="9578,5" coordsize="0,714" path="m9578,5l9578,719e" filled="false" stroked="true" strokeweight=".47998pt" strokecolor="#000000">
                <v:path arrowok="t"/>
              </v:shape>
            </v:group>
            <v:group style="position:absolute;left:4268;top:728;width:1054;height:1329" coordorigin="4268,728" coordsize="1054,1329">
              <v:shape style="position:absolute;left:4268;top:728;width:1054;height:1329" coordorigin="4268,728" coordsize="1054,1329" path="m4268,2057l5322,2057,5322,728,4268,728,4268,2057xe" filled="true" fillcolor="#ffffff" stroked="false">
                <v:path arrowok="t"/>
                <v:fill type="solid"/>
              </v:shape>
            </v:group>
            <v:group style="position:absolute;left:4291;top:1196;width:1007;height:393" coordorigin="4291,1196" coordsize="1007,393">
              <v:shape style="position:absolute;left:4291;top:1196;width:1007;height:393" coordorigin="4291,1196" coordsize="1007,393" path="m4291,1589l5298,1589,5298,1196,4291,1196,4291,1589xe" filled="true" fillcolor="#ffffff" stroked="false">
                <v:path arrowok="t"/>
                <v:fill type="solid"/>
              </v:shape>
            </v:group>
            <v:group style="position:absolute;left:5;top:724;width:9579;height:2" coordorigin="5,724" coordsize="9579,2">
              <v:shape style="position:absolute;left:5;top:724;width:9579;height:2" coordorigin="5,724" coordsize="9579,0" path="m5,724l9583,724e" filled="false" stroked="true" strokeweight=".48001pt" strokecolor="#000000">
                <v:path arrowok="t"/>
              </v:shape>
            </v:group>
            <v:group style="position:absolute;left:10;top:728;width:2;height:1329" coordorigin="10,728" coordsize="2,1329">
              <v:shape style="position:absolute;left:10;top:728;width:2;height:1329" coordorigin="10,728" coordsize="0,1329" path="m10,728l10,2057e" filled="false" stroked="true" strokeweight=".48001pt" strokecolor="#000000">
                <v:path arrowok="t"/>
              </v:shape>
            </v:group>
            <v:group style="position:absolute;left:1075;top:728;width:2;height:1329" coordorigin="1075,728" coordsize="2,1329">
              <v:shape style="position:absolute;left:1075;top:728;width:2;height:1329" coordorigin="1075,728" coordsize="0,1329" path="m1075,728l1075,2057e" filled="false" stroked="true" strokeweight=".48pt" strokecolor="#000000">
                <v:path arrowok="t"/>
              </v:shape>
            </v:group>
            <v:group style="position:absolute;left:2137;top:728;width:2;height:1329" coordorigin="2137,728" coordsize="2,1329">
              <v:shape style="position:absolute;left:2137;top:728;width:2;height:1329" coordorigin="2137,728" coordsize="0,1329" path="m2137,728l2137,2057e" filled="false" stroked="true" strokeweight=".48001pt" strokecolor="#000000">
                <v:path arrowok="t"/>
              </v:shape>
            </v:group>
            <v:group style="position:absolute;left:3200;top:728;width:2;height:1329" coordorigin="3200,728" coordsize="2,1329">
              <v:shape style="position:absolute;left:3200;top:728;width:2;height:1329" coordorigin="3200,728" coordsize="0,1329" path="m3200,728l3200,2057e" filled="false" stroked="true" strokeweight=".48pt" strokecolor="#000000">
                <v:path arrowok="t"/>
              </v:shape>
            </v:group>
            <v:group style="position:absolute;left:4264;top:728;width:2;height:1329" coordorigin="4264,728" coordsize="2,1329">
              <v:shape style="position:absolute;left:4264;top:728;width:2;height:1329" coordorigin="4264,728" coordsize="0,1329" path="m4264,728l4264,2057e" filled="false" stroked="true" strokeweight=".48001pt" strokecolor="#000000">
                <v:path arrowok="t"/>
              </v:shape>
            </v:group>
            <v:group style="position:absolute;left:5327;top:728;width:2;height:1329" coordorigin="5327,728" coordsize="2,1329">
              <v:shape style="position:absolute;left:5327;top:728;width:2;height:1329" coordorigin="5327,728" coordsize="0,1329" path="m5327,728l5327,2057e" filled="false" stroked="true" strokeweight=".48001pt" strokecolor="#000000">
                <v:path arrowok="t"/>
              </v:shape>
            </v:group>
            <v:group style="position:absolute;left:6390;top:728;width:2;height:1329" coordorigin="6390,728" coordsize="2,1329">
              <v:shape style="position:absolute;left:6390;top:728;width:2;height:1329" coordorigin="6390,728" coordsize="0,1329" path="m6390,728l6390,2057e" filled="false" stroked="true" strokeweight=".47998pt" strokecolor="#000000">
                <v:path arrowok="t"/>
              </v:shape>
            </v:group>
            <v:group style="position:absolute;left:7453;top:728;width:2;height:1329" coordorigin="7453,728" coordsize="2,1329">
              <v:shape style="position:absolute;left:7453;top:728;width:2;height:1329" coordorigin="7453,728" coordsize="0,1329" path="m7453,728l7453,2057e" filled="false" stroked="true" strokeweight=".48001pt" strokecolor="#000000">
                <v:path arrowok="t"/>
              </v:shape>
            </v:group>
            <v:group style="position:absolute;left:8515;top:728;width:2;height:1329" coordorigin="8515,728" coordsize="2,1329">
              <v:shape style="position:absolute;left:8515;top:728;width:2;height:1329" coordorigin="8515,728" coordsize="0,1329" path="m8515,728l8515,2057e" filled="false" stroked="true" strokeweight=".47998pt" strokecolor="#000000">
                <v:path arrowok="t"/>
              </v:shape>
            </v:group>
            <v:group style="position:absolute;left:9578;top:728;width:2;height:1329" coordorigin="9578,728" coordsize="2,1329">
              <v:shape style="position:absolute;left:9578;top:728;width:2;height:1329" coordorigin="9578,728" coordsize="0,1329" path="m9578,728l9578,2057e" filled="false" stroked="true" strokeweight=".47998pt" strokecolor="#000000">
                <v:path arrowok="t"/>
              </v:shape>
            </v:group>
            <v:group style="position:absolute;left:4268;top:2066;width:1054;height:1329" coordorigin="4268,2066" coordsize="1054,1329">
              <v:shape style="position:absolute;left:4268;top:2066;width:1054;height:1329" coordorigin="4268,2066" coordsize="1054,1329" path="m4268,3395l5322,3395,5322,2066,4268,2066,4268,3395xe" filled="true" fillcolor="#ffffff" stroked="false">
                <v:path arrowok="t"/>
                <v:fill type="solid"/>
              </v:shape>
            </v:group>
            <v:group style="position:absolute;left:4291;top:2534;width:1007;height:393" coordorigin="4291,2534" coordsize="1007,393">
              <v:shape style="position:absolute;left:4291;top:2534;width:1007;height:393" coordorigin="4291,2534" coordsize="1007,393" path="m4291,2927l5298,2927,5298,2534,4291,2534,4291,2927xe" filled="true" fillcolor="#ffffff" stroked="false">
                <v:path arrowok="t"/>
                <v:fill type="solid"/>
              </v:shape>
            </v:group>
            <v:group style="position:absolute;left:5;top:2062;width:9579;height:2" coordorigin="5,2062" coordsize="9579,2">
              <v:shape style="position:absolute;left:5;top:2062;width:9579;height:2" coordorigin="5,2062" coordsize="9579,0" path="m5,2062l9583,2062e" filled="false" stroked="true" strokeweight=".48001pt" strokecolor="#000000">
                <v:path arrowok="t"/>
              </v:shape>
            </v:group>
            <v:group style="position:absolute;left:10;top:2066;width:2;height:1329" coordorigin="10,2066" coordsize="2,1329">
              <v:shape style="position:absolute;left:10;top:2066;width:2;height:1329" coordorigin="10,2066" coordsize="0,1329" path="m10,2066l10,3395e" filled="false" stroked="true" strokeweight=".48001pt" strokecolor="#000000">
                <v:path arrowok="t"/>
              </v:shape>
            </v:group>
            <v:group style="position:absolute;left:1075;top:2066;width:2;height:1329" coordorigin="1075,2066" coordsize="2,1329">
              <v:shape style="position:absolute;left:1075;top:2066;width:2;height:1329" coordorigin="1075,2066" coordsize="0,1329" path="m1075,2066l1075,3395e" filled="false" stroked="true" strokeweight=".48pt" strokecolor="#000000">
                <v:path arrowok="t"/>
              </v:shape>
            </v:group>
            <v:group style="position:absolute;left:2137;top:2066;width:2;height:1329" coordorigin="2137,2066" coordsize="2,1329">
              <v:shape style="position:absolute;left:2137;top:2066;width:2;height:1329" coordorigin="2137,2066" coordsize="0,1329" path="m2137,2066l2137,3395e" filled="false" stroked="true" strokeweight=".48001pt" strokecolor="#000000">
                <v:path arrowok="t"/>
              </v:shape>
            </v:group>
            <v:group style="position:absolute;left:3200;top:2066;width:2;height:1329" coordorigin="3200,2066" coordsize="2,1329">
              <v:shape style="position:absolute;left:3200;top:2066;width:2;height:1329" coordorigin="3200,2066" coordsize="0,1329" path="m3200,2066l3200,3395e" filled="false" stroked="true" strokeweight=".48pt" strokecolor="#000000">
                <v:path arrowok="t"/>
              </v:shape>
            </v:group>
            <v:group style="position:absolute;left:4264;top:2066;width:2;height:1329" coordorigin="4264,2066" coordsize="2,1329">
              <v:shape style="position:absolute;left:4264;top:2066;width:2;height:1329" coordorigin="4264,2066" coordsize="0,1329" path="m4264,2066l4264,3395e" filled="false" stroked="true" strokeweight=".48001pt" strokecolor="#000000">
                <v:path arrowok="t"/>
              </v:shape>
            </v:group>
            <v:group style="position:absolute;left:5327;top:2066;width:2;height:1329" coordorigin="5327,2066" coordsize="2,1329">
              <v:shape style="position:absolute;left:5327;top:2066;width:2;height:1329" coordorigin="5327,2066" coordsize="0,1329" path="m5327,2066l5327,3395e" filled="false" stroked="true" strokeweight=".48001pt" strokecolor="#000000">
                <v:path arrowok="t"/>
              </v:shape>
            </v:group>
            <v:group style="position:absolute;left:6390;top:2066;width:2;height:1329" coordorigin="6390,2066" coordsize="2,1329">
              <v:shape style="position:absolute;left:6390;top:2066;width:2;height:1329" coordorigin="6390,2066" coordsize="0,1329" path="m6390,2066l6390,3395e" filled="false" stroked="true" strokeweight=".47998pt" strokecolor="#000000">
                <v:path arrowok="t"/>
              </v:shape>
            </v:group>
            <v:group style="position:absolute;left:7453;top:2066;width:2;height:1329" coordorigin="7453,2066" coordsize="2,1329">
              <v:shape style="position:absolute;left:7453;top:2066;width:2;height:1329" coordorigin="7453,2066" coordsize="0,1329" path="m7453,2066l7453,3395e" filled="false" stroked="true" strokeweight=".48001pt" strokecolor="#000000">
                <v:path arrowok="t"/>
              </v:shape>
            </v:group>
            <v:group style="position:absolute;left:8515;top:2066;width:2;height:1329" coordorigin="8515,2066" coordsize="2,1329">
              <v:shape style="position:absolute;left:8515;top:2066;width:2;height:1329" coordorigin="8515,2066" coordsize="0,1329" path="m8515,2066l8515,3395e" filled="false" stroked="true" strokeweight=".47998pt" strokecolor="#000000">
                <v:path arrowok="t"/>
              </v:shape>
            </v:group>
            <v:group style="position:absolute;left:9578;top:2066;width:2;height:1329" coordorigin="9578,2066" coordsize="2,1329">
              <v:shape style="position:absolute;left:9578;top:2066;width:2;height:1329" coordorigin="9578,2066" coordsize="0,1329" path="m9578,2066l9578,3395e" filled="false" stroked="true" strokeweight=".47998pt" strokecolor="#000000">
                <v:path arrowok="t"/>
              </v:shape>
            </v:group>
            <v:group style="position:absolute;left:4268;top:3404;width:1054;height:1329" coordorigin="4268,3404" coordsize="1054,1329">
              <v:shape style="position:absolute;left:4268;top:3404;width:1054;height:1329" coordorigin="4268,3404" coordsize="1054,1329" path="m4268,4733l5322,4733,5322,3404,4268,3404,4268,4733xe" filled="true" fillcolor="#ffffff" stroked="false">
                <v:path arrowok="t"/>
                <v:fill type="solid"/>
              </v:shape>
            </v:group>
            <v:group style="position:absolute;left:4291;top:3872;width:1007;height:393" coordorigin="4291,3872" coordsize="1007,393">
              <v:shape style="position:absolute;left:4291;top:3872;width:1007;height:393" coordorigin="4291,3872" coordsize="1007,393" path="m4291,4265l5298,4265,5298,3872,4291,3872,4291,4265xe" filled="true" fillcolor="#ffffff" stroked="false">
                <v:path arrowok="t"/>
                <v:fill type="solid"/>
              </v:shape>
            </v:group>
            <v:group style="position:absolute;left:5;top:3400;width:9579;height:2" coordorigin="5,3400" coordsize="9579,2">
              <v:shape style="position:absolute;left:5;top:3400;width:9579;height:2" coordorigin="5,3400" coordsize="9579,0" path="m5,3400l9583,3400e" filled="false" stroked="true" strokeweight=".48pt" strokecolor="#000000">
                <v:path arrowok="t"/>
              </v:shape>
            </v:group>
            <v:group style="position:absolute;left:10;top:3404;width:2;height:1329" coordorigin="10,3404" coordsize="2,1329">
              <v:shape style="position:absolute;left:10;top:3404;width:2;height:1329" coordorigin="10,3404" coordsize="0,1329" path="m10,3404l10,4733e" filled="false" stroked="true" strokeweight=".48001pt" strokecolor="#000000">
                <v:path arrowok="t"/>
              </v:shape>
            </v:group>
            <v:group style="position:absolute;left:1075;top:3404;width:2;height:1329" coordorigin="1075,3404" coordsize="2,1329">
              <v:shape style="position:absolute;left:1075;top:3404;width:2;height:1329" coordorigin="1075,3404" coordsize="0,1329" path="m1075,3404l1075,4733e" filled="false" stroked="true" strokeweight=".48pt" strokecolor="#000000">
                <v:path arrowok="t"/>
              </v:shape>
            </v:group>
            <v:group style="position:absolute;left:2137;top:3404;width:2;height:1329" coordorigin="2137,3404" coordsize="2,1329">
              <v:shape style="position:absolute;left:2137;top:3404;width:2;height:1329" coordorigin="2137,3404" coordsize="0,1329" path="m2137,3404l2137,4733e" filled="false" stroked="true" strokeweight=".48001pt" strokecolor="#000000">
                <v:path arrowok="t"/>
              </v:shape>
            </v:group>
            <v:group style="position:absolute;left:3200;top:3404;width:2;height:1329" coordorigin="3200,3404" coordsize="2,1329">
              <v:shape style="position:absolute;left:3200;top:3404;width:2;height:1329" coordorigin="3200,3404" coordsize="0,1329" path="m3200,3404l3200,4733e" filled="false" stroked="true" strokeweight=".48pt" strokecolor="#000000">
                <v:path arrowok="t"/>
              </v:shape>
            </v:group>
            <v:group style="position:absolute;left:4264;top:3404;width:2;height:1329" coordorigin="4264,3404" coordsize="2,1329">
              <v:shape style="position:absolute;left:4264;top:3404;width:2;height:1329" coordorigin="4264,3404" coordsize="0,1329" path="m4264,3404l4264,4733e" filled="false" stroked="true" strokeweight=".48001pt" strokecolor="#000000">
                <v:path arrowok="t"/>
              </v:shape>
            </v:group>
            <v:group style="position:absolute;left:5327;top:3404;width:2;height:1329" coordorigin="5327,3404" coordsize="2,1329">
              <v:shape style="position:absolute;left:5327;top:3404;width:2;height:1329" coordorigin="5327,3404" coordsize="0,1329" path="m5327,3404l5327,4733e" filled="false" stroked="true" strokeweight=".48001pt" strokecolor="#000000">
                <v:path arrowok="t"/>
              </v:shape>
            </v:group>
            <v:group style="position:absolute;left:6390;top:3404;width:2;height:1329" coordorigin="6390,3404" coordsize="2,1329">
              <v:shape style="position:absolute;left:6390;top:3404;width:2;height:1329" coordorigin="6390,3404" coordsize="0,1329" path="m6390,3404l6390,4733e" filled="false" stroked="true" strokeweight=".47998pt" strokecolor="#000000">
                <v:path arrowok="t"/>
              </v:shape>
            </v:group>
            <v:group style="position:absolute;left:7453;top:3404;width:2;height:1329" coordorigin="7453,3404" coordsize="2,1329">
              <v:shape style="position:absolute;left:7453;top:3404;width:2;height:1329" coordorigin="7453,3404" coordsize="0,1329" path="m7453,3404l7453,4733e" filled="false" stroked="true" strokeweight=".48001pt" strokecolor="#000000">
                <v:path arrowok="t"/>
              </v:shape>
            </v:group>
            <v:group style="position:absolute;left:8515;top:3404;width:2;height:1329" coordorigin="8515,3404" coordsize="2,1329">
              <v:shape style="position:absolute;left:8515;top:3404;width:2;height:1329" coordorigin="8515,3404" coordsize="0,1329" path="m8515,3404l8515,4733e" filled="false" stroked="true" strokeweight=".47998pt" strokecolor="#000000">
                <v:path arrowok="t"/>
              </v:shape>
            </v:group>
            <v:group style="position:absolute;left:9578;top:3404;width:2;height:1329" coordorigin="9578,3404" coordsize="2,1329">
              <v:shape style="position:absolute;left:9578;top:3404;width:2;height:1329" coordorigin="9578,3404" coordsize="0,1329" path="m9578,3404l9578,4733e" filled="false" stroked="true" strokeweight=".47998pt" strokecolor="#000000">
                <v:path arrowok="t"/>
              </v:shape>
            </v:group>
            <v:group style="position:absolute;left:4268;top:4742;width:1054;height:1329" coordorigin="4268,4742" coordsize="1054,1329">
              <v:shape style="position:absolute;left:4268;top:4742;width:1054;height:1329" coordorigin="4268,4742" coordsize="1054,1329" path="m4268,6071l5322,6071,5322,4742,4268,4742,4268,6071xe" filled="true" fillcolor="#ffffff" stroked="false">
                <v:path arrowok="t"/>
                <v:fill type="solid"/>
              </v:shape>
            </v:group>
            <v:group style="position:absolute;left:4291;top:5210;width:1007;height:393" coordorigin="4291,5210" coordsize="1007,393">
              <v:shape style="position:absolute;left:4291;top:5210;width:1007;height:393" coordorigin="4291,5210" coordsize="1007,393" path="m4291,5603l5298,5603,5298,5210,4291,5210,4291,5603xe" filled="true" fillcolor="#ffffff" stroked="false">
                <v:path arrowok="t"/>
                <v:fill type="solid"/>
              </v:shape>
            </v:group>
            <v:group style="position:absolute;left:5;top:4738;width:9579;height:2" coordorigin="5,4738" coordsize="9579,2">
              <v:shape style="position:absolute;left:5;top:4738;width:9579;height:2" coordorigin="5,4738" coordsize="9579,0" path="m5,4738l9583,4738e" filled="false" stroked="true" strokeweight=".48001pt" strokecolor="#000000">
                <v:path arrowok="t"/>
              </v:shape>
            </v:group>
            <v:group style="position:absolute;left:10;top:4742;width:2;height:1338" coordorigin="10,4742" coordsize="2,1338">
              <v:shape style="position:absolute;left:10;top:4742;width:2;height:1338" coordorigin="10,4742" coordsize="0,1338" path="m10,4742l10,6080e" filled="false" stroked="true" strokeweight=".48001pt" strokecolor="#000000">
                <v:path arrowok="t"/>
              </v:shape>
            </v:group>
            <v:group style="position:absolute;left:5;top:6076;width:1066;height:2" coordorigin="5,6076" coordsize="1066,2">
              <v:shape style="position:absolute;left:5;top:6076;width:1066;height:2" coordorigin="5,6076" coordsize="1066,0" path="m5,6076l1070,6076e" filled="false" stroked="true" strokeweight=".48001pt" strokecolor="#000000">
                <v:path arrowok="t"/>
              </v:shape>
            </v:group>
            <v:group style="position:absolute;left:1075;top:4742;width:2;height:1338" coordorigin="1075,4742" coordsize="2,1338">
              <v:shape style="position:absolute;left:1075;top:4742;width:2;height:1338" coordorigin="1075,4742" coordsize="0,1338" path="m1075,4742l1075,6080e" filled="false" stroked="true" strokeweight=".48pt" strokecolor="#000000">
                <v:path arrowok="t"/>
              </v:shape>
            </v:group>
            <v:group style="position:absolute;left:1080;top:6076;width:1053;height:2" coordorigin="1080,6076" coordsize="1053,2">
              <v:shape style="position:absolute;left:1080;top:6076;width:1053;height:2" coordorigin="1080,6076" coordsize="1053,0" path="m1080,6076l2132,6076e" filled="false" stroked="true" strokeweight=".48001pt" strokecolor="#000000">
                <v:path arrowok="t"/>
              </v:shape>
            </v:group>
            <v:group style="position:absolute;left:2137;top:4742;width:2;height:1338" coordorigin="2137,4742" coordsize="2,1338">
              <v:shape style="position:absolute;left:2137;top:4742;width:2;height:1338" coordorigin="2137,4742" coordsize="0,1338" path="m2137,4742l2137,6080e" filled="false" stroked="true" strokeweight=".48001pt" strokecolor="#000000">
                <v:path arrowok="t"/>
              </v:shape>
            </v:group>
            <v:group style="position:absolute;left:2142;top:6076;width:1054;height:2" coordorigin="2142,6076" coordsize="1054,2">
              <v:shape style="position:absolute;left:2142;top:6076;width:1054;height:2" coordorigin="2142,6076" coordsize="1054,0" path="m2142,6076l3196,6076e" filled="false" stroked="true" strokeweight=".48001pt" strokecolor="#000000">
                <v:path arrowok="t"/>
              </v:shape>
            </v:group>
            <v:group style="position:absolute;left:3200;top:4742;width:2;height:1338" coordorigin="3200,4742" coordsize="2,1338">
              <v:shape style="position:absolute;left:3200;top:4742;width:2;height:1338" coordorigin="3200,4742" coordsize="0,1338" path="m3200,4742l3200,6080e" filled="false" stroked="true" strokeweight=".48pt" strokecolor="#000000">
                <v:path arrowok="t"/>
              </v:shape>
            </v:group>
            <v:group style="position:absolute;left:3205;top:6076;width:1054;height:2" coordorigin="3205,6076" coordsize="1054,2">
              <v:shape style="position:absolute;left:3205;top:6076;width:1054;height:2" coordorigin="3205,6076" coordsize="1054,0" path="m3205,6076l4259,6076e" filled="false" stroked="true" strokeweight=".48001pt" strokecolor="#000000">
                <v:path arrowok="t"/>
              </v:shape>
            </v:group>
            <v:group style="position:absolute;left:4264;top:4742;width:2;height:1338" coordorigin="4264,4742" coordsize="2,1338">
              <v:shape style="position:absolute;left:4264;top:4742;width:2;height:1338" coordorigin="4264,4742" coordsize="0,1338" path="m4264,4742l4264,6080e" filled="false" stroked="true" strokeweight=".48001pt" strokecolor="#000000">
                <v:path arrowok="t"/>
              </v:shape>
            </v:group>
            <v:group style="position:absolute;left:4268;top:6076;width:1054;height:2" coordorigin="4268,6076" coordsize="1054,2">
              <v:shape style="position:absolute;left:4268;top:6076;width:1054;height:2" coordorigin="4268,6076" coordsize="1054,0" path="m4268,6076l5322,6076e" filled="false" stroked="true" strokeweight=".48001pt" strokecolor="#000000">
                <v:path arrowok="t"/>
              </v:shape>
            </v:group>
            <v:group style="position:absolute;left:5327;top:4742;width:2;height:1338" coordorigin="5327,4742" coordsize="2,1338">
              <v:shape style="position:absolute;left:5327;top:4742;width:2;height:1338" coordorigin="5327,4742" coordsize="0,1338" path="m5327,4742l5327,6080e" filled="false" stroked="true" strokeweight=".48001pt" strokecolor="#000000">
                <v:path arrowok="t"/>
              </v:shape>
            </v:group>
            <v:group style="position:absolute;left:5332;top:6076;width:1054;height:2" coordorigin="5332,6076" coordsize="1054,2">
              <v:shape style="position:absolute;left:5332;top:6076;width:1054;height:2" coordorigin="5332,6076" coordsize="1054,0" path="m5332,6076l6385,6076e" filled="false" stroked="true" strokeweight=".48001pt" strokecolor="#000000">
                <v:path arrowok="t"/>
              </v:shape>
            </v:group>
            <v:group style="position:absolute;left:6390;top:4742;width:2;height:1338" coordorigin="6390,4742" coordsize="2,1338">
              <v:shape style="position:absolute;left:6390;top:4742;width:2;height:1338" coordorigin="6390,4742" coordsize="0,1338" path="m6390,4742l6390,6080e" filled="false" stroked="true" strokeweight=".47998pt" strokecolor="#000000">
                <v:path arrowok="t"/>
              </v:shape>
            </v:group>
            <v:group style="position:absolute;left:6395;top:6076;width:1054;height:2" coordorigin="6395,6076" coordsize="1054,2">
              <v:shape style="position:absolute;left:6395;top:6076;width:1054;height:2" coordorigin="6395,6076" coordsize="1054,0" path="m6395,6076l7448,6076e" filled="false" stroked="true" strokeweight=".48001pt" strokecolor="#000000">
                <v:path arrowok="t"/>
              </v:shape>
            </v:group>
            <v:group style="position:absolute;left:7453;top:4742;width:2;height:1338" coordorigin="7453,4742" coordsize="2,1338">
              <v:shape style="position:absolute;left:7453;top:4742;width:2;height:1338" coordorigin="7453,4742" coordsize="0,1338" path="m7453,4742l7453,6080e" filled="false" stroked="true" strokeweight=".48001pt" strokecolor="#000000">
                <v:path arrowok="t"/>
              </v:shape>
            </v:group>
            <v:group style="position:absolute;left:7458;top:6076;width:1053;height:2" coordorigin="7458,6076" coordsize="1053,2">
              <v:shape style="position:absolute;left:7458;top:6076;width:1053;height:2" coordorigin="7458,6076" coordsize="1053,0" path="m7458,6076l8510,6076e" filled="false" stroked="true" strokeweight=".48001pt" strokecolor="#000000">
                <v:path arrowok="t"/>
              </v:shape>
            </v:group>
            <v:group style="position:absolute;left:8515;top:4742;width:2;height:1338" coordorigin="8515,4742" coordsize="2,1338">
              <v:shape style="position:absolute;left:8515;top:4742;width:2;height:1338" coordorigin="8515,4742" coordsize="0,1338" path="m8515,4742l8515,6080e" filled="false" stroked="true" strokeweight=".47998pt" strokecolor="#000000">
                <v:path arrowok="t"/>
              </v:shape>
            </v:group>
            <v:group style="position:absolute;left:8520;top:6076;width:1054;height:2" coordorigin="8520,6076" coordsize="1054,2">
              <v:shape style="position:absolute;left:8520;top:6076;width:1054;height:2" coordorigin="8520,6076" coordsize="1054,0" path="m8520,6076l9574,6076e" filled="false" stroked="true" strokeweight=".48001pt" strokecolor="#000000">
                <v:path arrowok="t"/>
              </v:shape>
            </v:group>
            <v:group style="position:absolute;left:9578;top:4742;width:2;height:1338" coordorigin="9578,4742" coordsize="2,1338">
              <v:shape style="position:absolute;left:9578;top:4742;width:2;height:1338" coordorigin="9578,4742" coordsize="0,1338" path="m9578,4742l9578,6080e" filled="false" stroked="true" strokeweight=".47998pt" strokecolor="#000000">
                <v:path arrowok="t"/>
              </v:shape>
              <v:shape style="position:absolute;left:10;top:10;width:1066;height:714" type="#_x0000_t202" filled="false" stroked="false">
                <v:textbox inset="0,0,0,0">
                  <w:txbxContent>
                    <w:p>
                      <w:pPr>
                        <w:spacing w:line="240" w:lineRule="auto" w:before="3"/>
                        <w:rPr>
                          <w:rFonts w:ascii="宋体" w:hAnsi="宋体" w:cs="宋体" w:eastAsia="宋体" w:hint="default"/>
                          <w:sz w:val="16"/>
                          <w:szCs w:val="16"/>
                        </w:rPr>
                      </w:pPr>
                    </w:p>
                    <w:p>
                      <w:pPr>
                        <w:spacing w:before="0"/>
                        <w:ind w:left="171" w:right="0" w:firstLine="0"/>
                        <w:jc w:val="left"/>
                        <w:rPr>
                          <w:rFonts w:ascii="宋体" w:hAnsi="宋体" w:cs="宋体" w:eastAsia="宋体" w:hint="default"/>
                          <w:sz w:val="18"/>
                          <w:szCs w:val="18"/>
                        </w:rPr>
                      </w:pPr>
                      <w:r>
                        <w:rPr>
                          <w:rFonts w:ascii="宋体" w:hAnsi="宋体" w:cs="宋体" w:eastAsia="宋体" w:hint="default"/>
                          <w:sz w:val="18"/>
                          <w:szCs w:val="18"/>
                        </w:rPr>
                        <w:t>补助项目</w:t>
                      </w:r>
                    </w:p>
                  </w:txbxContent>
                </v:textbox>
                <w10:wrap type="none"/>
              </v:shape>
              <v:shape style="position:absolute;left:1075;top:10;width:1062;height:714" type="#_x0000_t202" filled="false" stroked="false">
                <v:textbox inset="0,0,0,0">
                  <w:txbxContent>
                    <w:p>
                      <w:pPr>
                        <w:spacing w:line="240" w:lineRule="auto" w:before="3"/>
                        <w:rPr>
                          <w:rFonts w:ascii="宋体" w:hAnsi="宋体" w:cs="宋体" w:eastAsia="宋体" w:hint="default"/>
                          <w:sz w:val="16"/>
                          <w:szCs w:val="16"/>
                        </w:rPr>
                      </w:pPr>
                    </w:p>
                    <w:p>
                      <w:pPr>
                        <w:spacing w:before="0"/>
                        <w:ind w:left="170" w:right="0" w:firstLine="0"/>
                        <w:jc w:val="left"/>
                        <w:rPr>
                          <w:rFonts w:ascii="宋体" w:hAnsi="宋体" w:cs="宋体" w:eastAsia="宋体" w:hint="default"/>
                          <w:sz w:val="18"/>
                          <w:szCs w:val="18"/>
                        </w:rPr>
                      </w:pPr>
                      <w:r>
                        <w:rPr>
                          <w:rFonts w:ascii="宋体" w:hAnsi="宋体" w:cs="宋体" w:eastAsia="宋体" w:hint="default"/>
                          <w:sz w:val="18"/>
                          <w:szCs w:val="18"/>
                        </w:rPr>
                        <w:t>发放主体</w:t>
                      </w:r>
                    </w:p>
                  </w:txbxContent>
                </v:textbox>
                <w10:wrap type="none"/>
              </v:shape>
              <v:shape style="position:absolute;left:2137;top:10;width:1064;height:714" type="#_x0000_t202" filled="false" stroked="false">
                <v:textbox inset="0,0,0,0">
                  <w:txbxContent>
                    <w:p>
                      <w:pPr>
                        <w:spacing w:line="240" w:lineRule="auto" w:before="3"/>
                        <w:rPr>
                          <w:rFonts w:ascii="宋体" w:hAnsi="宋体" w:cs="宋体" w:eastAsia="宋体" w:hint="default"/>
                          <w:sz w:val="16"/>
                          <w:szCs w:val="16"/>
                        </w:rPr>
                      </w:pPr>
                    </w:p>
                    <w:p>
                      <w:pPr>
                        <w:spacing w:before="0"/>
                        <w:ind w:left="171" w:right="0" w:firstLine="0"/>
                        <w:jc w:val="left"/>
                        <w:rPr>
                          <w:rFonts w:ascii="宋体" w:hAnsi="宋体" w:cs="宋体" w:eastAsia="宋体" w:hint="default"/>
                          <w:sz w:val="18"/>
                          <w:szCs w:val="18"/>
                        </w:rPr>
                      </w:pPr>
                      <w:r>
                        <w:rPr>
                          <w:rFonts w:ascii="宋体" w:hAnsi="宋体" w:cs="宋体" w:eastAsia="宋体" w:hint="default"/>
                          <w:sz w:val="18"/>
                          <w:szCs w:val="18"/>
                        </w:rPr>
                        <w:t>发放原因</w:t>
                      </w:r>
                    </w:p>
                  </w:txbxContent>
                </v:textbox>
                <w10:wrap type="none"/>
              </v:shape>
              <v:shape style="position:absolute;left:3200;top:10;width:1064;height:714" type="#_x0000_t202" filled="false" stroked="false">
                <v:textbox inset="0,0,0,0">
                  <w:txbxContent>
                    <w:p>
                      <w:pPr>
                        <w:spacing w:line="240" w:lineRule="auto" w:before="3"/>
                        <w:rPr>
                          <w:rFonts w:ascii="宋体" w:hAnsi="宋体" w:cs="宋体" w:eastAsia="宋体" w:hint="default"/>
                          <w:sz w:val="16"/>
                          <w:szCs w:val="16"/>
                        </w:rPr>
                      </w:pPr>
                    </w:p>
                    <w:p>
                      <w:pPr>
                        <w:spacing w:before="0"/>
                        <w:ind w:left="170" w:right="0" w:firstLine="0"/>
                        <w:jc w:val="left"/>
                        <w:rPr>
                          <w:rFonts w:ascii="宋体" w:hAnsi="宋体" w:cs="宋体" w:eastAsia="宋体" w:hint="default"/>
                          <w:sz w:val="18"/>
                          <w:szCs w:val="18"/>
                        </w:rPr>
                      </w:pPr>
                      <w:r>
                        <w:rPr>
                          <w:rFonts w:ascii="宋体" w:hAnsi="宋体" w:cs="宋体" w:eastAsia="宋体" w:hint="default"/>
                          <w:sz w:val="18"/>
                          <w:szCs w:val="18"/>
                        </w:rPr>
                        <w:t>性质类型</w:t>
                      </w:r>
                    </w:p>
                  </w:txbxContent>
                </v:textbox>
                <w10:wrap type="none"/>
              </v:shape>
              <v:shape style="position:absolute;left:4264;top:10;width:1064;height:714" type="#_x0000_t202" filled="false" stroked="false">
                <v:textbox inset="0,0,0,0">
                  <w:txbxContent>
                    <w:p>
                      <w:pPr>
                        <w:spacing w:line="316" w:lineRule="auto" w:before="56"/>
                        <w:ind w:left="80" w:right="80" w:firstLine="0"/>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xbxContent>
                </v:textbox>
                <w10:wrap type="none"/>
              </v:shape>
              <v:shape style="position:absolute;left:5327;top:10;width:1064;height:714" type="#_x0000_t202" filled="false" stroked="false">
                <v:textbox inset="0,0,0,0">
                  <w:txbxContent>
                    <w:p>
                      <w:pPr>
                        <w:spacing w:line="316" w:lineRule="auto" w:before="56"/>
                        <w:ind w:left="440" w:right="80"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xbxContent>
                </v:textbox>
                <w10:wrap type="none"/>
              </v:shape>
              <v:shape style="position:absolute;left:6390;top:10;width:1064;height:714" type="#_x0000_t202" filled="false" stroked="false">
                <v:textbox inset="0,0,0,0">
                  <w:txbxContent>
                    <w:p>
                      <w:pPr>
                        <w:spacing w:line="316" w:lineRule="auto" w:before="56"/>
                        <w:ind w:left="440" w:right="80"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xbxContent>
                </v:textbox>
                <w10:wrap type="none"/>
              </v:shape>
              <v:shape style="position:absolute;left:7453;top:10;width:1062;height:714" type="#_x0000_t202" filled="false" stroked="false">
                <v:textbox inset="0,0,0,0">
                  <w:txbxContent>
                    <w:p>
                      <w:pPr>
                        <w:spacing w:line="316" w:lineRule="auto" w:before="56"/>
                        <w:ind w:left="440" w:right="79"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xbxContent>
                </v:textbox>
                <w10:wrap type="none"/>
              </v:shape>
              <v:shape style="position:absolute;left:8515;top:10;width:1064;height:714" type="#_x0000_t202" filled="false" stroked="false">
                <v:textbox inset="0,0,0,0">
                  <w:txbxContent>
                    <w:p>
                      <w:pPr>
                        <w:spacing w:line="300" w:lineRule="auto" w:before="56"/>
                        <w:ind w:left="81" w:right="54"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xbxContent>
                </v:textbox>
                <w10:wrap type="none"/>
              </v:shape>
              <v:shape style="position:absolute;left:10;top:724;width:1066;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增值税退税</w:t>
                      </w:r>
                    </w:p>
                  </w:txbxContent>
                </v:textbox>
                <w10:wrap type="none"/>
              </v:shape>
              <v:shape style="position:absolute;left:1075;top:724;width:1062;height:1338" type="#_x0000_t202" filled="false" stroked="false">
                <v:textbox inset="0,0,0,0">
                  <w:txbxContent>
                    <w:p>
                      <w:pPr>
                        <w:spacing w:line="240" w:lineRule="auto" w:before="3"/>
                        <w:rPr>
                          <w:rFonts w:ascii="宋体" w:hAnsi="宋体" w:cs="宋体" w:eastAsia="宋体" w:hint="default"/>
                          <w:sz w:val="16"/>
                          <w:szCs w:val="16"/>
                        </w:rPr>
                      </w:pPr>
                    </w:p>
                    <w:p>
                      <w:pPr>
                        <w:spacing w:line="316" w:lineRule="auto" w:before="0"/>
                        <w:ind w:left="27" w:right="132" w:firstLine="0"/>
                        <w:jc w:val="both"/>
                        <w:rPr>
                          <w:rFonts w:ascii="宋体" w:hAnsi="宋体" w:cs="宋体" w:eastAsia="宋体" w:hint="default"/>
                          <w:sz w:val="18"/>
                          <w:szCs w:val="18"/>
                        </w:rPr>
                      </w:pPr>
                      <w:r>
                        <w:rPr>
                          <w:rFonts w:ascii="宋体" w:hAnsi="宋体" w:cs="宋体" w:eastAsia="宋体" w:hint="default"/>
                          <w:sz w:val="18"/>
                          <w:szCs w:val="18"/>
                        </w:rPr>
                        <w:t>北京市海淀 区国家税务 局</w:t>
                      </w:r>
                    </w:p>
                  </w:txbxContent>
                </v:textbox>
                <w10:wrap type="none"/>
              </v:shape>
              <v:shape style="position:absolute;left:2166;top:130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3200;top:724;width:1064;height:1338" type="#_x0000_t202" filled="false" stroked="false">
                <v:textbox inset="0,0,0,0">
                  <w:txbxContent>
                    <w:p>
                      <w:pPr>
                        <w:spacing w:line="316" w:lineRule="auto" w:before="56"/>
                        <w:ind w:left="27" w:right="133" w:firstLine="0"/>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xbxContent>
                </v:textbox>
                <w10:wrap type="none"/>
              </v:shape>
              <v:shape style="position:absolute;left:4128;top:83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291;top:130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5354;top:130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390;top:724;width:1064;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spacing w:before="0"/>
                        <w:ind w:left="0" w:right="25" w:firstLine="0"/>
                        <w:jc w:val="right"/>
                        <w:rPr>
                          <w:rFonts w:ascii="Times New Roman" w:hAnsi="Times New Roman" w:cs="Times New Roman" w:eastAsia="Times New Roman" w:hint="default"/>
                          <w:sz w:val="18"/>
                          <w:szCs w:val="18"/>
                        </w:rPr>
                      </w:pPr>
                      <w:r>
                        <w:rPr>
                          <w:rFonts w:ascii="Times New Roman"/>
                          <w:spacing w:val="-1"/>
                          <w:sz w:val="18"/>
                        </w:rPr>
                        <w:t>15,990,713.5</w:t>
                      </w:r>
                    </w:p>
                    <w:p>
                      <w:pPr>
                        <w:spacing w:before="105"/>
                        <w:ind w:left="0" w:right="26" w:firstLine="0"/>
                        <w:jc w:val="right"/>
                        <w:rPr>
                          <w:rFonts w:ascii="Times New Roman" w:hAnsi="Times New Roman" w:cs="Times New Roman" w:eastAsia="Times New Roman" w:hint="default"/>
                          <w:sz w:val="18"/>
                          <w:szCs w:val="18"/>
                        </w:rPr>
                      </w:pPr>
                      <w:r>
                        <w:rPr>
                          <w:rFonts w:ascii="Times New Roman"/>
                          <w:sz w:val="18"/>
                        </w:rPr>
                        <w:t>6</w:t>
                      </w:r>
                    </w:p>
                  </w:txbxContent>
                </v:textbox>
                <w10:wrap type="none"/>
              </v:shape>
              <v:shape style="position:absolute;left:7453;top:724;width:1062;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spacing w:before="0"/>
                        <w:ind w:left="0" w:right="24" w:firstLine="0"/>
                        <w:jc w:val="right"/>
                        <w:rPr>
                          <w:rFonts w:ascii="Times New Roman" w:hAnsi="Times New Roman" w:cs="Times New Roman" w:eastAsia="Times New Roman" w:hint="default"/>
                          <w:sz w:val="18"/>
                          <w:szCs w:val="18"/>
                        </w:rPr>
                      </w:pPr>
                      <w:r>
                        <w:rPr>
                          <w:rFonts w:ascii="Times New Roman"/>
                          <w:spacing w:val="-1"/>
                          <w:sz w:val="18"/>
                        </w:rPr>
                        <w:t>19,660,442.8</w:t>
                      </w:r>
                    </w:p>
                    <w:p>
                      <w:pPr>
                        <w:spacing w:before="105"/>
                        <w:ind w:left="0" w:right="25" w:firstLine="0"/>
                        <w:jc w:val="right"/>
                        <w:rPr>
                          <w:rFonts w:ascii="Times New Roman" w:hAnsi="Times New Roman" w:cs="Times New Roman" w:eastAsia="Times New Roman" w:hint="default"/>
                          <w:sz w:val="18"/>
                          <w:szCs w:val="18"/>
                        </w:rPr>
                      </w:pPr>
                      <w:r>
                        <w:rPr>
                          <w:rFonts w:ascii="Times New Roman"/>
                          <w:sz w:val="18"/>
                        </w:rPr>
                        <w:t>1</w:t>
                      </w:r>
                    </w:p>
                  </w:txbxContent>
                </v:textbox>
                <w10:wrap type="none"/>
              </v:shape>
              <v:shape style="position:absolute;left:10;top:2062;width:1066;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增值税退税</w:t>
                      </w:r>
                    </w:p>
                  </w:txbxContent>
                </v:textbox>
                <w10:wrap type="none"/>
              </v:shape>
              <v:shape style="position:absolute;left:1075;top:2062;width:1062;height:1338" type="#_x0000_t202" filled="false" stroked="false">
                <v:textbox inset="0,0,0,0">
                  <w:txbxContent>
                    <w:p>
                      <w:pPr>
                        <w:spacing w:line="240" w:lineRule="auto" w:before="3"/>
                        <w:rPr>
                          <w:rFonts w:ascii="宋体" w:hAnsi="宋体" w:cs="宋体" w:eastAsia="宋体" w:hint="default"/>
                          <w:sz w:val="16"/>
                          <w:szCs w:val="16"/>
                        </w:rPr>
                      </w:pPr>
                    </w:p>
                    <w:p>
                      <w:pPr>
                        <w:spacing w:line="316" w:lineRule="auto" w:before="0"/>
                        <w:ind w:left="27" w:right="89"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国家金库上 海市闵行区 支库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034046</w:t>
                      </w:r>
                    </w:p>
                  </w:txbxContent>
                </v:textbox>
                <w10:wrap type="none"/>
              </v:shape>
              <v:shape style="position:absolute;left:2166;top:264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3200;top:2062;width:1064;height:1338" type="#_x0000_t202" filled="false" stroked="false">
                <v:textbox inset="0,0,0,0">
                  <w:txbxContent>
                    <w:p>
                      <w:pPr>
                        <w:spacing w:line="316" w:lineRule="auto" w:before="56"/>
                        <w:ind w:left="27" w:right="133" w:firstLine="0"/>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xbxContent>
                </v:textbox>
                <w10:wrap type="none"/>
              </v:shape>
              <v:shape style="position:absolute;left:4128;top:217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291;top:264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5354;top:264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390;top:2062;width:1064;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spacing w:before="0"/>
                        <w:ind w:left="224" w:right="0" w:firstLine="0"/>
                        <w:jc w:val="left"/>
                        <w:rPr>
                          <w:rFonts w:ascii="Times New Roman" w:hAnsi="Times New Roman" w:cs="Times New Roman" w:eastAsia="Times New Roman" w:hint="default"/>
                          <w:sz w:val="18"/>
                          <w:szCs w:val="18"/>
                        </w:rPr>
                      </w:pPr>
                      <w:r>
                        <w:rPr>
                          <w:rFonts w:ascii="Times New Roman"/>
                          <w:sz w:val="18"/>
                        </w:rPr>
                        <w:t>179,507.85</w:t>
                      </w:r>
                    </w:p>
                  </w:txbxContent>
                </v:textbox>
                <w10:wrap type="none"/>
              </v:shape>
              <v:shape style="position:absolute;left:10;top:3400;width:1066;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稳岗补贴款</w:t>
                      </w:r>
                    </w:p>
                  </w:txbxContent>
                </v:textbox>
                <w10:wrap type="none"/>
              </v:shape>
              <v:shape style="position:absolute;left:1075;top:3400;width:1062;height:1338" type="#_x0000_t202" filled="false" stroked="false">
                <v:textbox inset="0,0,0,0">
                  <w:txbxContent>
                    <w:p>
                      <w:pPr>
                        <w:spacing w:line="316" w:lineRule="auto" w:before="56"/>
                        <w:ind w:left="27" w:right="132" w:firstLine="0"/>
                        <w:jc w:val="both"/>
                        <w:rPr>
                          <w:rFonts w:ascii="宋体" w:hAnsi="宋体" w:cs="宋体" w:eastAsia="宋体" w:hint="default"/>
                          <w:sz w:val="18"/>
                          <w:szCs w:val="18"/>
                        </w:rPr>
                      </w:pPr>
                      <w:r>
                        <w:rPr>
                          <w:rFonts w:ascii="宋体" w:hAnsi="宋体" w:cs="宋体" w:eastAsia="宋体" w:hint="default"/>
                          <w:sz w:val="18"/>
                          <w:szCs w:val="18"/>
                        </w:rPr>
                        <w:t>北京市海淀 区社会保险 基金管理中 心</w:t>
                      </w:r>
                    </w:p>
                  </w:txbxContent>
                </v:textbox>
                <w10:wrap type="none"/>
              </v:shape>
              <v:shape style="position:absolute;left:2166;top:397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3200;top:3400;width:1064;height:1338" type="#_x0000_t202" filled="false" stroked="false">
                <v:textbox inset="0,0,0,0">
                  <w:txbxContent>
                    <w:p>
                      <w:pPr>
                        <w:spacing w:line="316" w:lineRule="auto" w:before="56"/>
                        <w:ind w:left="27" w:right="133" w:firstLine="0"/>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xbxContent>
                </v:textbox>
                <w10:wrap type="none"/>
              </v:shape>
              <v:shape style="position:absolute;left:4128;top:351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291;top:397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5354;top:397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390;top:3400;width:1064;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spacing w:before="0"/>
                        <w:ind w:left="231" w:right="0" w:firstLine="0"/>
                        <w:jc w:val="left"/>
                        <w:rPr>
                          <w:rFonts w:ascii="Times New Roman" w:hAnsi="Times New Roman" w:cs="Times New Roman" w:eastAsia="Times New Roman" w:hint="default"/>
                          <w:sz w:val="18"/>
                          <w:szCs w:val="18"/>
                        </w:rPr>
                      </w:pPr>
                      <w:r>
                        <w:rPr>
                          <w:rFonts w:ascii="Times New Roman"/>
                          <w:sz w:val="18"/>
                        </w:rPr>
                        <w:t>110,464.10</w:t>
                      </w:r>
                    </w:p>
                  </w:txbxContent>
                </v:textbox>
                <w10:wrap type="none"/>
              </v:shape>
              <v:shape style="position:absolute;left:7453;top:3400;width:1062;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spacing w:before="0"/>
                        <w:ind w:left="231" w:right="0" w:firstLine="0"/>
                        <w:jc w:val="left"/>
                        <w:rPr>
                          <w:rFonts w:ascii="Times New Roman" w:hAnsi="Times New Roman" w:cs="Times New Roman" w:eastAsia="Times New Roman" w:hint="default"/>
                          <w:sz w:val="18"/>
                          <w:szCs w:val="18"/>
                        </w:rPr>
                      </w:pPr>
                      <w:r>
                        <w:rPr>
                          <w:rFonts w:ascii="Times New Roman"/>
                          <w:sz w:val="18"/>
                        </w:rPr>
                        <w:t>110,881.92</w:t>
                      </w:r>
                    </w:p>
                  </w:txbxContent>
                </v:textbox>
                <w10:wrap type="none"/>
              </v:shape>
              <v:shape style="position:absolute;left:10;top:4738;width:1066;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稳岗补贴款</w:t>
                      </w:r>
                    </w:p>
                  </w:txbxContent>
                </v:textbox>
                <w10:wrap type="none"/>
              </v:shape>
              <v:shape style="position:absolute;left:1075;top:4738;width:1062;height:1338" type="#_x0000_t202" filled="false" stroked="false">
                <v:textbox inset="0,0,0,0">
                  <w:txbxContent>
                    <w:p>
                      <w:pPr>
                        <w:spacing w:line="316" w:lineRule="auto" w:before="56"/>
                        <w:ind w:left="27" w:right="132" w:firstLine="0"/>
                        <w:jc w:val="both"/>
                        <w:rPr>
                          <w:rFonts w:ascii="宋体" w:hAnsi="宋体" w:cs="宋体" w:eastAsia="宋体" w:hint="default"/>
                          <w:sz w:val="18"/>
                          <w:szCs w:val="18"/>
                        </w:rPr>
                      </w:pPr>
                      <w:r>
                        <w:rPr>
                          <w:rFonts w:ascii="宋体" w:hAnsi="宋体" w:cs="宋体" w:eastAsia="宋体" w:hint="default"/>
                          <w:sz w:val="18"/>
                          <w:szCs w:val="18"/>
                        </w:rPr>
                        <w:t>武汉市失业 保险管理办 公室失业保 险基金</w:t>
                      </w:r>
                    </w:p>
                  </w:txbxContent>
                </v:textbox>
                <w10:wrap type="none"/>
              </v:shape>
              <v:shape style="position:absolute;left:2166;top:531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3200;top:4738;width:1064;height:1338" type="#_x0000_t202" filled="false" stroked="false">
                <v:textbox inset="0,0,0,0">
                  <w:txbxContent>
                    <w:p>
                      <w:pPr>
                        <w:spacing w:line="316" w:lineRule="auto" w:before="56"/>
                        <w:ind w:left="27" w:right="133" w:firstLine="0"/>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xbxContent>
                </v:textbox>
                <w10:wrap type="none"/>
              </v:shape>
              <v:shape style="position:absolute;left:4128;top:484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291;top:531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5354;top:531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390;top:4738;width:1064;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spacing w:before="0"/>
                        <w:ind w:left="314" w:right="0" w:firstLine="0"/>
                        <w:jc w:val="left"/>
                        <w:rPr>
                          <w:rFonts w:ascii="Times New Roman" w:hAnsi="Times New Roman" w:cs="Times New Roman" w:eastAsia="Times New Roman" w:hint="default"/>
                          <w:sz w:val="18"/>
                          <w:szCs w:val="18"/>
                        </w:rPr>
                      </w:pPr>
                      <w:r>
                        <w:rPr>
                          <w:rFonts w:ascii="Times New Roman"/>
                          <w:sz w:val="18"/>
                        </w:rPr>
                        <w:t>45,100.00</w:t>
                      </w:r>
                    </w:p>
                  </w:txbxContent>
                </v:textbox>
                <w10:wrap type="none"/>
              </v:shape>
            </v:group>
          </v:group>
        </w:pict>
      </w:r>
      <w:r>
        <w:rPr>
          <w:rFonts w:ascii="宋体" w:hAnsi="宋体" w:cs="宋体" w:eastAsia="宋体" w:hint="default"/>
          <w:position w:val="-121"/>
          <w:sz w:val="20"/>
          <w:szCs w:val="20"/>
        </w:rPr>
      </w:r>
    </w:p>
    <w:p>
      <w:pPr>
        <w:spacing w:after="0" w:line="6085" w:lineRule="exact"/>
        <w:rPr>
          <w:rFonts w:ascii="宋体" w:hAnsi="宋体" w:cs="宋体" w:eastAsia="宋体" w:hint="default"/>
          <w:sz w:val="20"/>
          <w:szCs w:val="20"/>
        </w:rPr>
        <w:sectPr>
          <w:pgSz w:w="11910" w:h="16840"/>
          <w:pgMar w:header="747" w:footer="1190" w:top="1060" w:bottom="1380" w:left="980" w:right="0"/>
        </w:sectPr>
      </w:pPr>
    </w:p>
    <w:p>
      <w:pPr>
        <w:spacing w:line="240" w:lineRule="auto" w:before="10"/>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1190" w:top="1060" w:bottom="1380" w:left="980" w:right="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81" w:right="-20"/>
        <w:jc w:val="left"/>
      </w:pPr>
      <w:r>
        <w:rPr/>
        <w:t>稳岗补贴款</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9" w:lineRule="auto"/>
        <w:ind w:left="125" w:right="-20"/>
        <w:jc w:val="left"/>
      </w:pPr>
      <w:r>
        <w:rPr/>
        <w:t>南京市人力 资源和社会</w:t>
      </w:r>
      <w:r>
        <w:rPr>
          <w:spacing w:val="73"/>
        </w:rPr>
        <w:t> </w:t>
      </w:r>
      <w:r>
        <w:rPr/>
        <w:t>补助</w:t>
      </w:r>
      <w:r>
        <w:rPr/>
        <w:t> 保障局</w:t>
      </w:r>
    </w:p>
    <w:p>
      <w:pPr>
        <w:pStyle w:val="BodyText"/>
        <w:spacing w:line="312" w:lineRule="exact" w:before="5"/>
        <w:ind w:left="181" w:right="6452"/>
        <w:jc w:val="left"/>
      </w:pPr>
      <w:r>
        <w:rPr/>
        <w:br w:type="column"/>
      </w:r>
      <w:r>
        <w:rPr/>
        <w:t>因研究开发、 技术更新及</w:t>
      </w:r>
    </w:p>
    <w:p>
      <w:pPr>
        <w:pStyle w:val="BodyText"/>
        <w:tabs>
          <w:tab w:pos="2307" w:val="left" w:leader="none"/>
          <w:tab w:pos="3657" w:val="left" w:leader="none"/>
          <w:tab w:pos="4721" w:val="left" w:leader="none"/>
        </w:tabs>
        <w:spacing w:line="86" w:lineRule="exact"/>
        <w:ind w:left="1244" w:right="0"/>
        <w:jc w:val="left"/>
        <w:rPr>
          <w:rFonts w:ascii="Times New Roman" w:hAnsi="Times New Roman" w:cs="Times New Roman" w:eastAsia="Times New Roman" w:hint="default"/>
        </w:rPr>
      </w:pPr>
      <w:r>
        <w:rPr/>
        <w:t>是</w:t>
        <w:tab/>
        <w:t>否</w:t>
        <w:tab/>
      </w:r>
      <w:r>
        <w:rPr>
          <w:rFonts w:ascii="Times New Roman" w:hAnsi="Times New Roman" w:cs="Times New Roman" w:eastAsia="Times New Roman" w:hint="default"/>
        </w:rPr>
        <w:t>56,941.84</w:t>
        <w:tab/>
        <w:t>56,766.92</w:t>
      </w:r>
    </w:p>
    <w:p>
      <w:pPr>
        <w:pStyle w:val="BodyText"/>
        <w:spacing w:line="189" w:lineRule="exact"/>
        <w:ind w:left="181" w:right="6452"/>
        <w:jc w:val="left"/>
      </w:pPr>
      <w:r>
        <w:rPr/>
        <w:t>改造等获得</w:t>
      </w:r>
    </w:p>
    <w:p>
      <w:pPr>
        <w:pStyle w:val="BodyText"/>
        <w:spacing w:line="240" w:lineRule="auto" w:before="77"/>
        <w:ind w:left="181" w:right="6452"/>
        <w:jc w:val="left"/>
      </w:pPr>
      <w:r>
        <w:rPr/>
        <w:t>的补助</w:t>
      </w:r>
    </w:p>
    <w:p>
      <w:pPr>
        <w:spacing w:after="0" w:line="240" w:lineRule="auto"/>
        <w:jc w:val="left"/>
        <w:sectPr>
          <w:type w:val="continuous"/>
          <w:pgSz w:w="11910" w:h="16840"/>
          <w:pgMar w:top="1060" w:bottom="1380" w:left="980" w:right="0"/>
          <w:cols w:num="3" w:equalWidth="0">
            <w:col w:w="1082" w:space="40"/>
            <w:col w:w="1549" w:space="520"/>
            <w:col w:w="7739"/>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380" w:left="980" w:right="0"/>
        </w:sectPr>
      </w:pPr>
    </w:p>
    <w:p>
      <w:pPr>
        <w:spacing w:line="240" w:lineRule="auto" w:before="0"/>
        <w:rPr>
          <w:rFonts w:ascii="宋体" w:hAnsi="宋体" w:cs="宋体" w:eastAsia="宋体" w:hint="default"/>
          <w:sz w:val="18"/>
          <w:szCs w:val="18"/>
        </w:rPr>
      </w:pPr>
    </w:p>
    <w:p>
      <w:pPr>
        <w:pStyle w:val="BodyText"/>
        <w:spacing w:line="319" w:lineRule="auto" w:before="121"/>
        <w:ind w:left="181" w:right="-20"/>
        <w:jc w:val="left"/>
      </w:pPr>
      <w:r>
        <w:rPr/>
        <w:pict>
          <v:shape style="position:absolute;margin-left:56.700005pt;margin-top:32.287350pt;width:127.6pt;height:80.9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6"/>
                    <w:gridCol w:w="1062"/>
                    <w:gridCol w:w="424"/>
                  </w:tblGrid>
                  <w:tr>
                    <w:trPr>
                      <w:trHeight w:val="445" w:hRule="exact"/>
                    </w:trPr>
                    <w:tc>
                      <w:tcPr>
                        <w:tcW w:w="1066"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180" w:lineRule="exact"/>
                          <w:ind w:left="27" w:right="0"/>
                          <w:jc w:val="left"/>
                          <w:rPr>
                            <w:rFonts w:ascii="宋体" w:hAnsi="宋体" w:cs="宋体" w:eastAsia="宋体" w:hint="default"/>
                            <w:sz w:val="18"/>
                            <w:szCs w:val="18"/>
                          </w:rPr>
                        </w:pPr>
                        <w:r>
                          <w:rPr>
                            <w:rFonts w:ascii="宋体" w:hAnsi="宋体" w:cs="宋体" w:eastAsia="宋体" w:hint="default"/>
                            <w:sz w:val="18"/>
                            <w:szCs w:val="18"/>
                          </w:rPr>
                          <w:t>税收入专户</w:t>
                        </w:r>
                      </w:p>
                    </w:tc>
                    <w:tc>
                      <w:tcPr>
                        <w:tcW w:w="424" w:type="dxa"/>
                        <w:tcBorders>
                          <w:top w:val="nil" w:sz="6" w:space="0" w:color="auto"/>
                          <w:left w:val="nil" w:sz="6" w:space="0" w:color="auto"/>
                          <w:bottom w:val="nil" w:sz="6" w:space="0" w:color="auto"/>
                          <w:right w:val="nil" w:sz="6" w:space="0" w:color="auto"/>
                        </w:tcBorders>
                      </w:tcPr>
                      <w:p>
                        <w:pPr/>
                      </w:p>
                    </w:tc>
                  </w:tr>
                  <w:tr>
                    <w:trPr>
                      <w:trHeight w:val="1173"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7"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7" w:right="132"/>
                          <w:jc w:val="both"/>
                          <w:rPr>
                            <w:rFonts w:ascii="宋体" w:hAnsi="宋体" w:cs="宋体" w:eastAsia="宋体" w:hint="default"/>
                            <w:sz w:val="18"/>
                            <w:szCs w:val="18"/>
                          </w:rPr>
                        </w:pPr>
                        <w:r>
                          <w:rPr>
                            <w:rFonts w:ascii="宋体" w:hAnsi="宋体" w:cs="宋体" w:eastAsia="宋体" w:hint="default"/>
                            <w:sz w:val="18"/>
                            <w:szCs w:val="18"/>
                          </w:rPr>
                          <w:t>国家知识产 权局北京专 利代办处</w:t>
                        </w:r>
                      </w:p>
                    </w:tc>
                    <w:tc>
                      <w:tcPr>
                        <w:tcW w:w="4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8" w:right="0"/>
                          <w:jc w:val="left"/>
                          <w:rPr>
                            <w:rFonts w:ascii="宋体" w:hAnsi="宋体" w:cs="宋体" w:eastAsia="宋体" w:hint="default"/>
                            <w:sz w:val="18"/>
                            <w:szCs w:val="18"/>
                          </w:rPr>
                        </w:pPr>
                        <w:r>
                          <w:rPr>
                            <w:rFonts w:ascii="宋体" w:hAnsi="宋体" w:cs="宋体" w:eastAsia="宋体" w:hint="default"/>
                            <w:sz w:val="18"/>
                            <w:szCs w:val="18"/>
                          </w:rPr>
                          <w:t>补助</w:t>
                        </w:r>
                      </w:p>
                    </w:tc>
                  </w:tr>
                </w:tbl>
                <w:p>
                  <w:pPr/>
                </w:p>
              </w:txbxContent>
            </v:textbox>
            <w10:wrap type="none"/>
          </v:shape>
        </w:pict>
      </w:r>
      <w:r>
        <w:rPr/>
        <w:t>技术研发项 目补助</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25" w:right="-20"/>
        <w:jc w:val="left"/>
      </w:pPr>
      <w:r>
        <w:rPr/>
        <w:t>上海市闵行 区财政局非</w:t>
      </w:r>
      <w:r>
        <w:rPr>
          <w:spacing w:val="73"/>
        </w:rPr>
        <w:t> </w:t>
      </w:r>
      <w:r>
        <w:rPr/>
        <w:t>补助</w:t>
      </w:r>
    </w:p>
    <w:p>
      <w:pPr>
        <w:pStyle w:val="BodyText"/>
        <w:spacing w:line="312" w:lineRule="exact" w:before="5"/>
        <w:ind w:left="181" w:right="6452"/>
        <w:jc w:val="left"/>
      </w:pPr>
      <w:r>
        <w:rPr/>
        <w:br w:type="column"/>
      </w:r>
      <w:r>
        <w:rPr/>
        <w:t>因研究开发、 技术更新及</w:t>
      </w:r>
    </w:p>
    <w:p>
      <w:pPr>
        <w:pStyle w:val="BodyText"/>
        <w:tabs>
          <w:tab w:pos="2307" w:val="left" w:leader="none"/>
          <w:tab w:pos="3433" w:val="left" w:leader="none"/>
          <w:tab w:pos="4721" w:val="left" w:leader="none"/>
        </w:tabs>
        <w:spacing w:line="86" w:lineRule="exact"/>
        <w:ind w:left="1244" w:right="0"/>
        <w:jc w:val="left"/>
        <w:rPr>
          <w:rFonts w:ascii="Times New Roman" w:hAnsi="Times New Roman" w:cs="Times New Roman" w:eastAsia="Times New Roman" w:hint="default"/>
        </w:rPr>
      </w:pPr>
      <w:r>
        <w:rPr/>
        <w:t>是</w:t>
        <w:tab/>
        <w:t>否</w:t>
        <w:tab/>
      </w:r>
      <w:r>
        <w:rPr>
          <w:rFonts w:ascii="Times New Roman" w:hAnsi="Times New Roman" w:cs="Times New Roman" w:eastAsia="Times New Roman" w:hint="default"/>
          <w:spacing w:val="-1"/>
        </w:rPr>
        <w:t>1,840,000.00</w:t>
        <w:tab/>
      </w:r>
      <w:r>
        <w:rPr>
          <w:rFonts w:ascii="Times New Roman" w:hAnsi="Times New Roman" w:cs="Times New Roman" w:eastAsia="Times New Roman" w:hint="default"/>
        </w:rPr>
        <w:t>90,000.00</w:t>
      </w:r>
    </w:p>
    <w:p>
      <w:pPr>
        <w:pStyle w:val="BodyText"/>
        <w:spacing w:line="189" w:lineRule="exact"/>
        <w:ind w:left="181" w:right="6452"/>
        <w:jc w:val="left"/>
      </w:pPr>
      <w:r>
        <w:rPr/>
        <w:t>改造等获得</w:t>
      </w:r>
    </w:p>
    <w:p>
      <w:pPr>
        <w:pStyle w:val="BodyText"/>
        <w:spacing w:line="240" w:lineRule="auto" w:before="77"/>
        <w:ind w:left="181" w:right="6452"/>
        <w:jc w:val="left"/>
      </w:pPr>
      <w:r>
        <w:rPr/>
        <w:t>的补助</w:t>
      </w:r>
    </w:p>
    <w:p>
      <w:pPr>
        <w:spacing w:after="0" w:line="240" w:lineRule="auto"/>
        <w:jc w:val="left"/>
        <w:sectPr>
          <w:type w:val="continuous"/>
          <w:pgSz w:w="11910" w:h="16840"/>
          <w:pgMar w:top="1060" w:bottom="1380" w:left="980" w:right="0"/>
          <w:cols w:num="3" w:equalWidth="0">
            <w:col w:w="1082" w:space="40"/>
            <w:col w:w="1549" w:space="520"/>
            <w:col w:w="7739"/>
          </w:cols>
        </w:sectPr>
      </w:pPr>
    </w:p>
    <w:p>
      <w:pPr>
        <w:spacing w:line="240" w:lineRule="auto" w:before="3"/>
        <w:rPr>
          <w:rFonts w:ascii="宋体" w:hAnsi="宋体" w:cs="宋体" w:eastAsia="宋体" w:hint="default"/>
          <w:sz w:val="9"/>
          <w:szCs w:val="9"/>
        </w:rPr>
      </w:pPr>
    </w:p>
    <w:p>
      <w:pPr>
        <w:pStyle w:val="BodyText"/>
        <w:spacing w:line="312" w:lineRule="exact" w:before="5"/>
        <w:ind w:left="3372" w:right="6452"/>
        <w:jc w:val="left"/>
      </w:pPr>
      <w:r>
        <w:rPr/>
        <w:t>因研究开发、 技术更新及</w:t>
      </w:r>
    </w:p>
    <w:p>
      <w:pPr>
        <w:spacing w:after="0" w:line="312" w:lineRule="exact"/>
        <w:jc w:val="left"/>
        <w:sectPr>
          <w:type w:val="continuous"/>
          <w:pgSz w:w="11910" w:h="16840"/>
          <w:pgMar w:top="1060" w:bottom="1380" w:left="980" w:right="0"/>
        </w:sectPr>
      </w:pPr>
    </w:p>
    <w:p>
      <w:pPr>
        <w:pStyle w:val="BodyText"/>
        <w:spacing w:line="319" w:lineRule="auto" w:before="39"/>
        <w:ind w:left="3372" w:right="-20"/>
        <w:jc w:val="left"/>
      </w:pPr>
      <w:r>
        <w:rPr/>
        <w:t>改造等获得 的补助</w:t>
      </w:r>
    </w:p>
    <w:p>
      <w:pPr>
        <w:pStyle w:val="BodyText"/>
        <w:tabs>
          <w:tab w:pos="1186" w:val="left" w:leader="none"/>
          <w:tab w:pos="2536" w:val="left" w:leader="none"/>
        </w:tabs>
        <w:spacing w:line="133" w:lineRule="exact"/>
        <w:ind w:left="123" w:right="0"/>
        <w:jc w:val="left"/>
        <w:rPr>
          <w:rFonts w:ascii="Times New Roman" w:hAnsi="Times New Roman" w:cs="Times New Roman" w:eastAsia="Times New Roman" w:hint="default"/>
        </w:rPr>
      </w:pPr>
      <w:r>
        <w:rPr/>
        <w:br w:type="column"/>
      </w:r>
      <w:r>
        <w:rPr/>
        <w:t>是</w:t>
        <w:tab/>
        <w:t>否</w:t>
        <w:tab/>
      </w:r>
      <w:r>
        <w:rPr>
          <w:rFonts w:ascii="Times New Roman" w:hAnsi="Times New Roman" w:cs="Times New Roman" w:eastAsia="Times New Roman" w:hint="default"/>
        </w:rPr>
        <w:t>72,150.00</w:t>
      </w:r>
    </w:p>
    <w:p>
      <w:pPr>
        <w:spacing w:after="0" w:line="133" w:lineRule="exact"/>
        <w:jc w:val="left"/>
        <w:rPr>
          <w:rFonts w:ascii="Times New Roman" w:hAnsi="Times New Roman" w:cs="Times New Roman" w:eastAsia="Times New Roman" w:hint="default"/>
        </w:rPr>
        <w:sectPr>
          <w:type w:val="continuous"/>
          <w:pgSz w:w="11910" w:h="16840"/>
          <w:pgMar w:top="1060" w:bottom="1380" w:left="980" w:right="0"/>
          <w:cols w:num="2" w:equalWidth="0">
            <w:col w:w="4273" w:space="40"/>
            <w:col w:w="6617"/>
          </w:cols>
        </w:sectPr>
      </w:pPr>
    </w:p>
    <w:p>
      <w:pPr>
        <w:spacing w:line="240" w:lineRule="auto" w:before="9"/>
        <w:rPr>
          <w:rFonts w:ascii="Times New Roman" w:hAnsi="Times New Roman" w:cs="Times New Roman" w:eastAsia="Times New Roman" w:hint="default"/>
          <w:sz w:val="22"/>
          <w:szCs w:val="22"/>
        </w:rPr>
      </w:pPr>
    </w:p>
    <w:p>
      <w:pPr>
        <w:pStyle w:val="BodyText"/>
        <w:spacing w:line="319" w:lineRule="auto"/>
        <w:ind w:left="181" w:right="0"/>
        <w:jc w:val="both"/>
      </w:pPr>
      <w:r>
        <w:rPr/>
        <w:t>中关村企业 信用促进会 补贴款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3"/>
          <w:szCs w:val="13"/>
        </w:rPr>
      </w:pPr>
    </w:p>
    <w:p>
      <w:pPr>
        <w:pStyle w:val="BodyText"/>
        <w:spacing w:line="196" w:lineRule="exact"/>
        <w:ind w:left="125" w:right="-20"/>
        <w:jc w:val="left"/>
      </w:pPr>
      <w:r>
        <w:rPr/>
        <w:t>中关村企业</w:t>
      </w:r>
    </w:p>
    <w:p>
      <w:pPr>
        <w:pStyle w:val="BodyText"/>
        <w:spacing w:line="157" w:lineRule="exact"/>
        <w:ind w:left="0" w:right="0"/>
        <w:jc w:val="right"/>
      </w:pPr>
      <w:r>
        <w:rPr/>
        <w:t>补助</w:t>
      </w:r>
    </w:p>
    <w:p>
      <w:pPr>
        <w:pStyle w:val="BodyText"/>
        <w:spacing w:line="196" w:lineRule="exact"/>
        <w:ind w:left="125" w:right="-20"/>
        <w:jc w:val="left"/>
      </w:pPr>
      <w:r>
        <w:rPr/>
        <w:t>信用促进会</w:t>
      </w:r>
    </w:p>
    <w:p>
      <w:pPr>
        <w:pStyle w:val="BodyText"/>
        <w:spacing w:line="310" w:lineRule="atLeast" w:before="31"/>
        <w:ind w:left="181" w:right="6452"/>
        <w:jc w:val="left"/>
      </w:pPr>
      <w:r>
        <w:rPr/>
        <w:br w:type="column"/>
      </w:r>
      <w:r>
        <w:rPr/>
        <w:t>因研究开发、 技术更新及</w:t>
      </w:r>
    </w:p>
    <w:p>
      <w:pPr>
        <w:pStyle w:val="BodyText"/>
        <w:tabs>
          <w:tab w:pos="2307" w:val="left" w:leader="none"/>
          <w:tab w:pos="3657" w:val="left" w:leader="none"/>
          <w:tab w:pos="4721" w:val="left" w:leader="none"/>
        </w:tabs>
        <w:spacing w:line="123" w:lineRule="exact"/>
        <w:ind w:left="1244" w:right="0"/>
        <w:jc w:val="left"/>
        <w:rPr>
          <w:rFonts w:ascii="Times New Roman" w:hAnsi="Times New Roman" w:cs="Times New Roman" w:eastAsia="Times New Roman" w:hint="default"/>
        </w:rPr>
      </w:pPr>
      <w:r>
        <w:rPr/>
        <w:t>是</w:t>
        <w:tab/>
        <w:t>否</w:t>
        <w:tab/>
      </w:r>
      <w:r>
        <w:rPr>
          <w:rFonts w:ascii="Times New Roman" w:hAnsi="Times New Roman" w:cs="Times New Roman" w:eastAsia="Times New Roman" w:hint="default"/>
        </w:rPr>
        <w:t>60,000.00</w:t>
        <w:tab/>
        <w:t>20,000.00</w:t>
      </w:r>
    </w:p>
    <w:p>
      <w:pPr>
        <w:pStyle w:val="BodyText"/>
        <w:spacing w:line="189" w:lineRule="exact"/>
        <w:ind w:left="181" w:right="6452"/>
        <w:jc w:val="left"/>
      </w:pPr>
      <w:r>
        <w:rPr/>
        <w:t>改造等获得</w:t>
      </w:r>
    </w:p>
    <w:p>
      <w:pPr>
        <w:pStyle w:val="BodyText"/>
        <w:spacing w:line="240" w:lineRule="auto" w:before="77"/>
        <w:ind w:left="181" w:right="6452"/>
        <w:jc w:val="left"/>
      </w:pPr>
      <w:r>
        <w:rPr/>
        <w:t>的补助</w:t>
      </w:r>
    </w:p>
    <w:p>
      <w:pPr>
        <w:spacing w:after="0" w:line="240" w:lineRule="auto"/>
        <w:jc w:val="left"/>
        <w:sectPr>
          <w:type w:val="continuous"/>
          <w:pgSz w:w="11910" w:h="16840"/>
          <w:pgMar w:top="1060" w:bottom="1380" w:left="980" w:right="0"/>
          <w:cols w:num="3" w:equalWidth="0">
            <w:col w:w="1082" w:space="40"/>
            <w:col w:w="1549" w:space="520"/>
            <w:col w:w="7739"/>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380" w:left="980" w:right="0"/>
        </w:sectPr>
      </w:pPr>
    </w:p>
    <w:p>
      <w:pPr>
        <w:pStyle w:val="BodyText"/>
        <w:spacing w:line="319" w:lineRule="auto" w:before="44"/>
        <w:ind w:left="181" w:right="0"/>
        <w:jc w:val="both"/>
      </w:pPr>
      <w:r>
        <w:rPr/>
        <w:t>中国技术交 易所有限公 司商标注册 补助资金</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9" w:lineRule="auto"/>
        <w:ind w:left="125" w:right="-20"/>
        <w:jc w:val="left"/>
      </w:pPr>
      <w:r>
        <w:rPr/>
        <w:t>中国技术交 易所有限公</w:t>
      </w:r>
      <w:r>
        <w:rPr>
          <w:spacing w:val="73"/>
        </w:rPr>
        <w:t> </w:t>
      </w:r>
      <w:r>
        <w:rPr/>
        <w:t>补助</w:t>
      </w:r>
      <w:r>
        <w:rPr/>
        <w:t> 司</w:t>
      </w:r>
    </w:p>
    <w:p>
      <w:pPr>
        <w:pStyle w:val="BodyText"/>
        <w:spacing w:line="312" w:lineRule="exact" w:before="5"/>
        <w:ind w:left="181" w:right="6452"/>
        <w:jc w:val="left"/>
      </w:pPr>
      <w:r>
        <w:rPr/>
        <w:br w:type="column"/>
      </w:r>
      <w:r>
        <w:rPr/>
        <w:t>因研究开发、 技术更新及</w:t>
      </w:r>
    </w:p>
    <w:p>
      <w:pPr>
        <w:pStyle w:val="BodyText"/>
        <w:tabs>
          <w:tab w:pos="2307" w:val="left" w:leader="none"/>
          <w:tab w:pos="3567" w:val="left" w:leader="none"/>
        </w:tabs>
        <w:spacing w:line="86" w:lineRule="exact"/>
        <w:ind w:left="1244" w:right="0"/>
        <w:jc w:val="left"/>
        <w:rPr>
          <w:rFonts w:ascii="Times New Roman" w:hAnsi="Times New Roman" w:cs="Times New Roman" w:eastAsia="Times New Roman" w:hint="default"/>
        </w:rPr>
      </w:pPr>
      <w:r>
        <w:rPr/>
        <w:t>是</w:t>
        <w:tab/>
        <w:t>否</w:t>
        <w:tab/>
      </w:r>
      <w:r>
        <w:rPr>
          <w:rFonts w:ascii="Times New Roman" w:hAnsi="Times New Roman" w:cs="Times New Roman" w:eastAsia="Times New Roman" w:hint="default"/>
        </w:rPr>
        <w:t>200,000.00</w:t>
      </w:r>
    </w:p>
    <w:p>
      <w:pPr>
        <w:pStyle w:val="BodyText"/>
        <w:spacing w:line="189" w:lineRule="exact"/>
        <w:ind w:left="181" w:right="6452"/>
        <w:jc w:val="left"/>
      </w:pPr>
      <w:r>
        <w:rPr/>
        <w:t>改造等获得</w:t>
      </w:r>
    </w:p>
    <w:p>
      <w:pPr>
        <w:pStyle w:val="BodyText"/>
        <w:spacing w:line="240" w:lineRule="auto" w:before="77"/>
        <w:ind w:left="181" w:right="6452"/>
        <w:jc w:val="left"/>
      </w:pPr>
      <w:r>
        <w:rPr/>
        <w:t>的补助</w:t>
      </w:r>
    </w:p>
    <w:p>
      <w:pPr>
        <w:spacing w:after="0" w:line="240" w:lineRule="auto"/>
        <w:jc w:val="left"/>
        <w:sectPr>
          <w:type w:val="continuous"/>
          <w:pgSz w:w="11910" w:h="16840"/>
          <w:pgMar w:top="1060" w:bottom="1380" w:left="980" w:right="0"/>
          <w:cols w:num="3" w:equalWidth="0">
            <w:col w:w="1082" w:space="40"/>
            <w:col w:w="1549" w:space="520"/>
            <w:col w:w="7739"/>
          </w:cols>
        </w:sectPr>
      </w:pPr>
    </w:p>
    <w:p>
      <w:pPr>
        <w:spacing w:line="240" w:lineRule="auto" w:before="0"/>
        <w:rPr>
          <w:rFonts w:ascii="宋体" w:hAnsi="宋体" w:cs="宋体" w:eastAsia="宋体" w:hint="default"/>
          <w:sz w:val="20"/>
          <w:szCs w:val="20"/>
        </w:rPr>
      </w:pPr>
    </w:p>
    <w:p>
      <w:pPr>
        <w:pStyle w:val="BodyText"/>
        <w:spacing w:line="319" w:lineRule="auto"/>
        <w:ind w:left="181" w:right="0"/>
        <w:jc w:val="both"/>
      </w:pPr>
      <w:r>
        <w:rPr/>
        <w:t>中关村知识 产权促进局 创业资助款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3"/>
          <w:szCs w:val="13"/>
        </w:rPr>
      </w:pPr>
    </w:p>
    <w:p>
      <w:pPr>
        <w:pStyle w:val="BodyText"/>
        <w:spacing w:line="196" w:lineRule="exact"/>
        <w:ind w:left="125" w:right="-20"/>
        <w:jc w:val="left"/>
      </w:pPr>
      <w:r>
        <w:rPr/>
        <w:t>中关村知识</w:t>
      </w:r>
    </w:p>
    <w:p>
      <w:pPr>
        <w:pStyle w:val="BodyText"/>
        <w:spacing w:line="157" w:lineRule="exact"/>
        <w:ind w:left="0" w:right="0"/>
        <w:jc w:val="right"/>
      </w:pPr>
      <w:r>
        <w:rPr/>
        <w:t>补助</w:t>
      </w:r>
    </w:p>
    <w:p>
      <w:pPr>
        <w:pStyle w:val="BodyText"/>
        <w:spacing w:line="196" w:lineRule="exact"/>
        <w:ind w:left="125" w:right="-20"/>
        <w:jc w:val="left"/>
      </w:pPr>
      <w:r>
        <w:rPr/>
        <w:t>产权促进局</w:t>
      </w:r>
    </w:p>
    <w:p>
      <w:pPr>
        <w:pStyle w:val="BodyText"/>
        <w:spacing w:line="310" w:lineRule="atLeast" w:before="31"/>
        <w:ind w:left="181" w:right="6452"/>
        <w:jc w:val="left"/>
      </w:pPr>
      <w:r>
        <w:rPr/>
        <w:br w:type="column"/>
      </w:r>
      <w:r>
        <w:rPr/>
        <w:t>因研究开发、 技术更新及</w:t>
      </w:r>
    </w:p>
    <w:p>
      <w:pPr>
        <w:pStyle w:val="BodyText"/>
        <w:tabs>
          <w:tab w:pos="2307" w:val="left" w:leader="none"/>
          <w:tab w:pos="3567" w:val="left" w:leader="none"/>
        </w:tabs>
        <w:spacing w:line="123" w:lineRule="exact"/>
        <w:ind w:left="1244" w:right="0"/>
        <w:jc w:val="left"/>
        <w:rPr>
          <w:rFonts w:ascii="Times New Roman" w:hAnsi="Times New Roman" w:cs="Times New Roman" w:eastAsia="Times New Roman" w:hint="default"/>
        </w:rPr>
      </w:pPr>
      <w:r>
        <w:rPr/>
        <w:t>是</w:t>
        <w:tab/>
        <w:t>否</w:t>
        <w:tab/>
      </w:r>
      <w:r>
        <w:rPr>
          <w:rFonts w:ascii="Times New Roman" w:hAnsi="Times New Roman" w:cs="Times New Roman" w:eastAsia="Times New Roman" w:hint="default"/>
        </w:rPr>
        <w:t>100,000.00</w:t>
      </w:r>
    </w:p>
    <w:p>
      <w:pPr>
        <w:pStyle w:val="BodyText"/>
        <w:spacing w:line="189" w:lineRule="exact"/>
        <w:ind w:left="181" w:right="6452"/>
        <w:jc w:val="left"/>
      </w:pPr>
      <w:r>
        <w:rPr/>
        <w:t>改造等获得</w:t>
      </w:r>
    </w:p>
    <w:p>
      <w:pPr>
        <w:pStyle w:val="BodyText"/>
        <w:spacing w:line="240" w:lineRule="auto" w:before="77"/>
        <w:ind w:left="181" w:right="6452"/>
        <w:jc w:val="left"/>
      </w:pPr>
      <w:r>
        <w:rPr/>
        <w:t>的补助</w:t>
      </w:r>
    </w:p>
    <w:p>
      <w:pPr>
        <w:spacing w:after="0" w:line="240" w:lineRule="auto"/>
        <w:jc w:val="left"/>
        <w:sectPr>
          <w:type w:val="continuous"/>
          <w:pgSz w:w="11910" w:h="16840"/>
          <w:pgMar w:top="1060" w:bottom="1380" w:left="980" w:right="0"/>
          <w:cols w:num="3" w:equalWidth="0">
            <w:col w:w="1082" w:space="40"/>
            <w:col w:w="1549" w:space="520"/>
            <w:col w:w="7739"/>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380" w:left="980" w:right="0"/>
        </w:sectPr>
      </w:pPr>
    </w:p>
    <w:p>
      <w:pPr>
        <w:pStyle w:val="BodyText"/>
        <w:spacing w:line="312" w:lineRule="auto" w:before="44"/>
        <w:ind w:left="181" w:right="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年度企 业研究开发 费用省级财 政奖励资金</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81" w:right="0"/>
        <w:jc w:val="left"/>
      </w:pPr>
      <w:r>
        <w:rPr/>
        <w:t>江苏省科学</w:t>
      </w:r>
    </w:p>
    <w:p>
      <w:pPr>
        <w:pStyle w:val="BodyText"/>
        <w:spacing w:line="157" w:lineRule="exact"/>
        <w:ind w:left="0" w:right="0"/>
        <w:jc w:val="right"/>
      </w:pPr>
      <w:r>
        <w:rPr/>
        <w:t>奖励</w:t>
      </w:r>
    </w:p>
    <w:p>
      <w:pPr>
        <w:pStyle w:val="BodyText"/>
        <w:spacing w:line="196" w:lineRule="exact"/>
        <w:ind w:left="81" w:right="0"/>
        <w:jc w:val="left"/>
      </w:pPr>
      <w:r>
        <w:rPr/>
        <w:t>技术厅</w:t>
      </w:r>
    </w:p>
    <w:p>
      <w:pPr>
        <w:pStyle w:val="BodyText"/>
        <w:spacing w:line="312" w:lineRule="exact" w:before="5"/>
        <w:ind w:left="181" w:right="6452"/>
        <w:jc w:val="left"/>
      </w:pPr>
      <w:r>
        <w:rPr/>
        <w:br w:type="column"/>
      </w:r>
      <w:r>
        <w:rPr/>
        <w:t>因研究开发、 技术更新及</w:t>
      </w:r>
    </w:p>
    <w:p>
      <w:pPr>
        <w:pStyle w:val="BodyText"/>
        <w:tabs>
          <w:tab w:pos="2307" w:val="left" w:leader="none"/>
          <w:tab w:pos="3567" w:val="left" w:leader="none"/>
        </w:tabs>
        <w:spacing w:line="86" w:lineRule="exact"/>
        <w:ind w:left="1244" w:right="0"/>
        <w:jc w:val="left"/>
        <w:rPr>
          <w:rFonts w:ascii="Times New Roman" w:hAnsi="Times New Roman" w:cs="Times New Roman" w:eastAsia="Times New Roman" w:hint="default"/>
        </w:rPr>
      </w:pPr>
      <w:r>
        <w:rPr/>
        <w:t>是</w:t>
        <w:tab/>
        <w:t>否</w:t>
        <w:tab/>
      </w:r>
      <w:r>
        <w:rPr>
          <w:rFonts w:ascii="Times New Roman" w:hAnsi="Times New Roman" w:cs="Times New Roman" w:eastAsia="Times New Roman" w:hint="default"/>
        </w:rPr>
        <w:t>158,700.00</w:t>
      </w:r>
    </w:p>
    <w:p>
      <w:pPr>
        <w:pStyle w:val="BodyText"/>
        <w:spacing w:line="189" w:lineRule="exact"/>
        <w:ind w:left="181" w:right="6452"/>
        <w:jc w:val="left"/>
      </w:pPr>
      <w:r>
        <w:rPr/>
        <w:t>改造等获得</w:t>
      </w:r>
    </w:p>
    <w:p>
      <w:pPr>
        <w:pStyle w:val="BodyText"/>
        <w:spacing w:line="240" w:lineRule="auto" w:before="77"/>
        <w:ind w:left="181" w:right="6452"/>
        <w:jc w:val="left"/>
      </w:pPr>
      <w:r>
        <w:rPr/>
        <w:t>的补助</w:t>
      </w:r>
    </w:p>
    <w:p>
      <w:pPr>
        <w:spacing w:after="0" w:line="240" w:lineRule="auto"/>
        <w:jc w:val="left"/>
        <w:sectPr>
          <w:type w:val="continuous"/>
          <w:pgSz w:w="11910" w:h="16840"/>
          <w:pgMar w:top="1060" w:bottom="1380" w:left="980" w:right="0"/>
          <w:cols w:num="3" w:equalWidth="0">
            <w:col w:w="1127" w:space="40"/>
            <w:col w:w="1505" w:space="520"/>
            <w:col w:w="7738"/>
          </w:cols>
        </w:sect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BodyText"/>
        <w:spacing w:line="302" w:lineRule="auto"/>
        <w:ind w:left="181" w:right="-19"/>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年度科 技经费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4"/>
          <w:szCs w:val="14"/>
        </w:rPr>
      </w:pPr>
    </w:p>
    <w:p>
      <w:pPr>
        <w:pStyle w:val="BodyText"/>
        <w:spacing w:line="196" w:lineRule="exact"/>
        <w:ind w:left="81" w:right="0"/>
        <w:jc w:val="left"/>
      </w:pPr>
      <w:r>
        <w:rPr/>
        <w:t>南京市科学</w:t>
      </w:r>
    </w:p>
    <w:p>
      <w:pPr>
        <w:pStyle w:val="BodyText"/>
        <w:spacing w:line="157" w:lineRule="exact"/>
        <w:ind w:left="0" w:right="0"/>
        <w:jc w:val="right"/>
      </w:pPr>
      <w:r>
        <w:rPr/>
        <w:t>补助</w:t>
      </w:r>
    </w:p>
    <w:p>
      <w:pPr>
        <w:pStyle w:val="BodyText"/>
        <w:spacing w:line="196" w:lineRule="exact"/>
        <w:ind w:left="81" w:right="0"/>
        <w:jc w:val="left"/>
      </w:pPr>
      <w:r>
        <w:rPr/>
        <w:t>技术委员会</w:t>
      </w:r>
    </w:p>
    <w:p>
      <w:pPr>
        <w:pStyle w:val="BodyText"/>
        <w:spacing w:line="310" w:lineRule="atLeast" w:before="36"/>
        <w:ind w:left="181" w:right="6452"/>
        <w:jc w:val="left"/>
      </w:pPr>
      <w:r>
        <w:rPr/>
        <w:br w:type="column"/>
      </w:r>
      <w:r>
        <w:rPr/>
        <w:t>因研究开发、 技术更新及</w:t>
      </w:r>
    </w:p>
    <w:p>
      <w:pPr>
        <w:pStyle w:val="BodyText"/>
        <w:tabs>
          <w:tab w:pos="2307" w:val="left" w:leader="none"/>
          <w:tab w:pos="3567" w:val="left" w:leader="none"/>
        </w:tabs>
        <w:spacing w:line="123" w:lineRule="exact"/>
        <w:ind w:left="1244" w:right="0"/>
        <w:jc w:val="left"/>
        <w:rPr>
          <w:rFonts w:ascii="Times New Roman" w:hAnsi="Times New Roman" w:cs="Times New Roman" w:eastAsia="Times New Roman" w:hint="default"/>
        </w:rPr>
      </w:pPr>
      <w:r>
        <w:rPr/>
        <w:t>是</w:t>
        <w:tab/>
        <w:t>否</w:t>
        <w:tab/>
      </w:r>
      <w:r>
        <w:rPr>
          <w:rFonts w:ascii="Times New Roman" w:hAnsi="Times New Roman" w:cs="Times New Roman" w:eastAsia="Times New Roman" w:hint="default"/>
        </w:rPr>
        <w:t>570,000.00</w:t>
      </w:r>
    </w:p>
    <w:p>
      <w:pPr>
        <w:pStyle w:val="BodyText"/>
        <w:spacing w:line="189" w:lineRule="exact"/>
        <w:ind w:left="181" w:right="6452"/>
        <w:jc w:val="left"/>
      </w:pPr>
      <w:r>
        <w:rPr/>
        <w:t>改造等获得</w:t>
      </w:r>
    </w:p>
    <w:p>
      <w:pPr>
        <w:pStyle w:val="BodyText"/>
        <w:spacing w:line="240" w:lineRule="auto" w:before="77"/>
        <w:ind w:left="181" w:right="6452"/>
        <w:jc w:val="left"/>
      </w:pPr>
      <w:r>
        <w:rPr/>
        <w:t>的补助</w:t>
      </w:r>
    </w:p>
    <w:p>
      <w:pPr>
        <w:spacing w:after="0" w:line="240" w:lineRule="auto"/>
        <w:jc w:val="left"/>
        <w:sectPr>
          <w:type w:val="continuous"/>
          <w:pgSz w:w="11910" w:h="16840"/>
          <w:pgMar w:top="1060" w:bottom="1380" w:left="980" w:right="0"/>
          <w:cols w:num="3" w:equalWidth="0">
            <w:col w:w="1127" w:space="40"/>
            <w:col w:w="1505" w:space="520"/>
            <w:col w:w="7738"/>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380" w:left="980" w:right="0"/>
        </w:sectPr>
      </w:pPr>
    </w:p>
    <w:p>
      <w:pPr>
        <w:spacing w:line="240" w:lineRule="auto" w:before="0"/>
        <w:rPr>
          <w:rFonts w:ascii="宋体" w:hAnsi="宋体" w:cs="宋体" w:eastAsia="宋体" w:hint="default"/>
          <w:sz w:val="18"/>
          <w:szCs w:val="18"/>
        </w:rPr>
      </w:pPr>
    </w:p>
    <w:p>
      <w:pPr>
        <w:pStyle w:val="BodyText"/>
        <w:spacing w:line="319" w:lineRule="auto" w:before="121"/>
        <w:ind w:left="181" w:right="-20"/>
        <w:jc w:val="left"/>
      </w:pPr>
      <w:r>
        <w:rPr/>
        <w:t>工程实验室 补贴款</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9" w:lineRule="auto"/>
        <w:ind w:left="125" w:right="-20"/>
        <w:jc w:val="left"/>
      </w:pPr>
      <w:r>
        <w:rPr/>
        <w:t>北京市海淀 区财政局专</w:t>
      </w:r>
      <w:r>
        <w:rPr>
          <w:spacing w:val="73"/>
        </w:rPr>
        <w:t> </w:t>
      </w:r>
      <w:r>
        <w:rPr/>
        <w:t>补助</w:t>
      </w:r>
      <w:r>
        <w:rPr/>
        <w:t> 项资金</w:t>
      </w:r>
    </w:p>
    <w:p>
      <w:pPr>
        <w:pStyle w:val="BodyText"/>
        <w:spacing w:line="312" w:lineRule="exact" w:before="5"/>
        <w:ind w:left="181" w:right="6452"/>
        <w:jc w:val="left"/>
      </w:pPr>
      <w:r>
        <w:rPr/>
        <w:br w:type="column"/>
      </w:r>
      <w:r>
        <w:rPr/>
        <w:t>因研究开发、 技术更新及</w:t>
      </w:r>
    </w:p>
    <w:p>
      <w:pPr>
        <w:pStyle w:val="BodyText"/>
        <w:tabs>
          <w:tab w:pos="2307" w:val="left" w:leader="none"/>
          <w:tab w:pos="3433" w:val="left" w:leader="none"/>
        </w:tabs>
        <w:spacing w:line="86" w:lineRule="exact"/>
        <w:ind w:left="1244" w:right="0"/>
        <w:jc w:val="left"/>
        <w:rPr>
          <w:rFonts w:ascii="Times New Roman" w:hAnsi="Times New Roman" w:cs="Times New Roman" w:eastAsia="Times New Roman" w:hint="default"/>
        </w:rPr>
      </w:pPr>
      <w:r>
        <w:rPr/>
        <w:t>是</w:t>
        <w:tab/>
        <w:t>否</w:t>
        <w:tab/>
      </w:r>
      <w:r>
        <w:rPr>
          <w:rFonts w:ascii="Times New Roman" w:hAnsi="Times New Roman" w:cs="Times New Roman" w:eastAsia="Times New Roman" w:hint="default"/>
        </w:rPr>
        <w:t>1,349,300.00 </w:t>
      </w:r>
      <w:r>
        <w:rPr>
          <w:rFonts w:ascii="Times New Roman" w:hAnsi="Times New Roman" w:cs="Times New Roman" w:eastAsia="Times New Roman" w:hint="default"/>
          <w:spacing w:val="23"/>
        </w:rPr>
        <w:t> </w:t>
      </w:r>
      <w:r>
        <w:rPr>
          <w:rFonts w:ascii="Times New Roman" w:hAnsi="Times New Roman" w:cs="Times New Roman" w:eastAsia="Times New Roman" w:hint="default"/>
        </w:rPr>
        <w:t>1,279,300.00</w:t>
      </w:r>
    </w:p>
    <w:p>
      <w:pPr>
        <w:pStyle w:val="BodyText"/>
        <w:spacing w:line="189" w:lineRule="exact"/>
        <w:ind w:left="181" w:right="6452"/>
        <w:jc w:val="left"/>
      </w:pPr>
      <w:r>
        <w:rPr/>
        <w:t>改造等获得</w:t>
      </w:r>
    </w:p>
    <w:p>
      <w:pPr>
        <w:pStyle w:val="BodyText"/>
        <w:spacing w:line="240" w:lineRule="auto" w:before="77"/>
        <w:ind w:left="181" w:right="6452"/>
        <w:jc w:val="left"/>
      </w:pPr>
      <w:r>
        <w:rPr/>
        <w:t>的补助</w:t>
      </w:r>
    </w:p>
    <w:p>
      <w:pPr>
        <w:spacing w:after="0" w:line="240" w:lineRule="auto"/>
        <w:jc w:val="left"/>
        <w:sectPr>
          <w:type w:val="continuous"/>
          <w:pgSz w:w="11910" w:h="16840"/>
          <w:pgMar w:top="1060" w:bottom="1380" w:left="980" w:right="0"/>
          <w:cols w:num="3" w:equalWidth="0">
            <w:col w:w="1082" w:space="40"/>
            <w:col w:w="1549" w:space="520"/>
            <w:col w:w="7739"/>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380" w:left="980" w:right="0"/>
        </w:sectPr>
      </w:pPr>
    </w:p>
    <w:p>
      <w:pPr>
        <w:spacing w:line="240" w:lineRule="auto" w:before="0"/>
        <w:rPr>
          <w:rFonts w:ascii="宋体" w:hAnsi="宋体" w:cs="宋体" w:eastAsia="宋体" w:hint="default"/>
          <w:sz w:val="18"/>
          <w:szCs w:val="18"/>
        </w:rPr>
      </w:pPr>
    </w:p>
    <w:p>
      <w:pPr>
        <w:pStyle w:val="BodyText"/>
        <w:spacing w:line="319" w:lineRule="auto" w:before="121"/>
        <w:ind w:left="181" w:right="-20"/>
        <w:jc w:val="left"/>
      </w:pPr>
      <w:r>
        <w:rPr/>
        <w:t>创新能力提 升资金</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9" w:lineRule="auto"/>
        <w:ind w:left="125" w:right="-20"/>
        <w:jc w:val="left"/>
      </w:pPr>
      <w:r>
        <w:rPr/>
        <w:t>北京市经济 和信息化委</w:t>
      </w:r>
      <w:r>
        <w:rPr>
          <w:spacing w:val="73"/>
        </w:rPr>
        <w:t> </w:t>
      </w:r>
      <w:r>
        <w:rPr/>
        <w:t>补助</w:t>
      </w:r>
      <w:r>
        <w:rPr/>
        <w:t> 员会</w:t>
      </w:r>
    </w:p>
    <w:p>
      <w:pPr>
        <w:pStyle w:val="BodyText"/>
        <w:spacing w:line="312" w:lineRule="exact" w:before="5"/>
        <w:ind w:left="181" w:right="6452"/>
        <w:jc w:val="left"/>
      </w:pPr>
      <w:r>
        <w:rPr/>
        <w:br w:type="column"/>
      </w:r>
      <w:r>
        <w:rPr/>
        <w:t>因研究开发、 技术更新及</w:t>
      </w:r>
    </w:p>
    <w:p>
      <w:pPr>
        <w:pStyle w:val="BodyText"/>
        <w:tabs>
          <w:tab w:pos="2307" w:val="left" w:leader="none"/>
          <w:tab w:pos="3567" w:val="left" w:leader="none"/>
          <w:tab w:pos="4631" w:val="left" w:leader="none"/>
        </w:tabs>
        <w:spacing w:line="86" w:lineRule="exact"/>
        <w:ind w:left="1244" w:right="0"/>
        <w:jc w:val="left"/>
        <w:rPr>
          <w:rFonts w:ascii="Times New Roman" w:hAnsi="Times New Roman" w:cs="Times New Roman" w:eastAsia="Times New Roman" w:hint="default"/>
        </w:rPr>
      </w:pPr>
      <w:r>
        <w:rPr/>
        <w:t>是</w:t>
        <w:tab/>
        <w:t>否</w:t>
        <w:tab/>
      </w:r>
      <w:r>
        <w:rPr>
          <w:rFonts w:ascii="Times New Roman" w:hAnsi="Times New Roman" w:cs="Times New Roman" w:eastAsia="Times New Roman" w:hint="default"/>
        </w:rPr>
        <w:t>667,867.13</w:t>
        <w:tab/>
        <w:t>265,567.83</w:t>
      </w:r>
    </w:p>
    <w:p>
      <w:pPr>
        <w:pStyle w:val="BodyText"/>
        <w:spacing w:line="189" w:lineRule="exact"/>
        <w:ind w:left="181" w:right="6452"/>
        <w:jc w:val="left"/>
      </w:pPr>
      <w:r>
        <w:rPr/>
        <w:t>改造等获得</w:t>
      </w:r>
    </w:p>
    <w:p>
      <w:pPr>
        <w:pStyle w:val="BodyText"/>
        <w:spacing w:line="240" w:lineRule="auto" w:before="77"/>
        <w:ind w:left="181" w:right="6452"/>
        <w:jc w:val="left"/>
      </w:pPr>
      <w:r>
        <w:rPr/>
        <w:t>的补助</w:t>
      </w:r>
    </w:p>
    <w:p>
      <w:pPr>
        <w:spacing w:after="0" w:line="240" w:lineRule="auto"/>
        <w:jc w:val="left"/>
        <w:sectPr>
          <w:type w:val="continuous"/>
          <w:pgSz w:w="11910" w:h="16840"/>
          <w:pgMar w:top="1060" w:bottom="1380" w:left="980" w:right="0"/>
          <w:cols w:num="3" w:equalWidth="0">
            <w:col w:w="1082" w:space="40"/>
            <w:col w:w="1549" w:space="520"/>
            <w:col w:w="7739"/>
          </w:cols>
        </w:sectPr>
      </w:pPr>
    </w:p>
    <w:p>
      <w:pPr>
        <w:spacing w:line="240" w:lineRule="auto" w:before="3"/>
        <w:rPr>
          <w:rFonts w:ascii="宋体" w:hAnsi="宋体" w:cs="宋体" w:eastAsia="宋体" w:hint="default"/>
          <w:sz w:val="9"/>
          <w:szCs w:val="9"/>
        </w:rPr>
      </w:pPr>
      <w:r>
        <w:rPr/>
        <w:pict>
          <v:group style="position:absolute;margin-left:56.219978pt;margin-top:71.759956pt;width:479.4pt;height:690.1pt;mso-position-horizontal-relative:page;mso-position-vertical-relative:page;z-index:-976432" coordorigin="1124,1435" coordsize="9588,13802">
            <v:group style="position:absolute;left:5393;top:1450;width:1054;height:1329" coordorigin="5393,1450" coordsize="1054,1329">
              <v:shape style="position:absolute;left:5393;top:1450;width:1054;height:1329" coordorigin="5393,1450" coordsize="1054,1329" path="m5393,2778l6446,2778,6446,1450,5393,1450,5393,2778xe" filled="true" fillcolor="#ffffff" stroked="false">
                <v:path arrowok="t"/>
                <v:fill type="solid"/>
              </v:shape>
            </v:group>
            <v:group style="position:absolute;left:5416;top:1918;width:1007;height:393" coordorigin="5416,1918" coordsize="1007,393">
              <v:shape style="position:absolute;left:5416;top:1918;width:1007;height:393" coordorigin="5416,1918" coordsize="1007,393" path="m5416,2310l6422,2310,6422,1918,5416,1918,5416,2310xe" filled="true" fillcolor="#ffffff" stroked="false">
                <v:path arrowok="t"/>
                <v:fill type="solid"/>
              </v:shape>
            </v:group>
            <v:group style="position:absolute;left:1129;top:1445;width:9579;height:2" coordorigin="1129,1445" coordsize="9579,2">
              <v:shape style="position:absolute;left:1129;top:1445;width:9579;height:2" coordorigin="1129,1445" coordsize="9579,0" path="m1129,1445l10708,1445e" filled="false" stroked="true" strokeweight=".48004pt" strokecolor="#000000">
                <v:path arrowok="t"/>
              </v:shape>
            </v:group>
            <v:group style="position:absolute;left:2200;top:1450;width:2;height:1329" coordorigin="2200,1450" coordsize="2,1329">
              <v:shape style="position:absolute;left:2200;top:1450;width:2;height:1329" coordorigin="2200,1450" coordsize="0,1329" path="m2200,1450l2200,2778e" filled="false" stroked="true" strokeweight=".48pt" strokecolor="#000000">
                <v:path arrowok="t"/>
              </v:shape>
            </v:group>
            <v:group style="position:absolute;left:3262;top:1450;width:2;height:1329" coordorigin="3262,1450" coordsize="2,1329">
              <v:shape style="position:absolute;left:3262;top:1450;width:2;height:1329" coordorigin="3262,1450" coordsize="0,1329" path="m3262,1450l3262,2778e" filled="false" stroked="true" strokeweight=".48001pt" strokecolor="#000000">
                <v:path arrowok="t"/>
              </v:shape>
            </v:group>
            <v:group style="position:absolute;left:4325;top:1450;width:2;height:1329" coordorigin="4325,1450" coordsize="2,1329">
              <v:shape style="position:absolute;left:4325;top:1450;width:2;height:1329" coordorigin="4325,1450" coordsize="0,1329" path="m4325,1450l4325,2778e" filled="false" stroked="true" strokeweight=".48pt" strokecolor="#000000">
                <v:path arrowok="t"/>
              </v:shape>
            </v:group>
            <v:group style="position:absolute;left:5388;top:1450;width:2;height:1329" coordorigin="5388,1450" coordsize="2,1329">
              <v:shape style="position:absolute;left:5388;top:1450;width:2;height:1329" coordorigin="5388,1450" coordsize="0,1329" path="m5388,1450l5388,2778e" filled="false" stroked="true" strokeweight=".48001pt" strokecolor="#000000">
                <v:path arrowok="t"/>
              </v:shape>
            </v:group>
            <v:group style="position:absolute;left:6451;top:1450;width:2;height:1329" coordorigin="6451,1450" coordsize="2,1329">
              <v:shape style="position:absolute;left:6451;top:1450;width:2;height:1329" coordorigin="6451,1450" coordsize="0,1329" path="m6451,1450l6451,2778e" filled="false" stroked="true" strokeweight=".48001pt" strokecolor="#000000">
                <v:path arrowok="t"/>
              </v:shape>
            </v:group>
            <v:group style="position:absolute;left:7514;top:1450;width:2;height:1329" coordorigin="7514,1450" coordsize="2,1329">
              <v:shape style="position:absolute;left:7514;top:1450;width:2;height:1329" coordorigin="7514,1450" coordsize="0,1329" path="m7514,1450l7514,2778e" filled="false" stroked="true" strokeweight=".47998pt" strokecolor="#000000">
                <v:path arrowok="t"/>
              </v:shape>
            </v:group>
            <v:group style="position:absolute;left:8578;top:1450;width:2;height:1329" coordorigin="8578,1450" coordsize="2,1329">
              <v:shape style="position:absolute;left:8578;top:1450;width:2;height:1329" coordorigin="8578,1450" coordsize="0,1329" path="m8578,1450l8578,2778e" filled="false" stroked="true" strokeweight=".48001pt" strokecolor="#000000">
                <v:path arrowok="t"/>
              </v:shape>
            </v:group>
            <v:group style="position:absolute;left:9640;top:1450;width:2;height:1329" coordorigin="9640,1450" coordsize="2,1329">
              <v:shape style="position:absolute;left:9640;top:1450;width:2;height:1329" coordorigin="9640,1450" coordsize="0,1329" path="m9640,1450l9640,2778e" filled="false" stroked="true" strokeweight=".47998pt" strokecolor="#000000">
                <v:path arrowok="t"/>
              </v:shape>
            </v:group>
            <v:group style="position:absolute;left:5393;top:2788;width:1054;height:1329" coordorigin="5393,2788" coordsize="1054,1329">
              <v:shape style="position:absolute;left:5393;top:2788;width:1054;height:1329" coordorigin="5393,2788" coordsize="1054,1329" path="m5393,4116l6446,4116,6446,2788,5393,2788,5393,4116xe" filled="true" fillcolor="#ffffff" stroked="false">
                <v:path arrowok="t"/>
                <v:fill type="solid"/>
              </v:shape>
            </v:group>
            <v:group style="position:absolute;left:5416;top:3256;width:1007;height:393" coordorigin="5416,3256" coordsize="1007,393">
              <v:shape style="position:absolute;left:5416;top:3256;width:1007;height:393" coordorigin="5416,3256" coordsize="1007,393" path="m5416,3648l6422,3648,6422,3256,5416,3256,5416,3648xe" filled="true" fillcolor="#ffffff" stroked="false">
                <v:path arrowok="t"/>
                <v:fill type="solid"/>
              </v:shape>
            </v:group>
            <v:group style="position:absolute;left:1129;top:2783;width:9579;height:2" coordorigin="1129,2783" coordsize="9579,2">
              <v:shape style="position:absolute;left:1129;top:2783;width:9579;height:2" coordorigin="1129,2783" coordsize="9579,0" path="m1129,2783l10708,2783e" filled="false" stroked="true" strokeweight=".48004pt" strokecolor="#000000">
                <v:path arrowok="t"/>
              </v:shape>
            </v:group>
            <v:group style="position:absolute;left:2200;top:2788;width:2;height:1329" coordorigin="2200,2788" coordsize="2,1329">
              <v:shape style="position:absolute;left:2200;top:2788;width:2;height:1329" coordorigin="2200,2788" coordsize="0,1329" path="m2200,2788l2200,4116e" filled="false" stroked="true" strokeweight=".48pt" strokecolor="#000000">
                <v:path arrowok="t"/>
              </v:shape>
            </v:group>
            <v:group style="position:absolute;left:3262;top:2788;width:2;height:1329" coordorigin="3262,2788" coordsize="2,1329">
              <v:shape style="position:absolute;left:3262;top:2788;width:2;height:1329" coordorigin="3262,2788" coordsize="0,1329" path="m3262,2788l3262,4116e" filled="false" stroked="true" strokeweight=".48001pt" strokecolor="#000000">
                <v:path arrowok="t"/>
              </v:shape>
            </v:group>
            <v:group style="position:absolute;left:4325;top:2788;width:2;height:1329" coordorigin="4325,2788" coordsize="2,1329">
              <v:shape style="position:absolute;left:4325;top:2788;width:2;height:1329" coordorigin="4325,2788" coordsize="0,1329" path="m4325,2788l4325,4116e" filled="false" stroked="true" strokeweight=".48pt" strokecolor="#000000">
                <v:path arrowok="t"/>
              </v:shape>
            </v:group>
            <v:group style="position:absolute;left:5388;top:2788;width:2;height:1329" coordorigin="5388,2788" coordsize="2,1329">
              <v:shape style="position:absolute;left:5388;top:2788;width:2;height:1329" coordorigin="5388,2788" coordsize="0,1329" path="m5388,2788l5388,4116e" filled="false" stroked="true" strokeweight=".48001pt" strokecolor="#000000">
                <v:path arrowok="t"/>
              </v:shape>
            </v:group>
            <v:group style="position:absolute;left:6451;top:2788;width:2;height:1329" coordorigin="6451,2788" coordsize="2,1329">
              <v:shape style="position:absolute;left:6451;top:2788;width:2;height:1329" coordorigin="6451,2788" coordsize="0,1329" path="m6451,2788l6451,4116e" filled="false" stroked="true" strokeweight=".48001pt" strokecolor="#000000">
                <v:path arrowok="t"/>
              </v:shape>
            </v:group>
            <v:group style="position:absolute;left:7514;top:2788;width:2;height:1329" coordorigin="7514,2788" coordsize="2,1329">
              <v:shape style="position:absolute;left:7514;top:2788;width:2;height:1329" coordorigin="7514,2788" coordsize="0,1329" path="m7514,2788l7514,4116e" filled="false" stroked="true" strokeweight=".47998pt" strokecolor="#000000">
                <v:path arrowok="t"/>
              </v:shape>
            </v:group>
            <v:group style="position:absolute;left:8578;top:2788;width:2;height:1329" coordorigin="8578,2788" coordsize="2,1329">
              <v:shape style="position:absolute;left:8578;top:2788;width:2;height:1329" coordorigin="8578,2788" coordsize="0,1329" path="m8578,2788l8578,4116e" filled="false" stroked="true" strokeweight=".48001pt" strokecolor="#000000">
                <v:path arrowok="t"/>
              </v:shape>
            </v:group>
            <v:group style="position:absolute;left:9640;top:2788;width:2;height:1329" coordorigin="9640,2788" coordsize="2,1329">
              <v:shape style="position:absolute;left:9640;top:2788;width:2;height:1329" coordorigin="9640,2788" coordsize="0,1329" path="m9640,2788l9640,4116e" filled="false" stroked="true" strokeweight=".47998pt" strokecolor="#000000">
                <v:path arrowok="t"/>
              </v:shape>
            </v:group>
            <v:group style="position:absolute;left:5393;top:4126;width:1054;height:1329" coordorigin="5393,4126" coordsize="1054,1329">
              <v:shape style="position:absolute;left:5393;top:4126;width:1054;height:1329" coordorigin="5393,4126" coordsize="1054,1329" path="m5393,5454l6446,5454,6446,4126,5393,4126,5393,5454xe" filled="true" fillcolor="#ffffff" stroked="false">
                <v:path arrowok="t"/>
                <v:fill type="solid"/>
              </v:shape>
            </v:group>
            <v:group style="position:absolute;left:5416;top:4594;width:1007;height:393" coordorigin="5416,4594" coordsize="1007,393">
              <v:shape style="position:absolute;left:5416;top:4594;width:1007;height:393" coordorigin="5416,4594" coordsize="1007,393" path="m5416,4986l6422,4986,6422,4594,5416,4594,5416,4986xe" filled="true" fillcolor="#ffffff" stroked="false">
                <v:path arrowok="t"/>
                <v:fill type="solid"/>
              </v:shape>
            </v:group>
            <v:group style="position:absolute;left:1129;top:4121;width:9579;height:2" coordorigin="1129,4121" coordsize="9579,2">
              <v:shape style="position:absolute;left:1129;top:4121;width:9579;height:2" coordorigin="1129,4121" coordsize="9579,0" path="m1129,4121l10708,4121e" filled="false" stroked="true" strokeweight=".47998pt" strokecolor="#000000">
                <v:path arrowok="t"/>
              </v:shape>
            </v:group>
            <v:group style="position:absolute;left:2200;top:4126;width:2;height:1329" coordorigin="2200,4126" coordsize="2,1329">
              <v:shape style="position:absolute;left:2200;top:4126;width:2;height:1329" coordorigin="2200,4126" coordsize="0,1329" path="m2200,4126l2200,5454e" filled="false" stroked="true" strokeweight=".48pt" strokecolor="#000000">
                <v:path arrowok="t"/>
              </v:shape>
            </v:group>
            <v:group style="position:absolute;left:3262;top:4126;width:2;height:1329" coordorigin="3262,4126" coordsize="2,1329">
              <v:shape style="position:absolute;left:3262;top:4126;width:2;height:1329" coordorigin="3262,4126" coordsize="0,1329" path="m3262,4126l3262,5454e" filled="false" stroked="true" strokeweight=".48001pt" strokecolor="#000000">
                <v:path arrowok="t"/>
              </v:shape>
            </v:group>
            <v:group style="position:absolute;left:4325;top:4126;width:2;height:1329" coordorigin="4325,4126" coordsize="2,1329">
              <v:shape style="position:absolute;left:4325;top:4126;width:2;height:1329" coordorigin="4325,4126" coordsize="0,1329" path="m4325,4126l4325,5454e" filled="false" stroked="true" strokeweight=".48pt" strokecolor="#000000">
                <v:path arrowok="t"/>
              </v:shape>
            </v:group>
            <v:group style="position:absolute;left:5388;top:4126;width:2;height:1329" coordorigin="5388,4126" coordsize="2,1329">
              <v:shape style="position:absolute;left:5388;top:4126;width:2;height:1329" coordorigin="5388,4126" coordsize="0,1329" path="m5388,4126l5388,5454e" filled="false" stroked="true" strokeweight=".48001pt" strokecolor="#000000">
                <v:path arrowok="t"/>
              </v:shape>
            </v:group>
            <v:group style="position:absolute;left:6451;top:4126;width:2;height:1329" coordorigin="6451,4126" coordsize="2,1329">
              <v:shape style="position:absolute;left:6451;top:4126;width:2;height:1329" coordorigin="6451,4126" coordsize="0,1329" path="m6451,4126l6451,5454e" filled="false" stroked="true" strokeweight=".48001pt" strokecolor="#000000">
                <v:path arrowok="t"/>
              </v:shape>
            </v:group>
            <v:group style="position:absolute;left:7514;top:4126;width:2;height:1329" coordorigin="7514,4126" coordsize="2,1329">
              <v:shape style="position:absolute;left:7514;top:4126;width:2;height:1329" coordorigin="7514,4126" coordsize="0,1329" path="m7514,4126l7514,5454e" filled="false" stroked="true" strokeweight=".47998pt" strokecolor="#000000">
                <v:path arrowok="t"/>
              </v:shape>
            </v:group>
            <v:group style="position:absolute;left:8578;top:4126;width:2;height:1329" coordorigin="8578,4126" coordsize="2,1329">
              <v:shape style="position:absolute;left:8578;top:4126;width:2;height:1329" coordorigin="8578,4126" coordsize="0,1329" path="m8578,4126l8578,5454e" filled="false" stroked="true" strokeweight=".48001pt" strokecolor="#000000">
                <v:path arrowok="t"/>
              </v:shape>
            </v:group>
            <v:group style="position:absolute;left:9640;top:4126;width:2;height:1329" coordorigin="9640,4126" coordsize="2,1329">
              <v:shape style="position:absolute;left:9640;top:4126;width:2;height:1329" coordorigin="9640,4126" coordsize="0,1329" path="m9640,4126l9640,5454e" filled="false" stroked="true" strokeweight=".47998pt" strokecolor="#000000">
                <v:path arrowok="t"/>
              </v:shape>
            </v:group>
            <v:group style="position:absolute;left:5393;top:5464;width:1054;height:1329" coordorigin="5393,5464" coordsize="1054,1329">
              <v:shape style="position:absolute;left:5393;top:5464;width:1054;height:1329" coordorigin="5393,5464" coordsize="1054,1329" path="m5393,6792l6446,6792,6446,5464,5393,5464,5393,6792xe" filled="true" fillcolor="#ffffff" stroked="false">
                <v:path arrowok="t"/>
                <v:fill type="solid"/>
              </v:shape>
            </v:group>
            <v:group style="position:absolute;left:5416;top:5932;width:1007;height:393" coordorigin="5416,5932" coordsize="1007,393">
              <v:shape style="position:absolute;left:5416;top:5932;width:1007;height:393" coordorigin="5416,5932" coordsize="1007,393" path="m5416,6324l6422,6324,6422,5932,5416,5932,5416,6324xe" filled="true" fillcolor="#ffffff" stroked="false">
                <v:path arrowok="t"/>
                <v:fill type="solid"/>
              </v:shape>
            </v:group>
            <v:group style="position:absolute;left:1129;top:5459;width:9579;height:2" coordorigin="1129,5459" coordsize="9579,2">
              <v:shape style="position:absolute;left:1129;top:5459;width:9579;height:2" coordorigin="1129,5459" coordsize="9579,0" path="m1129,5459l10708,5459e" filled="false" stroked="true" strokeweight=".47998pt" strokecolor="#000000">
                <v:path arrowok="t"/>
              </v:shape>
            </v:group>
            <v:group style="position:absolute;left:2200;top:5464;width:2;height:1329" coordorigin="2200,5464" coordsize="2,1329">
              <v:shape style="position:absolute;left:2200;top:5464;width:2;height:1329" coordorigin="2200,5464" coordsize="0,1329" path="m2200,5464l2200,6792e" filled="false" stroked="true" strokeweight=".48pt" strokecolor="#000000">
                <v:path arrowok="t"/>
              </v:shape>
            </v:group>
            <v:group style="position:absolute;left:3262;top:5464;width:2;height:1329" coordorigin="3262,5464" coordsize="2,1329">
              <v:shape style="position:absolute;left:3262;top:5464;width:2;height:1329" coordorigin="3262,5464" coordsize="0,1329" path="m3262,5464l3262,6792e" filled="false" stroked="true" strokeweight=".48001pt" strokecolor="#000000">
                <v:path arrowok="t"/>
              </v:shape>
            </v:group>
            <v:group style="position:absolute;left:4325;top:5464;width:2;height:1329" coordorigin="4325,5464" coordsize="2,1329">
              <v:shape style="position:absolute;left:4325;top:5464;width:2;height:1329" coordorigin="4325,5464" coordsize="0,1329" path="m4325,5464l4325,6792e" filled="false" stroked="true" strokeweight=".48pt" strokecolor="#000000">
                <v:path arrowok="t"/>
              </v:shape>
            </v:group>
            <v:group style="position:absolute;left:5388;top:5464;width:2;height:1329" coordorigin="5388,5464" coordsize="2,1329">
              <v:shape style="position:absolute;left:5388;top:5464;width:2;height:1329" coordorigin="5388,5464" coordsize="0,1329" path="m5388,5464l5388,6792e" filled="false" stroked="true" strokeweight=".48001pt" strokecolor="#000000">
                <v:path arrowok="t"/>
              </v:shape>
            </v:group>
            <v:group style="position:absolute;left:6451;top:5464;width:2;height:1329" coordorigin="6451,5464" coordsize="2,1329">
              <v:shape style="position:absolute;left:6451;top:5464;width:2;height:1329" coordorigin="6451,5464" coordsize="0,1329" path="m6451,5464l6451,6792e" filled="false" stroked="true" strokeweight=".48001pt" strokecolor="#000000">
                <v:path arrowok="t"/>
              </v:shape>
            </v:group>
            <v:group style="position:absolute;left:7514;top:5464;width:2;height:1329" coordorigin="7514,5464" coordsize="2,1329">
              <v:shape style="position:absolute;left:7514;top:5464;width:2;height:1329" coordorigin="7514,5464" coordsize="0,1329" path="m7514,5464l7514,6792e" filled="false" stroked="true" strokeweight=".47998pt" strokecolor="#000000">
                <v:path arrowok="t"/>
              </v:shape>
            </v:group>
            <v:group style="position:absolute;left:8578;top:5464;width:2;height:1329" coordorigin="8578,5464" coordsize="2,1329">
              <v:shape style="position:absolute;left:8578;top:5464;width:2;height:1329" coordorigin="8578,5464" coordsize="0,1329" path="m8578,5464l8578,6792e" filled="false" stroked="true" strokeweight=".48001pt" strokecolor="#000000">
                <v:path arrowok="t"/>
              </v:shape>
            </v:group>
            <v:group style="position:absolute;left:9640;top:5464;width:2;height:1329" coordorigin="9640,5464" coordsize="2,1329">
              <v:shape style="position:absolute;left:9640;top:5464;width:2;height:1329" coordorigin="9640,5464" coordsize="0,1329" path="m9640,5464l9640,6792e" filled="false" stroked="true" strokeweight=".47998pt" strokecolor="#000000">
                <v:path arrowok="t"/>
              </v:shape>
            </v:group>
            <v:group style="position:absolute;left:5393;top:6802;width:1054;height:1329" coordorigin="5393,6802" coordsize="1054,1329">
              <v:shape style="position:absolute;left:5393;top:6802;width:1054;height:1329" coordorigin="5393,6802" coordsize="1054,1329" path="m5393,8130l6446,8130,6446,6802,5393,6802,5393,8130xe" filled="true" fillcolor="#ffffff" stroked="false">
                <v:path arrowok="t"/>
                <v:fill type="solid"/>
              </v:shape>
            </v:group>
            <v:group style="position:absolute;left:5416;top:7270;width:1007;height:393" coordorigin="5416,7270" coordsize="1007,393">
              <v:shape style="position:absolute;left:5416;top:7270;width:1007;height:393" coordorigin="5416,7270" coordsize="1007,393" path="m5416,7662l6422,7662,6422,7270,5416,7270,5416,7662xe" filled="true" fillcolor="#ffffff" stroked="false">
                <v:path arrowok="t"/>
                <v:fill type="solid"/>
              </v:shape>
            </v:group>
            <v:group style="position:absolute;left:1129;top:6797;width:9579;height:2" coordorigin="1129,6797" coordsize="9579,2">
              <v:shape style="position:absolute;left:1129;top:6797;width:9579;height:2" coordorigin="1129,6797" coordsize="9579,0" path="m1129,6797l10708,6797e" filled="false" stroked="true" strokeweight=".48001pt" strokecolor="#000000">
                <v:path arrowok="t"/>
              </v:shape>
            </v:group>
            <v:group style="position:absolute;left:2200;top:6802;width:2;height:1329" coordorigin="2200,6802" coordsize="2,1329">
              <v:shape style="position:absolute;left:2200;top:6802;width:2;height:1329" coordorigin="2200,6802" coordsize="0,1329" path="m2200,6802l2200,8130e" filled="false" stroked="true" strokeweight=".48pt" strokecolor="#000000">
                <v:path arrowok="t"/>
              </v:shape>
            </v:group>
            <v:group style="position:absolute;left:3262;top:6802;width:2;height:1329" coordorigin="3262,6802" coordsize="2,1329">
              <v:shape style="position:absolute;left:3262;top:6802;width:2;height:1329" coordorigin="3262,6802" coordsize="0,1329" path="m3262,6802l3262,8130e" filled="false" stroked="true" strokeweight=".48001pt" strokecolor="#000000">
                <v:path arrowok="t"/>
              </v:shape>
            </v:group>
            <v:group style="position:absolute;left:4325;top:6802;width:2;height:1329" coordorigin="4325,6802" coordsize="2,1329">
              <v:shape style="position:absolute;left:4325;top:6802;width:2;height:1329" coordorigin="4325,6802" coordsize="0,1329" path="m4325,6802l4325,8130e" filled="false" stroked="true" strokeweight=".48pt" strokecolor="#000000">
                <v:path arrowok="t"/>
              </v:shape>
            </v:group>
            <v:group style="position:absolute;left:5388;top:6802;width:2;height:1329" coordorigin="5388,6802" coordsize="2,1329">
              <v:shape style="position:absolute;left:5388;top:6802;width:2;height:1329" coordorigin="5388,6802" coordsize="0,1329" path="m5388,6802l5388,8130e" filled="false" stroked="true" strokeweight=".48001pt" strokecolor="#000000">
                <v:path arrowok="t"/>
              </v:shape>
            </v:group>
            <v:group style="position:absolute;left:6451;top:6802;width:2;height:1329" coordorigin="6451,6802" coordsize="2,1329">
              <v:shape style="position:absolute;left:6451;top:6802;width:2;height:1329" coordorigin="6451,6802" coordsize="0,1329" path="m6451,6802l6451,8130e" filled="false" stroked="true" strokeweight=".48001pt" strokecolor="#000000">
                <v:path arrowok="t"/>
              </v:shape>
            </v:group>
            <v:group style="position:absolute;left:7514;top:6802;width:2;height:1329" coordorigin="7514,6802" coordsize="2,1329">
              <v:shape style="position:absolute;left:7514;top:6802;width:2;height:1329" coordorigin="7514,6802" coordsize="0,1329" path="m7514,6802l7514,8130e" filled="false" stroked="true" strokeweight=".47998pt" strokecolor="#000000">
                <v:path arrowok="t"/>
              </v:shape>
            </v:group>
            <v:group style="position:absolute;left:8578;top:6802;width:2;height:1329" coordorigin="8578,6802" coordsize="2,1329">
              <v:shape style="position:absolute;left:8578;top:6802;width:2;height:1329" coordorigin="8578,6802" coordsize="0,1329" path="m8578,6802l8578,8130e" filled="false" stroked="true" strokeweight=".48001pt" strokecolor="#000000">
                <v:path arrowok="t"/>
              </v:shape>
            </v:group>
            <v:group style="position:absolute;left:9640;top:6802;width:2;height:1329" coordorigin="9640,6802" coordsize="2,1329">
              <v:shape style="position:absolute;left:9640;top:6802;width:2;height:1329" coordorigin="9640,6802" coordsize="0,1329" path="m9640,6802l9640,8130e" filled="false" stroked="true" strokeweight=".47998pt" strokecolor="#000000">
                <v:path arrowok="t"/>
              </v:shape>
            </v:group>
            <v:group style="position:absolute;left:5393;top:8140;width:1054;height:1329" coordorigin="5393,8140" coordsize="1054,1329">
              <v:shape style="position:absolute;left:5393;top:8140;width:1054;height:1329" coordorigin="5393,8140" coordsize="1054,1329" path="m5393,9468l6446,9468,6446,8140,5393,8140,5393,9468xe" filled="true" fillcolor="#ffffff" stroked="false">
                <v:path arrowok="t"/>
                <v:fill type="solid"/>
              </v:shape>
            </v:group>
            <v:group style="position:absolute;left:5416;top:8608;width:1007;height:393" coordorigin="5416,8608" coordsize="1007,393">
              <v:shape style="position:absolute;left:5416;top:8608;width:1007;height:393" coordorigin="5416,8608" coordsize="1007,393" path="m5416,9000l6422,9000,6422,8608,5416,8608,5416,9000xe" filled="true" fillcolor="#ffffff" stroked="false">
                <v:path arrowok="t"/>
                <v:fill type="solid"/>
              </v:shape>
            </v:group>
            <v:group style="position:absolute;left:1129;top:8135;width:9579;height:2" coordorigin="1129,8135" coordsize="9579,2">
              <v:shape style="position:absolute;left:1129;top:8135;width:9579;height:2" coordorigin="1129,8135" coordsize="9579,0" path="m1129,8135l10708,8135e" filled="false" stroked="true" strokeweight=".48001pt" strokecolor="#000000">
                <v:path arrowok="t"/>
              </v:shape>
            </v:group>
            <v:group style="position:absolute;left:2200;top:8140;width:2;height:1329" coordorigin="2200,8140" coordsize="2,1329">
              <v:shape style="position:absolute;left:2200;top:8140;width:2;height:1329" coordorigin="2200,8140" coordsize="0,1329" path="m2200,8140l2200,9468e" filled="false" stroked="true" strokeweight=".48pt" strokecolor="#000000">
                <v:path arrowok="t"/>
              </v:shape>
            </v:group>
            <v:group style="position:absolute;left:3262;top:8140;width:2;height:1329" coordorigin="3262,8140" coordsize="2,1329">
              <v:shape style="position:absolute;left:3262;top:8140;width:2;height:1329" coordorigin="3262,8140" coordsize="0,1329" path="m3262,8140l3262,9468e" filled="false" stroked="true" strokeweight=".48001pt" strokecolor="#000000">
                <v:path arrowok="t"/>
              </v:shape>
            </v:group>
            <v:group style="position:absolute;left:4325;top:8140;width:2;height:1329" coordorigin="4325,8140" coordsize="2,1329">
              <v:shape style="position:absolute;left:4325;top:8140;width:2;height:1329" coordorigin="4325,8140" coordsize="0,1329" path="m4325,8140l4325,9468e" filled="false" stroked="true" strokeweight=".48pt" strokecolor="#000000">
                <v:path arrowok="t"/>
              </v:shape>
            </v:group>
            <v:group style="position:absolute;left:5388;top:8140;width:2;height:1329" coordorigin="5388,8140" coordsize="2,1329">
              <v:shape style="position:absolute;left:5388;top:8140;width:2;height:1329" coordorigin="5388,8140" coordsize="0,1329" path="m5388,8140l5388,9468e" filled="false" stroked="true" strokeweight=".48001pt" strokecolor="#000000">
                <v:path arrowok="t"/>
              </v:shape>
            </v:group>
            <v:group style="position:absolute;left:6451;top:8140;width:2;height:1329" coordorigin="6451,8140" coordsize="2,1329">
              <v:shape style="position:absolute;left:6451;top:8140;width:2;height:1329" coordorigin="6451,8140" coordsize="0,1329" path="m6451,8140l6451,9468e" filled="false" stroked="true" strokeweight=".48001pt" strokecolor="#000000">
                <v:path arrowok="t"/>
              </v:shape>
            </v:group>
            <v:group style="position:absolute;left:7514;top:8140;width:2;height:1329" coordorigin="7514,8140" coordsize="2,1329">
              <v:shape style="position:absolute;left:7514;top:8140;width:2;height:1329" coordorigin="7514,8140" coordsize="0,1329" path="m7514,8140l7514,9468e" filled="false" stroked="true" strokeweight=".47998pt" strokecolor="#000000">
                <v:path arrowok="t"/>
              </v:shape>
            </v:group>
            <v:group style="position:absolute;left:8578;top:8140;width:2;height:1329" coordorigin="8578,8140" coordsize="2,1329">
              <v:shape style="position:absolute;left:8578;top:8140;width:2;height:1329" coordorigin="8578,8140" coordsize="0,1329" path="m8578,8140l8578,9468e" filled="false" stroked="true" strokeweight=".48001pt" strokecolor="#000000">
                <v:path arrowok="t"/>
              </v:shape>
            </v:group>
            <v:group style="position:absolute;left:9640;top:8140;width:2;height:1329" coordorigin="9640,8140" coordsize="2,1329">
              <v:shape style="position:absolute;left:9640;top:8140;width:2;height:1329" coordorigin="9640,8140" coordsize="0,1329" path="m9640,8140l9640,9468e" filled="false" stroked="true" strokeweight=".47998pt" strokecolor="#000000">
                <v:path arrowok="t"/>
              </v:shape>
            </v:group>
            <v:group style="position:absolute;left:5393;top:9478;width:1054;height:1329" coordorigin="5393,9478" coordsize="1054,1329">
              <v:shape style="position:absolute;left:5393;top:9478;width:1054;height:1329" coordorigin="5393,9478" coordsize="1054,1329" path="m5393,10806l6446,10806,6446,9478,5393,9478,5393,10806xe" filled="true" fillcolor="#ffffff" stroked="false">
                <v:path arrowok="t"/>
                <v:fill type="solid"/>
              </v:shape>
            </v:group>
            <v:group style="position:absolute;left:5416;top:9946;width:1007;height:393" coordorigin="5416,9946" coordsize="1007,393">
              <v:shape style="position:absolute;left:5416;top:9946;width:1007;height:393" coordorigin="5416,9946" coordsize="1007,393" path="m5416,10338l6422,10338,6422,9946,5416,9946,5416,10338xe" filled="true" fillcolor="#ffffff" stroked="false">
                <v:path arrowok="t"/>
                <v:fill type="solid"/>
              </v:shape>
            </v:group>
            <v:group style="position:absolute;left:1129;top:9473;width:9579;height:2" coordorigin="1129,9473" coordsize="9579,2">
              <v:shape style="position:absolute;left:1129;top:9473;width:9579;height:2" coordorigin="1129,9473" coordsize="9579,0" path="m1129,9473l10708,9473e" filled="false" stroked="true" strokeweight=".47998pt" strokecolor="#000000">
                <v:path arrowok="t"/>
              </v:shape>
            </v:group>
            <v:group style="position:absolute;left:2200;top:9478;width:2;height:1329" coordorigin="2200,9478" coordsize="2,1329">
              <v:shape style="position:absolute;left:2200;top:9478;width:2;height:1329" coordorigin="2200,9478" coordsize="0,1329" path="m2200,9478l2200,10806e" filled="false" stroked="true" strokeweight=".48pt" strokecolor="#000000">
                <v:path arrowok="t"/>
              </v:shape>
            </v:group>
            <v:group style="position:absolute;left:3262;top:9478;width:2;height:1329" coordorigin="3262,9478" coordsize="2,1329">
              <v:shape style="position:absolute;left:3262;top:9478;width:2;height:1329" coordorigin="3262,9478" coordsize="0,1329" path="m3262,9478l3262,10806e" filled="false" stroked="true" strokeweight=".48001pt" strokecolor="#000000">
                <v:path arrowok="t"/>
              </v:shape>
            </v:group>
            <v:group style="position:absolute;left:4325;top:9478;width:2;height:1329" coordorigin="4325,9478" coordsize="2,1329">
              <v:shape style="position:absolute;left:4325;top:9478;width:2;height:1329" coordorigin="4325,9478" coordsize="0,1329" path="m4325,9478l4325,10806e" filled="false" stroked="true" strokeweight=".48pt" strokecolor="#000000">
                <v:path arrowok="t"/>
              </v:shape>
            </v:group>
            <v:group style="position:absolute;left:5388;top:9478;width:2;height:1329" coordorigin="5388,9478" coordsize="2,1329">
              <v:shape style="position:absolute;left:5388;top:9478;width:2;height:1329" coordorigin="5388,9478" coordsize="0,1329" path="m5388,9478l5388,10806e" filled="false" stroked="true" strokeweight=".48001pt" strokecolor="#000000">
                <v:path arrowok="t"/>
              </v:shape>
            </v:group>
            <v:group style="position:absolute;left:6451;top:9478;width:2;height:1329" coordorigin="6451,9478" coordsize="2,1329">
              <v:shape style="position:absolute;left:6451;top:9478;width:2;height:1329" coordorigin="6451,9478" coordsize="0,1329" path="m6451,9478l6451,10806e" filled="false" stroked="true" strokeweight=".48001pt" strokecolor="#000000">
                <v:path arrowok="t"/>
              </v:shape>
            </v:group>
            <v:group style="position:absolute;left:7514;top:9478;width:2;height:1329" coordorigin="7514,9478" coordsize="2,1329">
              <v:shape style="position:absolute;left:7514;top:9478;width:2;height:1329" coordorigin="7514,9478" coordsize="0,1329" path="m7514,9478l7514,10806e" filled="false" stroked="true" strokeweight=".47998pt" strokecolor="#000000">
                <v:path arrowok="t"/>
              </v:shape>
            </v:group>
            <v:group style="position:absolute;left:8578;top:9478;width:2;height:1329" coordorigin="8578,9478" coordsize="2,1329">
              <v:shape style="position:absolute;left:8578;top:9478;width:2;height:1329" coordorigin="8578,9478" coordsize="0,1329" path="m8578,9478l8578,10806e" filled="false" stroked="true" strokeweight=".48001pt" strokecolor="#000000">
                <v:path arrowok="t"/>
              </v:shape>
            </v:group>
            <v:group style="position:absolute;left:9640;top:9478;width:2;height:1329" coordorigin="9640,9478" coordsize="2,1329">
              <v:shape style="position:absolute;left:9640;top:9478;width:2;height:1329" coordorigin="9640,9478" coordsize="0,1329" path="m9640,9478l9640,10806e" filled="false" stroked="true" strokeweight=".47998pt" strokecolor="#000000">
                <v:path arrowok="t"/>
              </v:shape>
            </v:group>
            <v:group style="position:absolute;left:5393;top:10816;width:1054;height:1329" coordorigin="5393,10816" coordsize="1054,1329">
              <v:shape style="position:absolute;left:5393;top:10816;width:1054;height:1329" coordorigin="5393,10816" coordsize="1054,1329" path="m5393,12144l6446,12144,6446,10816,5393,10816,5393,12144xe" filled="true" fillcolor="#ffffff" stroked="false">
                <v:path arrowok="t"/>
                <v:fill type="solid"/>
              </v:shape>
            </v:group>
            <v:group style="position:absolute;left:5416;top:11284;width:1007;height:393" coordorigin="5416,11284" coordsize="1007,393">
              <v:shape style="position:absolute;left:5416;top:11284;width:1007;height:393" coordorigin="5416,11284" coordsize="1007,393" path="m5416,11676l6422,11676,6422,11284,5416,11284,5416,11676xe" filled="true" fillcolor="#ffffff" stroked="false">
                <v:path arrowok="t"/>
                <v:fill type="solid"/>
              </v:shape>
            </v:group>
            <v:group style="position:absolute;left:1129;top:10811;width:9579;height:2" coordorigin="1129,10811" coordsize="9579,2">
              <v:shape style="position:absolute;left:1129;top:10811;width:9579;height:2" coordorigin="1129,10811" coordsize="9579,0" path="m1129,10811l10708,10811e" filled="false" stroked="true" strokeweight=".48001pt" strokecolor="#000000">
                <v:path arrowok="t"/>
              </v:shape>
            </v:group>
            <v:group style="position:absolute;left:2200;top:10816;width:2;height:1329" coordorigin="2200,10816" coordsize="2,1329">
              <v:shape style="position:absolute;left:2200;top:10816;width:2;height:1329" coordorigin="2200,10816" coordsize="0,1329" path="m2200,10816l2200,12144e" filled="false" stroked="true" strokeweight=".48pt" strokecolor="#000000">
                <v:path arrowok="t"/>
              </v:shape>
            </v:group>
            <v:group style="position:absolute;left:3262;top:10816;width:2;height:1329" coordorigin="3262,10816" coordsize="2,1329">
              <v:shape style="position:absolute;left:3262;top:10816;width:2;height:1329" coordorigin="3262,10816" coordsize="0,1329" path="m3262,10816l3262,12144e" filled="false" stroked="true" strokeweight=".48001pt" strokecolor="#000000">
                <v:path arrowok="t"/>
              </v:shape>
            </v:group>
            <v:group style="position:absolute;left:4325;top:10816;width:2;height:1329" coordorigin="4325,10816" coordsize="2,1329">
              <v:shape style="position:absolute;left:4325;top:10816;width:2;height:1329" coordorigin="4325,10816" coordsize="0,1329" path="m4325,10816l4325,12144e" filled="false" stroked="true" strokeweight=".48pt" strokecolor="#000000">
                <v:path arrowok="t"/>
              </v:shape>
            </v:group>
            <v:group style="position:absolute;left:5388;top:10816;width:2;height:1329" coordorigin="5388,10816" coordsize="2,1329">
              <v:shape style="position:absolute;left:5388;top:10816;width:2;height:1329" coordorigin="5388,10816" coordsize="0,1329" path="m5388,10816l5388,12144e" filled="false" stroked="true" strokeweight=".48001pt" strokecolor="#000000">
                <v:path arrowok="t"/>
              </v:shape>
            </v:group>
            <v:group style="position:absolute;left:6451;top:10816;width:2;height:1329" coordorigin="6451,10816" coordsize="2,1329">
              <v:shape style="position:absolute;left:6451;top:10816;width:2;height:1329" coordorigin="6451,10816" coordsize="0,1329" path="m6451,10816l6451,12144e" filled="false" stroked="true" strokeweight=".48001pt" strokecolor="#000000">
                <v:path arrowok="t"/>
              </v:shape>
            </v:group>
            <v:group style="position:absolute;left:7514;top:10816;width:2;height:1329" coordorigin="7514,10816" coordsize="2,1329">
              <v:shape style="position:absolute;left:7514;top:10816;width:2;height:1329" coordorigin="7514,10816" coordsize="0,1329" path="m7514,10816l7514,12144e" filled="false" stroked="true" strokeweight=".47998pt" strokecolor="#000000">
                <v:path arrowok="t"/>
              </v:shape>
            </v:group>
            <v:group style="position:absolute;left:8578;top:10816;width:2;height:1329" coordorigin="8578,10816" coordsize="2,1329">
              <v:shape style="position:absolute;left:8578;top:10816;width:2;height:1329" coordorigin="8578,10816" coordsize="0,1329" path="m8578,10816l8578,12144e" filled="false" stroked="true" strokeweight=".48001pt" strokecolor="#000000">
                <v:path arrowok="t"/>
              </v:shape>
            </v:group>
            <v:group style="position:absolute;left:9640;top:10816;width:2;height:1329" coordorigin="9640,10816" coordsize="2,1329">
              <v:shape style="position:absolute;left:9640;top:10816;width:2;height:1329" coordorigin="9640,10816" coordsize="0,1329" path="m9640,10816l9640,12144e" filled="false" stroked="true" strokeweight=".47998pt" strokecolor="#000000">
                <v:path arrowok="t"/>
              </v:shape>
            </v:group>
            <v:group style="position:absolute;left:5393;top:12154;width:1054;height:1329" coordorigin="5393,12154" coordsize="1054,1329">
              <v:shape style="position:absolute;left:5393;top:12154;width:1054;height:1329" coordorigin="5393,12154" coordsize="1054,1329" path="m5393,13482l6446,13482,6446,12154,5393,12154,5393,13482xe" filled="true" fillcolor="#ffffff" stroked="false">
                <v:path arrowok="t"/>
                <v:fill type="solid"/>
              </v:shape>
            </v:group>
            <v:group style="position:absolute;left:5416;top:12622;width:1007;height:393" coordorigin="5416,12622" coordsize="1007,393">
              <v:shape style="position:absolute;left:5416;top:12622;width:1007;height:393" coordorigin="5416,12622" coordsize="1007,393" path="m5416,13014l6422,13014,6422,12622,5416,12622,5416,13014xe" filled="true" fillcolor="#ffffff" stroked="false">
                <v:path arrowok="t"/>
                <v:fill type="solid"/>
              </v:shape>
            </v:group>
            <v:group style="position:absolute;left:1129;top:12149;width:9579;height:2" coordorigin="1129,12149" coordsize="9579,2">
              <v:shape style="position:absolute;left:1129;top:12149;width:9579;height:2" coordorigin="1129,12149" coordsize="9579,0" path="m1129,12149l10708,12149e" filled="false" stroked="true" strokeweight=".48pt" strokecolor="#000000">
                <v:path arrowok="t"/>
              </v:shape>
            </v:group>
            <v:group style="position:absolute;left:2200;top:12154;width:2;height:1329" coordorigin="2200,12154" coordsize="2,1329">
              <v:shape style="position:absolute;left:2200;top:12154;width:2;height:1329" coordorigin="2200,12154" coordsize="0,1329" path="m2200,12154l2200,13482e" filled="false" stroked="true" strokeweight=".48pt" strokecolor="#000000">
                <v:path arrowok="t"/>
              </v:shape>
            </v:group>
            <v:group style="position:absolute;left:3262;top:12154;width:2;height:1329" coordorigin="3262,12154" coordsize="2,1329">
              <v:shape style="position:absolute;left:3262;top:12154;width:2;height:1329" coordorigin="3262,12154" coordsize="0,1329" path="m3262,12154l3262,13482e" filled="false" stroked="true" strokeweight=".48001pt" strokecolor="#000000">
                <v:path arrowok="t"/>
              </v:shape>
            </v:group>
            <v:group style="position:absolute;left:4325;top:12154;width:2;height:1329" coordorigin="4325,12154" coordsize="2,1329">
              <v:shape style="position:absolute;left:4325;top:12154;width:2;height:1329" coordorigin="4325,12154" coordsize="0,1329" path="m4325,12154l4325,13482e" filled="false" stroked="true" strokeweight=".48pt" strokecolor="#000000">
                <v:path arrowok="t"/>
              </v:shape>
            </v:group>
            <v:group style="position:absolute;left:5388;top:12154;width:2;height:1329" coordorigin="5388,12154" coordsize="2,1329">
              <v:shape style="position:absolute;left:5388;top:12154;width:2;height:1329" coordorigin="5388,12154" coordsize="0,1329" path="m5388,12154l5388,13482e" filled="false" stroked="true" strokeweight=".48001pt" strokecolor="#000000">
                <v:path arrowok="t"/>
              </v:shape>
            </v:group>
            <v:group style="position:absolute;left:6451;top:12154;width:2;height:1329" coordorigin="6451,12154" coordsize="2,1329">
              <v:shape style="position:absolute;left:6451;top:12154;width:2;height:1329" coordorigin="6451,12154" coordsize="0,1329" path="m6451,12154l6451,13482e" filled="false" stroked="true" strokeweight=".48001pt" strokecolor="#000000">
                <v:path arrowok="t"/>
              </v:shape>
            </v:group>
            <v:group style="position:absolute;left:7514;top:12154;width:2;height:1329" coordorigin="7514,12154" coordsize="2,1329">
              <v:shape style="position:absolute;left:7514;top:12154;width:2;height:1329" coordorigin="7514,12154" coordsize="0,1329" path="m7514,12154l7514,13482e" filled="false" stroked="true" strokeweight=".47998pt" strokecolor="#000000">
                <v:path arrowok="t"/>
              </v:shape>
            </v:group>
            <v:group style="position:absolute;left:8578;top:12154;width:2;height:1329" coordorigin="8578,12154" coordsize="2,1329">
              <v:shape style="position:absolute;left:8578;top:12154;width:2;height:1329" coordorigin="8578,12154" coordsize="0,1329" path="m8578,12154l8578,13482e" filled="false" stroked="true" strokeweight=".48001pt" strokecolor="#000000">
                <v:path arrowok="t"/>
              </v:shape>
            </v:group>
            <v:group style="position:absolute;left:9640;top:12154;width:2;height:1329" coordorigin="9640,12154" coordsize="2,1329">
              <v:shape style="position:absolute;left:9640;top:12154;width:2;height:1329" coordorigin="9640,12154" coordsize="0,1329" path="m9640,12154l9640,13482e" filled="false" stroked="true" strokeweight=".47998pt" strokecolor="#000000">
                <v:path arrowok="t"/>
              </v:shape>
            </v:group>
            <v:group style="position:absolute;left:5393;top:13492;width:1054;height:1329" coordorigin="5393,13492" coordsize="1054,1329">
              <v:shape style="position:absolute;left:5393;top:13492;width:1054;height:1329" coordorigin="5393,13492" coordsize="1054,1329" path="m5393,14820l6446,14820,6446,13492,5393,13492,5393,14820xe" filled="true" fillcolor="#ffffff" stroked="false">
                <v:path arrowok="t"/>
                <v:fill type="solid"/>
              </v:shape>
            </v:group>
            <v:group style="position:absolute;left:5416;top:13960;width:1007;height:393" coordorigin="5416,13960" coordsize="1007,393">
              <v:shape style="position:absolute;left:5416;top:13960;width:1007;height:393" coordorigin="5416,13960" coordsize="1007,393" path="m5416,14352l6422,14352,6422,13960,5416,13960,5416,14352xe" filled="true" fillcolor="#ffffff" stroked="false">
                <v:path arrowok="t"/>
                <v:fill type="solid"/>
              </v:shape>
            </v:group>
            <v:group style="position:absolute;left:1129;top:13487;width:9579;height:2" coordorigin="1129,13487" coordsize="9579,2">
              <v:shape style="position:absolute;left:1129;top:13487;width:9579;height:2" coordorigin="1129,13487" coordsize="9579,0" path="m1129,13487l10708,13487e" filled="false" stroked="true" strokeweight=".48001pt" strokecolor="#000000">
                <v:path arrowok="t"/>
              </v:shape>
            </v:group>
            <v:group style="position:absolute;left:2200;top:13492;width:2;height:1329" coordorigin="2200,13492" coordsize="2,1329">
              <v:shape style="position:absolute;left:2200;top:13492;width:2;height:1329" coordorigin="2200,13492" coordsize="0,1329" path="m2200,13492l2200,14820e" filled="false" stroked="true" strokeweight=".48pt" strokecolor="#000000">
                <v:path arrowok="t"/>
              </v:shape>
            </v:group>
            <v:group style="position:absolute;left:3262;top:13492;width:2;height:1329" coordorigin="3262,13492" coordsize="2,1329">
              <v:shape style="position:absolute;left:3262;top:13492;width:2;height:1329" coordorigin="3262,13492" coordsize="0,1329" path="m3262,13492l3262,14820e" filled="false" stroked="true" strokeweight=".48001pt" strokecolor="#000000">
                <v:path arrowok="t"/>
              </v:shape>
            </v:group>
            <v:group style="position:absolute;left:4325;top:13492;width:2;height:1329" coordorigin="4325,13492" coordsize="2,1329">
              <v:shape style="position:absolute;left:4325;top:13492;width:2;height:1329" coordorigin="4325,13492" coordsize="0,1329" path="m4325,13492l4325,14820e" filled="false" stroked="true" strokeweight=".48pt" strokecolor="#000000">
                <v:path arrowok="t"/>
              </v:shape>
            </v:group>
            <v:group style="position:absolute;left:5388;top:13492;width:2;height:1329" coordorigin="5388,13492" coordsize="2,1329">
              <v:shape style="position:absolute;left:5388;top:13492;width:2;height:1329" coordorigin="5388,13492" coordsize="0,1329" path="m5388,13492l5388,14820e" filled="false" stroked="true" strokeweight=".48001pt" strokecolor="#000000">
                <v:path arrowok="t"/>
              </v:shape>
            </v:group>
            <v:group style="position:absolute;left:6451;top:13492;width:2;height:1329" coordorigin="6451,13492" coordsize="2,1329">
              <v:shape style="position:absolute;left:6451;top:13492;width:2;height:1329" coordorigin="6451,13492" coordsize="0,1329" path="m6451,13492l6451,14820e" filled="false" stroked="true" strokeweight=".48001pt" strokecolor="#000000">
                <v:path arrowok="t"/>
              </v:shape>
            </v:group>
            <v:group style="position:absolute;left:7514;top:13492;width:2;height:1329" coordorigin="7514,13492" coordsize="2,1329">
              <v:shape style="position:absolute;left:7514;top:13492;width:2;height:1329" coordorigin="7514,13492" coordsize="0,1329" path="m7514,13492l7514,14820e" filled="false" stroked="true" strokeweight=".47998pt" strokecolor="#000000">
                <v:path arrowok="t"/>
              </v:shape>
            </v:group>
            <v:group style="position:absolute;left:8578;top:13492;width:2;height:1329" coordorigin="8578,13492" coordsize="2,1329">
              <v:shape style="position:absolute;left:8578;top:13492;width:2;height:1329" coordorigin="8578,13492" coordsize="0,1329" path="m8578,13492l8578,14820e" filled="false" stroked="true" strokeweight=".48001pt" strokecolor="#000000">
                <v:path arrowok="t"/>
              </v:shape>
            </v:group>
            <v:group style="position:absolute;left:9640;top:13492;width:2;height:1329" coordorigin="9640,13492" coordsize="2,1329">
              <v:shape style="position:absolute;left:9640;top:13492;width:2;height:1329" coordorigin="9640,13492" coordsize="0,1329" path="m9640,13492l9640,14820e" filled="false" stroked="true" strokeweight=".47998pt" strokecolor="#000000">
                <v:path arrowok="t"/>
              </v:shape>
            </v:group>
            <v:group style="position:absolute;left:6422;top:14830;width:24;height:393" coordorigin="6422,14830" coordsize="24,393">
              <v:shape style="position:absolute;left:6422;top:14830;width:24;height:393" coordorigin="6422,14830" coordsize="24,393" path="m6422,15222l6446,15222,6446,14830,6422,14830,6422,15222xe" filled="true" fillcolor="#ffffff" stroked="false">
                <v:path arrowok="t"/>
                <v:fill type="solid"/>
              </v:shape>
            </v:group>
            <v:group style="position:absolute;left:5393;top:14830;width:23;height:393" coordorigin="5393,14830" coordsize="23,393">
              <v:shape style="position:absolute;left:5393;top:14830;width:23;height:393" coordorigin="5393,14830" coordsize="23,393" path="m5393,15222l5416,15222,5416,14830,5393,14830,5393,15222xe" filled="true" fillcolor="#ffffff" stroked="false">
                <v:path arrowok="t"/>
                <v:fill type="solid"/>
              </v:shape>
            </v:group>
            <v:group style="position:absolute;left:1129;top:14825;width:9579;height:2" coordorigin="1129,14825" coordsize="9579,2">
              <v:shape style="position:absolute;left:1129;top:14825;width:9579;height:2" coordorigin="1129,14825" coordsize="9579,0" path="m1129,14825l10708,14825e" filled="false" stroked="true" strokeweight=".48001pt" strokecolor="#000000">
                <v:path arrowok="t"/>
              </v:shape>
            </v:group>
            <v:group style="position:absolute;left:1134;top:1440;width:2;height:13792" coordorigin="1134,1440" coordsize="2,13792">
              <v:shape style="position:absolute;left:1134;top:1440;width:2;height:13792" coordorigin="1134,1440" coordsize="0,13792" path="m1134,1440l1134,15232e" filled="false" stroked="true" strokeweight=".48001pt" strokecolor="#000000">
                <v:path arrowok="t"/>
              </v:shape>
            </v:group>
            <v:group style="position:absolute;left:1129;top:15227;width:1066;height:2" coordorigin="1129,15227" coordsize="1066,2">
              <v:shape style="position:absolute;left:1129;top:15227;width:1066;height:2" coordorigin="1129,15227" coordsize="1066,0" path="m1129,15227l2195,15227e" filled="false" stroked="true" strokeweight=".47998pt" strokecolor="#000000">
                <v:path arrowok="t"/>
              </v:shape>
            </v:group>
            <v:group style="position:absolute;left:2200;top:14830;width:2;height:402" coordorigin="2200,14830" coordsize="2,402">
              <v:shape style="position:absolute;left:2200;top:14830;width:2;height:402" coordorigin="2200,14830" coordsize="0,402" path="m2200,14830l2200,15232e" filled="false" stroked="true" strokeweight=".48pt" strokecolor="#000000">
                <v:path arrowok="t"/>
              </v:shape>
            </v:group>
            <v:group style="position:absolute;left:2204;top:15227;width:1053;height:2" coordorigin="2204,15227" coordsize="1053,2">
              <v:shape style="position:absolute;left:2204;top:15227;width:1053;height:2" coordorigin="2204,15227" coordsize="1053,0" path="m2204,15227l3257,15227e" filled="false" stroked="true" strokeweight=".47998pt" strokecolor="#000000">
                <v:path arrowok="t"/>
              </v:shape>
            </v:group>
            <v:group style="position:absolute;left:3262;top:14830;width:2;height:402" coordorigin="3262,14830" coordsize="2,402">
              <v:shape style="position:absolute;left:3262;top:14830;width:2;height:402" coordorigin="3262,14830" coordsize="0,402" path="m3262,14830l3262,15232e" filled="false" stroked="true" strokeweight=".48001pt" strokecolor="#000000">
                <v:path arrowok="t"/>
              </v:shape>
            </v:group>
            <v:group style="position:absolute;left:3266;top:15227;width:1054;height:2" coordorigin="3266,15227" coordsize="1054,2">
              <v:shape style="position:absolute;left:3266;top:15227;width:1054;height:2" coordorigin="3266,15227" coordsize="1054,0" path="m3266,15227l4320,15227e" filled="false" stroked="true" strokeweight=".47998pt" strokecolor="#000000">
                <v:path arrowok="t"/>
              </v:shape>
            </v:group>
            <v:group style="position:absolute;left:4325;top:14830;width:2;height:402" coordorigin="4325,14830" coordsize="2,402">
              <v:shape style="position:absolute;left:4325;top:14830;width:2;height:402" coordorigin="4325,14830" coordsize="0,402" path="m4325,14830l4325,15232e" filled="false" stroked="true" strokeweight=".48pt" strokecolor="#000000">
                <v:path arrowok="t"/>
              </v:shape>
            </v:group>
            <v:group style="position:absolute;left:4330;top:15227;width:1054;height:2" coordorigin="4330,15227" coordsize="1054,2">
              <v:shape style="position:absolute;left:4330;top:15227;width:1054;height:2" coordorigin="4330,15227" coordsize="1054,0" path="m4330,15227l5383,15227e" filled="false" stroked="true" strokeweight=".47998pt" strokecolor="#000000">
                <v:path arrowok="t"/>
              </v:shape>
            </v:group>
            <v:group style="position:absolute;left:5388;top:14830;width:2;height:402" coordorigin="5388,14830" coordsize="2,402">
              <v:shape style="position:absolute;left:5388;top:14830;width:2;height:402" coordorigin="5388,14830" coordsize="0,402" path="m5388,14830l5388,15232e" filled="false" stroked="true" strokeweight=".48001pt" strokecolor="#000000">
                <v:path arrowok="t"/>
              </v:shape>
            </v:group>
            <v:group style="position:absolute;left:5393;top:15227;width:1054;height:2" coordorigin="5393,15227" coordsize="1054,2">
              <v:shape style="position:absolute;left:5393;top:15227;width:1054;height:2" coordorigin="5393,15227" coordsize="1054,0" path="m5393,15227l6446,15227e" filled="false" stroked="true" strokeweight=".47998pt" strokecolor="#000000">
                <v:path arrowok="t"/>
              </v:shape>
            </v:group>
            <v:group style="position:absolute;left:6451;top:14830;width:2;height:402" coordorigin="6451,14830" coordsize="2,402">
              <v:shape style="position:absolute;left:6451;top:14830;width:2;height:402" coordorigin="6451,14830" coordsize="0,402" path="m6451,14830l6451,15232e" filled="false" stroked="true" strokeweight=".48001pt" strokecolor="#000000">
                <v:path arrowok="t"/>
              </v:shape>
            </v:group>
            <v:group style="position:absolute;left:6456;top:15227;width:1054;height:2" coordorigin="6456,15227" coordsize="1054,2">
              <v:shape style="position:absolute;left:6456;top:15227;width:1054;height:2" coordorigin="6456,15227" coordsize="1054,0" path="m6456,15227l7510,15227e" filled="false" stroked="true" strokeweight=".47998pt" strokecolor="#000000">
                <v:path arrowok="t"/>
              </v:shape>
            </v:group>
            <v:group style="position:absolute;left:7514;top:14830;width:2;height:402" coordorigin="7514,14830" coordsize="2,402">
              <v:shape style="position:absolute;left:7514;top:14830;width:2;height:402" coordorigin="7514,14830" coordsize="0,402" path="m7514,14830l7514,15232e" filled="false" stroked="true" strokeweight=".47998pt" strokecolor="#000000">
                <v:path arrowok="t"/>
              </v:shape>
            </v:group>
            <v:group style="position:absolute;left:7519;top:15227;width:1054;height:2" coordorigin="7519,15227" coordsize="1054,2">
              <v:shape style="position:absolute;left:7519;top:15227;width:1054;height:2" coordorigin="7519,15227" coordsize="1054,0" path="m7519,15227l8573,15227e" filled="false" stroked="true" strokeweight=".47998pt" strokecolor="#000000">
                <v:path arrowok="t"/>
              </v:shape>
            </v:group>
            <v:group style="position:absolute;left:8578;top:14830;width:2;height:402" coordorigin="8578,14830" coordsize="2,402">
              <v:shape style="position:absolute;left:8578;top:14830;width:2;height:402" coordorigin="8578,14830" coordsize="0,402" path="m8578,14830l8578,15232e" filled="false" stroked="true" strokeweight=".48001pt" strokecolor="#000000">
                <v:path arrowok="t"/>
              </v:shape>
            </v:group>
            <v:group style="position:absolute;left:8582;top:15227;width:1053;height:2" coordorigin="8582,15227" coordsize="1053,2">
              <v:shape style="position:absolute;left:8582;top:15227;width:1053;height:2" coordorigin="8582,15227" coordsize="1053,0" path="m8582,15227l9635,15227e" filled="false" stroked="true" strokeweight=".47998pt" strokecolor="#000000">
                <v:path arrowok="t"/>
              </v:shape>
            </v:group>
            <v:group style="position:absolute;left:9640;top:14830;width:2;height:402" coordorigin="9640,14830" coordsize="2,402">
              <v:shape style="position:absolute;left:9640;top:14830;width:2;height:402" coordorigin="9640,14830" coordsize="0,402" path="m9640,14830l9640,15232e" filled="false" stroked="true" strokeweight=".47998pt" strokecolor="#000000">
                <v:path arrowok="t"/>
              </v:shape>
            </v:group>
            <v:group style="position:absolute;left:9644;top:15227;width:1054;height:2" coordorigin="9644,15227" coordsize="1054,2">
              <v:shape style="position:absolute;left:9644;top:15227;width:1054;height:2" coordorigin="9644,15227" coordsize="1054,0" path="m9644,15227l10698,15227e" filled="false" stroked="true" strokeweight=".47998pt" strokecolor="#000000">
                <v:path arrowok="t"/>
              </v:shape>
            </v:group>
            <v:group style="position:absolute;left:10703;top:1440;width:2;height:13792" coordorigin="10703,1440" coordsize="2,13792">
              <v:shape style="position:absolute;left:10703;top:1440;width:2;height:13792" coordorigin="10703,1440" coordsize="0,13792" path="m10703,1440l10703,15232e" filled="false" stroked="true" strokeweight=".47998pt" strokecolor="#000000">
                <v:path arrowok="t"/>
              </v:shape>
            </v:group>
            <w10:wrap type="none"/>
          </v:group>
        </w:pict>
      </w:r>
    </w:p>
    <w:p>
      <w:pPr>
        <w:pStyle w:val="BodyText"/>
        <w:tabs>
          <w:tab w:pos="3372" w:val="left" w:leader="none"/>
          <w:tab w:pos="5498" w:val="left" w:leader="none"/>
          <w:tab w:pos="7821" w:val="left" w:leader="none"/>
        </w:tabs>
        <w:spacing w:line="240" w:lineRule="auto" w:before="45"/>
        <w:ind w:left="181" w:right="0"/>
        <w:jc w:val="left"/>
        <w:rPr>
          <w:rFonts w:ascii="Times New Roman" w:hAnsi="Times New Roman" w:cs="Times New Roman" w:eastAsia="Times New Roman" w:hint="default"/>
        </w:rPr>
      </w:pPr>
      <w:r>
        <w:rPr/>
        <w:t>文化产业专  南京市浦口</w:t>
      </w:r>
      <w:r>
        <w:rPr>
          <w:spacing w:val="58"/>
        </w:rPr>
        <w:t> </w:t>
      </w:r>
      <w:r>
        <w:rPr>
          <w:position w:val="2"/>
        </w:rPr>
        <w:t>补助</w:t>
        <w:tab/>
      </w:r>
      <w:r>
        <w:rPr>
          <w:spacing w:val="-3"/>
        </w:rPr>
        <w:t>因研究开发、</w:t>
      </w:r>
      <w:r>
        <w:rPr>
          <w:spacing w:val="-3"/>
          <w:position w:val="2"/>
        </w:rPr>
        <w:t>是</w:t>
        <w:tab/>
      </w:r>
      <w:r>
        <w:rPr>
          <w:position w:val="2"/>
        </w:rPr>
        <w:t>否</w:t>
        <w:tab/>
      </w:r>
      <w:r>
        <w:rPr>
          <w:rFonts w:ascii="Times New Roman" w:hAnsi="Times New Roman" w:cs="Times New Roman" w:eastAsia="Times New Roman" w:hint="default"/>
          <w:position w:val="2"/>
        </w:rPr>
        <w:t>200,000.00</w:t>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type w:val="continuous"/>
          <w:pgSz w:w="11910" w:h="16840"/>
          <w:pgMar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54" w:type="dxa"/>
        <w:tblLayout w:type="fixed"/>
        <w:tblCellMar>
          <w:top w:w="0" w:type="dxa"/>
          <w:left w:w="0" w:type="dxa"/>
          <w:bottom w:w="0" w:type="dxa"/>
          <w:right w:w="0" w:type="dxa"/>
        </w:tblCellMar>
        <w:tblLook w:val="01E0"/>
      </w:tblPr>
      <w:tblGrid>
        <w:gridCol w:w="1066"/>
        <w:gridCol w:w="1062"/>
        <w:gridCol w:w="1063"/>
        <w:gridCol w:w="1063"/>
      </w:tblGrid>
      <w:tr>
        <w:trPr>
          <w:trHeight w:val="986"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7" w:right="0"/>
              <w:jc w:val="left"/>
              <w:rPr>
                <w:rFonts w:ascii="宋体" w:hAnsi="宋体" w:cs="宋体" w:eastAsia="宋体" w:hint="default"/>
                <w:sz w:val="18"/>
                <w:szCs w:val="18"/>
              </w:rPr>
            </w:pPr>
            <w:r>
              <w:rPr>
                <w:rFonts w:ascii="宋体" w:hAnsi="宋体" w:cs="宋体" w:eastAsia="宋体" w:hint="default"/>
                <w:sz w:val="18"/>
                <w:szCs w:val="18"/>
              </w:rPr>
              <w:t>项资金</w:t>
            </w:r>
          </w:p>
        </w:tc>
        <w:tc>
          <w:tcPr>
            <w:tcW w:w="1062" w:type="dxa"/>
            <w:tcBorders>
              <w:top w:val="nil" w:sz="6" w:space="0" w:color="auto"/>
              <w:left w:val="nil" w:sz="6" w:space="0" w:color="auto"/>
              <w:bottom w:val="nil" w:sz="6" w:space="0" w:color="auto"/>
              <w:right w:val="nil" w:sz="6" w:space="0" w:color="auto"/>
            </w:tcBorders>
          </w:tcPr>
          <w:p>
            <w:pPr>
              <w:pStyle w:val="TableParagraph"/>
              <w:spacing w:line="319" w:lineRule="auto" w:before="15"/>
              <w:ind w:left="27" w:right="132"/>
              <w:jc w:val="left"/>
              <w:rPr>
                <w:rFonts w:ascii="宋体" w:hAnsi="宋体" w:cs="宋体" w:eastAsia="宋体" w:hint="default"/>
                <w:sz w:val="18"/>
                <w:szCs w:val="18"/>
              </w:rPr>
            </w:pPr>
            <w:r>
              <w:rPr>
                <w:rFonts w:ascii="宋体" w:hAnsi="宋体" w:cs="宋体" w:eastAsia="宋体" w:hint="default"/>
                <w:sz w:val="18"/>
                <w:szCs w:val="18"/>
              </w:rPr>
              <w:t>区文化建设 领导小组</w:t>
            </w: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319" w:lineRule="auto" w:before="15"/>
              <w:ind w:left="27" w:right="133"/>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r>
      <w:tr>
        <w:trPr>
          <w:trHeight w:val="292" w:hRule="exact"/>
        </w:trPr>
        <w:tc>
          <w:tcPr>
            <w:tcW w:w="1066"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因研究开发</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66"/>
        <w:ind w:right="0"/>
        <w:jc w:val="left"/>
        <w:rPr>
          <w:b w:val="0"/>
          <w:bCs w:val="0"/>
        </w:rPr>
      </w:pPr>
      <w:r>
        <w:rPr/>
        <w:pict>
          <v:group style="position:absolute;margin-left:56.219978pt;margin-top:-524.356079pt;width:479.4pt;height:518.6pt;mso-position-horizontal-relative:page;mso-position-vertical-relative:paragraph;z-index:-975064" coordorigin="1124,-10487" coordsize="9588,10372">
            <v:group style="position:absolute;left:1129;top:-10478;width:9579;height:2" coordorigin="1129,-10478" coordsize="9579,2">
              <v:shape style="position:absolute;left:1129;top:-10478;width:9579;height:2" coordorigin="1129,-10478" coordsize="9579,0" path="m1129,-10478l10708,-10478e" filled="false" stroked="true" strokeweight=".48004pt" strokecolor="#000000">
                <v:path arrowok="t"/>
              </v:shape>
            </v:group>
            <v:group style="position:absolute;left:2200;top:-10473;width:2;height:977" coordorigin="2200,-10473" coordsize="2,977">
              <v:shape style="position:absolute;left:2200;top:-10473;width:2;height:977" coordorigin="2200,-10473" coordsize="0,977" path="m2200,-10473l2200,-9496e" filled="false" stroked="true" strokeweight=".48pt" strokecolor="#000000">
                <v:path arrowok="t"/>
              </v:shape>
            </v:group>
            <v:group style="position:absolute;left:3262;top:-10473;width:2;height:977" coordorigin="3262,-10473" coordsize="2,977">
              <v:shape style="position:absolute;left:3262;top:-10473;width:2;height:977" coordorigin="3262,-10473" coordsize="0,977" path="m3262,-10473l3262,-9496e" filled="false" stroked="true" strokeweight=".48001pt" strokecolor="#000000">
                <v:path arrowok="t"/>
              </v:shape>
            </v:group>
            <v:group style="position:absolute;left:4325;top:-10473;width:2;height:977" coordorigin="4325,-10473" coordsize="2,977">
              <v:shape style="position:absolute;left:4325;top:-10473;width:2;height:977" coordorigin="4325,-10473" coordsize="0,977" path="m4325,-10473l4325,-9496e" filled="false" stroked="true" strokeweight=".48pt" strokecolor="#000000">
                <v:path arrowok="t"/>
              </v:shape>
            </v:group>
            <v:group style="position:absolute;left:5388;top:-10473;width:2;height:977" coordorigin="5388,-10473" coordsize="2,977">
              <v:shape style="position:absolute;left:5388;top:-10473;width:2;height:977" coordorigin="5388,-10473" coordsize="0,977" path="m5388,-10473l5388,-9496e" filled="false" stroked="true" strokeweight=".48001pt" strokecolor="#000000">
                <v:path arrowok="t"/>
              </v:shape>
            </v:group>
            <v:group style="position:absolute;left:6451;top:-10473;width:2;height:977" coordorigin="6451,-10473" coordsize="2,977">
              <v:shape style="position:absolute;left:6451;top:-10473;width:2;height:977" coordorigin="6451,-10473" coordsize="0,977" path="m6451,-10473l6451,-9496e" filled="false" stroked="true" strokeweight=".48001pt" strokecolor="#000000">
                <v:path arrowok="t"/>
              </v:shape>
            </v:group>
            <v:group style="position:absolute;left:7514;top:-10473;width:2;height:977" coordorigin="7514,-10473" coordsize="2,977">
              <v:shape style="position:absolute;left:7514;top:-10473;width:2;height:977" coordorigin="7514,-10473" coordsize="0,977" path="m7514,-10473l7514,-9496e" filled="false" stroked="true" strokeweight=".47998pt" strokecolor="#000000">
                <v:path arrowok="t"/>
              </v:shape>
            </v:group>
            <v:group style="position:absolute;left:8578;top:-10473;width:2;height:977" coordorigin="8578,-10473" coordsize="2,977">
              <v:shape style="position:absolute;left:8578;top:-10473;width:2;height:977" coordorigin="8578,-10473" coordsize="0,977" path="m8578,-10473l8578,-9496e" filled="false" stroked="true" strokeweight=".48001pt" strokecolor="#000000">
                <v:path arrowok="t"/>
              </v:shape>
            </v:group>
            <v:group style="position:absolute;left:9640;top:-10473;width:2;height:977" coordorigin="9640,-10473" coordsize="2,977">
              <v:shape style="position:absolute;left:9640;top:-10473;width:2;height:977" coordorigin="9640,-10473" coordsize="0,977" path="m9640,-10473l9640,-9496e" filled="false" stroked="true" strokeweight=".47998pt" strokecolor="#000000">
                <v:path arrowok="t"/>
              </v:shape>
            </v:group>
            <v:group style="position:absolute;left:5393;top:-9486;width:1054;height:1329" coordorigin="5393,-9486" coordsize="1054,1329">
              <v:shape style="position:absolute;left:5393;top:-9486;width:1054;height:1329" coordorigin="5393,-9486" coordsize="1054,1329" path="m5393,-8158l6446,-8158,6446,-9486,5393,-9486,5393,-8158xe" filled="true" fillcolor="#ffffff" stroked="false">
                <v:path arrowok="t"/>
                <v:fill type="solid"/>
              </v:shape>
            </v:group>
            <v:group style="position:absolute;left:5416;top:-9018;width:1007;height:393" coordorigin="5416,-9018" coordsize="1007,393">
              <v:shape style="position:absolute;left:5416;top:-9018;width:1007;height:393" coordorigin="5416,-9018" coordsize="1007,393" path="m5416,-8626l6422,-8626,6422,-9018,5416,-9018,5416,-8626xe" filled="true" fillcolor="#ffffff" stroked="false">
                <v:path arrowok="t"/>
                <v:fill type="solid"/>
              </v:shape>
            </v:group>
            <v:group style="position:absolute;left:1129;top:-9491;width:9579;height:2" coordorigin="1129,-9491" coordsize="9579,2">
              <v:shape style="position:absolute;left:1129;top:-9491;width:9579;height:2" coordorigin="1129,-9491" coordsize="9579,0" path="m1129,-9491l10708,-9491e" filled="false" stroked="true" strokeweight=".47998pt" strokecolor="#000000">
                <v:path arrowok="t"/>
              </v:shape>
            </v:group>
            <v:group style="position:absolute;left:2200;top:-9486;width:2;height:1329" coordorigin="2200,-9486" coordsize="2,1329">
              <v:shape style="position:absolute;left:2200;top:-9486;width:2;height:1329" coordorigin="2200,-9486" coordsize="0,1329" path="m2200,-9486l2200,-8158e" filled="false" stroked="true" strokeweight=".48pt" strokecolor="#000000">
                <v:path arrowok="t"/>
              </v:shape>
            </v:group>
            <v:group style="position:absolute;left:3262;top:-9486;width:2;height:1329" coordorigin="3262,-9486" coordsize="2,1329">
              <v:shape style="position:absolute;left:3262;top:-9486;width:2;height:1329" coordorigin="3262,-9486" coordsize="0,1329" path="m3262,-9486l3262,-8158e" filled="false" stroked="true" strokeweight=".48001pt" strokecolor="#000000">
                <v:path arrowok="t"/>
              </v:shape>
            </v:group>
            <v:group style="position:absolute;left:4325;top:-9486;width:2;height:1329" coordorigin="4325,-9486" coordsize="2,1329">
              <v:shape style="position:absolute;left:4325;top:-9486;width:2;height:1329" coordorigin="4325,-9486" coordsize="0,1329" path="m4325,-9486l4325,-8158e" filled="false" stroked="true" strokeweight=".48pt" strokecolor="#000000">
                <v:path arrowok="t"/>
              </v:shape>
            </v:group>
            <v:group style="position:absolute;left:5388;top:-9486;width:2;height:1329" coordorigin="5388,-9486" coordsize="2,1329">
              <v:shape style="position:absolute;left:5388;top:-9486;width:2;height:1329" coordorigin="5388,-9486" coordsize="0,1329" path="m5388,-9486l5388,-8158e" filled="false" stroked="true" strokeweight=".48001pt" strokecolor="#000000">
                <v:path arrowok="t"/>
              </v:shape>
            </v:group>
            <v:group style="position:absolute;left:6451;top:-9486;width:2;height:1329" coordorigin="6451,-9486" coordsize="2,1329">
              <v:shape style="position:absolute;left:6451;top:-9486;width:2;height:1329" coordorigin="6451,-9486" coordsize="0,1329" path="m6451,-9486l6451,-8158e" filled="false" stroked="true" strokeweight=".48001pt" strokecolor="#000000">
                <v:path arrowok="t"/>
              </v:shape>
            </v:group>
            <v:group style="position:absolute;left:7514;top:-9486;width:2;height:1329" coordorigin="7514,-9486" coordsize="2,1329">
              <v:shape style="position:absolute;left:7514;top:-9486;width:2;height:1329" coordorigin="7514,-9486" coordsize="0,1329" path="m7514,-9486l7514,-8158e" filled="false" stroked="true" strokeweight=".47998pt" strokecolor="#000000">
                <v:path arrowok="t"/>
              </v:shape>
            </v:group>
            <v:group style="position:absolute;left:8578;top:-9486;width:2;height:1329" coordorigin="8578,-9486" coordsize="2,1329">
              <v:shape style="position:absolute;left:8578;top:-9486;width:2;height:1329" coordorigin="8578,-9486" coordsize="0,1329" path="m8578,-9486l8578,-8158e" filled="false" stroked="true" strokeweight=".48001pt" strokecolor="#000000">
                <v:path arrowok="t"/>
              </v:shape>
            </v:group>
            <v:group style="position:absolute;left:9640;top:-9486;width:2;height:1329" coordorigin="9640,-9486" coordsize="2,1329">
              <v:shape style="position:absolute;left:9640;top:-9486;width:2;height:1329" coordorigin="9640,-9486" coordsize="0,1329" path="m9640,-9486l9640,-8158e" filled="false" stroked="true" strokeweight=".47998pt" strokecolor="#000000">
                <v:path arrowok="t"/>
              </v:shape>
            </v:group>
            <v:group style="position:absolute;left:5393;top:-8148;width:1054;height:1329" coordorigin="5393,-8148" coordsize="1054,1329">
              <v:shape style="position:absolute;left:5393;top:-8148;width:1054;height:1329" coordorigin="5393,-8148" coordsize="1054,1329" path="m5393,-6820l6446,-6820,6446,-8148,5393,-8148,5393,-6820xe" filled="true" fillcolor="#ffffff" stroked="false">
                <v:path arrowok="t"/>
                <v:fill type="solid"/>
              </v:shape>
            </v:group>
            <v:group style="position:absolute;left:5416;top:-7680;width:1007;height:393" coordorigin="5416,-7680" coordsize="1007,393">
              <v:shape style="position:absolute;left:5416;top:-7680;width:1007;height:393" coordorigin="5416,-7680" coordsize="1007,393" path="m5416,-7288l6422,-7288,6422,-7680,5416,-7680,5416,-7288xe" filled="true" fillcolor="#ffffff" stroked="false">
                <v:path arrowok="t"/>
                <v:fill type="solid"/>
              </v:shape>
            </v:group>
            <v:group style="position:absolute;left:1129;top:-8153;width:9579;height:2" coordorigin="1129,-8153" coordsize="9579,2">
              <v:shape style="position:absolute;left:1129;top:-8153;width:9579;height:2" coordorigin="1129,-8153" coordsize="9579,0" path="m1129,-8153l10708,-8153e" filled="false" stroked="true" strokeweight=".48004pt" strokecolor="#000000">
                <v:path arrowok="t"/>
              </v:shape>
            </v:group>
            <v:group style="position:absolute;left:2200;top:-8148;width:2;height:1329" coordorigin="2200,-8148" coordsize="2,1329">
              <v:shape style="position:absolute;left:2200;top:-8148;width:2;height:1329" coordorigin="2200,-8148" coordsize="0,1329" path="m2200,-8148l2200,-6820e" filled="false" stroked="true" strokeweight=".48pt" strokecolor="#000000">
                <v:path arrowok="t"/>
              </v:shape>
            </v:group>
            <v:group style="position:absolute;left:3262;top:-8148;width:2;height:1329" coordorigin="3262,-8148" coordsize="2,1329">
              <v:shape style="position:absolute;left:3262;top:-8148;width:2;height:1329" coordorigin="3262,-8148" coordsize="0,1329" path="m3262,-8148l3262,-6820e" filled="false" stroked="true" strokeweight=".48001pt" strokecolor="#000000">
                <v:path arrowok="t"/>
              </v:shape>
            </v:group>
            <v:group style="position:absolute;left:4325;top:-8148;width:2;height:1329" coordorigin="4325,-8148" coordsize="2,1329">
              <v:shape style="position:absolute;left:4325;top:-8148;width:2;height:1329" coordorigin="4325,-8148" coordsize="0,1329" path="m4325,-8148l4325,-6820e" filled="false" stroked="true" strokeweight=".48pt" strokecolor="#000000">
                <v:path arrowok="t"/>
              </v:shape>
            </v:group>
            <v:group style="position:absolute;left:5388;top:-8148;width:2;height:1329" coordorigin="5388,-8148" coordsize="2,1329">
              <v:shape style="position:absolute;left:5388;top:-8148;width:2;height:1329" coordorigin="5388,-8148" coordsize="0,1329" path="m5388,-8148l5388,-6820e" filled="false" stroked="true" strokeweight=".48001pt" strokecolor="#000000">
                <v:path arrowok="t"/>
              </v:shape>
            </v:group>
            <v:group style="position:absolute;left:6451;top:-8148;width:2;height:1329" coordorigin="6451,-8148" coordsize="2,1329">
              <v:shape style="position:absolute;left:6451;top:-8148;width:2;height:1329" coordorigin="6451,-8148" coordsize="0,1329" path="m6451,-8148l6451,-6820e" filled="false" stroked="true" strokeweight=".48001pt" strokecolor="#000000">
                <v:path arrowok="t"/>
              </v:shape>
            </v:group>
            <v:group style="position:absolute;left:7514;top:-8148;width:2;height:1329" coordorigin="7514,-8148" coordsize="2,1329">
              <v:shape style="position:absolute;left:7514;top:-8148;width:2;height:1329" coordorigin="7514,-8148" coordsize="0,1329" path="m7514,-8148l7514,-6820e" filled="false" stroked="true" strokeweight=".47998pt" strokecolor="#000000">
                <v:path arrowok="t"/>
              </v:shape>
            </v:group>
            <v:group style="position:absolute;left:8578;top:-8148;width:2;height:1329" coordorigin="8578,-8148" coordsize="2,1329">
              <v:shape style="position:absolute;left:8578;top:-8148;width:2;height:1329" coordorigin="8578,-8148" coordsize="0,1329" path="m8578,-8148l8578,-6820e" filled="false" stroked="true" strokeweight=".48001pt" strokecolor="#000000">
                <v:path arrowok="t"/>
              </v:shape>
            </v:group>
            <v:group style="position:absolute;left:9640;top:-8148;width:2;height:1329" coordorigin="9640,-8148" coordsize="2,1329">
              <v:shape style="position:absolute;left:9640;top:-8148;width:2;height:1329" coordorigin="9640,-8148" coordsize="0,1329" path="m9640,-8148l9640,-6820e" filled="false" stroked="true" strokeweight=".47998pt" strokecolor="#000000">
                <v:path arrowok="t"/>
              </v:shape>
            </v:group>
            <v:group style="position:absolute;left:5393;top:-6810;width:1054;height:1329" coordorigin="5393,-6810" coordsize="1054,1329">
              <v:shape style="position:absolute;left:5393;top:-6810;width:1054;height:1329" coordorigin="5393,-6810" coordsize="1054,1329" path="m5393,-5482l6446,-5482,6446,-6810,5393,-6810,5393,-5482xe" filled="true" fillcolor="#ffffff" stroked="false">
                <v:path arrowok="t"/>
                <v:fill type="solid"/>
              </v:shape>
            </v:group>
            <v:group style="position:absolute;left:5416;top:-6342;width:1007;height:393" coordorigin="5416,-6342" coordsize="1007,393">
              <v:shape style="position:absolute;left:5416;top:-6342;width:1007;height:393" coordorigin="5416,-6342" coordsize="1007,393" path="m5416,-5950l6422,-5950,6422,-6342,5416,-6342,5416,-5950xe" filled="true" fillcolor="#ffffff" stroked="false">
                <v:path arrowok="t"/>
                <v:fill type="solid"/>
              </v:shape>
            </v:group>
            <v:group style="position:absolute;left:1129;top:-6815;width:9579;height:2" coordorigin="1129,-6815" coordsize="9579,2">
              <v:shape style="position:absolute;left:1129;top:-6815;width:9579;height:2" coordorigin="1129,-6815" coordsize="9579,0" path="m1129,-6815l10708,-6815e" filled="false" stroked="true" strokeweight=".47998pt" strokecolor="#000000">
                <v:path arrowok="t"/>
              </v:shape>
            </v:group>
            <v:group style="position:absolute;left:2200;top:-6810;width:2;height:1329" coordorigin="2200,-6810" coordsize="2,1329">
              <v:shape style="position:absolute;left:2200;top:-6810;width:2;height:1329" coordorigin="2200,-6810" coordsize="0,1329" path="m2200,-6810l2200,-5482e" filled="false" stroked="true" strokeweight=".48pt" strokecolor="#000000">
                <v:path arrowok="t"/>
              </v:shape>
            </v:group>
            <v:group style="position:absolute;left:3262;top:-6810;width:2;height:1329" coordorigin="3262,-6810" coordsize="2,1329">
              <v:shape style="position:absolute;left:3262;top:-6810;width:2;height:1329" coordorigin="3262,-6810" coordsize="0,1329" path="m3262,-6810l3262,-5482e" filled="false" stroked="true" strokeweight=".48001pt" strokecolor="#000000">
                <v:path arrowok="t"/>
              </v:shape>
            </v:group>
            <v:group style="position:absolute;left:4325;top:-6810;width:2;height:1329" coordorigin="4325,-6810" coordsize="2,1329">
              <v:shape style="position:absolute;left:4325;top:-6810;width:2;height:1329" coordorigin="4325,-6810" coordsize="0,1329" path="m4325,-6810l4325,-5482e" filled="false" stroked="true" strokeweight=".48pt" strokecolor="#000000">
                <v:path arrowok="t"/>
              </v:shape>
            </v:group>
            <v:group style="position:absolute;left:5388;top:-6810;width:2;height:1329" coordorigin="5388,-6810" coordsize="2,1329">
              <v:shape style="position:absolute;left:5388;top:-6810;width:2;height:1329" coordorigin="5388,-6810" coordsize="0,1329" path="m5388,-6810l5388,-5482e" filled="false" stroked="true" strokeweight=".48001pt" strokecolor="#000000">
                <v:path arrowok="t"/>
              </v:shape>
            </v:group>
            <v:group style="position:absolute;left:6451;top:-6810;width:2;height:1329" coordorigin="6451,-6810" coordsize="2,1329">
              <v:shape style="position:absolute;left:6451;top:-6810;width:2;height:1329" coordorigin="6451,-6810" coordsize="0,1329" path="m6451,-6810l6451,-5482e" filled="false" stroked="true" strokeweight=".48001pt" strokecolor="#000000">
                <v:path arrowok="t"/>
              </v:shape>
            </v:group>
            <v:group style="position:absolute;left:7514;top:-6810;width:2;height:1329" coordorigin="7514,-6810" coordsize="2,1329">
              <v:shape style="position:absolute;left:7514;top:-6810;width:2;height:1329" coordorigin="7514,-6810" coordsize="0,1329" path="m7514,-6810l7514,-5482e" filled="false" stroked="true" strokeweight=".47998pt" strokecolor="#000000">
                <v:path arrowok="t"/>
              </v:shape>
            </v:group>
            <v:group style="position:absolute;left:8578;top:-6810;width:2;height:1329" coordorigin="8578,-6810" coordsize="2,1329">
              <v:shape style="position:absolute;left:8578;top:-6810;width:2;height:1329" coordorigin="8578,-6810" coordsize="0,1329" path="m8578,-6810l8578,-5482e" filled="false" stroked="true" strokeweight=".48001pt" strokecolor="#000000">
                <v:path arrowok="t"/>
              </v:shape>
            </v:group>
            <v:group style="position:absolute;left:9640;top:-6810;width:2;height:1329" coordorigin="9640,-6810" coordsize="2,1329">
              <v:shape style="position:absolute;left:9640;top:-6810;width:2;height:1329" coordorigin="9640,-6810" coordsize="0,1329" path="m9640,-6810l9640,-5482e" filled="false" stroked="true" strokeweight=".47998pt" strokecolor="#000000">
                <v:path arrowok="t"/>
              </v:shape>
            </v:group>
            <v:group style="position:absolute;left:2204;top:-5472;width:1053;height:1329" coordorigin="2204,-5472" coordsize="1053,1329">
              <v:shape style="position:absolute;left:2204;top:-5472;width:1053;height:1329" coordorigin="2204,-5472" coordsize="1053,1329" path="m2204,-4144l3257,-4144,3257,-5472,2204,-5472,2204,-4144xe" filled="true" fillcolor="#ffffff" stroked="false">
                <v:path arrowok="t"/>
                <v:fill type="solid"/>
              </v:shape>
            </v:group>
            <v:group style="position:absolute;left:2227;top:-5160;width:1007;height:352" coordorigin="2227,-5160" coordsize="1007,352">
              <v:shape style="position:absolute;left:2227;top:-5160;width:1007;height:352" coordorigin="2227,-5160" coordsize="1007,352" path="m2227,-4809l3234,-4809,3234,-5160,2227,-5160,2227,-4809xe" filled="true" fillcolor="#ffffff" stroked="false">
                <v:path arrowok="t"/>
                <v:fill type="solid"/>
              </v:shape>
            </v:group>
            <v:group style="position:absolute;left:2227;top:-4809;width:1007;height:353" coordorigin="2227,-4809" coordsize="1007,353">
              <v:shape style="position:absolute;left:2227;top:-4809;width:1007;height:353" coordorigin="2227,-4809" coordsize="1007,353" path="m2227,-4456l3234,-4456,3234,-4809,2227,-4809,2227,-4456xe" filled="true" fillcolor="#ffffff" stroked="false">
                <v:path arrowok="t"/>
                <v:fill type="solid"/>
              </v:shape>
            </v:group>
            <v:group style="position:absolute;left:5393;top:-5472;width:1054;height:1329" coordorigin="5393,-5472" coordsize="1054,1329">
              <v:shape style="position:absolute;left:5393;top:-5472;width:1054;height:1329" coordorigin="5393,-5472" coordsize="1054,1329" path="m5393,-4144l6446,-4144,6446,-5472,5393,-5472,5393,-4144xe" filled="true" fillcolor="#ffffff" stroked="false">
                <v:path arrowok="t"/>
                <v:fill type="solid"/>
              </v:shape>
            </v:group>
            <v:group style="position:absolute;left:5416;top:-5004;width:1007;height:393" coordorigin="5416,-5004" coordsize="1007,393">
              <v:shape style="position:absolute;left:5416;top:-5004;width:1007;height:393" coordorigin="5416,-5004" coordsize="1007,393" path="m5416,-4612l6422,-4612,6422,-5004,5416,-5004,5416,-4612xe" filled="true" fillcolor="#ffffff" stroked="false">
                <v:path arrowok="t"/>
                <v:fill type="solid"/>
              </v:shape>
            </v:group>
            <v:group style="position:absolute;left:1129;top:-5477;width:9579;height:2" coordorigin="1129,-5477" coordsize="9579,2">
              <v:shape style="position:absolute;left:1129;top:-5477;width:9579;height:2" coordorigin="1129,-5477" coordsize="9579,0" path="m1129,-5477l10708,-5477e" filled="false" stroked="true" strokeweight=".48004pt" strokecolor="#000000">
                <v:path arrowok="t"/>
              </v:shape>
            </v:group>
            <v:group style="position:absolute;left:2200;top:-5472;width:2;height:1329" coordorigin="2200,-5472" coordsize="2,1329">
              <v:shape style="position:absolute;left:2200;top:-5472;width:2;height:1329" coordorigin="2200,-5472" coordsize="0,1329" path="m2200,-5472l2200,-4144e" filled="false" stroked="true" strokeweight=".48pt" strokecolor="#000000">
                <v:path arrowok="t"/>
              </v:shape>
            </v:group>
            <v:group style="position:absolute;left:3262;top:-5472;width:2;height:1329" coordorigin="3262,-5472" coordsize="2,1329">
              <v:shape style="position:absolute;left:3262;top:-5472;width:2;height:1329" coordorigin="3262,-5472" coordsize="0,1329" path="m3262,-5472l3262,-4144e" filled="false" stroked="true" strokeweight=".48001pt" strokecolor="#000000">
                <v:path arrowok="t"/>
              </v:shape>
            </v:group>
            <v:group style="position:absolute;left:4325;top:-5472;width:2;height:1329" coordorigin="4325,-5472" coordsize="2,1329">
              <v:shape style="position:absolute;left:4325;top:-5472;width:2;height:1329" coordorigin="4325,-5472" coordsize="0,1329" path="m4325,-5472l4325,-4144e" filled="false" stroked="true" strokeweight=".48pt" strokecolor="#000000">
                <v:path arrowok="t"/>
              </v:shape>
            </v:group>
            <v:group style="position:absolute;left:5388;top:-5472;width:2;height:1329" coordorigin="5388,-5472" coordsize="2,1329">
              <v:shape style="position:absolute;left:5388;top:-5472;width:2;height:1329" coordorigin="5388,-5472" coordsize="0,1329" path="m5388,-5472l5388,-4144e" filled="false" stroked="true" strokeweight=".48001pt" strokecolor="#000000">
                <v:path arrowok="t"/>
              </v:shape>
            </v:group>
            <v:group style="position:absolute;left:6451;top:-5472;width:2;height:1329" coordorigin="6451,-5472" coordsize="2,1329">
              <v:shape style="position:absolute;left:6451;top:-5472;width:2;height:1329" coordorigin="6451,-5472" coordsize="0,1329" path="m6451,-5472l6451,-4144e" filled="false" stroked="true" strokeweight=".48001pt" strokecolor="#000000">
                <v:path arrowok="t"/>
              </v:shape>
            </v:group>
            <v:group style="position:absolute;left:7514;top:-5472;width:2;height:1329" coordorigin="7514,-5472" coordsize="2,1329">
              <v:shape style="position:absolute;left:7514;top:-5472;width:2;height:1329" coordorigin="7514,-5472" coordsize="0,1329" path="m7514,-5472l7514,-4144e" filled="false" stroked="true" strokeweight=".47998pt" strokecolor="#000000">
                <v:path arrowok="t"/>
              </v:shape>
            </v:group>
            <v:group style="position:absolute;left:8578;top:-5472;width:2;height:1329" coordorigin="8578,-5472" coordsize="2,1329">
              <v:shape style="position:absolute;left:8578;top:-5472;width:2;height:1329" coordorigin="8578,-5472" coordsize="0,1329" path="m8578,-5472l8578,-4144e" filled="false" stroked="true" strokeweight=".48001pt" strokecolor="#000000">
                <v:path arrowok="t"/>
              </v:shape>
            </v:group>
            <v:group style="position:absolute;left:9640;top:-5472;width:2;height:1329" coordorigin="9640,-5472" coordsize="2,1329">
              <v:shape style="position:absolute;left:9640;top:-5472;width:2;height:1329" coordorigin="9640,-5472" coordsize="0,1329" path="m9640,-5472l9640,-4144e" filled="false" stroked="true" strokeweight=".47998pt" strokecolor="#000000">
                <v:path arrowok="t"/>
              </v:shape>
            </v:group>
            <v:group style="position:absolute;left:5393;top:-4134;width:1054;height:1329" coordorigin="5393,-4134" coordsize="1054,1329">
              <v:shape style="position:absolute;left:5393;top:-4134;width:1054;height:1329" coordorigin="5393,-4134" coordsize="1054,1329" path="m5393,-2806l6446,-2806,6446,-4134,5393,-4134,5393,-2806xe" filled="true" fillcolor="#ffffff" stroked="false">
                <v:path arrowok="t"/>
                <v:fill type="solid"/>
              </v:shape>
            </v:group>
            <v:group style="position:absolute;left:5416;top:-3666;width:1007;height:393" coordorigin="5416,-3666" coordsize="1007,393">
              <v:shape style="position:absolute;left:5416;top:-3666;width:1007;height:393" coordorigin="5416,-3666" coordsize="1007,393" path="m5416,-3274l6422,-3274,6422,-3666,5416,-3666,5416,-3274xe" filled="true" fillcolor="#ffffff" stroked="false">
                <v:path arrowok="t"/>
                <v:fill type="solid"/>
              </v:shape>
            </v:group>
            <v:group style="position:absolute;left:1129;top:-4139;width:9579;height:2" coordorigin="1129,-4139" coordsize="9579,2">
              <v:shape style="position:absolute;left:1129;top:-4139;width:9579;height:2" coordorigin="1129,-4139" coordsize="9579,0" path="m1129,-4139l10708,-4139e" filled="false" stroked="true" strokeweight=".48001pt" strokecolor="#000000">
                <v:path arrowok="t"/>
              </v:shape>
            </v:group>
            <v:group style="position:absolute;left:2200;top:-4134;width:2;height:1329" coordorigin="2200,-4134" coordsize="2,1329">
              <v:shape style="position:absolute;left:2200;top:-4134;width:2;height:1329" coordorigin="2200,-4134" coordsize="0,1329" path="m2200,-4134l2200,-2806e" filled="false" stroked="true" strokeweight=".48pt" strokecolor="#000000">
                <v:path arrowok="t"/>
              </v:shape>
            </v:group>
            <v:group style="position:absolute;left:3262;top:-4134;width:2;height:1329" coordorigin="3262,-4134" coordsize="2,1329">
              <v:shape style="position:absolute;left:3262;top:-4134;width:2;height:1329" coordorigin="3262,-4134" coordsize="0,1329" path="m3262,-4134l3262,-2806e" filled="false" stroked="true" strokeweight=".48001pt" strokecolor="#000000">
                <v:path arrowok="t"/>
              </v:shape>
            </v:group>
            <v:group style="position:absolute;left:4325;top:-4134;width:2;height:1329" coordorigin="4325,-4134" coordsize="2,1329">
              <v:shape style="position:absolute;left:4325;top:-4134;width:2;height:1329" coordorigin="4325,-4134" coordsize="0,1329" path="m4325,-4134l4325,-2806e" filled="false" stroked="true" strokeweight=".48pt" strokecolor="#000000">
                <v:path arrowok="t"/>
              </v:shape>
            </v:group>
            <v:group style="position:absolute;left:5388;top:-4134;width:2;height:1329" coordorigin="5388,-4134" coordsize="2,1329">
              <v:shape style="position:absolute;left:5388;top:-4134;width:2;height:1329" coordorigin="5388,-4134" coordsize="0,1329" path="m5388,-4134l5388,-2806e" filled="false" stroked="true" strokeweight=".48001pt" strokecolor="#000000">
                <v:path arrowok="t"/>
              </v:shape>
            </v:group>
            <v:group style="position:absolute;left:6451;top:-4134;width:2;height:1329" coordorigin="6451,-4134" coordsize="2,1329">
              <v:shape style="position:absolute;left:6451;top:-4134;width:2;height:1329" coordorigin="6451,-4134" coordsize="0,1329" path="m6451,-4134l6451,-2806e" filled="false" stroked="true" strokeweight=".48001pt" strokecolor="#000000">
                <v:path arrowok="t"/>
              </v:shape>
            </v:group>
            <v:group style="position:absolute;left:7514;top:-4134;width:2;height:1329" coordorigin="7514,-4134" coordsize="2,1329">
              <v:shape style="position:absolute;left:7514;top:-4134;width:2;height:1329" coordorigin="7514,-4134" coordsize="0,1329" path="m7514,-4134l7514,-2806e" filled="false" stroked="true" strokeweight=".47998pt" strokecolor="#000000">
                <v:path arrowok="t"/>
              </v:shape>
            </v:group>
            <v:group style="position:absolute;left:8578;top:-4134;width:2;height:1329" coordorigin="8578,-4134" coordsize="2,1329">
              <v:shape style="position:absolute;left:8578;top:-4134;width:2;height:1329" coordorigin="8578,-4134" coordsize="0,1329" path="m8578,-4134l8578,-2806e" filled="false" stroked="true" strokeweight=".48001pt" strokecolor="#000000">
                <v:path arrowok="t"/>
              </v:shape>
            </v:group>
            <v:group style="position:absolute;left:9640;top:-4134;width:2;height:1329" coordorigin="9640,-4134" coordsize="2,1329">
              <v:shape style="position:absolute;left:9640;top:-4134;width:2;height:1329" coordorigin="9640,-4134" coordsize="0,1329" path="m9640,-4134l9640,-2806e" filled="false" stroked="true" strokeweight=".47998pt" strokecolor="#000000">
                <v:path arrowok="t"/>
              </v:shape>
            </v:group>
            <v:group style="position:absolute;left:5393;top:-2796;width:1054;height:1329" coordorigin="5393,-2796" coordsize="1054,1329">
              <v:shape style="position:absolute;left:5393;top:-2796;width:1054;height:1329" coordorigin="5393,-2796" coordsize="1054,1329" path="m5393,-1468l6446,-1468,6446,-2796,5393,-2796,5393,-1468xe" filled="true" fillcolor="#ffffff" stroked="false">
                <v:path arrowok="t"/>
                <v:fill type="solid"/>
              </v:shape>
            </v:group>
            <v:group style="position:absolute;left:5416;top:-2328;width:1007;height:393" coordorigin="5416,-2328" coordsize="1007,393">
              <v:shape style="position:absolute;left:5416;top:-2328;width:1007;height:393" coordorigin="5416,-2328" coordsize="1007,393" path="m5416,-1936l6422,-1936,6422,-2328,5416,-2328,5416,-1936xe" filled="true" fillcolor="#ffffff" stroked="false">
                <v:path arrowok="t"/>
                <v:fill type="solid"/>
              </v:shape>
            </v:group>
            <v:group style="position:absolute;left:1129;top:-2801;width:9579;height:2" coordorigin="1129,-2801" coordsize="9579,2">
              <v:shape style="position:absolute;left:1129;top:-2801;width:9579;height:2" coordorigin="1129,-2801" coordsize="9579,0" path="m1129,-2801l10708,-2801e" filled="false" stroked="true" strokeweight=".48001pt" strokecolor="#000000">
                <v:path arrowok="t"/>
              </v:shape>
            </v:group>
            <v:group style="position:absolute;left:2200;top:-2796;width:2;height:1329" coordorigin="2200,-2796" coordsize="2,1329">
              <v:shape style="position:absolute;left:2200;top:-2796;width:2;height:1329" coordorigin="2200,-2796" coordsize="0,1329" path="m2200,-2796l2200,-1468e" filled="false" stroked="true" strokeweight=".48pt" strokecolor="#000000">
                <v:path arrowok="t"/>
              </v:shape>
            </v:group>
            <v:group style="position:absolute;left:3262;top:-2796;width:2;height:1329" coordorigin="3262,-2796" coordsize="2,1329">
              <v:shape style="position:absolute;left:3262;top:-2796;width:2;height:1329" coordorigin="3262,-2796" coordsize="0,1329" path="m3262,-2796l3262,-1468e" filled="false" stroked="true" strokeweight=".48001pt" strokecolor="#000000">
                <v:path arrowok="t"/>
              </v:shape>
            </v:group>
            <v:group style="position:absolute;left:4325;top:-2796;width:2;height:1329" coordorigin="4325,-2796" coordsize="2,1329">
              <v:shape style="position:absolute;left:4325;top:-2796;width:2;height:1329" coordorigin="4325,-2796" coordsize="0,1329" path="m4325,-2796l4325,-1468e" filled="false" stroked="true" strokeweight=".48pt" strokecolor="#000000">
                <v:path arrowok="t"/>
              </v:shape>
            </v:group>
            <v:group style="position:absolute;left:5388;top:-2796;width:2;height:1329" coordorigin="5388,-2796" coordsize="2,1329">
              <v:shape style="position:absolute;left:5388;top:-2796;width:2;height:1329" coordorigin="5388,-2796" coordsize="0,1329" path="m5388,-2796l5388,-1468e" filled="false" stroked="true" strokeweight=".48001pt" strokecolor="#000000">
                <v:path arrowok="t"/>
              </v:shape>
            </v:group>
            <v:group style="position:absolute;left:6451;top:-2796;width:2;height:1329" coordorigin="6451,-2796" coordsize="2,1329">
              <v:shape style="position:absolute;left:6451;top:-2796;width:2;height:1329" coordorigin="6451,-2796" coordsize="0,1329" path="m6451,-2796l6451,-1468e" filled="false" stroked="true" strokeweight=".48001pt" strokecolor="#000000">
                <v:path arrowok="t"/>
              </v:shape>
            </v:group>
            <v:group style="position:absolute;left:7514;top:-2796;width:2;height:1329" coordorigin="7514,-2796" coordsize="2,1329">
              <v:shape style="position:absolute;left:7514;top:-2796;width:2;height:1329" coordorigin="7514,-2796" coordsize="0,1329" path="m7514,-2796l7514,-1468e" filled="false" stroked="true" strokeweight=".47998pt" strokecolor="#000000">
                <v:path arrowok="t"/>
              </v:shape>
            </v:group>
            <v:group style="position:absolute;left:8578;top:-2796;width:2;height:1329" coordorigin="8578,-2796" coordsize="2,1329">
              <v:shape style="position:absolute;left:8578;top:-2796;width:2;height:1329" coordorigin="8578,-2796" coordsize="0,1329" path="m8578,-2796l8578,-1468e" filled="false" stroked="true" strokeweight=".48001pt" strokecolor="#000000">
                <v:path arrowok="t"/>
              </v:shape>
            </v:group>
            <v:group style="position:absolute;left:9640;top:-2796;width:2;height:1329" coordorigin="9640,-2796" coordsize="2,1329">
              <v:shape style="position:absolute;left:9640;top:-2796;width:2;height:1329" coordorigin="9640,-2796" coordsize="0,1329" path="m9640,-2796l9640,-1468e" filled="false" stroked="true" strokeweight=".47998pt" strokecolor="#000000">
                <v:path arrowok="t"/>
              </v:shape>
            </v:group>
            <v:group style="position:absolute;left:5393;top:-1458;width:1054;height:1329" coordorigin="5393,-1458" coordsize="1054,1329">
              <v:shape style="position:absolute;left:5393;top:-1458;width:1054;height:1329" coordorigin="5393,-1458" coordsize="1054,1329" path="m5393,-130l6446,-130,6446,-1458,5393,-1458,5393,-130xe" filled="true" fillcolor="#ffffff" stroked="false">
                <v:path arrowok="t"/>
                <v:fill type="solid"/>
              </v:shape>
            </v:group>
            <v:group style="position:absolute;left:5416;top:-990;width:1007;height:393" coordorigin="5416,-990" coordsize="1007,393">
              <v:shape style="position:absolute;left:5416;top:-990;width:1007;height:393" coordorigin="5416,-990" coordsize="1007,393" path="m5416,-598l6422,-598,6422,-990,5416,-990,5416,-598xe" filled="true" fillcolor="#ffffff" stroked="false">
                <v:path arrowok="t"/>
                <v:fill type="solid"/>
              </v:shape>
            </v:group>
            <v:group style="position:absolute;left:1129;top:-1463;width:9579;height:2" coordorigin="1129,-1463" coordsize="9579,2">
              <v:shape style="position:absolute;left:1129;top:-1463;width:9579;height:2" coordorigin="1129,-1463" coordsize="9579,0" path="m1129,-1463l10708,-1463e" filled="false" stroked="true" strokeweight=".47998pt" strokecolor="#000000">
                <v:path arrowok="t"/>
              </v:shape>
            </v:group>
            <v:group style="position:absolute;left:1134;top:-10482;width:2;height:10362" coordorigin="1134,-10482" coordsize="2,10362">
              <v:shape style="position:absolute;left:1134;top:-10482;width:2;height:10362" coordorigin="1134,-10482" coordsize="0,10362" path="m1134,-10482l1134,-120e" filled="false" stroked="true" strokeweight=".48001pt" strokecolor="#000000">
                <v:path arrowok="t"/>
              </v:shape>
            </v:group>
            <v:group style="position:absolute;left:1129;top:-125;width:1066;height:2" coordorigin="1129,-125" coordsize="1066,2">
              <v:shape style="position:absolute;left:1129;top:-125;width:1066;height:2" coordorigin="1129,-125" coordsize="1066,0" path="m1129,-125l2195,-125e" filled="false" stroked="true" strokeweight=".48pt" strokecolor="#000000">
                <v:path arrowok="t"/>
              </v:shape>
            </v:group>
            <v:group style="position:absolute;left:2200;top:-1458;width:2;height:1338" coordorigin="2200,-1458" coordsize="2,1338">
              <v:shape style="position:absolute;left:2200;top:-1458;width:2;height:1338" coordorigin="2200,-1458" coordsize="0,1338" path="m2200,-1458l2200,-120e" filled="false" stroked="true" strokeweight=".48pt" strokecolor="#000000">
                <v:path arrowok="t"/>
              </v:shape>
            </v:group>
            <v:group style="position:absolute;left:2204;top:-125;width:1053;height:2" coordorigin="2204,-125" coordsize="1053,2">
              <v:shape style="position:absolute;left:2204;top:-125;width:1053;height:2" coordorigin="2204,-125" coordsize="1053,0" path="m2204,-125l3257,-125e" filled="false" stroked="true" strokeweight=".48pt" strokecolor="#000000">
                <v:path arrowok="t"/>
              </v:shape>
            </v:group>
            <v:group style="position:absolute;left:3262;top:-1458;width:2;height:1338" coordorigin="3262,-1458" coordsize="2,1338">
              <v:shape style="position:absolute;left:3262;top:-1458;width:2;height:1338" coordorigin="3262,-1458" coordsize="0,1338" path="m3262,-1458l3262,-120e" filled="false" stroked="true" strokeweight=".48001pt" strokecolor="#000000">
                <v:path arrowok="t"/>
              </v:shape>
            </v:group>
            <v:group style="position:absolute;left:3266;top:-125;width:1054;height:2" coordorigin="3266,-125" coordsize="1054,2">
              <v:shape style="position:absolute;left:3266;top:-125;width:1054;height:2" coordorigin="3266,-125" coordsize="1054,0" path="m3266,-125l4320,-125e" filled="false" stroked="true" strokeweight=".48pt" strokecolor="#000000">
                <v:path arrowok="t"/>
              </v:shape>
            </v:group>
            <v:group style="position:absolute;left:4325;top:-1458;width:2;height:1338" coordorigin="4325,-1458" coordsize="2,1338">
              <v:shape style="position:absolute;left:4325;top:-1458;width:2;height:1338" coordorigin="4325,-1458" coordsize="0,1338" path="m4325,-1458l4325,-120e" filled="false" stroked="true" strokeweight=".48pt" strokecolor="#000000">
                <v:path arrowok="t"/>
              </v:shape>
            </v:group>
            <v:group style="position:absolute;left:4330;top:-125;width:1054;height:2" coordorigin="4330,-125" coordsize="1054,2">
              <v:shape style="position:absolute;left:4330;top:-125;width:1054;height:2" coordorigin="4330,-125" coordsize="1054,0" path="m4330,-125l5383,-125e" filled="false" stroked="true" strokeweight=".48pt" strokecolor="#000000">
                <v:path arrowok="t"/>
              </v:shape>
            </v:group>
            <v:group style="position:absolute;left:5388;top:-1458;width:2;height:1338" coordorigin="5388,-1458" coordsize="2,1338">
              <v:shape style="position:absolute;left:5388;top:-1458;width:2;height:1338" coordorigin="5388,-1458" coordsize="0,1338" path="m5388,-1458l5388,-120e" filled="false" stroked="true" strokeweight=".48001pt" strokecolor="#000000">
                <v:path arrowok="t"/>
              </v:shape>
            </v:group>
            <v:group style="position:absolute;left:5393;top:-125;width:1054;height:2" coordorigin="5393,-125" coordsize="1054,2">
              <v:shape style="position:absolute;left:5393;top:-125;width:1054;height:2" coordorigin="5393,-125" coordsize="1054,0" path="m5393,-125l6446,-125e" filled="false" stroked="true" strokeweight=".48pt" strokecolor="#000000">
                <v:path arrowok="t"/>
              </v:shape>
            </v:group>
            <v:group style="position:absolute;left:6451;top:-1458;width:2;height:1338" coordorigin="6451,-1458" coordsize="2,1338">
              <v:shape style="position:absolute;left:6451;top:-1458;width:2;height:1338" coordorigin="6451,-1458" coordsize="0,1338" path="m6451,-1458l6451,-120e" filled="false" stroked="true" strokeweight=".48001pt" strokecolor="#000000">
                <v:path arrowok="t"/>
              </v:shape>
            </v:group>
            <v:group style="position:absolute;left:6456;top:-125;width:1054;height:2" coordorigin="6456,-125" coordsize="1054,2">
              <v:shape style="position:absolute;left:6456;top:-125;width:1054;height:2" coordorigin="6456,-125" coordsize="1054,0" path="m6456,-125l7510,-125e" filled="false" stroked="true" strokeweight=".48pt" strokecolor="#000000">
                <v:path arrowok="t"/>
              </v:shape>
            </v:group>
            <v:group style="position:absolute;left:7514;top:-1458;width:2;height:1338" coordorigin="7514,-1458" coordsize="2,1338">
              <v:shape style="position:absolute;left:7514;top:-1458;width:2;height:1338" coordorigin="7514,-1458" coordsize="0,1338" path="m7514,-1458l7514,-120e" filled="false" stroked="true" strokeweight=".47998pt" strokecolor="#000000">
                <v:path arrowok="t"/>
              </v:shape>
            </v:group>
            <v:group style="position:absolute;left:7519;top:-125;width:1054;height:2" coordorigin="7519,-125" coordsize="1054,2">
              <v:shape style="position:absolute;left:7519;top:-125;width:1054;height:2" coordorigin="7519,-125" coordsize="1054,0" path="m7519,-125l8573,-125e" filled="false" stroked="true" strokeweight=".48pt" strokecolor="#000000">
                <v:path arrowok="t"/>
              </v:shape>
            </v:group>
            <v:group style="position:absolute;left:8578;top:-1458;width:2;height:1338" coordorigin="8578,-1458" coordsize="2,1338">
              <v:shape style="position:absolute;left:8578;top:-1458;width:2;height:1338" coordorigin="8578,-1458" coordsize="0,1338" path="m8578,-1458l8578,-120e" filled="false" stroked="true" strokeweight=".48001pt" strokecolor="#000000">
                <v:path arrowok="t"/>
              </v:shape>
            </v:group>
            <v:group style="position:absolute;left:8582;top:-125;width:1053;height:2" coordorigin="8582,-125" coordsize="1053,2">
              <v:shape style="position:absolute;left:8582;top:-125;width:1053;height:2" coordorigin="8582,-125" coordsize="1053,0" path="m8582,-125l9635,-125e" filled="false" stroked="true" strokeweight=".48pt" strokecolor="#000000">
                <v:path arrowok="t"/>
              </v:shape>
            </v:group>
            <v:group style="position:absolute;left:9640;top:-1458;width:2;height:1338" coordorigin="9640,-1458" coordsize="2,1338">
              <v:shape style="position:absolute;left:9640;top:-1458;width:2;height:1338" coordorigin="9640,-1458" coordsize="0,1338" path="m9640,-1458l9640,-120e" filled="false" stroked="true" strokeweight=".47998pt" strokecolor="#000000">
                <v:path arrowok="t"/>
              </v:shape>
            </v:group>
            <v:group style="position:absolute;left:9644;top:-125;width:1054;height:2" coordorigin="9644,-125" coordsize="1054,2">
              <v:shape style="position:absolute;left:9644;top:-125;width:1054;height:2" coordorigin="9644,-125" coordsize="1054,0" path="m9644,-125l10698,-125e" filled="false" stroked="true" strokeweight=".48pt" strokecolor="#000000">
                <v:path arrowok="t"/>
              </v:shape>
            </v:group>
            <v:group style="position:absolute;left:10703;top:-10482;width:2;height:10362" coordorigin="10703,-10482" coordsize="2,10362">
              <v:shape style="position:absolute;left:10703;top:-10482;width:2;height:10362" coordorigin="10703,-10482" coordsize="0,10362" path="m10703,-10482l10703,-120e" filled="false" stroked="true" strokeweight=".47998pt" strokecolor="#000000">
                <v:path arrowok="t"/>
              </v:shape>
              <v:shape style="position:absolute;left:1162;top:-9223;width:900;height:8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市级工程技</w:t>
                      </w:r>
                    </w:p>
                    <w:p>
                      <w:pPr>
                        <w:spacing w:line="314" w:lineRule="exact" w:before="34"/>
                        <w:ind w:left="0" w:right="0" w:firstLine="0"/>
                        <w:jc w:val="left"/>
                        <w:rPr>
                          <w:rFonts w:ascii="宋体" w:hAnsi="宋体" w:cs="宋体" w:eastAsia="宋体" w:hint="default"/>
                          <w:sz w:val="18"/>
                          <w:szCs w:val="18"/>
                        </w:rPr>
                      </w:pPr>
                      <w:r>
                        <w:rPr>
                          <w:rFonts w:ascii="宋体" w:hAnsi="宋体" w:cs="宋体" w:eastAsia="宋体" w:hint="default"/>
                          <w:sz w:val="18"/>
                          <w:szCs w:val="18"/>
                        </w:rPr>
                        <w:t>术研究中心 优秀补助</w:t>
                      </w:r>
                    </w:p>
                  </w:txbxContent>
                </v:textbox>
                <w10:wrap type="none"/>
              </v:shape>
              <v:shape style="position:absolute;left:2227;top:-9067;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南京市科学</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技术委员会</w:t>
                      </w:r>
                    </w:p>
                  </w:txbxContent>
                </v:textbox>
                <w10:wrap type="none"/>
              </v:shape>
              <v:shape style="position:absolute;left:4352;top:-9379;width:1080;height:491" type="#_x0000_t202" filled="false" stroked="false">
                <v:textbox inset="0,0,0,0">
                  <w:txbxContent>
                    <w:p>
                      <w:pPr>
                        <w:spacing w:line="180" w:lineRule="exact" w:before="0"/>
                        <w:ind w:left="90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before="75"/>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3290;top:-891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5416;top:-891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6479;top:-891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8802;top:-8904;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200,000.00</w:t>
                      </w:r>
                    </w:p>
                  </w:txbxContent>
                </v:textbox>
                <w10:wrap type="none"/>
              </v:shape>
              <v:shape style="position:absolute;left:4352;top:-8757;width:900;height:49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1162;top:-7573;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展位费补贴</w:t>
                      </w:r>
                    </w:p>
                  </w:txbxContent>
                </v:textbox>
                <w10:wrap type="none"/>
              </v:shape>
              <v:shape style="position:absolute;left:2227;top:-8041;width:900;height:111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北京中关村</w:t>
                      </w:r>
                    </w:p>
                    <w:p>
                      <w:pPr>
                        <w:spacing w:line="316" w:lineRule="auto" w:before="75"/>
                        <w:ind w:left="0" w:right="0" w:firstLine="0"/>
                        <w:jc w:val="left"/>
                        <w:rPr>
                          <w:rFonts w:ascii="宋体" w:hAnsi="宋体" w:cs="宋体" w:eastAsia="宋体" w:hint="default"/>
                          <w:sz w:val="18"/>
                          <w:szCs w:val="18"/>
                        </w:rPr>
                      </w:pPr>
                      <w:r>
                        <w:rPr>
                          <w:rFonts w:ascii="宋体" w:hAnsi="宋体" w:cs="宋体" w:eastAsia="宋体" w:hint="default"/>
                          <w:sz w:val="18"/>
                          <w:szCs w:val="18"/>
                        </w:rPr>
                        <w:t>海外科技园 有限责任公</w:t>
                      </w:r>
                    </w:p>
                    <w:p>
                      <w:pPr>
                        <w:spacing w:before="20"/>
                        <w:ind w:left="0" w:right="0" w:firstLine="0"/>
                        <w:jc w:val="left"/>
                        <w:rPr>
                          <w:rFonts w:ascii="宋体" w:hAnsi="宋体" w:cs="宋体" w:eastAsia="宋体" w:hint="default"/>
                          <w:sz w:val="18"/>
                          <w:szCs w:val="18"/>
                        </w:rPr>
                      </w:pPr>
                      <w:r>
                        <w:rPr>
                          <w:rFonts w:ascii="宋体" w:hAnsi="宋体" w:cs="宋体" w:eastAsia="宋体" w:hint="default"/>
                          <w:sz w:val="18"/>
                          <w:szCs w:val="18"/>
                        </w:rPr>
                        <w:t>司</w:t>
                      </w:r>
                    </w:p>
                  </w:txbxContent>
                </v:textbox>
                <w10:wrap type="none"/>
              </v:shape>
              <v:shape style="position:absolute;left:4352;top:-8041;width:1080;height:49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5"/>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3290;top:-757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5416;top:-757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6479;top:-757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8802;top:-7566;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137,980.00</w:t>
                      </w:r>
                    </w:p>
                  </w:txbxContent>
                </v:textbox>
                <w10:wrap type="none"/>
              </v:shape>
              <v:shape style="position:absolute;left:4352;top:-7419;width:900;height:49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1162;top:-6391;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纳税积极奖</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励补助</w:t>
                      </w:r>
                    </w:p>
                  </w:txbxContent>
                </v:textbox>
                <w10:wrap type="none"/>
              </v:shape>
              <v:shape style="position:absolute;left:2227;top:-6547;width:900;height:8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上海市闵行</w:t>
                      </w:r>
                    </w:p>
                    <w:p>
                      <w:pPr>
                        <w:spacing w:line="314" w:lineRule="exact" w:before="34"/>
                        <w:ind w:left="0" w:right="0" w:firstLine="0"/>
                        <w:jc w:val="left"/>
                        <w:rPr>
                          <w:rFonts w:ascii="宋体" w:hAnsi="宋体" w:cs="宋体" w:eastAsia="宋体" w:hint="default"/>
                          <w:sz w:val="18"/>
                          <w:szCs w:val="18"/>
                        </w:rPr>
                      </w:pPr>
                      <w:r>
                        <w:rPr>
                          <w:rFonts w:ascii="宋体" w:hAnsi="宋体" w:cs="宋体" w:eastAsia="宋体" w:hint="default"/>
                          <w:sz w:val="18"/>
                          <w:szCs w:val="18"/>
                        </w:rPr>
                        <w:t>区财政局非 税收入专户</w:t>
                      </w:r>
                    </w:p>
                  </w:txbxContent>
                </v:textbox>
                <w10:wrap type="none"/>
              </v:shape>
              <v:shape style="position:absolute;left:4352;top:-6703;width:1080;height:49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5"/>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3290;top:-623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5416;top:-623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6479;top:-623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8802;top:-6228;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100,000.00</w:t>
                      </w:r>
                    </w:p>
                  </w:txbxContent>
                </v:textbox>
                <w10:wrap type="none"/>
              </v:shape>
              <v:shape style="position:absolute;left:4352;top:-6081;width:900;height:49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1162;top:-5209;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产学研合作</w:t>
                      </w:r>
                    </w:p>
                  </w:txbxContent>
                </v:textbox>
                <w10:wrap type="none"/>
              </v:shape>
              <v:shape style="position:absolute;left:2227;top:-5053;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浦口区科技</w:t>
                      </w:r>
                    </w:p>
                  </w:txbxContent>
                </v:textbox>
                <w10:wrap type="none"/>
              </v:shape>
              <v:shape style="position:absolute;left:4352;top:-5365;width:1080;height:49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5"/>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1162;top:-4899;width:5498;height:182" type="#_x0000_t202" filled="false" stroked="false">
                <v:textbox inset="0,0,0,0">
                  <w:txbxContent>
                    <w:p>
                      <w:pPr>
                        <w:tabs>
                          <w:tab w:pos="2128" w:val="left" w:leader="none"/>
                          <w:tab w:pos="4253" w:val="left" w:leader="none"/>
                          <w:tab w:pos="5317" w:val="left" w:leader="none"/>
                        </w:tabs>
                        <w:spacing w:line="181"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（校企联盟）</w:t>
                        <w:tab/>
                        <w:t>补助</w:t>
                        <w:tab/>
                        <w:t>是</w:t>
                        <w:tab/>
                        <w:t>否</w:t>
                      </w:r>
                    </w:p>
                  </w:txbxContent>
                </v:textbox>
                <w10:wrap type="none"/>
              </v:shape>
              <v:shape style="position:absolute;left:8892;top:-4890;width:72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30,000.00</w:t>
                      </w:r>
                    </w:p>
                  </w:txbxContent>
                </v:textbox>
                <w10:wrap type="none"/>
              </v:shape>
              <v:shape style="position:absolute;left:2227;top:-474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局</w:t>
                      </w:r>
                    </w:p>
                  </w:txbxContent>
                </v:textbox>
                <w10:wrap type="none"/>
              </v:shape>
              <v:shape style="position:absolute;left:1162;top:-458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项目补贴</w:t>
                      </w:r>
                    </w:p>
                  </w:txbxContent>
                </v:textbox>
                <w10:wrap type="none"/>
              </v:shape>
              <v:shape style="position:absolute;left:4352;top:-4743;width:1080;height:120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line="310" w:lineRule="atLeast" w:before="92"/>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 技术更新及</w:t>
                      </w:r>
                    </w:p>
                  </w:txbxContent>
                </v:textbox>
                <w10:wrap type="none"/>
              </v:shape>
              <v:shape style="position:absolute;left:1162;top:-355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专利资助</w:t>
                      </w:r>
                    </w:p>
                  </w:txbxContent>
                </v:textbox>
                <w10:wrap type="none"/>
              </v:shape>
              <v:shape style="position:absolute;left:2227;top:-3715;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江苏省知识</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产权局</w:t>
                      </w:r>
                    </w:p>
                  </w:txbxContent>
                </v:textbox>
                <w10:wrap type="none"/>
              </v:shape>
              <v:shape style="position:absolute;left:3290;top:-355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5416;top:-355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6479;top:-355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8982;top:-3552;width:63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5,700.00</w:t>
                      </w:r>
                    </w:p>
                  </w:txbxContent>
                </v:textbox>
                <w10:wrap type="none"/>
              </v:shape>
              <v:shape style="position:absolute;left:4352;top:-3405;width:900;height:49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1162;top:-2377;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授权专利补</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助资金</w:t>
                      </w:r>
                    </w:p>
                  </w:txbxContent>
                </v:textbox>
                <w10:wrap type="none"/>
              </v:shape>
              <v:shape style="position:absolute;left:2227;top:-2377;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北京知识产</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权局</w:t>
                      </w:r>
                    </w:p>
                  </w:txbxContent>
                </v:textbox>
                <w10:wrap type="none"/>
              </v:shape>
              <v:shape style="position:absolute;left:4352;top:-2689;width:1080;height:49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5"/>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3290;top:-22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5416;top:-222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6479;top:-222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9118;top:-2214;width:49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300.00</w:t>
                      </w:r>
                    </w:p>
                  </w:txbxContent>
                </v:textbox>
                <w10:wrap type="none"/>
              </v:shape>
              <v:shape style="position:absolute;left:4352;top:-2067;width:900;height:49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1162;top:-1039;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科技创新支</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出补助</w:t>
                      </w:r>
                    </w:p>
                  </w:txbxContent>
                </v:textbox>
                <w10:wrap type="none"/>
              </v:shape>
              <v:shape style="position:absolute;left:2227;top:-1039;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浦口区科技</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局</w:t>
                      </w:r>
                    </w:p>
                  </w:txbxContent>
                </v:textbox>
                <w10:wrap type="none"/>
              </v:shape>
              <v:shape style="position:absolute;left:4352;top:-1351;width:1080;height:49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5"/>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3290;top:-88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5416;top:-88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6479;top:-88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8802;top:-876;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100,000.00</w:t>
                      </w:r>
                    </w:p>
                  </w:txbxContent>
                </v:textbox>
                <w10:wrap type="none"/>
              </v:shape>
              <v:shape style="position:absolute;left:4352;top:-729;width:900;height:49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group>
            <w10:wrap type="none"/>
          </v:group>
        </w:pict>
      </w:r>
      <w:r>
        <w:rPr>
          <w:rFonts w:ascii="Times New Roman" w:hAnsi="Times New Roman" w:cs="Times New Roman" w:eastAsia="Times New Roman" w:hint="default"/>
        </w:rPr>
        <w:t>40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419"/>
        <w:gridCol w:w="2426"/>
        <w:gridCol w:w="2424"/>
        <w:gridCol w:w="2424"/>
      </w:tblGrid>
      <w:tr>
        <w:trPr>
          <w:trHeight w:val="401" w:hRule="exact"/>
        </w:trPr>
        <w:tc>
          <w:tcPr>
            <w:tcW w:w="24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36"/>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4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108,000.00</w:t>
            </w:r>
          </w:p>
        </w:tc>
      </w:tr>
      <w:tr>
        <w:trPr>
          <w:trHeight w:val="40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50,768.46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15,068.68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50,768.46</w:t>
            </w:r>
          </w:p>
        </w:tc>
      </w:tr>
      <w:tr>
        <w:trPr>
          <w:trHeight w:val="40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616,060.37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566,703.74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616,060.37</w:t>
            </w:r>
          </w:p>
        </w:tc>
      </w:tr>
      <w:tr>
        <w:trPr>
          <w:trHeight w:val="403" w:hRule="exact"/>
        </w:trPr>
        <w:tc>
          <w:tcPr>
            <w:tcW w:w="24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774,828.83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786,772.42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774,828.83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41</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14,667,185.77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18,614,826.35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-9,993,002.14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-11,160,515.57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4,674,183.63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7,454,310.78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98,142,401.05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14,721,360.16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-1,088,581.02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-6,503,551.70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-2,273,921.36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6,098,474.48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-765,097.52</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833,667.60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加计扣除</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-6,348,167.01</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4,674,183.63</w:t>
            </w:r>
          </w:p>
        </w:tc>
      </w:tr>
    </w:tbl>
    <w:p>
      <w:pPr>
        <w:spacing w:line="240" w:lineRule="auto" w:before="2"/>
        <w:rPr>
          <w:rFonts w:ascii="宋体" w:hAnsi="宋体" w:cs="宋体" w:eastAsia="宋体" w:hint="default"/>
          <w:sz w:val="19"/>
          <w:szCs w:val="19"/>
        </w:rPr>
      </w:pPr>
    </w:p>
    <w:p>
      <w:pPr>
        <w:spacing w:line="544" w:lineRule="auto" w:before="35"/>
        <w:ind w:left="154" w:right="88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、其他综合收益</w:t>
      </w:r>
      <w:r>
        <w:rPr>
          <w:rFonts w:ascii="宋体" w:hAnsi="宋体" w:cs="宋体" w:eastAsia="宋体" w:hint="default"/>
          <w:b/>
          <w:bCs/>
          <w:spacing w:val="1"/>
          <w:w w:val="99"/>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26</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收到往来资金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10,561,917.09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7,613,585.52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3,213,355.94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1,551,628.84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4,605,080.93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2,499,126.65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6"/>
        <w:rPr>
          <w:rFonts w:ascii="宋体" w:hAnsi="宋体" w:cs="宋体" w:eastAsia="宋体" w:hint="default"/>
          <w:sz w:val="28"/>
          <w:szCs w:val="28"/>
        </w:rPr>
      </w:pPr>
      <w:r>
        <w:rPr/>
        <w:pict>
          <v:shape style="position:absolute;margin-left:190.140594pt;margin-top:659.400024pt;width:185.55pt;height:19.650pt;mso-position-horizontal-relative:page;mso-position-vertical-relative:page;z-index:-975040" type="#_x0000_t202" filled="false" stroked="false">
            <v:textbox inset="0,0,0,0">
              <w:txbxContent>
                <w:p>
                  <w:pPr>
                    <w:pStyle w:val="BodyText"/>
                    <w:spacing w:line="240" w:lineRule="auto" w:before="51"/>
                    <w:ind w:left="0" w:right="0"/>
                    <w:jc w:val="left"/>
                  </w:pPr>
                  <w:r>
                    <w:rPr/>
                    <w:t>号填列）</w:t>
                  </w:r>
                </w:p>
              </w:txbxContent>
            </v:textbox>
            <w10:wrap type="none"/>
          </v:shape>
        </w:pict>
      </w:r>
      <w:r>
        <w:rPr/>
        <w:pict>
          <v:shape style="position:absolute;margin-left:190.140594pt;margin-top:679.5pt;width:185.55pt;height:19.650pt;mso-position-horizontal-relative:page;mso-position-vertical-relative:page;z-index:-975016" type="#_x0000_t202" filled="false" stroked="false">
            <v:textbox inset="0,0,0,0">
              <w:txbxContent>
                <w:p>
                  <w:pPr>
                    <w:pStyle w:val="BodyText"/>
                    <w:spacing w:line="240" w:lineRule="auto" w:before="51"/>
                    <w:ind w:left="0" w:right="0"/>
                    <w:jc w:val="left"/>
                  </w:pPr>
                  <w:r>
                    <w:rPr/>
                    <w:t>号填列）</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40,289.02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6,195.00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18,420,642.98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11,670,536.01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支付往来资金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30,590,072.18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18,273,734.37</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支付办公、差旅、房租、招待等营业费 用及管理费用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104,592,221.90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105,950,475.28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支付银行手续费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191,955.23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119,340.98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135,482,249.31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124,548,550.63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93,468,217.42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90,344,105.79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83,662,915.41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54,967,847.24</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11,688,157.47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10,528,122.92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10,364,610.66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6,093,663.12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4,815,856.58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1,712,952.54</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-23,851.60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-138,058.94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50,717.58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15,068.68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979,929.77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1,132,322.63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-8,069,732.52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-22,873,350.49</w:t>
            </w:r>
          </w:p>
        </w:tc>
      </w:tr>
      <w:tr>
        <w:trPr>
          <w:trHeight w:val="402" w:hRule="exact"/>
        </w:trPr>
        <w:tc>
          <w:tcPr>
            <w:tcW w:w="332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6"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-9,837,002.14</w:t>
            </w:r>
          </w:p>
        </w:tc>
        <w:tc>
          <w:tcPr>
            <w:tcW w:w="31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-11,004,515.57</w:t>
            </w:r>
          </w:p>
        </w:tc>
      </w:tr>
      <w:tr>
        <w:trPr>
          <w:trHeight w:val="402" w:hRule="exact"/>
        </w:trPr>
        <w:tc>
          <w:tcPr>
            <w:tcW w:w="332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6"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-156,000.00</w:t>
            </w:r>
          </w:p>
        </w:tc>
        <w:tc>
          <w:tcPr>
            <w:tcW w:w="31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-156,000.00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-18,187,249.42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-35,497,199.47</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-311,757,899.27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-294,824,188.61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55,767,818.87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111,483,903.96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-87,233,511.19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-88,215,326.20</w:t>
            </w:r>
          </w:p>
        </w:tc>
      </w:tr>
      <w:tr>
        <w:trPr>
          <w:trHeight w:val="161" w:hRule="exact"/>
        </w:trPr>
        <w:tc>
          <w:tcPr>
            <w:tcW w:w="3328"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51"/>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328" w:type="dxa"/>
            <w:vMerge/>
            <w:tcBorders>
              <w:left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46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8" w:type="dxa"/>
            <w:vMerge/>
            <w:tcBorders>
              <w:left w:val="single" w:sz="4" w:space="0" w:color="000000"/>
              <w:bottom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6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590,819,180.63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1,037,421,625.20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1,037,421,625.20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1,356,015,028.14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-446,602,444.57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-318,593,402.94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590,819,180.63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1,037,421,625.20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97,919.41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94,224.06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590,721,261.22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1,037,327,401.14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590,819,180.63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1,037,421,625.20</w:t>
            </w:r>
          </w:p>
        </w:tc>
      </w:tr>
    </w:tbl>
    <w:p>
      <w:pPr>
        <w:pStyle w:val="BodyText"/>
        <w:spacing w:line="240" w:lineRule="auto" w:before="51"/>
        <w:ind w:right="0"/>
        <w:jc w:val="left"/>
      </w:pPr>
      <w:r>
        <w:rPr/>
        <w:t>其他说明：</w:t>
      </w:r>
    </w:p>
    <w:p>
      <w:pPr>
        <w:pStyle w:val="BodyText"/>
        <w:spacing w:line="240" w:lineRule="auto" w:before="116"/>
        <w:ind w:left="634" w:right="0"/>
        <w:jc w:val="left"/>
      </w:pPr>
      <w:r>
        <w:rPr/>
        <w:t>现金和现金等价物不含母公司或集团内子公司使用受限制的现金和现金等价物。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45</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4,403,238.00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保函保证金、票据保证金</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24,008,589.00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产权证正在办理中</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28,411,827.00</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46</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48,149.28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330,458.14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0"/>
              <w:jc w:val="right"/>
              <w:rPr>
                <w:rFonts w:ascii="宋体" w:hAnsi="宋体" w:cs="宋体" w:eastAsia="宋体" w:hint="default"/>
                <w:sz w:val="18"/>
                <w:szCs w:val="18"/>
              </w:rPr>
            </w:pPr>
            <w:r>
              <w:rPr>
                <w:rFonts w:ascii="宋体" w:hAnsi="宋体" w:cs="宋体" w:eastAsia="宋体" w:hint="default"/>
                <w:sz w:val="18"/>
                <w:szCs w:val="18"/>
              </w:rPr>
              <w:t>马来币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214,164.50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352,923.39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129"/>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129"/>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0"/>
              <w:jc w:val="right"/>
              <w:rPr>
                <w:rFonts w:ascii="宋体" w:hAnsi="宋体" w:cs="宋体" w:eastAsia="宋体" w:hint="default"/>
                <w:sz w:val="18"/>
                <w:szCs w:val="18"/>
              </w:rPr>
            </w:pPr>
            <w:r>
              <w:rPr>
                <w:rFonts w:ascii="宋体" w:hAnsi="宋体" w:cs="宋体" w:eastAsia="宋体" w:hint="default"/>
                <w:sz w:val="18"/>
                <w:szCs w:val="18"/>
              </w:rPr>
              <w:t>马来币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22,902.07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37,740.50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0"/>
              <w:jc w:val="right"/>
              <w:rPr>
                <w:rFonts w:ascii="宋体" w:hAnsi="宋体" w:cs="宋体" w:eastAsia="宋体" w:hint="default"/>
                <w:sz w:val="18"/>
                <w:szCs w:val="18"/>
              </w:rPr>
            </w:pPr>
            <w:r>
              <w:rPr>
                <w:rFonts w:ascii="宋体" w:hAnsi="宋体" w:cs="宋体" w:eastAsia="宋体" w:hint="default"/>
                <w:sz w:val="18"/>
                <w:szCs w:val="18"/>
              </w:rPr>
              <w:t>马来币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61,627.12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101,555.82</w:t>
            </w:r>
          </w:p>
        </w:tc>
      </w:tr>
    </w:tbl>
    <w:p>
      <w:pPr>
        <w:spacing w:line="240" w:lineRule="auto" w:before="2"/>
        <w:rPr>
          <w:rFonts w:ascii="宋体" w:hAnsi="宋体" w:cs="宋体" w:eastAsia="宋体" w:hint="default"/>
          <w:sz w:val="19"/>
          <w:szCs w:val="19"/>
        </w:rPr>
      </w:pPr>
    </w:p>
    <w:p>
      <w:pPr>
        <w:pStyle w:val="Heading3"/>
        <w:spacing w:line="240" w:lineRule="auto" w:before="35"/>
        <w:ind w:left="214" w:right="1120"/>
        <w:jc w:val="left"/>
        <w:rPr>
          <w:b w:val="0"/>
          <w:bCs w:val="0"/>
        </w:rPr>
      </w:pPr>
      <w:r>
        <w:rPr>
          <w:rFonts w:ascii="Times New Roman" w:hAnsi="Times New Roman" w:cs="Times New Roman" w:eastAsia="Times New Roman" w:hint="default"/>
        </w:rPr>
        <w:t>47</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3" w:right="1120"/>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19,383,577.35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19,383,577.35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3"/>
        <w:spacing w:line="240" w:lineRule="auto" w:before="35"/>
        <w:ind w:left="214" w:right="1120"/>
        <w:jc w:val="left"/>
        <w:rPr>
          <w:b w:val="0"/>
          <w:bCs w:val="0"/>
        </w:rPr>
      </w:pPr>
      <w:r>
        <w:rPr/>
        <w:t>（</w:t>
      </w:r>
      <w:r>
        <w:rPr>
          <w:rFonts w:ascii="Arial" w:hAnsi="Arial" w:cs="Arial" w:eastAsia="Arial" w:hint="default"/>
        </w:rPr>
        <w:t>2</w:t>
      </w:r>
      <w:r>
        <w:rPr/>
        <w:t>）政府补助明细</w:t>
      </w:r>
      <w:r>
        <w:rPr>
          <w:b w:val="0"/>
          <w:bCs w:val="0"/>
        </w:rPr>
      </w:r>
    </w:p>
    <w:p>
      <w:pPr>
        <w:spacing w:line="240" w:lineRule="auto" w:before="10"/>
        <w:rPr>
          <w:rFonts w:ascii="宋体" w:hAnsi="宋体" w:cs="宋体" w:eastAsia="宋体" w:hint="default"/>
          <w:b/>
          <w:bCs/>
          <w:sz w:val="5"/>
          <w:szCs w:val="5"/>
        </w:rPr>
      </w:pPr>
    </w:p>
    <w:tbl>
      <w:tblPr>
        <w:tblW w:w="0" w:type="auto"/>
        <w:jc w:val="left"/>
        <w:tblInd w:w="101" w:type="dxa"/>
        <w:tblLayout w:type="fixed"/>
        <w:tblCellMar>
          <w:top w:w="0" w:type="dxa"/>
          <w:left w:w="0" w:type="dxa"/>
          <w:bottom w:w="0" w:type="dxa"/>
          <w:right w:w="0" w:type="dxa"/>
        </w:tblCellMar>
        <w:tblLook w:val="01E0"/>
      </w:tblPr>
      <w:tblGrid>
        <w:gridCol w:w="5130"/>
        <w:gridCol w:w="2080"/>
        <w:gridCol w:w="2645"/>
      </w:tblGrid>
      <w:tr>
        <w:trPr>
          <w:trHeight w:val="490" w:hRule="exact"/>
        </w:trPr>
        <w:tc>
          <w:tcPr>
            <w:tcW w:w="5130"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584"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本期是否实际收到</w:t>
            </w:r>
          </w:p>
        </w:tc>
      </w:tr>
      <w:tr>
        <w:trPr>
          <w:trHeight w:val="490" w:hRule="exact"/>
        </w:trPr>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16,170,221.41</w:t>
            </w:r>
            <w:r>
              <w:rPr>
                <w:rFonts w:ascii="Arial"/>
                <w:sz w:val="18"/>
              </w:rPr>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1" w:hRule="exact"/>
        </w:trPr>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稳岗补贴款</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212,505.94</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0" w:hRule="exact"/>
        </w:trPr>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技术研发项目补助</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1,840,000.00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0" w:hRule="exact"/>
        </w:trPr>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72,150.00</w:t>
            </w:r>
            <w:r>
              <w:rPr>
                <w:rFonts w:ascii="Arial"/>
                <w:sz w:val="18"/>
              </w:rPr>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1" w:hRule="exact"/>
        </w:trPr>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中关村企业信用促进会补贴款</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60,000.00</w:t>
            </w:r>
            <w:r>
              <w:rPr>
                <w:rFonts w:ascii="Arial"/>
                <w:sz w:val="18"/>
              </w:rPr>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0" w:hRule="exact"/>
        </w:trPr>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中国技术交易所有限公司商标注册补助资金</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200,000.00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7" w:footer="1190" w:top="1060" w:bottom="1380" w:left="920" w:right="0"/>
        </w:sectPr>
      </w:pPr>
    </w:p>
    <w:p>
      <w:pPr>
        <w:spacing w:line="240" w:lineRule="auto" w:before="6"/>
        <w:rPr>
          <w:rFonts w:ascii="宋体" w:hAnsi="宋体" w:cs="宋体" w:eastAsia="宋体" w:hint="default"/>
          <w:b/>
          <w:bCs/>
          <w:sz w:val="28"/>
          <w:szCs w:val="28"/>
        </w:rPr>
      </w:pPr>
    </w:p>
    <w:tbl>
      <w:tblPr>
        <w:tblW w:w="0" w:type="auto"/>
        <w:jc w:val="left"/>
        <w:tblInd w:w="101" w:type="dxa"/>
        <w:tblLayout w:type="fixed"/>
        <w:tblCellMar>
          <w:top w:w="0" w:type="dxa"/>
          <w:left w:w="0" w:type="dxa"/>
          <w:bottom w:w="0" w:type="dxa"/>
          <w:right w:w="0" w:type="dxa"/>
        </w:tblCellMar>
        <w:tblLook w:val="01E0"/>
      </w:tblPr>
      <w:tblGrid>
        <w:gridCol w:w="5130"/>
        <w:gridCol w:w="2080"/>
        <w:gridCol w:w="2645"/>
      </w:tblGrid>
      <w:tr>
        <w:trPr>
          <w:trHeight w:val="490" w:hRule="exact"/>
        </w:trPr>
        <w:tc>
          <w:tcPr>
            <w:tcW w:w="5130"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584"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本期是否实际收到</w:t>
            </w:r>
          </w:p>
        </w:tc>
      </w:tr>
      <w:tr>
        <w:trPr>
          <w:trHeight w:val="491" w:hRule="exact"/>
        </w:trPr>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中关村知识产权促进局创业资助款</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100,000.00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0" w:hRule="exact"/>
        </w:trPr>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年度企业研究开发费用省级财政奖励资金</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158,700.00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0" w:hRule="exact"/>
        </w:trPr>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年度科技经费</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570,000.00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1" w:hRule="exact"/>
        </w:trPr>
        <w:tc>
          <w:tcPr>
            <w:tcW w:w="5130"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19,383,577.35</w:t>
            </w:r>
            <w:r>
              <w:rPr>
                <w:rFonts w:ascii="Arial"/>
                <w:sz w:val="18"/>
              </w:rPr>
            </w:r>
          </w:p>
        </w:tc>
        <w:tc>
          <w:tcPr>
            <w:tcW w:w="26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8"/>
          <w:szCs w:val="8"/>
        </w:rPr>
      </w:pPr>
    </w:p>
    <w:p>
      <w:pPr>
        <w:pStyle w:val="BodyText"/>
        <w:spacing w:line="408" w:lineRule="auto" w:before="44"/>
        <w:ind w:left="213" w:right="1120" w:firstLine="360"/>
        <w:jc w:val="left"/>
      </w:pPr>
      <w:r>
        <w:rPr>
          <w:spacing w:val="-6"/>
        </w:rPr>
        <w:t>注：本期其他收益中政府补助金额为</w:t>
      </w:r>
      <w:r>
        <w:rPr>
          <w:spacing w:val="-52"/>
        </w:rPr>
        <w:t> </w:t>
      </w:r>
      <w:r>
        <w:rPr/>
        <w:t>21,400,744.48</w:t>
      </w:r>
      <w:r>
        <w:rPr>
          <w:spacing w:val="-52"/>
        </w:rPr>
        <w:t> </w:t>
      </w:r>
      <w:r>
        <w:rPr>
          <w:spacing w:val="-23"/>
        </w:rPr>
        <w:t>元，其中</w:t>
      </w:r>
      <w:r>
        <w:rPr>
          <w:spacing w:val="-52"/>
        </w:rPr>
        <w:t> </w:t>
      </w:r>
      <w:r>
        <w:rPr/>
        <w:t>2,017,167.13</w:t>
      </w:r>
      <w:r>
        <w:rPr>
          <w:spacing w:val="-52"/>
        </w:rPr>
        <w:t> </w:t>
      </w:r>
      <w:r>
        <w:rPr>
          <w:spacing w:val="-7"/>
        </w:rPr>
        <w:t>元为本期递延收益转入，剩余</w:t>
      </w:r>
      <w:r>
        <w:rPr>
          <w:spacing w:val="-52"/>
        </w:rPr>
        <w:t> </w:t>
      </w:r>
      <w:r>
        <w:rPr/>
        <w:t>19,383,577.35</w:t>
      </w:r>
      <w:r>
        <w:rPr/>
        <w:t> 元为本期实际收到金额。</w:t>
      </w:r>
    </w:p>
    <w:p>
      <w:pPr>
        <w:spacing w:line="240" w:lineRule="auto" w:before="7"/>
        <w:rPr>
          <w:rFonts w:ascii="宋体" w:hAnsi="宋体" w:cs="宋体" w:eastAsia="宋体" w:hint="default"/>
          <w:sz w:val="14"/>
          <w:szCs w:val="14"/>
        </w:rPr>
      </w:pPr>
    </w:p>
    <w:p>
      <w:pPr>
        <w:pStyle w:val="Heading2"/>
        <w:spacing w:line="240" w:lineRule="auto"/>
        <w:ind w:left="214" w:right="1120"/>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14" w:right="1120"/>
        <w:jc w:val="left"/>
        <w:rPr>
          <w:b w:val="0"/>
          <w:bCs w:val="0"/>
        </w:rPr>
      </w:pPr>
      <w:r>
        <w:rPr>
          <w:rFonts w:ascii="Times New Roman" w:hAnsi="Times New Roman" w:cs="Times New Roman" w:eastAsia="Times New Roman" w:hint="default"/>
        </w:rPr>
        <w:t>1</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4" w:right="1120" w:hanging="300"/>
        <w:jc w:val="left"/>
      </w:pPr>
      <w:r>
        <w:rPr/>
        <w:t>说明其他原因导致的合并范围变动（如，新设子公司、清算子公司等）及其相关情况： </w:t>
      </w:r>
      <w:r>
        <w:rPr>
          <w:spacing w:val="-1"/>
        </w:rPr>
        <w:t>报告期内，公司与全资子公司江苏神州信源系统工程有限公司各自以自有资金共同投资在青岛设立北信源信息技术（青</w:t>
      </w:r>
    </w:p>
    <w:p>
      <w:pPr>
        <w:pStyle w:val="BodyText"/>
        <w:spacing w:line="237" w:lineRule="exact"/>
        <w:ind w:left="213" w:right="0"/>
        <w:jc w:val="left"/>
      </w:pPr>
      <w:r>
        <w:rPr/>
        <w:t>岛）有限公司，其注册资本为</w:t>
      </w:r>
      <w:r>
        <w:rPr>
          <w:rFonts w:ascii="Times New Roman" w:hAnsi="Times New Roman" w:cs="Times New Roman" w:eastAsia="Times New Roman" w:hint="default"/>
        </w:rPr>
        <w:t>1,000.00</w:t>
      </w:r>
      <w:r>
        <w:rPr/>
        <w:t>万元人民币，公司持股</w:t>
      </w:r>
      <w:r>
        <w:rPr>
          <w:rFonts w:ascii="Times New Roman" w:hAnsi="Times New Roman" w:cs="Times New Roman" w:eastAsia="Times New Roman" w:hint="default"/>
        </w:rPr>
        <w:t>49%</w:t>
      </w:r>
      <w:r>
        <w:rPr/>
        <w:t>，神州信源持股</w:t>
      </w:r>
      <w:r>
        <w:rPr>
          <w:rFonts w:ascii="Times New Roman" w:hAnsi="Times New Roman" w:cs="Times New Roman" w:eastAsia="Times New Roman" w:hint="default"/>
        </w:rPr>
        <w:t>51%</w:t>
      </w:r>
      <w:r>
        <w:rPr/>
        <w:t>，目前公司实际出资</w:t>
      </w:r>
      <w:r>
        <w:rPr>
          <w:rFonts w:ascii="Times New Roman" w:hAnsi="Times New Roman" w:cs="Times New Roman" w:eastAsia="Times New Roman" w:hint="default"/>
        </w:rPr>
        <w:t>147.00</w:t>
      </w:r>
      <w:r>
        <w:rPr/>
        <w:t>万元，神州</w:t>
      </w:r>
    </w:p>
    <w:p>
      <w:pPr>
        <w:pStyle w:val="BodyText"/>
        <w:spacing w:line="314" w:lineRule="auto" w:before="63"/>
        <w:ind w:left="213" w:right="0"/>
        <w:jc w:val="left"/>
      </w:pPr>
      <w:r>
        <w:rPr/>
        <w:t>信源实际出资</w:t>
      </w:r>
      <w:r>
        <w:rPr>
          <w:rFonts w:ascii="Times New Roman" w:hAnsi="Times New Roman" w:cs="Times New Roman" w:eastAsia="Times New Roman" w:hint="default"/>
        </w:rPr>
        <w:t>153.00</w:t>
      </w:r>
      <w:r>
        <w:rPr/>
        <w:t>万元。法定代表人陈曦，注册地为山东省青岛市高新区新业路</w:t>
      </w:r>
      <w:r>
        <w:rPr>
          <w:rFonts w:ascii="Times New Roman" w:hAnsi="Times New Roman" w:cs="Times New Roman" w:eastAsia="Times New Roman" w:hint="default"/>
        </w:rPr>
        <w:t>31</w:t>
      </w:r>
      <w:r>
        <w:rPr/>
        <w:t>号青岛国家保密技术产业园</w:t>
      </w:r>
      <w:r>
        <w:rPr>
          <w:rFonts w:ascii="Times New Roman" w:hAnsi="Times New Roman" w:cs="Times New Roman" w:eastAsia="Times New Roman" w:hint="default"/>
        </w:rPr>
        <w:t>A2</w:t>
      </w:r>
      <w:r>
        <w:rPr/>
        <w:t>栋</w:t>
      </w:r>
      <w:r>
        <w:rPr>
          <w:rFonts w:ascii="Times New Roman" w:hAnsi="Times New Roman" w:cs="Times New Roman" w:eastAsia="Times New Roman" w:hint="default"/>
        </w:rPr>
        <w:t>2</w:t>
      </w:r>
      <w:r>
        <w:rPr/>
        <w:t>层，</w:t>
      </w:r>
      <w:r>
        <w:rPr>
          <w:spacing w:val="-83"/>
        </w:rPr>
        <w:t> </w:t>
      </w:r>
      <w:r>
        <w:rPr>
          <w:spacing w:val="-2"/>
        </w:rPr>
        <w:t>经营范围为计算机系统服务、数据处理；基础软件服务、应用软件服务；计算机软硬件及通讯设备的研发、销售、维修、技</w:t>
      </w:r>
      <w:r>
        <w:rPr>
          <w:spacing w:val="-65"/>
        </w:rPr>
        <w:t> </w:t>
      </w:r>
      <w:r>
        <w:rPr>
          <w:spacing w:val="-65"/>
        </w:rPr>
      </w:r>
      <w:r>
        <w:rPr>
          <w:spacing w:val="-7"/>
        </w:rPr>
        <w:t>术咨询、技术服务、技术转让（不含卫星发射及地面接收设施）；计算机软硬件的生产、组装；复制记录媒介（不含出版物）；</w:t>
      </w:r>
      <w:r>
        <w:rPr>
          <w:spacing w:val="-55"/>
        </w:rPr>
        <w:t> </w:t>
      </w:r>
      <w:r>
        <w:rPr>
          <w:spacing w:val="-55"/>
        </w:rPr>
      </w:r>
      <w:r>
        <w:rPr>
          <w:spacing w:val="-2"/>
        </w:rPr>
        <w:t>计算机信息系统安全专用产品、经国家密码管理局审批并通过指定检测机构产品质量检测的商用密码产品的开发、销售；第</w:t>
      </w:r>
      <w:r>
        <w:rPr>
          <w:spacing w:val="-66"/>
        </w:rPr>
        <w:t> </w:t>
      </w:r>
      <w:r>
        <w:rPr>
          <w:spacing w:val="-66"/>
        </w:rPr>
      </w:r>
      <w:r>
        <w:rPr>
          <w:spacing w:val="-2"/>
        </w:rPr>
        <w:t>二类增值电信业务中的信息服务业务（不含固定网电话信息服务）；货物进出口、技术进出口。（依法须经批准的项目，经</w:t>
      </w:r>
      <w:r>
        <w:rPr>
          <w:spacing w:val="-65"/>
        </w:rPr>
        <w:t> </w:t>
      </w:r>
      <w:r>
        <w:rPr>
          <w:spacing w:val="-65"/>
        </w:rPr>
      </w:r>
      <w:r>
        <w:rPr/>
        <w:t>相关部门批准后方可开展经营活动）</w:t>
      </w:r>
    </w:p>
    <w:p>
      <w:pPr>
        <w:spacing w:line="240" w:lineRule="auto" w:before="12"/>
        <w:rPr>
          <w:rFonts w:ascii="宋体" w:hAnsi="宋体" w:cs="宋体" w:eastAsia="宋体" w:hint="default"/>
          <w:sz w:val="20"/>
          <w:szCs w:val="20"/>
        </w:rPr>
      </w:pPr>
    </w:p>
    <w:p>
      <w:pPr>
        <w:pStyle w:val="Heading2"/>
        <w:spacing w:line="240" w:lineRule="auto"/>
        <w:ind w:left="214" w:right="1120"/>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14" w:right="112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112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2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上海北信源信息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江苏神州信源系 统工程有限公司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北信源（马来西 亚）信息技术公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7"/>
              <w:jc w:val="left"/>
              <w:rPr>
                <w:rFonts w:ascii="宋体" w:hAnsi="宋体" w:cs="宋体" w:eastAsia="宋体" w:hint="default"/>
                <w:sz w:val="18"/>
                <w:szCs w:val="18"/>
              </w:rPr>
            </w:pPr>
            <w:r>
              <w:rPr>
                <w:rFonts w:ascii="宋体" w:hAnsi="宋体" w:cs="宋体" w:eastAsia="宋体" w:hint="default"/>
                <w:sz w:val="18"/>
                <w:szCs w:val="18"/>
              </w:rPr>
              <w:t>北京中软华泰信 息技术有限责任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6" w:lineRule="auto"/>
        <w:jc w:val="left"/>
        <w:rPr>
          <w:rFonts w:ascii="宋体" w:hAnsi="宋体" w:cs="宋体" w:eastAsia="宋体" w:hint="default"/>
          <w:sz w:val="18"/>
          <w:szCs w:val="18"/>
        </w:rPr>
        <w:sectPr>
          <w:pgSz w:w="11910" w:h="16840"/>
          <w:pgMar w:header="747" w:footer="1190" w:top="1060" w:bottom="1380" w:left="92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北京信源匡恩工 控安全科技有限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人工智能产业技</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术创新联盟（北 京）科技有限公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北京北信源信息</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安全技术有限公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3" w:hRule="exact"/>
        </w:trPr>
        <w:tc>
          <w:tcPr>
            <w:tcW w:w="13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海外市场开发、</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北信源国际有限 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产品销售、进出 口贸易、投资及</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6"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技术研发等</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北信源信息技术</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（青岛）有限公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49.00%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78"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3" w:hRule="exact"/>
        </w:trPr>
        <w:tc>
          <w:tcPr>
            <w:tcW w:w="13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49"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北京辰信领创信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嘉兴北源投资合 伙企业（有限合 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实业投资、投资 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北京信源健和科 技有限责任公司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科技推广和应用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7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5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53" w:right="71" w:hanging="180"/>
              <w:jc w:val="left"/>
              <w:rPr>
                <w:rFonts w:ascii="宋体" w:hAnsi="宋体" w:cs="宋体" w:eastAsia="宋体" w:hint="default"/>
                <w:sz w:val="18"/>
                <w:szCs w:val="18"/>
              </w:rPr>
            </w:pPr>
            <w:r>
              <w:rPr>
                <w:rFonts w:ascii="宋体" w:hAnsi="宋体" w:cs="宋体" w:eastAsia="宋体" w:hint="default"/>
                <w:sz w:val="18"/>
                <w:szCs w:val="18"/>
              </w:rPr>
              <w:t>北京辰信领创信息 技术有限公司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71" w:right="71"/>
              <w:jc w:val="left"/>
              <w:rPr>
                <w:rFonts w:ascii="宋体" w:hAnsi="宋体" w:cs="宋体" w:eastAsia="宋体" w:hint="default"/>
                <w:sz w:val="18"/>
                <w:szCs w:val="18"/>
              </w:rPr>
            </w:pPr>
            <w:r>
              <w:rPr>
                <w:rFonts w:ascii="宋体" w:hAnsi="宋体" w:cs="宋体" w:eastAsia="宋体" w:hint="default"/>
                <w:sz w:val="18"/>
                <w:szCs w:val="18"/>
              </w:rPr>
              <w:t>嘉兴北源投资合伙 企业（有限合伙）</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51" w:right="71" w:hanging="180"/>
              <w:jc w:val="left"/>
              <w:rPr>
                <w:rFonts w:ascii="宋体" w:hAnsi="宋体" w:cs="宋体" w:eastAsia="宋体" w:hint="default"/>
                <w:sz w:val="18"/>
                <w:szCs w:val="18"/>
              </w:rPr>
            </w:pPr>
            <w:r>
              <w:rPr>
                <w:rFonts w:ascii="宋体" w:hAnsi="宋体" w:cs="宋体" w:eastAsia="宋体" w:hint="default"/>
                <w:sz w:val="18"/>
                <w:szCs w:val="18"/>
              </w:rPr>
              <w:t>北京信源健和科技 有限责任公司</w:t>
            </w:r>
          </w:p>
        </w:tc>
        <w:tc>
          <w:tcPr>
            <w:tcW w:w="15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53" w:right="71" w:hanging="180"/>
              <w:jc w:val="left"/>
              <w:rPr>
                <w:rFonts w:ascii="宋体" w:hAnsi="宋体" w:cs="宋体" w:eastAsia="宋体" w:hint="default"/>
                <w:sz w:val="18"/>
                <w:szCs w:val="18"/>
              </w:rPr>
            </w:pPr>
            <w:r>
              <w:rPr>
                <w:rFonts w:ascii="宋体" w:hAnsi="宋体" w:cs="宋体" w:eastAsia="宋体" w:hint="default"/>
                <w:sz w:val="18"/>
                <w:szCs w:val="18"/>
              </w:rPr>
              <w:t>北京辰信领创信息 技术有限公司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72" w:right="71"/>
              <w:jc w:val="left"/>
              <w:rPr>
                <w:rFonts w:ascii="宋体" w:hAnsi="宋体" w:cs="宋体" w:eastAsia="宋体" w:hint="default"/>
                <w:sz w:val="18"/>
                <w:szCs w:val="18"/>
              </w:rPr>
            </w:pPr>
            <w:r>
              <w:rPr>
                <w:rFonts w:ascii="宋体" w:hAnsi="宋体" w:cs="宋体" w:eastAsia="宋体" w:hint="default"/>
                <w:sz w:val="18"/>
                <w:szCs w:val="18"/>
              </w:rPr>
              <w:t>嘉兴北源投资合伙 企业（有限合伙）</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8,030,626.96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1,264,316.81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9,781,470.22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27,275,615.00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8,227,301.53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13,808,323.75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55,242,857.00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4,181,968.11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22,780,374.66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21,838,950.71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56,507,173.81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13,963,438.33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50,055,989.66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23,877,301.53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3,132,680.64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440,650.87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2,659,610.03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4,717,680.64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440,650.87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4,244,610.03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归属于母公司股东 权益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17,121,270.07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56,507,173.81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13,522,787.46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45,811,379.63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23,877,301.53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按持股比例计算的 净资产份额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4,194,711.17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45,205,739.04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5,409,114.98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11,223,788.01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19,101,841.22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对联营企业权益投 资的账面价值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4,194,711.17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45,205,739.04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17,409,114.98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11,223,788.01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19,101,841.22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5,215,052.61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3,053,766.00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-28,690,109.56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-2,370,127.72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-6,477,212.54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-25,180,704.52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-2,122,698.47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-28,690,109.56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-2,370,127.72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-6,477,212.54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-25,180,704.52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-2,122,698.47</w:t>
            </w:r>
          </w:p>
        </w:tc>
      </w:tr>
    </w:tbl>
    <w:p>
      <w:pPr>
        <w:pStyle w:val="BodyText"/>
        <w:spacing w:line="240" w:lineRule="auto" w:before="51"/>
        <w:ind w:right="0"/>
        <w:jc w:val="both"/>
      </w:pPr>
      <w:r>
        <w:rPr/>
        <w:t>其他说明</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firstLine="360"/>
        <w:jc w:val="both"/>
      </w:pPr>
      <w:r>
        <w:rPr>
          <w:spacing w:val="-2"/>
        </w:rPr>
        <w:t>本公司的主要金融工具包括股权投资、应收账款、应付账款等，各项金融工具的详细情况说明见本附注六相关项目。与</w:t>
      </w:r>
      <w:r>
        <w:rPr/>
        <w:t> </w:t>
      </w:r>
      <w:r>
        <w:rPr>
          <w:spacing w:val="-2"/>
        </w:rPr>
        <w:t>这些金融工具有关的风险，以及本公司为降低这些风险所采取的风险管理政策如下所述。本公司管理层对这些风险敞口进行</w:t>
      </w:r>
      <w:r>
        <w:rPr>
          <w:spacing w:val="-64"/>
        </w:rPr>
        <w:t> </w:t>
      </w:r>
      <w:r>
        <w:rPr>
          <w:spacing w:val="-64"/>
        </w:rPr>
      </w:r>
      <w:r>
        <w:rPr/>
        <w:t>管理和监控以确保将上述风险控制在限定的范围之内。</w:t>
      </w:r>
    </w:p>
    <w:p>
      <w:pPr>
        <w:pStyle w:val="BodyText"/>
        <w:spacing w:line="316" w:lineRule="auto" w:before="19"/>
        <w:ind w:right="1130" w:firstLine="360"/>
        <w:jc w:val="both"/>
      </w:pPr>
      <w:r>
        <w:rPr>
          <w:spacing w:val="-2"/>
        </w:rPr>
        <w:t>本公司采用敏感性分析技术分析风险变量的合理、可能变化对当期损益或股东权益可能产生的影响。由于任何风险变量</w:t>
      </w:r>
      <w:r>
        <w:rPr/>
        <w:t> </w:t>
      </w:r>
      <w:r>
        <w:rPr>
          <w:spacing w:val="-2"/>
        </w:rPr>
        <w:t>很少孤立地发生变化，而变量之间存在的相关性对某一风险变量的变化的最终影响金额将产生重大作用，因此下述内容是在</w:t>
      </w:r>
      <w:r>
        <w:rPr>
          <w:spacing w:val="-64"/>
        </w:rPr>
        <w:t> </w:t>
      </w:r>
      <w:r>
        <w:rPr>
          <w:spacing w:val="-64"/>
        </w:rPr>
      </w:r>
      <w:r>
        <w:rPr/>
        <w:t>假设每一变量的变化是在独立的情况下进行的。</w:t>
      </w:r>
    </w:p>
    <w:p>
      <w:pPr>
        <w:spacing w:line="316" w:lineRule="auto" w:before="19"/>
        <w:ind w:left="544" w:right="0" w:hanging="90"/>
        <w:jc w:val="left"/>
        <w:rPr>
          <w:rFonts w:ascii="宋体" w:hAnsi="宋体" w:cs="宋体" w:eastAsia="宋体" w:hint="default"/>
          <w:sz w:val="18"/>
          <w:szCs w:val="18"/>
        </w:rPr>
      </w:pPr>
      <w:r>
        <w:rPr>
          <w:rFonts w:ascii="宋体" w:hAnsi="宋体" w:cs="宋体" w:eastAsia="宋体" w:hint="default"/>
          <w:b/>
          <w:bCs/>
          <w:sz w:val="18"/>
          <w:szCs w:val="18"/>
        </w:rPr>
        <w:t>（一）风险管理目标和政策</w:t>
      </w:r>
      <w:r>
        <w:rPr>
          <w:rFonts w:ascii="宋体" w:hAnsi="宋体" w:cs="宋体" w:eastAsia="宋体" w:hint="default"/>
          <w:b/>
          <w:bCs/>
          <w:w w:val="99"/>
          <w:sz w:val="18"/>
          <w:szCs w:val="18"/>
        </w:rPr>
        <w:t> </w:t>
      </w:r>
      <w:r>
        <w:rPr>
          <w:rFonts w:ascii="宋体" w:hAnsi="宋体" w:cs="宋体" w:eastAsia="宋体" w:hint="default"/>
          <w:sz w:val="18"/>
          <w:szCs w:val="18"/>
        </w:rPr>
        <w:t>本公司从事风险管理的目标是在风险和收益之间取得适当的平衡，将风险对本公司经营业绩的负面影响降低到最低水</w:t>
      </w:r>
    </w:p>
    <w:p>
      <w:pPr>
        <w:pStyle w:val="BodyText"/>
        <w:spacing w:line="316" w:lineRule="auto" w:before="19"/>
        <w:ind w:left="153" w:right="1131"/>
        <w:jc w:val="both"/>
      </w:pP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pStyle w:val="BodyText"/>
        <w:spacing w:line="316" w:lineRule="auto" w:before="19"/>
        <w:ind w:left="544" w:right="1117" w:firstLine="1"/>
        <w:jc w:val="left"/>
      </w:pPr>
      <w:r>
        <w:rPr>
          <w:rFonts w:ascii="宋体" w:hAnsi="宋体" w:cs="宋体" w:eastAsia="宋体" w:hint="default"/>
          <w:b/>
          <w:bCs/>
        </w:rPr>
        <w:t>1、外汇风险</w:t>
      </w:r>
      <w:r>
        <w:rPr>
          <w:rFonts w:ascii="宋体" w:hAnsi="宋体" w:cs="宋体" w:eastAsia="宋体" w:hint="default"/>
          <w:b/>
          <w:bCs/>
          <w:spacing w:val="1"/>
          <w:w w:val="99"/>
        </w:rPr>
        <w:t> </w:t>
      </w:r>
      <w:r>
        <w:rPr/>
        <w:t>外汇风险指因汇率变动产生损失的风险。本公司承受外汇风险主要与美元、马币有关，除本公司的几个下属子公司以</w:t>
      </w:r>
    </w:p>
    <w:p>
      <w:pPr>
        <w:pStyle w:val="BodyText"/>
        <w:spacing w:line="316" w:lineRule="auto" w:before="19"/>
        <w:ind w:left="153" w:right="1129"/>
        <w:jc w:val="both"/>
      </w:pPr>
      <w:r>
        <w:rPr>
          <w:spacing w:val="-2"/>
        </w:rPr>
        <w:t>美元、马币进行采购和销售外，本公司的其他主要业务活动以人民币计价结算。于2018年12月31日，本公司外币资产及外币</w:t>
      </w:r>
      <w:r>
        <w:rPr>
          <w:spacing w:val="-58"/>
        </w:rPr>
        <w:t> </w:t>
      </w:r>
      <w:r>
        <w:rPr>
          <w:spacing w:val="-58"/>
        </w:rPr>
      </w:r>
      <w:r>
        <w:rPr>
          <w:spacing w:val="-2"/>
        </w:rPr>
        <w:t>负债的余额参见财务报表附注七、46，本公司密切关注汇率变动对本公司外汇风险的影响，并在可能范围内调节持有外币资</w:t>
      </w:r>
      <w:r>
        <w:rPr>
          <w:spacing w:val="-64"/>
        </w:rPr>
        <w:t> </w:t>
      </w:r>
      <w:r>
        <w:rPr>
          <w:spacing w:val="-64"/>
        </w:rPr>
      </w:r>
      <w:r>
        <w:rPr/>
        <w:t>产与负债余额。</w:t>
      </w:r>
    </w:p>
    <w:p>
      <w:pPr>
        <w:pStyle w:val="BodyText"/>
        <w:spacing w:line="316" w:lineRule="auto" w:before="19"/>
        <w:ind w:left="544" w:right="1117" w:firstLine="1"/>
        <w:jc w:val="left"/>
      </w:pPr>
      <w:r>
        <w:rPr>
          <w:rFonts w:ascii="宋体" w:hAnsi="宋体" w:cs="宋体" w:eastAsia="宋体" w:hint="default"/>
          <w:b/>
          <w:bCs/>
        </w:rPr>
        <w:t>2、信用风险</w:t>
      </w:r>
      <w:r>
        <w:rPr>
          <w:rFonts w:ascii="宋体" w:hAnsi="宋体" w:cs="宋体" w:eastAsia="宋体" w:hint="default"/>
          <w:b/>
          <w:bCs/>
          <w:spacing w:val="1"/>
          <w:w w:val="99"/>
        </w:rPr>
        <w:t> </w:t>
      </w:r>
      <w:r>
        <w:rPr/>
        <w:t>信用风险是指金融工具的一方不履行义务，造成另一方发生财务损失的风险。本公司主要面临赊销导致的客户信用风</w:t>
      </w:r>
    </w:p>
    <w:p>
      <w:pPr>
        <w:pStyle w:val="BodyText"/>
        <w:spacing w:line="316" w:lineRule="auto" w:before="19"/>
        <w:ind w:left="153" w:right="1129"/>
        <w:jc w:val="both"/>
      </w:pPr>
      <w:r>
        <w:rPr>
          <w:spacing w:val="-2"/>
        </w:rPr>
        <w:t>险。在签订新合同之前，本公司会对新客户的信用风险进行评估，包括外部信用评级和在某些情况下的银行资信证明（当此</w:t>
      </w:r>
      <w:r>
        <w:rPr>
          <w:spacing w:val="-66"/>
        </w:rPr>
        <w:t> </w:t>
      </w:r>
      <w:r>
        <w:rPr>
          <w:spacing w:val="-66"/>
        </w:rPr>
      </w:r>
      <w:r>
        <w:rPr/>
        <w:t>信息可获取时）。公司对每一客户均设置了赊销限额，该限额为无需获得额外批准的最大额度。</w:t>
      </w:r>
    </w:p>
    <w:p>
      <w:pPr>
        <w:pStyle w:val="BodyText"/>
        <w:spacing w:line="316" w:lineRule="auto" w:before="19"/>
        <w:ind w:left="153" w:right="1127" w:firstLine="390"/>
        <w:jc w:val="both"/>
      </w:pPr>
      <w:r>
        <w:rPr/>
        <w:t>公司通过对已有客户信用评级的季度监控以及应收账款账龄分析的月度审核来确保公司的整体信用风险在可控的范围</w:t>
      </w:r>
      <w:r>
        <w:rPr>
          <w:spacing w:val="1"/>
        </w:rPr>
        <w:t> </w:t>
      </w:r>
      <w:r>
        <w:rPr>
          <w:spacing w:val="-2"/>
        </w:rPr>
        <w:t>内。在监控客户的信用风险时，按照客户的信用特征对其分组。被评为“高风险”级别的客户会放在受限制客户名单里，并</w:t>
      </w:r>
      <w:r>
        <w:rPr>
          <w:spacing w:val="-66"/>
        </w:rPr>
        <w:t> </w:t>
      </w:r>
      <w:r>
        <w:rPr>
          <w:spacing w:val="-66"/>
        </w:rPr>
      </w:r>
      <w:r>
        <w:rPr/>
        <w:t>且只有在额外批准的前提下，公司才可在未来期间内对其赊销，否则必须要求其提前支付相应款项。</w:t>
      </w:r>
    </w:p>
    <w:p>
      <w:pPr>
        <w:spacing w:after="0" w:line="316" w:lineRule="auto"/>
        <w:jc w:val="both"/>
        <w:sectPr>
          <w:pgSz w:w="11910" w:h="16840"/>
          <w:pgMar w:header="747" w:footer="1190" w:top="1060" w:bottom="13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44" w:right="1117" w:firstLine="1"/>
        <w:jc w:val="left"/>
      </w:pPr>
      <w:r>
        <w:rPr>
          <w:rFonts w:ascii="宋体" w:hAnsi="宋体" w:cs="宋体" w:eastAsia="宋体" w:hint="default"/>
          <w:b/>
          <w:bCs/>
        </w:rPr>
        <w:t>3、流动风险</w:t>
      </w:r>
      <w:r>
        <w:rPr>
          <w:rFonts w:ascii="宋体" w:hAnsi="宋体" w:cs="宋体" w:eastAsia="宋体" w:hint="default"/>
          <w:b/>
          <w:bCs/>
          <w:spacing w:val="1"/>
          <w:w w:val="99"/>
        </w:rPr>
        <w:t> </w:t>
      </w:r>
      <w:r>
        <w:rPr/>
        <w:t>管理流动风险时，本公司保持管理层认为充分的现金及现金等价物并对其进行监控，以满足本公司经营需要，并降低</w:t>
      </w:r>
    </w:p>
    <w:p>
      <w:pPr>
        <w:pStyle w:val="BodyText"/>
        <w:spacing w:line="240" w:lineRule="auto" w:before="19"/>
        <w:ind w:right="0"/>
        <w:jc w:val="left"/>
      </w:pPr>
      <w:r>
        <w:rPr/>
        <w:t>现金流量波动的影响。</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60" w:lineRule="auto" w:before="51"/>
        <w:ind w:left="153" w:right="8051"/>
        <w:jc w:val="left"/>
      </w:pPr>
      <w:r>
        <w:rPr/>
        <w:t>本企业的母公司情况的说明 本公司实际控制人为自然人林皓。 本企业最终控制方是林皓。</w:t>
      </w:r>
    </w:p>
    <w:p>
      <w:pPr>
        <w:spacing w:line="240" w:lineRule="auto" w:before="12"/>
        <w:rPr>
          <w:rFonts w:ascii="宋体" w:hAnsi="宋体" w:cs="宋体" w:eastAsia="宋体" w:hint="default"/>
          <w:sz w:val="19"/>
          <w:szCs w:val="19"/>
        </w:rPr>
      </w:pPr>
    </w:p>
    <w:p>
      <w:pPr>
        <w:spacing w:line="547" w:lineRule="auto" w:before="0"/>
        <w:ind w:left="154" w:right="42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1"/>
        <w:ind w:left="153" w:right="2291"/>
        <w:jc w:val="left"/>
      </w:pPr>
      <w:r>
        <w:rPr/>
        <w:t>本企业重要的合营或联营企业详见附注九、</w:t>
      </w:r>
      <w:r>
        <w:rPr>
          <w:rFonts w:ascii="Times New Roman" w:hAnsi="Times New Roman" w:cs="Times New Roman" w:eastAsia="Times New Roman" w:hint="default"/>
        </w:rPr>
        <w:t>2</w:t>
      </w:r>
      <w:r>
        <w:rPr/>
        <w:t>、在合营安排或联营企业中的权益。 本期与本公司发生关联方交易，或前期与本公司发生关联方交易形成余额的其他合营或联营企业情况如下：</w:t>
      </w:r>
    </w:p>
    <w:p>
      <w:pPr>
        <w:spacing w:line="240" w:lineRule="auto" w:before="0"/>
        <w:rPr>
          <w:rFonts w:ascii="宋体" w:hAnsi="宋体" w:cs="宋体" w:eastAsia="宋体" w:hint="default"/>
          <w:sz w:val="2"/>
          <w:szCs w:val="2"/>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4764;top:16;width:23;height:392" coordorigin="4764,16" coordsize="23,392">
              <v:shape style="position:absolute;left:4764;top:16;width:23;height:392" coordorigin="4764,16" coordsize="23,392" path="m4764,407l4787,407,4787,16,4764,16,4764,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4727;height:392" coordorigin="37,16" coordsize="4727,392">
              <v:shape style="position:absolute;left:37;top:16;width:4727;height:392" coordorigin="37,16" coordsize="4727,392" path="m37,407l4764,407,4764,16,37,16,37,407xe" filled="true" fillcolor="#d3d3d3" stroked="false">
                <v:path arrowok="t"/>
                <v:fill type="solid"/>
              </v:shape>
            </v:group>
            <v:group style="position:absolute;left:4796;top:16;width:23;height:392" coordorigin="4796,16" coordsize="23,392">
              <v:shape style="position:absolute;left:4796;top:16;width:23;height:392" coordorigin="4796,16" coordsize="23,392" path="m4796,407l4819,407,4819,16,4796,16,4796,407xe" filled="true" fillcolor="#d3d3d3"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d3d3d3" stroked="false">
                <v:path arrowok="t"/>
                <v:fill type="solid"/>
              </v:shape>
            </v:group>
            <v:group style="position:absolute;left:4819;top:16;width:4731;height:392" coordorigin="4819,16" coordsize="4731,392">
              <v:shape style="position:absolute;left:4819;top:16;width:4731;height:392" coordorigin="4819,16" coordsize="4731,392" path="m4819,407l9550,407,9550,16,4819,16,4819,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4782;height:2" coordorigin="5,413" coordsize="4782,2">
              <v:shape style="position:absolute;left:5;top:413;width:4782;height:2" coordorigin="5,413" coordsize="4782,0" path="m5,413l4787,413e" filled="false" stroked="true" strokeweight=".47998pt" strokecolor="#000000">
                <v:path arrowok="t"/>
              </v:shape>
            </v:group>
            <v:group style="position:absolute;left:4792;top:14;width:2;height:404" coordorigin="4792,14" coordsize="2,404">
              <v:shape style="position:absolute;left:4792;top:14;width:2;height:404" coordorigin="4792,14" coordsize="0,404" path="m4792,14l4792,418e" filled="false" stroked="true" strokeweight=".48001pt" strokecolor="#000000">
                <v:path arrowok="t"/>
              </v:shape>
            </v:group>
            <v:group style="position:absolute;left:4796;top:413;width:4776;height:2" coordorigin="4796,413" coordsize="4776,2">
              <v:shape style="position:absolute;left:4796;top:413;width:4776;height:2" coordorigin="4796,413" coordsize="4776,0" path="m4796,413l9572,413e" filled="false" stroked="true" strokeweight=".47998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10;top:10;width:4782;height:402" type="#_x0000_t202" filled="false" stroked="false">
                <v:textbox inset="0,0,0,0">
                  <w:txbxContent>
                    <w:p>
                      <w:pPr>
                        <w:spacing w:before="56"/>
                        <w:ind w:left="1580" w:right="0" w:firstLine="0"/>
                        <w:jc w:val="left"/>
                        <w:rPr>
                          <w:rFonts w:ascii="宋体" w:hAnsi="宋体" w:cs="宋体" w:eastAsia="宋体" w:hint="default"/>
                          <w:sz w:val="18"/>
                          <w:szCs w:val="18"/>
                        </w:rPr>
                      </w:pPr>
                      <w:r>
                        <w:rPr>
                          <w:rFonts w:ascii="宋体" w:hAnsi="宋体" w:cs="宋体" w:eastAsia="宋体" w:hint="default"/>
                          <w:sz w:val="18"/>
                          <w:szCs w:val="18"/>
                        </w:rPr>
                        <w:t>合营或联营企业名称</w:t>
                      </w:r>
                    </w:p>
                  </w:txbxContent>
                </v:textbox>
                <w10:wrap type="none"/>
              </v:shape>
              <v:shape style="position:absolute;left:4792;top:10;width:4786;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北京双洲科技有限公司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深圳市金城保密技术有限公司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北京金天城保密技术有限公司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参股公司控制的公司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上海无寻网络科技有限公司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北京匡恩网络科技有限责任公司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控股子公司的少数股东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北京辰信领创信息技术有限公司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深圳中软华泰信息技术有限公司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 元</w:t>
      </w:r>
    </w:p>
    <w:p>
      <w:pPr>
        <w:spacing w:after="0" w:line="240" w:lineRule="auto"/>
        <w:jc w:val="right"/>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4"/>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北京辰信领创信息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871,489.06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566,693.98</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北京金天城保密技 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46,131.74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62,700.85</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北京匡恩网络科技 有限责任公司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4"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-6,637,200.88</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深圳市金城保密技 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5,132,138.08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4,262,397.47</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深圳中软华泰信息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11,320.75</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深圳市金城保密技 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4"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28,301.89</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上海无寻网络科技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4"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1,905,377.36</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北京双洲科技有限公司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12,394.27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56,632.46</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北京金天城保密技术有限公司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82,477.89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22,649.56</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深圳市金城保密技术有限公司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2,389,321.83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70,085.48</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北京匡恩网络科技有限责任公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38,461.54</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北京匡恩网络科技有限责任公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405,720.75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4,122,596.12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2,882,078.04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3188"/>
        <w:gridCol w:w="3188"/>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footerReference w:type="default" r:id="rId20"/>
          <w:pgSz w:w="11910" w:h="16840"/>
          <w:pgMar w:footer="1190" w:header="747" w:top="1060" w:bottom="1380" w:left="980" w:right="0"/>
          <w:pgNumType w:start="158"/>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深圳市金城保密技 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479,398.00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23,969.90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北京金天城保密技 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北京金天城保密技 术有限公司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深圳市金城保密技 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35,160.00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327,600.00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16,380.00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北京辰信领创信息技术有限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117,384.00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117,384.00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深圳市金城保密技术有限公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870,413.35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1,864,957.26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深圳市金城保密技术有限公 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917,772.00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6071"/>
        <w:jc w:val="left"/>
      </w:pPr>
      <w:r>
        <w:rPr/>
        <w:t>资产负债表日存在的重要承诺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日，本公司无需要披露的重要或有事项。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after="0" w:line="240" w:lineRule="auto"/>
        <w:jc w:val="left"/>
        <w:sectPr>
          <w:pgSz w:w="11910" w:h="16840"/>
          <w:pgMar w:header="747" w:footer="1190" w:top="1060" w:bottom="13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十三、资产负债表日后事项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w:t>
      </w:r>
      <w:r>
        <w:rPr>
          <w:spacing w:val="-65"/>
        </w:rPr>
        <w:t> </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22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5048"/>
        <w:gridCol w:w="4645"/>
      </w:tblGrid>
      <w:tr>
        <w:trPr>
          <w:trHeight w:val="402" w:hRule="exact"/>
        </w:trPr>
        <w:tc>
          <w:tcPr>
            <w:tcW w:w="5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14,498,240.87</w:t>
            </w:r>
          </w:p>
        </w:tc>
      </w:tr>
      <w:tr>
        <w:trPr>
          <w:trHeight w:val="403" w:hRule="exact"/>
        </w:trPr>
        <w:tc>
          <w:tcPr>
            <w:tcW w:w="5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14,498,240.87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2"/>
        <w:spacing w:line="240" w:lineRule="auto" w:before="26"/>
        <w:ind w:right="0"/>
        <w:jc w:val="left"/>
        <w:rPr>
          <w:b w:val="0"/>
          <w:bCs w:val="0"/>
        </w:rPr>
      </w:pPr>
      <w:r>
        <w:rPr/>
        <w:t>十四、母公司财务报表主要项目注释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2,003,350.00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1,951,396.00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884,788,643.81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722,579,648.88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886,791,993.81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724,531,044.88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1,727,350.00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1,951,396.00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2,003,350.00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1,951,396.00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1,090,45</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2,430.55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205,663,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786.74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18.86%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884,788,6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43.81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862,139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,608.21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139,559,9</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59.33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722,579,64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8.88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2"/>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1,090,45</w:t>
            </w:r>
          </w:p>
          <w:p>
            <w:pPr>
              <w:pStyle w:val="TableParagraph"/>
              <w:spacing w:line="240" w:lineRule="auto" w:before="106"/>
              <w:ind w:left="100" w:right="0"/>
              <w:jc w:val="left"/>
              <w:rPr>
                <w:rFonts w:ascii="Times New Roman" w:hAnsi="Times New Roman" w:cs="Times New Roman" w:eastAsia="Times New Roman" w:hint="default"/>
                <w:sz w:val="18"/>
                <w:szCs w:val="18"/>
              </w:rPr>
            </w:pPr>
            <w:r>
              <w:rPr>
                <w:rFonts w:ascii="Times New Roman"/>
                <w:sz w:val="18"/>
              </w:rPr>
              <w:t>2,430.55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205,663,</w:t>
            </w:r>
          </w:p>
          <w:p>
            <w:pPr>
              <w:pStyle w:val="TableParagraph"/>
              <w:spacing w:line="240" w:lineRule="auto" w:before="106"/>
              <w:ind w:left="211" w:right="0"/>
              <w:jc w:val="center"/>
              <w:rPr>
                <w:rFonts w:ascii="Times New Roman" w:hAnsi="Times New Roman" w:cs="Times New Roman" w:eastAsia="Times New Roman" w:hint="default"/>
                <w:sz w:val="18"/>
                <w:szCs w:val="18"/>
              </w:rPr>
            </w:pPr>
            <w:r>
              <w:rPr>
                <w:rFonts w:ascii="Times New Roman"/>
                <w:sz w:val="18"/>
              </w:rPr>
              <w:t>786.74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21.18%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884,788,6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43.81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862,139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,608.21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139,559,9</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59.33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722,579,64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8.88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1190" w:top="1060" w:bottom="138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380" w:left="980" w:right="0"/>
          <w:cols w:num="2" w:equalWidth="0">
            <w:col w:w="4295" w:space="453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89"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374,651,118.50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18,732,555.92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257,571,277.21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25,757,127.72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166,283,170.28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49,884,951.08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172,306,976.44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111,289,152.02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94,638,340.17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47,319,170.09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68,493,271.69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54,794,617.35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9,175,364.58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9,175,364.58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970,812,542.43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205,663,786.74</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3" w:right="6431"/>
        <w:jc w:val="left"/>
      </w:pPr>
      <w:r>
        <w:rPr/>
        <w:t>确定该组合依据的说明： 组合中，采用余额百分比法计提坏账准备的应收账款：</w:t>
      </w:r>
    </w:p>
    <w:p>
      <w:pPr>
        <w:pStyle w:val="BodyText"/>
        <w:spacing w:line="338" w:lineRule="auto" w:before="29"/>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1"/>
        <w:ind w:right="0"/>
        <w:jc w:val="left"/>
      </w:pPr>
      <w:r>
        <w:rPr/>
        <w:t>本年末按照收款无风险组合计提坏账准备的应收账款金额</w:t>
      </w:r>
      <w:r>
        <w:rPr>
          <w:rFonts w:ascii="Times New Roman" w:hAnsi="Times New Roman" w:cs="Times New Roman" w:eastAsia="Times New Roman" w:hint="default"/>
        </w:rPr>
        <w:t>119,639,888.12</w:t>
      </w:r>
      <w:r>
        <w:rPr/>
        <w:t>元。</w:t>
      </w:r>
    </w:p>
    <w:p>
      <w:pPr>
        <w:spacing w:line="240" w:lineRule="auto" w:before="5"/>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060" w:bottom="1380" w:left="980" w:right="0"/>
        </w:sectPr>
      </w:pPr>
    </w:p>
    <w:p>
      <w:pPr>
        <w:pStyle w:val="BodyText"/>
        <w:spacing w:line="240" w:lineRule="auto" w:before="44"/>
        <w:ind w:right="-13"/>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left="153" w:right="-13"/>
        <w:jc w:val="left"/>
      </w:pPr>
      <w:r>
        <w:rPr/>
        <w:t>本期计提坏账准备金额</w:t>
      </w:r>
      <w:r>
        <w:rPr>
          <w:spacing w:val="-47"/>
        </w:rPr>
        <w:t> </w:t>
      </w:r>
      <w:r>
        <w:rPr>
          <w:rFonts w:ascii="Times New Roman" w:hAnsi="Times New Roman" w:cs="Times New Roman" w:eastAsia="Times New Roman" w:hint="default"/>
        </w:rPr>
        <w:t>68,959,227.41</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13"/>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left="153" w:right="0"/>
        <w:jc w:val="left"/>
      </w:pPr>
      <w:r>
        <w:rPr/>
        <w:t>单位： 元</w:t>
      </w:r>
    </w:p>
    <w:p>
      <w:pPr>
        <w:spacing w:after="0" w:line="240" w:lineRule="auto"/>
        <w:jc w:val="left"/>
        <w:sectPr>
          <w:type w:val="continuous"/>
          <w:pgSz w:w="11910" w:h="16840"/>
          <w:pgMar w:top="1060" w:bottom="1380" w:left="980" w:right="0"/>
          <w:cols w:num="2" w:equalWidth="0">
            <w:col w:w="6543" w:space="2285"/>
            <w:col w:w="210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2,855,400.00</w:t>
            </w:r>
          </w:p>
        </w:tc>
      </w:tr>
    </w:tbl>
    <w:p>
      <w:pPr>
        <w:pStyle w:val="BodyText"/>
        <w:spacing w:line="240" w:lineRule="auto" w:before="51"/>
        <w:ind w:right="0"/>
        <w:jc w:val="left"/>
      </w:pPr>
      <w:r>
        <w:rPr/>
        <w:t>其中重要的应收账款核销情况：</w:t>
      </w:r>
    </w:p>
    <w:p>
      <w:pPr>
        <w:pStyle w:val="BodyText"/>
        <w:spacing w:line="240" w:lineRule="auto" w:before="117"/>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大连奥特麦尔自动化 设备有限公司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无偿付能力</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
              <w:jc w:val="center"/>
              <w:rPr>
                <w:rFonts w:ascii="宋体" w:hAnsi="宋体" w:cs="宋体" w:eastAsia="宋体" w:hint="default"/>
                <w:sz w:val="18"/>
                <w:szCs w:val="18"/>
              </w:rPr>
            </w:pPr>
            <w:r>
              <w:rPr>
                <w:rFonts w:ascii="宋体" w:hAnsi="宋体" w:cs="宋体" w:eastAsia="宋体" w:hint="default"/>
                <w:sz w:val="18"/>
                <w:szCs w:val="18"/>
              </w:rPr>
              <w:t>武汉信安科技有限公</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企业吊销，未注销</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北京智浩伟业科技发 展有限公司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2,390,400.00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企业已注销</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北京滏阳晟科技有限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企业已注销</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2,855,400.00</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应收账款核销说明：</w:t>
      </w:r>
    </w:p>
    <w:p>
      <w:pPr>
        <w:pStyle w:val="BodyText"/>
        <w:spacing w:line="338" w:lineRule="auto" w:before="117"/>
        <w:ind w:left="453" w:right="0" w:hanging="300"/>
        <w:jc w:val="left"/>
      </w:pPr>
      <w:r>
        <w:rPr>
          <w:rFonts w:ascii="Times New Roman" w:hAnsi="Times New Roman" w:cs="Times New Roman" w:eastAsia="Times New Roman" w:hint="default"/>
        </w:rPr>
        <w:t>4)</w:t>
      </w:r>
      <w:r>
        <w:rPr/>
        <w:t>按欠款方归集的期末余额前五名的应收账款情况 公司本年按欠款方归集的年末余额前五名应收账款汇总金额</w:t>
      </w:r>
      <w:r>
        <w:rPr>
          <w:rFonts w:ascii="Times New Roman" w:hAnsi="Times New Roman" w:cs="Times New Roman" w:eastAsia="Times New Roman" w:hint="default"/>
        </w:rPr>
        <w:t>235,699,424.72</w:t>
      </w:r>
      <w:r>
        <w:rPr/>
        <w:t>元，占应收账款年末余额合计数的比例</w:t>
      </w:r>
    </w:p>
    <w:p>
      <w:pPr>
        <w:pStyle w:val="BodyText"/>
        <w:spacing w:line="230" w:lineRule="exact"/>
        <w:ind w:left="153" w:right="0"/>
        <w:jc w:val="left"/>
      </w:pPr>
      <w:r>
        <w:rPr>
          <w:rFonts w:ascii="Times New Roman" w:hAnsi="Times New Roman" w:cs="Times New Roman" w:eastAsia="Times New Roman" w:hint="default"/>
        </w:rPr>
        <w:t>21.61%</w:t>
      </w:r>
      <w:r>
        <w:rPr/>
        <w:t>，相应计提的坏账准备年末余额汇总金额</w:t>
      </w:r>
      <w:r>
        <w:rPr>
          <w:rFonts w:ascii="Times New Roman" w:hAnsi="Times New Roman" w:cs="Times New Roman" w:eastAsia="Times New Roman" w:hint="default"/>
        </w:rPr>
        <w:t>35,670,393.15</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552,897,292.08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528,750,341.54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552,897,292.08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528,750,341.54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554,525,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003.86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1,627,71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552,897,2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92.08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530,071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,549.90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1,321,208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528,750,34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1.54</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554,525,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003.86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1,627,71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552,897,2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92.08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530,071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,549.90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1,321,208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528,750,34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1.54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1190" w:top="1060" w:bottom="1380" w:left="980" w:right="0"/>
        </w:sectPr>
      </w:pPr>
    </w:p>
    <w:p>
      <w:pPr>
        <w:pStyle w:val="BodyText"/>
        <w:spacing w:line="240" w:lineRule="auto" w:before="51"/>
        <w:ind w:right="-20"/>
        <w:jc w:val="left"/>
      </w:pPr>
      <w:r>
        <w:rPr/>
        <w:t>期末单项金额重大并单项计提坏账准备的其他应收款：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380" w:left="980" w:right="0"/>
          <w:cols w:num="2" w:equalWidth="0">
            <w:col w:w="4475" w:space="435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3D3D3"/>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3,650,347.24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182,517.37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1,380,521.76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138,052.17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1,099,188.14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329,756.44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1,246,742.87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977,385.80</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402,156.10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201,078.05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341,395.10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273,116.08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503,191.67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503,191.67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7,376,800.01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1,627,711.78</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0"/>
        </w:sectPr>
      </w:pPr>
    </w:p>
    <w:p>
      <w:pPr>
        <w:pStyle w:val="BodyText"/>
        <w:spacing w:line="360" w:lineRule="auto" w:before="51"/>
        <w:ind w:left="153" w:right="1646"/>
        <w:jc w:val="left"/>
      </w:pPr>
      <w:r>
        <w:rPr/>
        <w:t>确定该组合依据的说明： 组合中，采用余额百分比法计提坏账准备的其他应收款：</w:t>
      </w:r>
    </w:p>
    <w:p>
      <w:pPr>
        <w:pStyle w:val="BodyText"/>
        <w:spacing w:line="340" w:lineRule="auto" w:before="26"/>
        <w:ind w:right="20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38"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本年末按照收款无风险组合计提坏账准备的其他应收款金额</w:t>
      </w:r>
      <w:r>
        <w:rPr>
          <w:rFonts w:ascii="Times New Roman" w:hAnsi="Times New Roman" w:cs="Times New Roman" w:eastAsia="Times New Roman" w:hint="default"/>
        </w:rPr>
        <w:t>547,148,203.85</w:t>
      </w:r>
      <w:r>
        <w:rPr/>
        <w:t>元。 </w:t>
      </w:r>
      <w:r>
        <w:rPr>
          <w:rFonts w:ascii="Times New Roman" w:hAnsi="Times New Roman" w:cs="Times New Roman" w:eastAsia="Times New Roman" w:hint="default"/>
        </w:rPr>
        <w:t>2)</w:t>
      </w:r>
      <w:r>
        <w:rPr/>
        <w:t>本期计提、收回或转回的坏账准备情况</w:t>
      </w:r>
    </w:p>
    <w:p>
      <w:pPr>
        <w:pStyle w:val="BodyText"/>
        <w:spacing w:line="240" w:lineRule="auto" w:before="22"/>
        <w:ind w:right="-16"/>
        <w:jc w:val="left"/>
      </w:pPr>
      <w:r>
        <w:rPr/>
        <w:t>本期计提坏账准备金额</w:t>
      </w:r>
      <w:r>
        <w:rPr>
          <w:spacing w:val="-46"/>
        </w:rPr>
        <w:t> </w:t>
      </w:r>
      <w:r>
        <w:rPr>
          <w:rFonts w:ascii="Times New Roman" w:hAnsi="Times New Roman" w:cs="Times New Roman" w:eastAsia="Times New Roman" w:hint="default"/>
        </w:rPr>
        <w:t>346,726.42</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646"/>
        <w:jc w:val="left"/>
      </w:pPr>
      <w:r>
        <w:rPr>
          <w:rFonts w:ascii="Times New Roman" w:hAnsi="Times New Roman" w:cs="Times New Roman" w:eastAsia="Times New Roman" w:hint="default"/>
        </w:rPr>
        <w:t>3)</w:t>
      </w:r>
      <w:r>
        <w:rPr/>
        <w:t>本期实际核销的其他应收款情况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1380" w:left="980" w:right="0"/>
          <w:cols w:num="2" w:equalWidth="0">
            <w:col w:w="6320" w:space="2508"/>
            <w:col w:w="210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40,223.00</w:t>
            </w:r>
          </w:p>
        </w:tc>
      </w:tr>
    </w:tbl>
    <w:p>
      <w:pPr>
        <w:pStyle w:val="BodyText"/>
        <w:spacing w:line="240" w:lineRule="auto" w:before="51"/>
        <w:ind w:right="0"/>
        <w:jc w:val="left"/>
      </w:pPr>
      <w:r>
        <w:rPr/>
        <w:t>其中重要的其他应收款核销情况：</w:t>
      </w:r>
    </w:p>
    <w:p>
      <w:pPr>
        <w:pStyle w:val="BodyText"/>
        <w:spacing w:line="240" w:lineRule="auto" w:before="117"/>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济南卓诚招标代理有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5,094.00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无力偿还</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深圳市福田区风翔世 纪电子经营部</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35,129.00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无力偿还</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40,223.00</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547,148,203.85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522,943,287.38</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4,594,626.60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4,055,850.60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1,102,401.99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1,389,368.37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178,655.20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183,749.20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1,501,116.22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1,499,294.35</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554,525,003.86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530,071,549.90</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江苏神舟信源系统工 程有限公司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547,148,203.85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98.67%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山西省公安厅</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593,250.00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59,325.00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河南省农村信用社联 合社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399,000.00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19,950.00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王伟</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房屋押金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349,898.60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104,969.58</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湖南省公安厅</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267,788.00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13,389.40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548,758,140.45</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98.96%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197,633.98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349,230,571.40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349,230,571.40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337,499,995.40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337,499,995.40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21,581,497.64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21,581,497.64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11,201,459.50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11,201,459.50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370,812,069.04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370,812,069.04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348,701,454.90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348,701,454.90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上海北信源信息 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江苏神州信源系 统工程有限公司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北信源（马来西 </w:t>
            </w:r>
            <w:r>
              <w:rPr>
                <w:rFonts w:ascii="宋体" w:hAnsi="宋体" w:cs="宋体" w:eastAsia="宋体" w:hint="default"/>
                <w:spacing w:val="-7"/>
                <w:sz w:val="18"/>
                <w:szCs w:val="18"/>
              </w:rPr>
              <w:t>亚）信息技术公司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北京中软华泰信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99,999,995.40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99,999,995.40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36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息技术有限公司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北京信源匡恩工 控安全科技有限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人工智能产业技 术创新联盟（北 </w:t>
            </w:r>
            <w:r>
              <w:rPr>
                <w:rFonts w:ascii="宋体" w:hAnsi="宋体" w:cs="宋体" w:eastAsia="宋体" w:hint="default"/>
                <w:spacing w:val="-7"/>
                <w:sz w:val="18"/>
                <w:szCs w:val="18"/>
              </w:rPr>
              <w:t>京）科技有限公司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北京北信源信息 安全技术有限公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北信源国际有限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2,160,576.00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2,160,576.00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北信源信息技术</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pacing w:val="-7"/>
                <w:sz w:val="18"/>
                <w:szCs w:val="18"/>
              </w:rPr>
              <w:t>（青岛）有限公司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337,499,995.40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11,730,576.00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349,230,571.40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北京辰信</w:t>
            </w: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领创信息</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11,201,45</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-7,029,07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4,172,382</w:t>
            </w:r>
          </w:p>
        </w:tc>
        <w:tc>
          <w:tcPr>
            <w:tcW w:w="798" w:type="dxa"/>
            <w:vMerge/>
            <w:tcBorders>
              <w:left w:val="single" w:sz="4" w:space="0" w:color="000000"/>
              <w:right w:val="single" w:sz="4" w:space="0" w:color="000000"/>
            </w:tcBorders>
          </w:tcPr>
          <w:p>
            <w:pPr/>
          </w:p>
        </w:tc>
      </w:tr>
      <w:tr>
        <w:trPr>
          <w:trHeight w:val="313"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技术有限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9.50</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6.84</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.66</w:t>
            </w:r>
          </w:p>
        </w:tc>
        <w:tc>
          <w:tcPr>
            <w:tcW w:w="798" w:type="dxa"/>
            <w:vMerge/>
            <w:tcBorders>
              <w:left w:val="single" w:sz="4" w:space="0" w:color="000000"/>
              <w:right w:val="single" w:sz="4" w:space="0" w:color="000000"/>
            </w:tcBorders>
          </w:tcPr>
          <w:p>
            <w:pPr/>
          </w:p>
        </w:tc>
      </w:tr>
      <w:tr>
        <w:trPr>
          <w:trHeight w:val="351"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北京信源</w:t>
            </w:r>
          </w:p>
        </w:tc>
        <w:tc>
          <w:tcPr>
            <w:tcW w:w="798"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健和科技</w:t>
            </w: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20,000,00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-2,590,88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17,409,11</w:t>
            </w:r>
          </w:p>
        </w:tc>
        <w:tc>
          <w:tcPr>
            <w:tcW w:w="798" w:type="dxa"/>
            <w:vMerge/>
            <w:tcBorders>
              <w:left w:val="single" w:sz="4" w:space="0" w:color="000000"/>
              <w:right w:val="single" w:sz="4" w:space="0" w:color="000000"/>
            </w:tcBorders>
          </w:tcPr>
          <w:p>
            <w:pPr/>
          </w:p>
        </w:tc>
      </w:tr>
      <w:tr>
        <w:trPr>
          <w:trHeight w:val="313"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5.02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4.98</w:t>
            </w:r>
          </w:p>
        </w:tc>
        <w:tc>
          <w:tcPr>
            <w:tcW w:w="798" w:type="dxa"/>
            <w:vMerge/>
            <w:tcBorders>
              <w:left w:val="single" w:sz="4" w:space="0" w:color="000000"/>
              <w:right w:val="single" w:sz="4" w:space="0" w:color="000000"/>
            </w:tcBorders>
          </w:tcPr>
          <w:p>
            <w:pPr/>
          </w:p>
        </w:tc>
      </w:tr>
      <w:tr>
        <w:trPr>
          <w:trHeight w:val="351"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left"/>
              <w:rPr>
                <w:rFonts w:ascii="Times New Roman" w:hAnsi="Times New Roman" w:cs="Times New Roman" w:eastAsia="Times New Roman" w:hint="default"/>
                <w:sz w:val="18"/>
                <w:szCs w:val="18"/>
              </w:rPr>
            </w:pPr>
            <w:r>
              <w:rPr>
                <w:rFonts w:ascii="Times New Roman"/>
                <w:sz w:val="18"/>
              </w:rPr>
              <w:t>11,201,45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-9,619,96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21,581,49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7.64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left"/>
              <w:rPr>
                <w:rFonts w:ascii="Times New Roman" w:hAnsi="Times New Roman" w:cs="Times New Roman" w:eastAsia="Times New Roman" w:hint="default"/>
                <w:sz w:val="18"/>
                <w:szCs w:val="18"/>
              </w:rPr>
            </w:pPr>
            <w:r>
              <w:rPr>
                <w:rFonts w:ascii="Times New Roman"/>
                <w:sz w:val="18"/>
              </w:rPr>
              <w:t>11,201,45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-9,619,96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21,581,49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7.64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5" w:right="0"/>
              <w:jc w:val="left"/>
              <w:rPr>
                <w:rFonts w:ascii="Times New Roman" w:hAnsi="Times New Roman" w:cs="Times New Roman" w:eastAsia="Times New Roman" w:hint="default"/>
                <w:sz w:val="18"/>
                <w:szCs w:val="18"/>
              </w:rPr>
            </w:pPr>
            <w:r>
              <w:rPr>
                <w:rFonts w:ascii="Times New Roman"/>
                <w:sz w:val="18"/>
              </w:rPr>
              <w:t>365,911,635.45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26,316,430.39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317,545,875.13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16,071,353.22</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9" w:right="0"/>
              <w:jc w:val="left"/>
              <w:rPr>
                <w:rFonts w:ascii="Times New Roman" w:hAnsi="Times New Roman" w:cs="Times New Roman" w:eastAsia="Times New Roman" w:hint="default"/>
                <w:sz w:val="18"/>
                <w:szCs w:val="18"/>
              </w:rPr>
            </w:pPr>
            <w:r>
              <w:rPr>
                <w:rFonts w:ascii="Times New Roman"/>
                <w:sz w:val="18"/>
              </w:rPr>
              <w:t>20,462,991.13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18,095,325.74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14,969,111.36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12,816,585.25</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9" w:right="0"/>
              <w:jc w:val="left"/>
              <w:rPr>
                <w:rFonts w:ascii="Times New Roman" w:hAnsi="Times New Roman" w:cs="Times New Roman" w:eastAsia="Times New Roman" w:hint="default"/>
                <w:sz w:val="18"/>
                <w:szCs w:val="18"/>
              </w:rPr>
            </w:pPr>
            <w:r>
              <w:rPr>
                <w:rFonts w:ascii="Times New Roman"/>
                <w:sz w:val="18"/>
              </w:rPr>
              <w:t>386,374,626.58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44,411,756.13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332,514,986.49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28,887,938.47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-11,516,064.04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-7,867,431.39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10,609,119.94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14,804,369.88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-906,944.10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6,936,938.49</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十五、补充资料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406"/>
              <w:jc w:val="right"/>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-26,865.98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332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3059" w:type="dxa"/>
            <w:tcBorders>
              <w:top w:val="single" w:sz="4" w:space="0" w:color="000000"/>
              <w:left w:val="single" w:sz="4" w:space="0" w:color="000000"/>
              <w:bottom w:val="nil" w:sz="6" w:space="0" w:color="auto"/>
              <w:right w:val="single" w:sz="4" w:space="0" w:color="000000"/>
            </w:tcBorders>
          </w:tcPr>
          <w:p>
            <w:pPr/>
          </w:p>
        </w:tc>
        <w:tc>
          <w:tcPr>
            <w:tcW w:w="318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w:t>
            </w:r>
          </w:p>
        </w:tc>
        <w:tc>
          <w:tcPr>
            <w:tcW w:w="305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5,230,523.07</w:t>
            </w: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351"/>
              <w:jc w:val="right"/>
              <w:rPr>
                <w:rFonts w:ascii="宋体" w:hAnsi="宋体" w:cs="宋体" w:eastAsia="宋体" w:hint="default"/>
                <w:sz w:val="18"/>
                <w:szCs w:val="18"/>
              </w:rPr>
            </w:pPr>
            <w:r>
              <w:rPr>
                <w:rFonts w:ascii="宋体" w:hAnsi="宋体" w:cs="宋体" w:eastAsia="宋体" w:hint="default"/>
                <w:sz w:val="18"/>
                <w:szCs w:val="18"/>
              </w:rPr>
              <w:t>非经常性连续政府补助</w:t>
            </w:r>
          </w:p>
        </w:tc>
      </w:tr>
      <w:tr>
        <w:trPr>
          <w:trHeight w:val="351" w:hRule="exact"/>
        </w:trPr>
        <w:tc>
          <w:tcPr>
            <w:tcW w:w="332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59" w:type="dxa"/>
            <w:tcBorders>
              <w:top w:val="nil" w:sz="6" w:space="0" w:color="auto"/>
              <w:left w:val="single" w:sz="9" w:space="0" w:color="D3D3D3"/>
              <w:bottom w:val="single" w:sz="4" w:space="0" w:color="000000"/>
              <w:right w:val="single" w:sz="4" w:space="0" w:color="000000"/>
            </w:tcBorders>
          </w:tcPr>
          <w:p>
            <w:pPr/>
          </w:p>
        </w:tc>
        <w:tc>
          <w:tcPr>
            <w:tcW w:w="3186"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19,585,796.56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51"/>
              <w:jc w:val="right"/>
              <w:rPr>
                <w:rFonts w:ascii="宋体" w:hAnsi="宋体" w:cs="宋体" w:eastAsia="宋体" w:hint="default"/>
                <w:sz w:val="18"/>
                <w:szCs w:val="18"/>
              </w:rPr>
            </w:pPr>
            <w:r>
              <w:rPr>
                <w:rFonts w:ascii="宋体" w:hAnsi="宋体" w:cs="宋体" w:eastAsia="宋体" w:hint="default"/>
                <w:sz w:val="18"/>
                <w:szCs w:val="18"/>
              </w:rPr>
              <w:t>结构性存款及理财收益</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-582,683.35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3,420,849.53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20,785,920.77</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11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1190" w:top="1060" w:bottom="13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0"/>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662"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0.0649</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90" w:top="1060" w:bottom="138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12"/>
      <w:r>
        <w:rPr/>
        <w:t>第十二节</w:t>
      </w:r>
      <w:r>
        <w:rPr>
          <w:spacing w:val="-9"/>
        </w:rPr>
        <w:t> </w:t>
      </w:r>
      <w:r>
        <w:rPr/>
        <w:t>备查文件目录</w:t>
      </w:r>
      <w:bookmarkEnd w:id="12"/>
      <w:r>
        <w:rPr>
          <w:b w:val="0"/>
          <w:bCs w:val="0"/>
        </w:rPr>
      </w:r>
    </w:p>
    <w:p>
      <w:pPr>
        <w:spacing w:line="240" w:lineRule="auto" w:before="6"/>
        <w:rPr>
          <w:rFonts w:ascii="宋体" w:hAnsi="宋体" w:cs="宋体" w:eastAsia="宋体" w:hint="default"/>
          <w:b/>
          <w:bCs/>
          <w:sz w:val="42"/>
          <w:szCs w:val="42"/>
        </w:rPr>
      </w:pPr>
    </w:p>
    <w:p>
      <w:pPr>
        <w:pStyle w:val="BodyText"/>
        <w:spacing w:line="314" w:lineRule="auto"/>
        <w:ind w:left="153" w:right="3911"/>
        <w:jc w:val="left"/>
      </w:pPr>
      <w:r>
        <w:rPr/>
        <w:t>一、载有法定代表人签名的</w:t>
      </w:r>
      <w:r>
        <w:rPr>
          <w:rFonts w:ascii="Times New Roman" w:hAnsi="Times New Roman" w:cs="Times New Roman" w:eastAsia="Times New Roman" w:hint="default"/>
        </w:rPr>
        <w:t>2018</w:t>
      </w:r>
      <w:r>
        <w:rPr/>
        <w:t>年度报告文本； 二、载有法定代表人、主管会计工作负责人、会计机构负责人签名并盖章的财务报表。 三、载有会计师事务所盖章、注册会计师签名并盖章的审计报告原件。 四、报告期内在中国证监会指定网站上公开披露过的所有公司文件的正本及公告原稿。 五、其他有关资料。</w:t>
      </w:r>
    </w:p>
    <w:p>
      <w:pPr>
        <w:pStyle w:val="BodyText"/>
        <w:spacing w:line="240" w:lineRule="auto" w:before="20"/>
        <w:ind w:left="153" w:right="0"/>
        <w:jc w:val="left"/>
      </w:pPr>
      <w:r>
        <w:rPr/>
        <w:t>六、以上备查文件的备置地点：公司证券投资部办公室。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16" w:lineRule="auto" w:before="140"/>
        <w:ind w:left="6544" w:right="2020"/>
        <w:jc w:val="left"/>
      </w:pPr>
      <w:r>
        <w:rPr/>
        <w:t>北京北信源软件股份有限公司 法定代表人：林皓</w:t>
      </w:r>
    </w:p>
    <w:p>
      <w:pPr>
        <w:pStyle w:val="BodyText"/>
        <w:spacing w:line="240" w:lineRule="auto" w:before="19"/>
        <w:ind w:left="7174"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w:t>
      </w:r>
    </w:p>
    <w:sectPr>
      <w:pgSz w:w="11910" w:h="16840"/>
      <w:pgMar w:header="747" w:footer="1190" w:top="1060" w:bottom="13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978064" type="#_x0000_t75" stroked="false">
          <v:imagedata r:id="rId1" o:title=""/>
        </v:shape>
      </w:pict>
    </w:r>
    <w:r>
      <w:rPr/>
      <w:pict>
        <v:shape style="position:absolute;margin-left:294.380005pt;margin-top:785.137634pt;width:6.5pt;height:11pt;mso-position-horizontal-relative:page;mso-position-vertical-relative:page;z-index:-9780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978016" type="#_x0000_t75" stroked="false">
          <v:imagedata r:id="rId1" o:title=""/>
        </v:shape>
      </w:pict>
    </w:r>
    <w:r>
      <w:rPr/>
      <w:pict>
        <v:shape style="position:absolute;margin-left:291.160004pt;margin-top:771.517639pt;width:13pt;height:11pt;mso-position-horizontal-relative:page;mso-position-vertical-relative:page;z-index:-9779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977968" type="#_x0000_t75" stroked="false">
          <v:imagedata r:id="rId1" o:title=""/>
        </v:shape>
      </w:pict>
    </w:r>
    <w:r>
      <w:rPr/>
      <w:pict>
        <v:shape style="position:absolute;margin-left:291.160004pt;margin-top:771.517639pt;width:13pt;height:11pt;mso-position-horizontal-relative:page;mso-position-vertical-relative:page;z-index:-9779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977920" type="#_x0000_t75" stroked="false">
          <v:imagedata r:id="rId1" o:title=""/>
        </v:shape>
      </w:pict>
    </w:r>
    <w:r>
      <w:rPr/>
      <w:pict>
        <v:shape style="position:absolute;margin-left:289.880005pt;margin-top:771.517639pt;width:15.5pt;height:11pt;mso-position-horizontal-relative:page;mso-position-vertical-relative:page;z-index:-9778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977872" type="#_x0000_t75" stroked="false">
          <v:imagedata r:id="rId1" o:title=""/>
        </v:shape>
      </w:pict>
    </w:r>
    <w:r>
      <w:rPr/>
      <w:pict>
        <v:shape style="position:absolute;margin-left:288.880005pt;margin-top:771.517639pt;width:17.5pt;height:11pt;mso-position-horizontal-relative:page;mso-position-vertical-relative:page;z-index:-9778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977824" type="#_x0000_t75" stroked="false">
          <v:imagedata r:id="rId1" o:title=""/>
        </v:shape>
      </w:pict>
    </w:r>
    <w:r>
      <w:rPr/>
      <w:pict>
        <v:shape style="position:absolute;margin-left:288.880005pt;margin-top:771.517639pt;width:17.5pt;height:11pt;mso-position-horizontal-relative:page;mso-position-vertical-relative:page;z-index:-9778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977776" type="#_x0000_t75" stroked="false">
          <v:imagedata r:id="rId1" o:title=""/>
        </v:shape>
      </w:pict>
    </w:r>
    <w:r>
      <w:rPr/>
      <w:pict>
        <v:shape style="position:absolute;margin-left:288.880005pt;margin-top:771.517639pt;width:17.5pt;height:11pt;mso-position-horizontal-relative:page;mso-position-vertical-relative:page;z-index:-9777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19995pt;margin-top:36.325325pt;width:204.5pt;height:11.5pt;mso-position-horizontal-relative:page;mso-position-vertical-relative:page;z-index:-978088" type="#_x0000_t202" filled="false" stroked="false">
          <v:textbox inset="0,0,0,0">
            <w:txbxContent>
              <w:p>
                <w:pPr>
                  <w:pStyle w:val="BodyText"/>
                  <w:spacing w:line="214" w:lineRule="exact"/>
                  <w:ind w:left="20" w:right="0"/>
                  <w:jc w:val="left"/>
                </w:pPr>
                <w:r>
                  <w:rPr/>
                  <w:t>北京北信源软件股份有限公司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369"/>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51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vrv.com.cn/" TargetMode="External"/><Relationship Id="rId11" Type="http://schemas.openxmlformats.org/officeDocument/2006/relationships/hyperlink" Target="mailto:vrvzq@vrvmail.com.cn" TargetMode="Externa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footer" Target="footer3.xml"/><Relationship Id="rId15" Type="http://schemas.openxmlformats.org/officeDocument/2006/relationships/image" Target="media/image5.png"/><Relationship Id="rId16" Type="http://schemas.openxmlformats.org/officeDocument/2006/relationships/hyperlink" Target="http://www.cninfo.com.cn&#20026;&#20844;&#21496;&#20449;&#24687;&#25259;&#38706;&#30340;&#25253;&#32440;&#21644;&#32593;&#31449;/" TargetMode="Externa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2020-05-05T02:52:30Z</dcterms:created>
  <dcterms:modified xsi:type="dcterms:W3CDTF">2020-05-05T02:52:30Z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PScript5.dll Version 5.2.2</vt:lpwstr>
  </property>
  <property fmtid="{D5CDD505-2E9C-101B-9397-08002B2CF9AE}" pid="4" name="LastSaved">
    <vt:filetime>2020-05-04T00:00:00Z</vt:filetime>
  </property>
</Properties>
</file>