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02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09700" cy="647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4770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130" w:right="1116" w:firstLine="0"/>
        <w:jc w:val="center"/>
        <w:rPr>
          <w:rFonts w:ascii="宋体" w:hAnsi="宋体" w:cs="宋体" w:eastAsia="宋体" w:hint="default"/>
          <w:sz w:val="36"/>
          <w:szCs w:val="36"/>
        </w:rPr>
      </w:pPr>
      <w:r>
        <w:rPr>
          <w:rFonts w:ascii="宋体" w:hAnsi="宋体" w:cs="宋体" w:eastAsia="宋体" w:hint="default"/>
          <w:b/>
          <w:bCs/>
          <w:sz w:val="36"/>
          <w:szCs w:val="36"/>
        </w:rPr>
        <w:t>北京北信源软件股份有限公司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5"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138" w:right="1116" w:firstLine="0"/>
        <w:jc w:val="center"/>
        <w:rPr>
          <w:rFonts w:ascii="Times New Roman" w:hAnsi="Times New Roman" w:cs="Times New Roman" w:eastAsia="Times New Roman" w:hint="default"/>
          <w:sz w:val="22"/>
          <w:szCs w:val="22"/>
        </w:rPr>
      </w:pPr>
      <w:r>
        <w:rPr>
          <w:rFonts w:ascii="Times New Roman"/>
          <w:b/>
          <w:sz w:val="22"/>
        </w:rPr>
        <w:t>2020-043</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138" w:right="111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22"/>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公司负责人林皓、主管会计工作负责人邓华明及会计机构负责人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李丹声明：保证年度报告中财务报告的真实、准确、完整。</w:t>
      </w:r>
      <w:r>
        <w:rPr>
          <w:rFonts w:ascii="宋体" w:hAnsi="宋体" w:cs="宋体" w:eastAsia="宋体" w:hint="default"/>
          <w:sz w:val="28"/>
          <w:szCs w:val="28"/>
        </w:rPr>
      </w:r>
    </w:p>
    <w:p>
      <w:pPr>
        <w:spacing w:line="472" w:lineRule="auto" w:before="148"/>
        <w:ind w:left="714" w:right="1122"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1,449,824,087</w:t>
      </w:r>
      <w:r>
        <w:rPr>
          <w:rFonts w:ascii="Times New Roman" w:hAnsi="Times New Roman" w:cs="Times New Roman" w:eastAsia="Times New Roman" w:hint="default"/>
          <w:b/>
          <w:bCs/>
          <w:spacing w:val="5"/>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23" w:lineRule="exact" w:before="0"/>
        <w:ind w:left="152" w:right="0" w:firstLine="0"/>
        <w:jc w:val="left"/>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0.03</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52" w:right="1122"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38" w:right="111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18"/>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18"/>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第三节</w:t>
            </w:r>
            <w:r>
              <w:rPr>
                <w:spacing w:val="-18"/>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18"/>
              </w:rPr>
              <w:t> </w:t>
            </w:r>
            <w:r>
              <w:rPr/>
              <w:t>经营情况讨论与分析</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第五节</w:t>
            </w:r>
            <w:r>
              <w:rPr>
                <w:spacing w:val="-18"/>
              </w:rPr>
              <w:t> </w:t>
            </w:r>
            <w:r>
              <w:rPr/>
              <w:t>重要事项</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18"/>
              </w:rPr>
              <w:t> </w:t>
            </w:r>
            <w:r>
              <w:rPr/>
              <w:t>股份变动及股东情况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第七节</w:t>
            </w:r>
            <w:r>
              <w:rPr>
                <w:spacing w:val="-18"/>
              </w:rPr>
              <w:t> </w:t>
            </w:r>
            <w:r>
              <w:rPr/>
              <w:t>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第八节</w:t>
            </w:r>
            <w:r>
              <w:rPr>
                <w:spacing w:val="-18"/>
              </w:rPr>
              <w:t> </w:t>
            </w:r>
            <w:r>
              <w:rPr/>
              <w:t>可转换公司债券相关情况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第九节</w:t>
            </w:r>
            <w:r>
              <w:rPr>
                <w:spacing w:val="-18"/>
              </w:rPr>
              <w:t> </w:t>
            </w:r>
            <w:r>
              <w:rPr/>
              <w:t>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18"/>
              </w:rPr>
              <w:t> </w:t>
            </w:r>
            <w:r>
              <w:rPr/>
              <w:t>公司治理</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第十一节</w:t>
            </w:r>
            <w:r>
              <w:rPr>
                <w:spacing w:val="-18"/>
              </w:rPr>
              <w:t> </w:t>
            </w:r>
            <w:r>
              <w:rPr/>
              <w:t>公司债券相关情况</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17"/>
              </w:rPr>
              <w:t> </w:t>
            </w:r>
            <w:r>
              <w:rPr/>
              <w:t>财务报告</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第十三节</w:t>
            </w:r>
            <w:r>
              <w:rPr>
                <w:spacing w:val="-18"/>
              </w:rPr>
              <w:t> </w:t>
            </w:r>
            <w:r>
              <w:rPr/>
              <w:t>备查文件目录</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0"/>
        </w:sectPr>
      </w:pPr>
    </w:p>
    <w:p>
      <w:pPr>
        <w:spacing w:before="945"/>
        <w:ind w:left="138" w:right="111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北信源、公司、本公司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安信证券、保荐机构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上海北信源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神州信源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马来西亚子公司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中软华泰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北信源国际有限公司，公司全资子公司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信源匡恩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人工智能产业联盟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人工智能产业技术创新联盟（北京）科技有限公司，公司控股子公司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青岛子公司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北信源信息技术（青岛）有限公司，系由北信源与神州信源共同出资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设立，北信源持股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，神州信源持股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供应链公司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上海北信源供应链管理有限公司，公司控股子公司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公司控股股东、实际控制人</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证监会指定创业板信息披露网站</w:t>
            </w:r>
            <w:r>
              <w:rPr>
                <w:rFonts w:ascii="宋体" w:hAnsi="宋体" w:cs="宋体" w:eastAsia="宋体" w:hint="default"/>
                <w:spacing w:val="-22"/>
                <w:sz w:val="18"/>
                <w:szCs w:val="18"/>
              </w:rPr>
              <w:t> </w:t>
            </w:r>
            <w:hyperlink r:id="rId9">
              <w:r>
                <w:rPr>
                  <w:rFonts w:ascii="Times New Roman" w:hAnsi="Times New Roman" w:cs="Times New Roman" w:eastAsia="Times New Roman" w:hint="default"/>
                  <w:sz w:val="18"/>
                  <w:szCs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22"/>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pict>
          <v:shape style="position:absolute;margin-left:138.020004pt;margin-top:114.705597pt;width:396.95pt;height:19.7pt;mso-position-horizontal-relative:page;mso-position-vertical-relative:paragraph;z-index:-1201456"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300352</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Beijing </w:t>
            </w:r>
            <w:r>
              <w:rPr>
                <w:rFonts w:ascii="Times New Roman"/>
                <w:spacing w:val="-6"/>
                <w:sz w:val="18"/>
              </w:rPr>
              <w:t>VRV </w:t>
            </w:r>
            <w:r>
              <w:rPr>
                <w:rFonts w:ascii="Times New Roman"/>
                <w:sz w:val="18"/>
              </w:rPr>
              <w:t>Software Corporation</w:t>
            </w:r>
            <w:r>
              <w:rPr>
                <w:rFonts w:ascii="Times New Roman"/>
                <w:spacing w:val="-13"/>
                <w:sz w:val="18"/>
              </w:rPr>
              <w:t> </w:t>
            </w:r>
            <w:r>
              <w:rPr>
                <w:rFonts w:ascii="Times New Roman"/>
                <w:sz w:val="18"/>
              </w:rPr>
              <w:t>Limited.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pacing w:val="-6"/>
                <w:sz w:val="18"/>
              </w:rPr>
              <w:t>VRV</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北京市海淀区中关村南大街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http://www.vrv.com.cn/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北京市海淀区闵庄路</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号玉泉慧谷</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期</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层、北京市海淀区中关村南大街</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号中关村科技发展大厦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90" w:type="dxa"/>
            <w:vMerge w:val="restart"/>
            <w:tcBorders>
              <w:top w:val="single" w:sz="4" w:space="0" w:color="000000"/>
              <w:left w:val="single" w:sz="4" w:space="0" w:color="000000"/>
              <w:right w:val="single" w:sz="4" w:space="0" w:color="000000"/>
            </w:tcBorders>
          </w:tcPr>
          <w:p>
            <w:pP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010-62140485-8073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010-62147259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vrvzq@vrvmail.com.cn</w:t>
              </w:r>
            </w:hyperlink>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  证券时报</w:t>
            </w:r>
            <w:r>
              <w:rPr>
                <w:rFonts w:ascii="宋体" w:hAnsi="宋体" w:cs="宋体" w:eastAsia="宋体" w:hint="default"/>
                <w:spacing w:val="89"/>
                <w:sz w:val="18"/>
                <w:szCs w:val="18"/>
              </w:rPr>
              <w:t> </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北京北信源软件股份有限公司证券投资部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22"/>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号赛特广场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孙宁</w:t>
            </w:r>
            <w:r>
              <w:rPr>
                <w:rFonts w:ascii="宋体" w:hAnsi="宋体" w:cs="宋体" w:eastAsia="宋体" w:hint="default"/>
                <w:spacing w:val="1"/>
                <w:sz w:val="18"/>
                <w:szCs w:val="18"/>
              </w:rPr>
              <w:t> </w:t>
            </w:r>
            <w:r>
              <w:rPr>
                <w:rFonts w:ascii="宋体" w:hAnsi="宋体" w:cs="宋体" w:eastAsia="宋体" w:hint="default"/>
                <w:sz w:val="18"/>
                <w:szCs w:val="18"/>
              </w:rPr>
              <w:t>李杨</w:t>
            </w:r>
          </w:p>
        </w:tc>
      </w:tr>
    </w:tbl>
    <w:p>
      <w:pPr>
        <w:pStyle w:val="BodyText"/>
        <w:spacing w:line="240" w:lineRule="auto" w:before="49"/>
        <w:ind w:right="1122"/>
        <w:jc w:val="left"/>
      </w:pPr>
      <w:r>
        <w:rPr/>
        <w:t>公司聘请的报告期内履行持续督导职责的保荐机构</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安信证券股份有限公司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深圳市福田区金田路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安联大厦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徐荣健</w:t>
            </w:r>
            <w:r>
              <w:rPr>
                <w:rFonts w:ascii="宋体" w:hAnsi="宋体" w:cs="宋体" w:eastAsia="宋体" w:hint="default"/>
                <w:spacing w:val="1"/>
                <w:sz w:val="18"/>
                <w:szCs w:val="18"/>
              </w:rPr>
              <w:t> </w:t>
            </w:r>
            <w:r>
              <w:rPr>
                <w:rFonts w:ascii="宋体" w:hAnsi="宋体" w:cs="宋体" w:eastAsia="宋体" w:hint="default"/>
                <w:sz w:val="18"/>
                <w:szCs w:val="18"/>
              </w:rPr>
              <w:t>赵冬冬</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直至募集资金使用完毕</w:t>
            </w:r>
          </w:p>
        </w:tc>
      </w:tr>
    </w:tbl>
    <w:p>
      <w:pPr>
        <w:pStyle w:val="BodyText"/>
        <w:spacing w:line="240" w:lineRule="auto" w:before="49"/>
        <w:ind w:right="1122"/>
        <w:jc w:val="left"/>
      </w:pPr>
      <w:r>
        <w:rPr/>
        <w:t>公司聘请的报告期内履行持续督导职责的财务顾问</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公司是否需追溯调整或重述以前年度会计数据</w:t>
      </w:r>
    </w:p>
    <w:p>
      <w:pPr>
        <w:pStyle w:val="BodyText"/>
        <w:spacing w:line="348" w:lineRule="auto" w:before="117"/>
        <w:ind w:right="854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追溯调整或重述原因 会计政策变更</w:t>
      </w:r>
      <w:r>
        <w:rPr>
          <w:rFonts w:ascii="Times New Roman" w:hAnsi="Times New Roman" w:cs="Times New Roman" w:eastAsia="Times New Roman" w:hint="default"/>
        </w:rPr>
        <w:t>;</w:t>
      </w:r>
      <w:r>
        <w:rPr/>
        <w:t>会计差错更正</w:t>
      </w: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713"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06" w:right="55" w:hanging="452"/>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721,982,374.33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572,400,445.59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572,400,445.59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26.13%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514,852,610.92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514,852,610.92</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22,384,186.81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94,090,073.34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85,940,336.52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-73.95%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91,451,980.39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91,451,980.39</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10,130,555.46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73,304,152.57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65,154,415.75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-84.45%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63,661,402.33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63,661,402.33</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-91,837,318.87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-87,233,511.19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-87,233,511.19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-88,215,326.20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-88,215,326.20</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0.0154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0.0631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0.0631</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0.0154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0.0649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0.0593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-74.03%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0.0631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0.0631</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w:t>
            </w:r>
          </w:p>
        </w:tc>
      </w:tr>
      <w:tr>
        <w:trPr>
          <w:trHeight w:val="715"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5" w:hanging="272"/>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36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6"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2,800,102,286.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2,580,068,302.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2,580,755,862.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2,494,353,509.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2,494,353,509.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58"/>
        <w:gridCol w:w="1201"/>
        <w:gridCol w:w="1202"/>
        <w:gridCol w:w="1200"/>
        <w:gridCol w:w="1202"/>
        <w:gridCol w:w="1201"/>
        <w:gridCol w:w="1202"/>
      </w:tblGrid>
      <w:tr>
        <w:trPr>
          <w:trHeight w:val="716" w:hRule="exact"/>
        </w:trPr>
        <w:tc>
          <w:tcPr>
            <w:tcW w:w="2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2,249,910,729.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2,289,503,009.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2,264,965,239.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3" w:right="0"/>
              <w:jc w:val="left"/>
              <w:rPr>
                <w:rFonts w:ascii="Times New Roman" w:hAnsi="Times New Roman" w:cs="Times New Roman" w:eastAsia="Times New Roman" w:hint="default"/>
                <w:sz w:val="18"/>
                <w:szCs w:val="18"/>
              </w:rPr>
            </w:pPr>
            <w:r>
              <w:rPr>
                <w:rFonts w:ascii="Times New Roman"/>
                <w:sz w:val="18"/>
              </w:rPr>
              <w:t>-0.66%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2,212,720,654.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2,212,720,654.</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49"/>
        <w:ind w:right="1122"/>
        <w:jc w:val="left"/>
      </w:pPr>
      <w:r>
        <w:rPr/>
        <w:t>会计政策变更的原因及会计差错更正的情况</w:t>
      </w:r>
    </w:p>
    <w:p>
      <w:pPr>
        <w:pStyle w:val="BodyText"/>
        <w:spacing w:line="300" w:lineRule="auto" w:before="115"/>
        <w:ind w:right="1120"/>
        <w:jc w:val="left"/>
      </w:pPr>
      <w:r>
        <w:rPr/>
        <w:t>公司</w:t>
      </w:r>
      <w:r>
        <w:rPr>
          <w:spacing w:val="-3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3"/>
        </w:rPr>
        <w:t>年因职工薪酬、应收款坏账准备、对外投资的核算上存在一定核算错误，因此本次调整了</w:t>
      </w:r>
      <w:r>
        <w:rPr>
          <w:spacing w:val="-3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年度的净利润及净 </w:t>
      </w:r>
      <w:r>
        <w:rPr>
          <w:spacing w:val="-3"/>
        </w:rPr>
        <w:t>资产数据，具体详见同日披露的《关于前期会计差错更正的提示性公告》。</w:t>
      </w:r>
    </w:p>
    <w:p>
      <w:pPr>
        <w:spacing w:line="240" w:lineRule="auto" w:before="11"/>
        <w:rPr>
          <w:rFonts w:ascii="宋体" w:hAnsi="宋体" w:cs="宋体" w:eastAsia="宋体" w:hint="default"/>
          <w:sz w:val="21"/>
          <w:szCs w:val="21"/>
        </w:rPr>
      </w:pPr>
    </w:p>
    <w:p>
      <w:pPr>
        <w:pStyle w:val="Heading2"/>
        <w:spacing w:line="240" w:lineRule="auto"/>
        <w:ind w:right="1122"/>
        <w:jc w:val="left"/>
        <w:rPr>
          <w:b w:val="0"/>
          <w:bCs w:val="0"/>
        </w:rPr>
      </w:pPr>
      <w:r>
        <w:rPr/>
        <w:t>六、分季度主要财务指标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110,189,911.38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186,612,659.19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224,354,774.23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200,825,029.50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3,733,828.72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23,375,884.18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34,087,130.85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-38,812,656.94</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985,226.34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21,019,848.35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30,674,076.68</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-42,548,595.91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-47,494,923.28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-97,709,771.29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-35,765,480.83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89,132,856.53</w:t>
            </w:r>
          </w:p>
        </w:tc>
      </w:tr>
    </w:tbl>
    <w:p>
      <w:pPr>
        <w:pStyle w:val="BodyText"/>
        <w:spacing w:line="240" w:lineRule="auto" w:before="49"/>
        <w:ind w:right="1122"/>
        <w:jc w:val="left"/>
      </w:pPr>
      <w:r>
        <w:rPr/>
        <w:t>上述财务指标或其加总数是否与公司已披露季度报告、半年度报告相关财务指标存在重大差异</w:t>
      </w:r>
    </w:p>
    <w:p>
      <w:pPr>
        <w:pStyle w:val="BodyText"/>
        <w:spacing w:line="240" w:lineRule="auto" w:before="115"/>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2"/>
        <w:spacing w:line="240" w:lineRule="auto"/>
        <w:ind w:right="1122"/>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-31,703.69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-26,865.98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122,990.26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6,717,487.62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5,230,523.07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2,596,496.67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55"/>
              <w:jc w:val="left"/>
              <w:rPr>
                <w:rFonts w:ascii="宋体" w:hAnsi="宋体" w:cs="宋体" w:eastAsia="宋体" w:hint="default"/>
                <w:sz w:val="18"/>
                <w:szCs w:val="18"/>
              </w:rPr>
            </w:pPr>
            <w:r>
              <w:rPr>
                <w:rFonts w:ascii="宋体" w:hAnsi="宋体" w:cs="宋体" w:eastAsia="宋体" w:hint="default"/>
                <w:sz w:val="18"/>
                <w:szCs w:val="18"/>
              </w:rPr>
              <w:t>非经常性连续政府补 助</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8,265,064.62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19,585,796.56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30,740,781.88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结构性存款及理财收 益</w:t>
            </w:r>
          </w:p>
        </w:tc>
      </w:tr>
      <w:tr>
        <w:trPr>
          <w:trHeight w:val="22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465,127.00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3" w:right="55"/>
              <w:jc w:val="left"/>
              <w:rPr>
                <w:rFonts w:ascii="宋体" w:hAnsi="宋体" w:cs="宋体" w:eastAsia="宋体" w:hint="default"/>
                <w:sz w:val="18"/>
                <w:szCs w:val="18"/>
              </w:rPr>
            </w:pPr>
            <w:r>
              <w:rPr>
                <w:rFonts w:ascii="宋体" w:hAnsi="宋体" w:cs="宋体" w:eastAsia="宋体" w:hint="default"/>
                <w:sz w:val="18"/>
                <w:szCs w:val="18"/>
              </w:rPr>
              <w:t>结构性存款及理财收 益</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-1,002,444.03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-582,683.35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-765,508.74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3,054.89</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2,162,955.06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3,420,849.53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4,904,182.01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12,253,631.35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20,785,920.77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27,790,578.06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32" w:right="1116"/>
        <w:jc w:val="center"/>
        <w:rPr>
          <w:b w:val="0"/>
          <w:bCs w:val="0"/>
        </w:rPr>
      </w:pPr>
      <w:bookmarkStart w:name="_TOC_250010" w:id="3"/>
      <w:r>
        <w:rPr/>
        <w:t>第三节公司业务概要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60" w:lineRule="auto" w:before="103"/>
        <w:ind w:left="513" w:right="1122" w:hanging="60"/>
        <w:jc w:val="left"/>
      </w:pPr>
      <w:r>
        <w:rPr>
          <w:rFonts w:ascii="宋体" w:hAnsi="宋体" w:cs="宋体" w:eastAsia="宋体" w:hint="default"/>
          <w:b/>
          <w:bCs/>
        </w:rPr>
        <w:t>（一）公司主营业务</w:t>
      </w:r>
      <w:r>
        <w:rPr>
          <w:rFonts w:ascii="宋体" w:hAnsi="宋体" w:cs="宋体" w:eastAsia="宋体" w:hint="default"/>
          <w:b/>
          <w:bCs/>
          <w:w w:val="99"/>
        </w:rPr>
        <w:t> </w:t>
      </w:r>
      <w:r>
        <w:rPr>
          <w:spacing w:val="-2"/>
        </w:rPr>
        <w:t>公司是国内终端安全管理领域的龙头企业，是国内网络与信息安全领域领先的解决方案提供商，为客户提供涵盖网络与</w:t>
      </w:r>
    </w:p>
    <w:p>
      <w:pPr>
        <w:pStyle w:val="BodyText"/>
        <w:spacing w:line="220" w:lineRule="exact"/>
        <w:ind w:right="0"/>
        <w:jc w:val="left"/>
      </w:pPr>
      <w:r>
        <w:rPr/>
        <w:t>信息安全的软件开发、解决方案、运维管理以及系统集成在内的体系化信息服务，用户涉及政府、军队、军工、金融、能源</w:t>
      </w:r>
    </w:p>
    <w:p>
      <w:pPr>
        <w:pStyle w:val="BodyText"/>
        <w:spacing w:line="314" w:lineRule="auto" w:before="77"/>
        <w:ind w:right="1034"/>
        <w:jc w:val="left"/>
      </w:pPr>
      <w:r>
        <w:rPr/>
        <w:t>等重要行业数千家单位。目前公司产品体系已经完成</w:t>
      </w:r>
      <w:r>
        <w:rPr>
          <w:rFonts w:ascii="Times New Roman" w:hAnsi="Times New Roman" w:cs="Times New Roman" w:eastAsia="Times New Roman" w:hint="default"/>
        </w:rPr>
        <w:t>“</w:t>
      </w:r>
      <w:r>
        <w:rPr/>
        <w:t>信息安全、大数据安全、安全通信应用</w:t>
      </w:r>
      <w:r>
        <w:rPr>
          <w:rFonts w:ascii="Times New Roman" w:hAnsi="Times New Roman" w:cs="Times New Roman" w:eastAsia="Times New Roman" w:hint="default"/>
        </w:rPr>
        <w:t>”</w:t>
      </w:r>
      <w:r>
        <w:rPr/>
        <w:t>格局的打造，使公司从传统的 </w:t>
      </w:r>
      <w:r>
        <w:rPr>
          <w:spacing w:val="-4"/>
        </w:rPr>
        <w:t>终端安全领导者逐步成为万物互联时代下智慧安全的全面解决方案提供商。而且，国产化平台安全是公司重要发展战略之一，</w:t>
      </w:r>
      <w:r>
        <w:rPr>
          <w:spacing w:val="-44"/>
        </w:rPr>
        <w:t> </w:t>
      </w:r>
      <w:r>
        <w:rPr>
          <w:spacing w:val="-44"/>
        </w:rPr>
      </w:r>
      <w:r>
        <w:rPr/>
        <w:t>公司推出了多款国产化平台安全产品和解决方案，同时与众多国产化生态链企业一起合力打造信息技术应用创新生态体系，</w:t>
      </w:r>
      <w:r>
        <w:rPr/>
        <w:t> </w:t>
      </w:r>
      <w:r>
        <w:rPr>
          <w:spacing w:val="-2"/>
        </w:rPr>
        <w:t>为行业客户提供安全、可信、适用的创新可靠软硬件一体化解决方案和更加完善、可靠的信息安全保障，并从技术、产品和</w:t>
      </w:r>
      <w:r>
        <w:rPr>
          <w:spacing w:val="-67"/>
        </w:rPr>
        <w:t> </w:t>
      </w:r>
      <w:r>
        <w:rPr>
          <w:spacing w:val="-67"/>
        </w:rPr>
      </w:r>
      <w:r>
        <w:rPr/>
        <w:t>解决方案等层面积极支持国家信息技术应用创新发展战略，为国家信息安全建设与国产化发展战略贡献更多力量。</w:t>
      </w:r>
    </w:p>
    <w:p>
      <w:pPr>
        <w:pStyle w:val="BodyText"/>
        <w:spacing w:line="240" w:lineRule="auto" w:before="61"/>
        <w:ind w:left="513" w:right="1122"/>
        <w:jc w:val="left"/>
      </w:pPr>
      <w:r>
        <w:rPr/>
        <w:t>报告期内，公司主营业务未发生重大变化。</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left="410" w:right="1122"/>
        <w:jc w:val="left"/>
        <w:rPr>
          <w:b w:val="0"/>
          <w:bCs w:val="0"/>
        </w:rPr>
      </w:pPr>
      <w:r>
        <w:rPr/>
        <w:t>（二）主要产品及用途</w:t>
      </w:r>
      <w:r>
        <w:rPr>
          <w:b w:val="0"/>
          <w:bCs w:val="0"/>
        </w:rPr>
      </w:r>
    </w:p>
    <w:p>
      <w:pPr>
        <w:pStyle w:val="BodyText"/>
        <w:spacing w:line="300" w:lineRule="auto" w:before="76"/>
        <w:ind w:left="513" w:right="1122"/>
        <w:jc w:val="left"/>
      </w:pPr>
      <w:r>
        <w:rPr>
          <w:rFonts w:ascii="Times New Roman" w:hAnsi="Times New Roman" w:cs="Times New Roman" w:eastAsia="Times New Roman" w:hint="default"/>
        </w:rPr>
        <w:t>1</w:t>
      </w:r>
      <w:r>
        <w:rPr/>
        <w:t>、信息安全 </w:t>
      </w:r>
      <w:r>
        <w:rPr>
          <w:spacing w:val="-2"/>
        </w:rPr>
        <w:t>在信息安全领域，公司依托中国终端安全管理市场龙头地位，积极创新、锐意进取，打造了大数据、人工智能等新技术</w:t>
      </w:r>
    </w:p>
    <w:p>
      <w:pPr>
        <w:pStyle w:val="BodyText"/>
        <w:spacing w:line="316" w:lineRule="auto" w:before="32"/>
        <w:ind w:right="1034"/>
        <w:jc w:val="left"/>
      </w:pPr>
      <w:r>
        <w:rPr/>
        <w:t>驱动下的网络边界安全、主机安全、数据安全、服务器安全、云安全、工控安全和反病毒等产品的完整信息安全产品体系。 产品体系已经全面覆盖国产终端、服务器和硬件平台。</w:t>
      </w:r>
    </w:p>
    <w:p>
      <w:pPr>
        <w:pStyle w:val="BodyText"/>
        <w:spacing w:line="314" w:lineRule="auto" w:before="19"/>
        <w:ind w:right="1128" w:firstLine="360"/>
        <w:jc w:val="both"/>
      </w:pPr>
      <w:r>
        <w:rPr>
          <w:spacing w:val="-2"/>
        </w:rPr>
        <w:t>边界安全类产品致力于保障网络边界完整性及终端接入网络的安全性，包括网络接入控制系统、视频安全监控系统和网</w:t>
      </w:r>
      <w:r>
        <w:rPr/>
        <w:t> </w:t>
      </w:r>
      <w:r>
        <w:rPr>
          <w:spacing w:val="-2"/>
        </w:rPr>
        <w:t>络边界监测系统等多款产品。边界安全产品市场发展迅猛，不仅适用于传统的办公网，而且已成为视频监控专网等专用网络</w:t>
      </w:r>
      <w:r>
        <w:rPr>
          <w:spacing w:val="-63"/>
        </w:rPr>
        <w:t> </w:t>
      </w:r>
      <w:r>
        <w:rPr>
          <w:spacing w:val="-63"/>
        </w:rPr>
      </w:r>
      <w:r>
        <w:rPr/>
        <w:t>的基础安全保障</w:t>
      </w:r>
      <w:r>
        <w:rPr>
          <w:rFonts w:ascii="Times New Roman" w:hAnsi="Times New Roman" w:cs="Times New Roman" w:eastAsia="Times New Roman" w:hint="default"/>
        </w:rPr>
        <w:t>,</w:t>
      </w:r>
      <w:r>
        <w:rPr/>
        <w:t>市场前景广阔。网络接入控制系统通过终端发现识别、终端安全检测、终端身份认证等多方面确认终端接</w:t>
      </w:r>
      <w:r>
        <w:rPr>
          <w:spacing w:val="-48"/>
        </w:rPr>
        <w:t> </w:t>
      </w:r>
      <w:r>
        <w:rPr>
          <w:spacing w:val="-48"/>
        </w:rPr>
      </w:r>
      <w:r>
        <w:rPr>
          <w:spacing w:val="-2"/>
        </w:rPr>
        <w:t>入合规性，应用多种准入控制技术实现合规网络准入，解决了泛终端的边界接入管理问题；视频安全监控系统通过建立明确</w:t>
      </w:r>
      <w:r>
        <w:rPr>
          <w:spacing w:val="-61"/>
        </w:rPr>
        <w:t> </w:t>
      </w:r>
      <w:r>
        <w:rPr>
          <w:spacing w:val="-61"/>
        </w:rPr>
      </w:r>
      <w:r>
        <w:rPr>
          <w:spacing w:val="-2"/>
        </w:rPr>
        <w:t>的、规范的视频摄像头接入要求和准入监控措施，解决专用终端为主的视频网中，资产不明确、摄像头安全漏洞、仿冒终端</w:t>
      </w:r>
      <w:r>
        <w:rPr>
          <w:spacing w:val="-67"/>
        </w:rPr>
        <w:t> </w:t>
      </w:r>
      <w:r>
        <w:rPr>
          <w:spacing w:val="-67"/>
        </w:rPr>
      </w:r>
      <w:r>
        <w:rPr>
          <w:spacing w:val="-2"/>
        </w:rPr>
        <w:t>接入网络等安全问题；网络边界监测系统是硬件网关型设备，实现对违规内外网互联、私建网中网、违规移动设备接入、私</w:t>
      </w:r>
      <w:r>
        <w:rPr>
          <w:spacing w:val="-67"/>
        </w:rPr>
        <w:t> </w:t>
      </w:r>
      <w:r>
        <w:rPr>
          <w:spacing w:val="-67"/>
        </w:rPr>
      </w:r>
      <w:r>
        <w:rPr/>
        <w:t>搭代理服务器等各类违规行为的自动发现与定位。</w:t>
      </w:r>
    </w:p>
    <w:p>
      <w:pPr>
        <w:pStyle w:val="BodyText"/>
        <w:spacing w:line="312" w:lineRule="auto" w:before="20"/>
        <w:ind w:right="1130" w:firstLine="360"/>
        <w:jc w:val="both"/>
      </w:pPr>
      <w:r>
        <w:rPr>
          <w:spacing w:val="-1"/>
        </w:rPr>
        <w:t>主机安全类产品致力于内网终端安全管理，除传统的</w:t>
      </w:r>
      <w:r>
        <w:rPr>
          <w:rFonts w:ascii="Times New Roman" w:hAnsi="Times New Roman" w:cs="Times New Roman" w:eastAsia="Times New Roman" w:hint="default"/>
          <w:spacing w:val="-1"/>
        </w:rPr>
        <w:t>Windows</w:t>
      </w:r>
      <w:r>
        <w:rPr>
          <w:spacing w:val="-1"/>
        </w:rPr>
        <w:t>操作系统的终端外，主机安全类产品已经全面覆盖多种自</w:t>
      </w:r>
      <w:r>
        <w:rPr/>
        <w:t> </w:t>
      </w:r>
      <w:r>
        <w:rPr>
          <w:spacing w:val="-2"/>
        </w:rPr>
        <w:t>主国产终端、虚拟化终端、移动终端和工控终端等。主机安全产品包括主机监控审计与补丁分发系统、金甲防线、防病毒系</w:t>
      </w:r>
      <w:r>
        <w:rPr>
          <w:spacing w:val="-67"/>
        </w:rPr>
        <w:t> </w:t>
      </w:r>
      <w:r>
        <w:rPr>
          <w:spacing w:val="-67"/>
        </w:rPr>
      </w:r>
      <w:r>
        <w:rPr>
          <w:spacing w:val="-2"/>
        </w:rPr>
        <w:t>统、虚拟化综合审计系统等。随着安全管理理念的升级，内网安全产品从合规管理逐步扩展成为包括主机防护、行为合规监</w:t>
      </w:r>
      <w:r>
        <w:rPr>
          <w:spacing w:val="-64"/>
        </w:rPr>
        <w:t> </w:t>
      </w:r>
      <w:r>
        <w:rPr>
          <w:spacing w:val="-64"/>
        </w:rPr>
      </w:r>
      <w:r>
        <w:rPr/>
        <w:t>管和终端安全运维的新一代终端安全管理体系，为用户提供多位一体、统一管理的解决方案。</w:t>
      </w:r>
    </w:p>
    <w:p>
      <w:pPr>
        <w:pStyle w:val="BodyText"/>
        <w:spacing w:line="312" w:lineRule="auto" w:before="22"/>
        <w:ind w:right="1131" w:firstLine="360"/>
        <w:jc w:val="both"/>
      </w:pPr>
      <w:r>
        <w:rPr>
          <w:spacing w:val="-1"/>
        </w:rPr>
        <w:t>数据安全类产品致力于保障内网数据资产的安全，包括终端安全登录与文件保护系统、移动存储管理系统与安全</w:t>
      </w:r>
      <w:r>
        <w:rPr>
          <w:rFonts w:ascii="Times New Roman" w:hAnsi="Times New Roman" w:cs="Times New Roman" w:eastAsia="Times New Roman" w:hint="default"/>
          <w:spacing w:val="-1"/>
        </w:rPr>
        <w:t>U</w:t>
      </w:r>
      <w:r>
        <w:rPr>
          <w:spacing w:val="-1"/>
        </w:rPr>
        <w:t>盘系</w:t>
      </w:r>
      <w:r>
        <w:rPr/>
        <w:t> </w:t>
      </w:r>
      <w:r>
        <w:rPr>
          <w:spacing w:val="-2"/>
        </w:rPr>
        <w:t>统、数据泄露防护系统、终端保密检查系统与移动存储信息介质消除系统、打印复印及光盘刻录安全监控与审计系统、电子</w:t>
      </w:r>
      <w:r>
        <w:rPr>
          <w:spacing w:val="-64"/>
        </w:rPr>
        <w:t> </w:t>
      </w:r>
      <w:r>
        <w:rPr>
          <w:spacing w:val="-64"/>
        </w:rPr>
      </w:r>
      <w:r>
        <w:rPr>
          <w:spacing w:val="-2"/>
        </w:rPr>
        <w:t>文档安全管理系统等多款产品。随着企业数据量爆增以及人们数据资产意识的不断深化，数据安全产品已经成为众多用户关</w:t>
      </w:r>
      <w:r>
        <w:rPr>
          <w:spacing w:val="-64"/>
        </w:rPr>
        <w:t> </w:t>
      </w:r>
      <w:r>
        <w:rPr>
          <w:spacing w:val="-64"/>
        </w:rPr>
      </w:r>
      <w:r>
        <w:rPr/>
        <w:t>注的信息安全焦点。数据安全类产品市场空间巨大，覆盖范围广泛，是目前公司最具发展潜力的产品。</w:t>
      </w:r>
    </w:p>
    <w:p>
      <w:pPr>
        <w:pStyle w:val="BodyText"/>
        <w:spacing w:line="312" w:lineRule="auto" w:before="22"/>
        <w:ind w:right="1132" w:firstLine="360"/>
        <w:jc w:val="both"/>
      </w:pPr>
      <w:r>
        <w:rPr>
          <w:spacing w:val="-2"/>
        </w:rPr>
        <w:t>服务器安全类产品致力于从识别、检测、防护、响应角度出发，全面覆盖服务器安全整体需求，形成服务器安全的闭环</w:t>
      </w:r>
      <w:r>
        <w:rPr/>
        <w:t> </w:t>
      </w:r>
      <w:r>
        <w:rPr>
          <w:spacing w:val="-2"/>
        </w:rPr>
        <w:t>防御体系。服务器安全产品主要包括主机</w:t>
      </w:r>
      <w:r>
        <w:rPr>
          <w:rFonts w:ascii="Times New Roman" w:hAnsi="Times New Roman" w:cs="Times New Roman" w:eastAsia="Times New Roman" w:hint="default"/>
          <w:spacing w:val="-2"/>
        </w:rPr>
        <w:t>EDR</w:t>
      </w:r>
      <w:r>
        <w:rPr>
          <w:spacing w:val="-2"/>
        </w:rPr>
        <w:t>安全检测平台、操作系统安全加固、特权账户管理平台等。目前，服务器安全</w:t>
      </w:r>
      <w:r>
        <w:rPr>
          <w:spacing w:val="-65"/>
        </w:rPr>
        <w:t> </w:t>
      </w:r>
      <w:r>
        <w:rPr>
          <w:spacing w:val="-65"/>
        </w:rPr>
      </w:r>
      <w:r>
        <w:rPr>
          <w:spacing w:val="-2"/>
        </w:rPr>
        <w:t>产品已应用于中央电视台新台址工程建设项目中的部分顶级系统和长沙数据中心管理域等项目。在宏观政策、安全事件、客</w:t>
      </w:r>
      <w:r>
        <w:rPr>
          <w:spacing w:val="-65"/>
        </w:rPr>
        <w:t> </w:t>
      </w:r>
      <w:r>
        <w:rPr>
          <w:spacing w:val="-65"/>
        </w:rPr>
      </w:r>
      <w:r>
        <w:rPr/>
        <w:t>户需求的三重驱动下，服务器产品线将持续发力，为客户服务器和应用系统提供全方位的安全防护。</w:t>
      </w:r>
    </w:p>
    <w:p>
      <w:pPr>
        <w:pStyle w:val="BodyText"/>
        <w:spacing w:line="316" w:lineRule="auto" w:before="23"/>
        <w:ind w:left="513" w:right="1122"/>
        <w:jc w:val="left"/>
      </w:pPr>
      <w:r>
        <w:rPr/>
        <w:t>公司始终高度重视自主创新，并已经将多款重要产品进行了针对自主创新硬件和软件环境的适配： </w:t>
      </w:r>
      <w:r>
        <w:rPr>
          <w:spacing w:val="-2"/>
        </w:rPr>
        <w:t>北信源终端安全登录系统是针对国产计算机推出的身份安全辨识产品，综合利用登录身份认证核心技术，用于提升主机</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0"/>
        <w:jc w:val="both"/>
      </w:pPr>
      <w:r>
        <w:rPr/>
        <w:t>系统登录时的身份认证强度的产品。通过在传统的口令认证基础上将硬件（</w:t>
      </w:r>
      <w:r>
        <w:rPr>
          <w:rFonts w:ascii="Times New Roman" w:hAnsi="Times New Roman" w:cs="Times New Roman" w:eastAsia="Times New Roman" w:hint="default"/>
        </w:rPr>
        <w:t>USBKey</w:t>
      </w:r>
      <w:r>
        <w:rPr/>
        <w:t>）与软件（</w:t>
      </w:r>
      <w:r>
        <w:rPr>
          <w:rFonts w:ascii="Times New Roman" w:hAnsi="Times New Roman" w:cs="Times New Roman" w:eastAsia="Times New Roman" w:hint="default"/>
        </w:rPr>
        <w:t>Client</w:t>
      </w:r>
      <w:r>
        <w:rPr/>
        <w:t>）相结合，实现了物</w:t>
      </w:r>
      <w:r>
        <w:rPr>
          <w:spacing w:val="-10"/>
        </w:rPr>
        <w:t> </w:t>
      </w:r>
      <w:r>
        <w:rPr>
          <w:spacing w:val="-10"/>
        </w:rPr>
      </w:r>
      <w:r>
        <w:rPr/>
        <w:t>理身份与用户身份的双重认证，从根本上弥补系统自身的缺陷，保障操作系统安全。</w:t>
      </w:r>
    </w:p>
    <w:p>
      <w:pPr>
        <w:pStyle w:val="BodyText"/>
        <w:spacing w:line="312" w:lineRule="auto" w:before="31"/>
        <w:ind w:right="1130" w:firstLine="360"/>
        <w:jc w:val="both"/>
      </w:pPr>
      <w:r>
        <w:rPr>
          <w:spacing w:val="-2"/>
        </w:rPr>
        <w:t>北信源主机监控与审计系统是针对国产计算机推出的安全监控审计产品，通过对主机运行监控和用户访问行为审计，实</w:t>
      </w:r>
      <w:r>
        <w:rPr/>
        <w:t> </w:t>
      </w:r>
      <w:r>
        <w:rPr>
          <w:spacing w:val="-2"/>
        </w:rPr>
        <w:t>现了国产计算机访问行为的全方位跟踪和审计。系统提供了用户组织机构管理，终端注册管理，在线客户端管理、离线客户</w:t>
      </w:r>
      <w:r>
        <w:rPr>
          <w:spacing w:val="-63"/>
        </w:rPr>
        <w:t> </w:t>
      </w:r>
      <w:r>
        <w:rPr>
          <w:spacing w:val="-63"/>
        </w:rPr>
      </w:r>
      <w:r>
        <w:rPr>
          <w:spacing w:val="-1"/>
        </w:rPr>
        <w:t>端管理，统一策略制定，统一审计日志展示，</w:t>
      </w:r>
      <w:r>
        <w:rPr>
          <w:rFonts w:ascii="Times New Roman" w:hAnsi="Times New Roman" w:cs="Times New Roman" w:eastAsia="Times New Roman" w:hint="default"/>
          <w:spacing w:val="-1"/>
        </w:rPr>
        <w:t>Syslog</w:t>
      </w:r>
      <w:r>
        <w:rPr>
          <w:spacing w:val="-1"/>
        </w:rPr>
        <w:t>日志接收与上报，接收第三方软件审计，如：三合一审计日志、配置管</w:t>
      </w:r>
      <w:r>
        <w:rPr>
          <w:spacing w:val="-71"/>
        </w:rPr>
        <w:t> </w:t>
      </w:r>
      <w:r>
        <w:rPr>
          <w:spacing w:val="-71"/>
        </w:rPr>
      </w:r>
      <w:r>
        <w:rPr/>
        <w:t>理审计日志等。</w:t>
      </w:r>
    </w:p>
    <w:p>
      <w:pPr>
        <w:pStyle w:val="BodyText"/>
        <w:spacing w:line="300" w:lineRule="auto" w:before="22"/>
        <w:ind w:right="1131" w:firstLine="360"/>
        <w:jc w:val="both"/>
      </w:pPr>
      <w:r>
        <w:rPr/>
        <w:t>北信源打印刻录监控与审计系统</w:t>
      </w:r>
      <w:r>
        <w:rPr>
          <w:rFonts w:ascii="Times New Roman" w:hAnsi="Times New Roman" w:cs="Times New Roman" w:eastAsia="Times New Roman" w:hint="default"/>
        </w:rPr>
        <w:t>V6.0</w:t>
      </w:r>
      <w:r>
        <w:rPr/>
        <w:t>是针对国产计算机推出的文档打印防护产品，针对管控中的</w:t>
      </w:r>
      <w:r>
        <w:rPr>
          <w:rFonts w:ascii="Times New Roman" w:hAnsi="Times New Roman" w:cs="Times New Roman" w:eastAsia="Times New Roman" w:hint="default"/>
        </w:rPr>
        <w:t>“</w:t>
      </w:r>
      <w:r>
        <w:rPr/>
        <w:t>打印机管控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刻录 机管控</w:t>
      </w:r>
      <w:r>
        <w:rPr>
          <w:rFonts w:ascii="Times New Roman" w:hAnsi="Times New Roman" w:cs="Times New Roman" w:eastAsia="Times New Roman" w:hint="default"/>
        </w:rPr>
        <w:t>”</w:t>
      </w:r>
      <w:r>
        <w:rPr/>
        <w:t>，基于条码技术，从文件的产生、流转、归档、销毁的全生命周期的各环节进行安全处理和管控，同时建立全生命</w:t>
      </w:r>
      <w:r>
        <w:rPr>
          <w:spacing w:val="-76"/>
        </w:rPr>
        <w:t> </w:t>
      </w:r>
      <w:r>
        <w:rPr>
          <w:spacing w:val="-76"/>
        </w:rPr>
      </w:r>
      <w:r>
        <w:rPr/>
        <w:t>周期过程中的审计、日志系统，对文件的安全流转进行全程监控及隐形溯源追踪。</w:t>
      </w:r>
    </w:p>
    <w:p>
      <w:pPr>
        <w:pStyle w:val="BodyText"/>
        <w:spacing w:line="319" w:lineRule="auto" w:before="31"/>
        <w:ind w:right="1132" w:firstLine="360"/>
        <w:jc w:val="both"/>
      </w:pPr>
      <w:r>
        <w:rPr>
          <w:spacing w:val="-2"/>
        </w:rPr>
        <w:t>北信源运维监管平台是针对国产服务器以及服务器操作系统推出的安全监控审计产品，针对企业内部的服务器以及与服</w:t>
      </w:r>
      <w:r>
        <w:rPr/>
        <w:t> </w:t>
      </w:r>
      <w:r>
        <w:rPr>
          <w:spacing w:val="-2"/>
        </w:rPr>
        <w:t>务器息息相关的网络设备、安全设备、服务器主机、数据库、中间件、业务系统等运行状态监控，采集它们的安全状态，收</w:t>
      </w:r>
      <w:r>
        <w:rPr>
          <w:spacing w:val="-73"/>
        </w:rPr>
        <w:t> </w:t>
      </w:r>
      <w:r>
        <w:rPr>
          <w:spacing w:val="-73"/>
        </w:rPr>
      </w:r>
      <w:r>
        <w:rPr/>
        <w:t>集各个元组的性能数据。</w:t>
      </w:r>
    </w:p>
    <w:p>
      <w:pPr>
        <w:pStyle w:val="BodyText"/>
        <w:spacing w:line="316" w:lineRule="auto" w:before="17"/>
        <w:ind w:right="1034" w:firstLine="360"/>
        <w:jc w:val="left"/>
      </w:pPr>
      <w:r>
        <w:rPr>
          <w:spacing w:val="-2"/>
        </w:rPr>
        <w:t>北信源电子文件密级标志管理系统针对涉密文件管理制度的特点，采用密级属性信息与电子文档实体安全绑定技术，用</w:t>
      </w:r>
      <w:r>
        <w:rPr/>
        <w:t> </w:t>
      </w:r>
      <w:r>
        <w:rPr>
          <w:spacing w:val="-4"/>
        </w:rPr>
        <w:t>户可以自主选择需要预加密的文件并对其主动加密操作，从而加密该文件，加密后的文件在使用过程中加解密是自动完成的，</w:t>
      </w:r>
      <w:r>
        <w:rPr>
          <w:spacing w:val="-44"/>
        </w:rPr>
        <w:t> </w:t>
      </w:r>
      <w:r>
        <w:rPr>
          <w:spacing w:val="-44"/>
        </w:rPr>
      </w:r>
      <w:r>
        <w:rPr>
          <w:spacing w:val="-2"/>
        </w:rPr>
        <w:t>对用户是透明，实现密级属性权限信息与电子文档不可被非授权分离，其自身不可被非授权篡改；同时该系统采用电子文档</w:t>
      </w:r>
      <w:r>
        <w:rPr>
          <w:spacing w:val="-62"/>
        </w:rPr>
        <w:t> </w:t>
      </w:r>
      <w:r>
        <w:rPr>
          <w:spacing w:val="-62"/>
        </w:rPr>
      </w:r>
      <w:r>
        <w:rPr/>
        <w:t>安全防护控制技术，保障密级标志文档不可被非授权查阅、复制以及编辑，实现对密级文档从预定密、定密、签发、流转、 使用、审计、隐写溯源可以监控到密级文件全生命周期管理，保障密级文档的安全。</w:t>
      </w:r>
    </w:p>
    <w:p>
      <w:pPr>
        <w:pStyle w:val="BodyText"/>
        <w:spacing w:line="316" w:lineRule="auto" w:before="19"/>
        <w:ind w:right="1130" w:firstLine="360"/>
        <w:jc w:val="both"/>
      </w:pPr>
      <w:r>
        <w:rPr>
          <w:spacing w:val="-2"/>
        </w:rPr>
        <w:t>北信源电子文档发文信息隐写溯源系统针对涉密文件管理制度的特点，监控审计文档打开流程，记录详尽日志，并可在</w:t>
      </w:r>
      <w:r>
        <w:rPr/>
        <w:t> </w:t>
      </w:r>
      <w:r>
        <w:rPr>
          <w:spacing w:val="-2"/>
        </w:rPr>
        <w:t>文件中隐写不可见的信息有助于追溯明确文件保密责任、方便溯源追踪的信息，该信息使得同样内容的每一份打开都有具有</w:t>
      </w:r>
      <w:r>
        <w:rPr>
          <w:spacing w:val="-64"/>
        </w:rPr>
        <w:t> </w:t>
      </w:r>
      <w:r>
        <w:rPr>
          <w:spacing w:val="-64"/>
        </w:rPr>
      </w:r>
      <w:r>
        <w:rPr/>
        <w:t>独特的身份信息，也就使得每一份文件的每一页的每一部分内容具备了可追溯性。</w:t>
      </w:r>
    </w:p>
    <w:p>
      <w:pPr>
        <w:pStyle w:val="BodyText"/>
        <w:spacing w:line="319" w:lineRule="auto" w:before="19"/>
        <w:ind w:right="1131" w:firstLine="360"/>
        <w:jc w:val="both"/>
      </w:pPr>
      <w:r>
        <w:rPr>
          <w:spacing w:val="-2"/>
        </w:rPr>
        <w:t>自主创新软硬件平台的普及为公司信息安全产品体系的进一步发展带来了新的契机。公司将与众多国产化生态链企业一</w:t>
      </w:r>
      <w:r>
        <w:rPr/>
        <w:t> </w:t>
      </w:r>
      <w:r>
        <w:rPr>
          <w:spacing w:val="-2"/>
        </w:rPr>
        <w:t>起合力打造创新可靠生态体系，为行业客户提供安全、可信、适用的软硬件一体化解决方案和更加完善、可靠的信息安全保</w:t>
      </w:r>
      <w:r>
        <w:rPr>
          <w:spacing w:val="-64"/>
        </w:rPr>
        <w:t> </w:t>
      </w:r>
      <w:r>
        <w:rPr>
          <w:spacing w:val="-64"/>
        </w:rPr>
      </w:r>
      <w:r>
        <w:rPr/>
        <w:t>障，为国家信息安全建设与国产化发展战略贡献更多力量。</w:t>
      </w:r>
    </w:p>
    <w:p>
      <w:pPr>
        <w:spacing w:line="240" w:lineRule="auto" w:before="2"/>
        <w:rPr>
          <w:rFonts w:ascii="宋体" w:hAnsi="宋体" w:cs="宋体" w:eastAsia="宋体" w:hint="default"/>
          <w:sz w:val="25"/>
          <w:szCs w:val="25"/>
        </w:rPr>
      </w:pPr>
    </w:p>
    <w:p>
      <w:pPr>
        <w:pStyle w:val="BodyText"/>
        <w:spacing w:line="300" w:lineRule="auto"/>
        <w:ind w:left="513" w:right="1122"/>
        <w:jc w:val="left"/>
      </w:pPr>
      <w:r>
        <w:rPr>
          <w:rFonts w:ascii="Times New Roman" w:hAnsi="Times New Roman" w:cs="Times New Roman" w:eastAsia="Times New Roman" w:hint="default"/>
        </w:rPr>
        <w:t>2</w:t>
      </w:r>
      <w:r>
        <w:rPr/>
        <w:t>、大数据安全 </w:t>
      </w:r>
      <w:r>
        <w:rPr>
          <w:spacing w:val="-2"/>
        </w:rPr>
        <w:t>公司以</w:t>
      </w:r>
      <w:r>
        <w:rPr>
          <w:rFonts w:ascii="Times New Roman" w:hAnsi="Times New Roman" w:cs="Times New Roman" w:eastAsia="Times New Roman" w:hint="default"/>
          <w:spacing w:val="-2"/>
        </w:rPr>
        <w:t>“</w:t>
      </w:r>
      <w:r>
        <w:rPr>
          <w:spacing w:val="-2"/>
        </w:rPr>
        <w:t>大数据驱动内网安全，大数据提升管理效率</w:t>
      </w:r>
      <w:r>
        <w:rPr>
          <w:rFonts w:ascii="Times New Roman" w:hAnsi="Times New Roman" w:cs="Times New Roman" w:eastAsia="Times New Roman" w:hint="default"/>
          <w:spacing w:val="-2"/>
        </w:rPr>
        <w:t>”</w:t>
      </w:r>
      <w:r>
        <w:rPr>
          <w:spacing w:val="-2"/>
        </w:rPr>
        <w:t>为理念，加快大数据技术与现有产品的深度融合。公司利用大数据</w:t>
      </w:r>
    </w:p>
    <w:p>
      <w:pPr>
        <w:pStyle w:val="BodyText"/>
        <w:spacing w:line="312" w:lineRule="auto" w:before="13"/>
        <w:ind w:right="1130"/>
        <w:jc w:val="both"/>
      </w:pPr>
      <w:r>
        <w:rPr>
          <w:spacing w:val="-2"/>
        </w:rPr>
        <w:t>技术不断强化终端安全管理的广度和深度，努力以打造以</w:t>
      </w:r>
      <w:r>
        <w:rPr>
          <w:rFonts w:ascii="Times New Roman" w:hAnsi="Times New Roman" w:cs="Times New Roman" w:eastAsia="Times New Roman" w:hint="default"/>
          <w:spacing w:val="-2"/>
        </w:rPr>
        <w:t>“</w:t>
      </w:r>
      <w:r>
        <w:rPr>
          <w:spacing w:val="-2"/>
        </w:rPr>
        <w:t>大数据</w:t>
      </w:r>
      <w:r>
        <w:rPr>
          <w:rFonts w:ascii="Times New Roman" w:hAnsi="Times New Roman" w:cs="Times New Roman" w:eastAsia="Times New Roman" w:hint="default"/>
          <w:spacing w:val="-2"/>
        </w:rPr>
        <w:t>”</w:t>
      </w:r>
      <w:r>
        <w:rPr>
          <w:spacing w:val="-2"/>
        </w:rPr>
        <w:t>为基础的新一代内网安全产品生态体系。公司大数据平台</w:t>
      </w:r>
      <w:r>
        <w:rPr>
          <w:spacing w:val="-46"/>
        </w:rPr>
        <w:t> </w:t>
      </w:r>
      <w:r>
        <w:rPr>
          <w:spacing w:val="-46"/>
        </w:rPr>
      </w:r>
      <w:r>
        <w:rPr>
          <w:spacing w:val="-2"/>
        </w:rPr>
        <w:t>是企业级大数据处理、分析和挖掘平台，结合新监管管理要求，通过采集终端行为、网络流量和安全设备等数据，依托人工</w:t>
      </w:r>
      <w:r>
        <w:rPr>
          <w:spacing w:val="-67"/>
        </w:rPr>
        <w:t> </w:t>
      </w:r>
      <w:r>
        <w:rPr>
          <w:spacing w:val="-67"/>
        </w:rPr>
      </w:r>
      <w:r>
        <w:rPr>
          <w:spacing w:val="-2"/>
        </w:rPr>
        <w:t>智能算法和深度学习引擎，对于用户行为和业务数据进行分析评估，帮助企业主动应对威胁和风险，时刻掌握全网安全态势</w:t>
      </w:r>
      <w:r>
        <w:rPr>
          <w:spacing w:val="-63"/>
        </w:rPr>
        <w:t> </w:t>
      </w:r>
      <w:r>
        <w:rPr>
          <w:spacing w:val="-63"/>
        </w:rPr>
      </w:r>
      <w:r>
        <w:rPr/>
        <w:t>和业务状况。产品主要面向政府、网信、公安、行业主管单位及重要行业企事业单位。</w:t>
      </w:r>
    </w:p>
    <w:p>
      <w:pPr>
        <w:pStyle w:val="BodyText"/>
        <w:spacing w:line="316" w:lineRule="auto" w:before="22"/>
        <w:ind w:left="513" w:right="1122"/>
        <w:jc w:val="left"/>
      </w:pPr>
      <w:r>
        <w:rPr/>
        <w:t>目前，公司有四款大数据安全产品，分别是安全态势感知系统、可信感知系统、运维管理系统和安全管理系统。 </w:t>
      </w:r>
      <w:r>
        <w:rPr>
          <w:spacing w:val="-2"/>
        </w:rPr>
        <w:t>安全态势感知系统目标是将多源异构数据清洗归并技术、大数据存储技术、流式引擎关联技术、快速检索技术、可视化</w:t>
      </w:r>
    </w:p>
    <w:p>
      <w:pPr>
        <w:pStyle w:val="BodyText"/>
        <w:spacing w:line="316" w:lineRule="auto" w:before="19"/>
        <w:ind w:right="1130"/>
        <w:jc w:val="both"/>
      </w:pPr>
      <w:r>
        <w:rPr>
          <w:spacing w:val="-2"/>
        </w:rPr>
        <w:t>分析及回溯技术进行有机融合，对用户本地的安全数据进行快速、自动化的关联分析，及时发现本地的威胁和异常，同时通</w:t>
      </w:r>
      <w:r>
        <w:rPr>
          <w:spacing w:val="-63"/>
        </w:rPr>
        <w:t> </w:t>
      </w:r>
      <w:r>
        <w:rPr>
          <w:spacing w:val="-63"/>
        </w:rPr>
      </w:r>
      <w:r>
        <w:rPr>
          <w:spacing w:val="-2"/>
        </w:rPr>
        <w:t>过图形化、可视化的技术将这些威胁和异常的总体安全态势呈现给用户，形成本地的检测发现、应急处置、调查分析的闭环</w:t>
      </w:r>
      <w:r>
        <w:rPr>
          <w:spacing w:val="-64"/>
        </w:rPr>
        <w:t> </w:t>
      </w:r>
      <w:r>
        <w:rPr>
          <w:spacing w:val="-64"/>
        </w:rPr>
      </w:r>
      <w:r>
        <w:rPr/>
        <w:t>安全防护体系，形成本地的安全感知、预警、响应一体化平台，全面保障企业信息安全。</w:t>
      </w:r>
    </w:p>
    <w:p>
      <w:pPr>
        <w:pStyle w:val="BodyText"/>
        <w:spacing w:line="316" w:lineRule="auto" w:before="19"/>
        <w:ind w:right="0" w:firstLine="360"/>
        <w:jc w:val="left"/>
      </w:pPr>
      <w:r>
        <w:rPr>
          <w:spacing w:val="-2"/>
        </w:rPr>
        <w:t>可信感知系统是基于零信任安全架构所实现的访问控制安全整体实践，其核心技术要点包括：以身份为中心、多维感知</w:t>
      </w:r>
      <w:r>
        <w:rPr/>
        <w:t> </w:t>
      </w:r>
      <w:r>
        <w:rPr>
          <w:spacing w:val="-4"/>
        </w:rPr>
        <w:t>要素、持续信任评估、业务安全访问、安全感知报告、动态访问控制和服务接口联动。该系统革新安全架构，树立行业标杆；</w:t>
      </w:r>
      <w:r>
        <w:rPr>
          <w:spacing w:val="-44"/>
        </w:rPr>
        <w:t> </w:t>
      </w:r>
      <w:r>
        <w:rPr>
          <w:spacing w:val="-44"/>
        </w:rPr>
      </w:r>
      <w:r>
        <w:rPr/>
        <w:t>提升安全能力，应对实时风险；实现持续评估，降低数据泄露。</w:t>
      </w:r>
    </w:p>
    <w:p>
      <w:pPr>
        <w:pStyle w:val="BodyText"/>
        <w:spacing w:line="312" w:lineRule="auto" w:before="19"/>
        <w:ind w:right="1034" w:firstLine="360"/>
        <w:jc w:val="left"/>
      </w:pPr>
      <w:r>
        <w:rPr>
          <w:spacing w:val="-2"/>
        </w:rPr>
        <w:t>运维管理系统建设的总体目标是构建一个统一的综合运维管理分析平台，以</w:t>
      </w:r>
      <w:r>
        <w:rPr>
          <w:rFonts w:ascii="Times New Roman" w:hAnsi="Times New Roman" w:cs="Times New Roman" w:eastAsia="Times New Roman" w:hint="default"/>
          <w:spacing w:val="-2"/>
        </w:rPr>
        <w:t>IT</w:t>
      </w:r>
      <w:r>
        <w:rPr>
          <w:spacing w:val="-2"/>
        </w:rPr>
        <w:t>资产及业务为核心，以安全事件管理为关</w:t>
      </w:r>
      <w:r>
        <w:rPr/>
        <w:t> </w:t>
      </w:r>
      <w:r>
        <w:rPr>
          <w:spacing w:val="-2"/>
        </w:rPr>
        <w:t>键流程，采用安全域划分的思想，建立一套实时的风险模型，实现对各类资产和业务的信息采集、关联分析、日志审计、事</w:t>
      </w:r>
      <w:r>
        <w:rPr>
          <w:spacing w:val="-70"/>
        </w:rPr>
        <w:t> </w:t>
      </w:r>
      <w:r>
        <w:rPr>
          <w:spacing w:val="-70"/>
        </w:rPr>
      </w:r>
      <w:r>
        <w:rPr/>
        <w:t>件监控、流量分析、规则预警和快速响应，形成发现、分级、监控、管理、关联、展现的全方位异常行为分析与预警机制， 做到</w:t>
      </w:r>
      <w:r>
        <w:rPr>
          <w:rFonts w:ascii="Times New Roman" w:hAnsi="Times New Roman" w:cs="Times New Roman" w:eastAsia="Times New Roman" w:hint="default"/>
        </w:rPr>
        <w:t>“</w:t>
      </w:r>
      <w:r>
        <w:rPr/>
        <w:t>集中监控、统一管理、全面分析、快速响应</w:t>
      </w:r>
      <w:r>
        <w:rPr>
          <w:rFonts w:ascii="Times New Roman" w:hAnsi="Times New Roman" w:cs="Times New Roman" w:eastAsia="Times New Roman" w:hint="default"/>
        </w:rPr>
        <w:t>”</w:t>
      </w:r>
      <w:r>
        <w:rPr/>
        <w:t>。</w:t>
      </w:r>
    </w:p>
    <w:p>
      <w:pPr>
        <w:pStyle w:val="BodyText"/>
        <w:spacing w:line="300" w:lineRule="auto" w:before="3"/>
        <w:ind w:right="1126" w:firstLine="360"/>
        <w:jc w:val="both"/>
      </w:pPr>
      <w:r>
        <w:rPr/>
        <w:t>安全管理系统结合企业信息安全管理制度</w:t>
      </w:r>
      <w:r>
        <w:rPr>
          <w:spacing w:val="42"/>
        </w:rPr>
        <w:t> </w:t>
      </w:r>
      <w:r>
        <w:rPr>
          <w:rFonts w:ascii="Times New Roman" w:hAnsi="Times New Roman" w:cs="Times New Roman" w:eastAsia="Times New Roman" w:hint="default"/>
        </w:rPr>
        <w:t>,</w:t>
      </w:r>
      <w:r>
        <w:rPr/>
        <w:t>落实信息安全管理体系模型</w:t>
      </w:r>
      <w:r>
        <w:rPr>
          <w:rFonts w:ascii="Times New Roman" w:hAnsi="Times New Roman" w:cs="Times New Roman" w:eastAsia="Times New Roman" w:hint="default"/>
        </w:rPr>
        <w:t>,</w:t>
      </w:r>
      <w:r>
        <w:rPr/>
        <w:t>不但是各级安全管理人员的日常工作平台</w:t>
      </w:r>
      <w:r>
        <w:rPr>
          <w:rFonts w:ascii="Times New Roman" w:hAnsi="Times New Roman" w:cs="Times New Roman" w:eastAsia="Times New Roman" w:hint="default"/>
        </w:rPr>
        <w:t>,</w:t>
      </w:r>
      <w:r>
        <w:rPr/>
        <w:t>安全</w:t>
      </w:r>
      <w:r>
        <w:rPr>
          <w:spacing w:val="2"/>
        </w:rPr>
        <w:t> </w:t>
      </w:r>
      <w:r>
        <w:rPr>
          <w:spacing w:val="-1"/>
        </w:rPr>
        <w:t>的集中监控与综合展示平台</w:t>
      </w:r>
      <w:r>
        <w:rPr>
          <w:rFonts w:ascii="Times New Roman" w:hAnsi="Times New Roman" w:cs="Times New Roman" w:eastAsia="Times New Roman" w:hint="default"/>
          <w:spacing w:val="-1"/>
        </w:rPr>
        <w:t>,</w:t>
      </w:r>
      <w:r>
        <w:rPr>
          <w:spacing w:val="-1"/>
        </w:rPr>
        <w:t>支撑信息安全与考核的管理平台</w:t>
      </w:r>
      <w:r>
        <w:rPr>
          <w:rFonts w:ascii="Times New Roman" w:hAnsi="Times New Roman" w:cs="Times New Roman" w:eastAsia="Times New Roman" w:hint="default"/>
          <w:spacing w:val="-1"/>
        </w:rPr>
        <w:t>;</w:t>
      </w:r>
      <w:r>
        <w:rPr>
          <w:spacing w:val="-1"/>
        </w:rPr>
        <w:t>还是基于风险评估的态势感知、分析预测平台</w:t>
      </w:r>
      <w:r>
        <w:rPr>
          <w:rFonts w:ascii="Times New Roman" w:hAnsi="Times New Roman" w:cs="Times New Roman" w:eastAsia="Times New Roman" w:hint="default"/>
          <w:spacing w:val="-1"/>
        </w:rPr>
        <w:t>,</w:t>
      </w:r>
      <w:r>
        <w:rPr>
          <w:spacing w:val="-1"/>
        </w:rPr>
        <w:t>决策辅助与专家</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122" w:hanging="361"/>
        <w:jc w:val="left"/>
      </w:pPr>
      <w:r>
        <w:rPr/>
        <w:t>推理的综合评估平台。 </w:t>
      </w:r>
      <w:r>
        <w:rPr>
          <w:spacing w:val="-2"/>
        </w:rPr>
        <w:t>报告期内，公司大数据安全技术和产品得到行业广泛认可，参投项目屡屡中标。基于公司终端安全管理产品已大规模部</w:t>
      </w:r>
    </w:p>
    <w:p>
      <w:pPr>
        <w:pStyle w:val="BodyText"/>
        <w:spacing w:line="316" w:lineRule="auto" w:before="19"/>
        <w:ind w:right="1122"/>
        <w:jc w:val="left"/>
      </w:pPr>
      <w:r>
        <w:rPr>
          <w:spacing w:val="-2"/>
        </w:rPr>
        <w:t>署于政府、军队、军工、能源、金融等重要行业数千万终端的背景，北信源大数据安全产品能够快速进行部署，并为国家关</w:t>
      </w:r>
      <w:r>
        <w:rPr>
          <w:spacing w:val="-70"/>
        </w:rPr>
        <w:t> </w:t>
      </w:r>
      <w:r>
        <w:rPr>
          <w:spacing w:val="-70"/>
        </w:rPr>
      </w:r>
      <w:r>
        <w:rPr/>
        <w:t>键信息基础设施和重要信息系统提供安全保障。</w:t>
      </w:r>
    </w:p>
    <w:p>
      <w:pPr>
        <w:spacing w:line="240" w:lineRule="auto" w:before="4"/>
        <w:rPr>
          <w:rFonts w:ascii="宋体" w:hAnsi="宋体" w:cs="宋体" w:eastAsia="宋体" w:hint="default"/>
          <w:sz w:val="25"/>
          <w:szCs w:val="25"/>
        </w:rPr>
      </w:pPr>
    </w:p>
    <w:p>
      <w:pPr>
        <w:pStyle w:val="BodyText"/>
        <w:spacing w:line="240" w:lineRule="auto"/>
        <w:ind w:left="513" w:right="1122"/>
        <w:jc w:val="left"/>
      </w:pPr>
      <w:r>
        <w:rPr>
          <w:rFonts w:ascii="Times New Roman" w:hAnsi="Times New Roman" w:cs="Times New Roman" w:eastAsia="Times New Roman" w:hint="default"/>
        </w:rPr>
        <w:t>3</w:t>
      </w:r>
      <w:r>
        <w:rPr/>
        <w:t>、安全通信应用</w:t>
      </w:r>
    </w:p>
    <w:p>
      <w:pPr>
        <w:pStyle w:val="BodyText"/>
        <w:spacing w:line="300" w:lineRule="auto" w:before="63"/>
        <w:ind w:right="1131" w:firstLine="360"/>
        <w:jc w:val="both"/>
      </w:pPr>
      <w:r>
        <w:rPr/>
        <w:t>公司全力打造的</w:t>
      </w:r>
      <w:r>
        <w:rPr>
          <w:rFonts w:ascii="Times New Roman" w:hAnsi="Times New Roman" w:cs="Times New Roman" w:eastAsia="Times New Roman" w:hint="default"/>
        </w:rPr>
        <w:t>“</w:t>
      </w:r>
      <w:r>
        <w:rPr/>
        <w:t>新一代安全通信聚合平台</w:t>
      </w:r>
      <w:r>
        <w:rPr>
          <w:rFonts w:ascii="Times New Roman" w:hAnsi="Times New Roman" w:cs="Times New Roman" w:eastAsia="Times New Roman" w:hint="default"/>
        </w:rPr>
        <w:t>-</w:t>
      </w:r>
      <w:r>
        <w:rPr/>
        <w:t>信源豆豆</w:t>
      </w:r>
      <w:r>
        <w:rPr>
          <w:rFonts w:ascii="Times New Roman" w:hAnsi="Times New Roman" w:cs="Times New Roman" w:eastAsia="Times New Roman" w:hint="default"/>
        </w:rPr>
        <w:t>”</w:t>
      </w:r>
      <w:r>
        <w:rPr/>
        <w:t>是以</w:t>
      </w:r>
      <w:r>
        <w:rPr>
          <w:rFonts w:ascii="Times New Roman" w:hAnsi="Times New Roman" w:cs="Times New Roman" w:eastAsia="Times New Roman" w:hint="default"/>
        </w:rPr>
        <w:t>“</w:t>
      </w:r>
      <w:r>
        <w:rPr/>
        <w:t>安全连接，智慧聚合</w:t>
      </w:r>
      <w:r>
        <w:rPr>
          <w:rFonts w:ascii="Times New Roman" w:hAnsi="Times New Roman" w:cs="Times New Roman" w:eastAsia="Times New Roman" w:hint="default"/>
        </w:rPr>
        <w:t>”</w:t>
      </w:r>
      <w:r>
        <w:rPr/>
        <w:t>为核心理念，以私有服务器为载体， 以即时通信为基础的安全可信聚合平台，有效满足了万物互联时代的安全即时通信需求。</w:t>
      </w:r>
    </w:p>
    <w:p>
      <w:pPr>
        <w:pStyle w:val="BodyText"/>
        <w:spacing w:line="319" w:lineRule="auto" w:before="31"/>
        <w:ind w:right="1133" w:firstLine="360"/>
        <w:jc w:val="both"/>
      </w:pPr>
      <w:r>
        <w:rPr>
          <w:spacing w:val="-2"/>
        </w:rPr>
        <w:t>信源豆豆具备高安全性，支持一人一密，从服务器、通信链路到客户端进行全程加密，对通信、存储、访问和使用模式</w:t>
      </w:r>
      <w:r>
        <w:rPr/>
        <w:t> </w:t>
      </w:r>
      <w:r>
        <w:rPr>
          <w:spacing w:val="-2"/>
        </w:rPr>
        <w:t>进行四维安全防护。产品具备完整的即时通信功能，不仅包括消息聊天、群聊、语音聊天、语音通话、文件传输、微视频等</w:t>
      </w:r>
      <w:r>
        <w:rPr>
          <w:spacing w:val="-73"/>
        </w:rPr>
        <w:t> </w:t>
      </w:r>
      <w:r>
        <w:rPr>
          <w:spacing w:val="-73"/>
        </w:rPr>
      </w:r>
      <w:r>
        <w:rPr>
          <w:spacing w:val="-2"/>
        </w:rPr>
        <w:t>通用功能，还包括私密聊天模式、阅后回执、密聊、阅后即焚等安全通信功能。此外，信源豆豆还提供了独特的安全远程办</w:t>
      </w:r>
      <w:r>
        <w:rPr>
          <w:spacing w:val="-68"/>
        </w:rPr>
        <w:t> </w:t>
      </w:r>
      <w:r>
        <w:rPr>
          <w:spacing w:val="-68"/>
        </w:rPr>
      </w:r>
      <w:r>
        <w:rPr>
          <w:spacing w:val="-2"/>
        </w:rPr>
        <w:t>公功能，如工作群组能让员工随时随地高效沟通；移动定位打卡签到，能让员工在家一样定位考勤；安全云盘，提供工作文</w:t>
      </w:r>
      <w:r>
        <w:rPr>
          <w:spacing w:val="-67"/>
        </w:rPr>
        <w:t> </w:t>
      </w:r>
      <w:r>
        <w:rPr>
          <w:spacing w:val="-67"/>
        </w:rPr>
      </w:r>
      <w:r>
        <w:rPr>
          <w:spacing w:val="-2"/>
        </w:rPr>
        <w:t>档共享、私有云存储，让文档随身携带；语音视频会议，让员工和团队随时进入会议室；线上培训直播，让员工在家一样参</w:t>
      </w:r>
      <w:r>
        <w:rPr>
          <w:spacing w:val="-68"/>
        </w:rPr>
        <w:t> </w:t>
      </w:r>
      <w:r>
        <w:rPr>
          <w:spacing w:val="-68"/>
        </w:rPr>
      </w:r>
      <w:r>
        <w:rPr/>
        <w:t>加工作培训；信息通知，保障重要信息及时送达；工作日报、周报自动生成，让团队进展一目了然。</w:t>
      </w:r>
    </w:p>
    <w:p>
      <w:pPr>
        <w:pStyle w:val="BodyText"/>
        <w:spacing w:line="316" w:lineRule="auto" w:before="17"/>
        <w:ind w:right="1131" w:firstLine="360"/>
        <w:jc w:val="both"/>
      </w:pPr>
      <w:r>
        <w:rPr>
          <w:spacing w:val="-2"/>
        </w:rPr>
        <w:t>此外，信源豆豆还提供开放结构，支持第三方的多类型应用，能与用户现有业务进行无缝集成，用户可以根据自己的需</w:t>
      </w:r>
      <w:r>
        <w:rPr/>
        <w:t> </w:t>
      </w:r>
      <w:r>
        <w:rPr>
          <w:spacing w:val="-2"/>
        </w:rPr>
        <w:t>求，添加邮件系统、任务审批、日程管理等多款高质量的标准办公应用，快速实现移动化办公。目前，信源豆豆产品已经完</w:t>
      </w:r>
      <w:r>
        <w:rPr>
          <w:spacing w:val="-68"/>
        </w:rPr>
        <w:t> </w:t>
      </w:r>
      <w:r>
        <w:rPr>
          <w:spacing w:val="-68"/>
        </w:rPr>
      </w:r>
      <w:r>
        <w:rPr>
          <w:spacing w:val="-2"/>
        </w:rPr>
        <w:t>成从服务器到客户端，从操作系统到数据库，从中间件到加密算法的国产化平台及其技术的全面适配。报告期内，公司组建</w:t>
      </w:r>
      <w:r>
        <w:rPr>
          <w:spacing w:val="-64"/>
        </w:rPr>
        <w:t> </w:t>
      </w:r>
      <w:r>
        <w:rPr>
          <w:spacing w:val="-64"/>
        </w:rPr>
      </w:r>
      <w:r>
        <w:rPr>
          <w:spacing w:val="-2"/>
        </w:rPr>
        <w:t>了高水平的区块链团队，依托信源豆豆，展开了数据存证、健康医疗、社区管理等方面的应用研发，并为进一步开拓海内外</w:t>
      </w:r>
      <w:r>
        <w:rPr>
          <w:spacing w:val="-67"/>
        </w:rPr>
        <w:t> </w:t>
      </w:r>
      <w:r>
        <w:rPr>
          <w:spacing w:val="-67"/>
        </w:rPr>
      </w:r>
      <w:r>
        <w:rPr/>
        <w:t>市场做好了基础性铺垫。</w:t>
      </w:r>
    </w:p>
    <w:p>
      <w:pPr>
        <w:pStyle w:val="BodyText"/>
        <w:spacing w:line="319" w:lineRule="auto" w:before="19"/>
        <w:ind w:right="1130" w:firstLine="360"/>
        <w:jc w:val="both"/>
      </w:pPr>
      <w:r>
        <w:rPr>
          <w:spacing w:val="-2"/>
        </w:rPr>
        <w:t>信源豆豆的客户类型包括大型客户、中小型客户小团体和相关衍生平台用户、特殊行业客户。信源豆豆针对不同客户的</w:t>
      </w:r>
      <w:r>
        <w:rPr/>
        <w:t> </w:t>
      </w:r>
      <w:r>
        <w:rPr>
          <w:spacing w:val="-2"/>
        </w:rPr>
        <w:t>需求和应用模式给出了完善的解决方案，开发了标准版、专业版、特殊行业客户定制版和互联网销售版等多个版本，典型案</w:t>
      </w:r>
      <w:r>
        <w:rPr>
          <w:spacing w:val="-64"/>
        </w:rPr>
        <w:t> </w:t>
      </w:r>
      <w:r>
        <w:rPr>
          <w:spacing w:val="-64"/>
        </w:rPr>
      </w:r>
      <w:r>
        <w:rPr/>
        <w:t>例包括应急响应平台、政协履职平台、信源豆豆社区防控平台、远程办公系统等。</w:t>
      </w:r>
    </w:p>
    <w:p>
      <w:pPr>
        <w:pStyle w:val="BodyText"/>
        <w:spacing w:line="316" w:lineRule="auto" w:before="17"/>
        <w:ind w:right="0" w:firstLine="360"/>
        <w:jc w:val="left"/>
      </w:pPr>
      <w:r>
        <w:rPr>
          <w:spacing w:val="-4"/>
        </w:rPr>
        <w:t>应急响应平台是北信源在《国家网络安全应急预案》等一系列政策的指引下，在中央网信办的应急处置总体规划指导下，</w:t>
      </w:r>
      <w:r>
        <w:rPr/>
        <w:t> </w:t>
      </w:r>
      <w:r>
        <w:rPr>
          <w:spacing w:val="-2"/>
        </w:rPr>
        <w:t>基于信源豆豆打造的应急响应解决方案，并利用前沿的大数据、人工智能等技术提升这套系统的能力，逐步提升我国网络安</w:t>
      </w:r>
      <w:r>
        <w:rPr>
          <w:spacing w:val="-63"/>
        </w:rPr>
        <w:t> </w:t>
      </w:r>
      <w:r>
        <w:rPr>
          <w:spacing w:val="-63"/>
        </w:rPr>
      </w:r>
      <w:r>
        <w:rPr>
          <w:spacing w:val="-2"/>
        </w:rPr>
        <w:t>全、工控安全防护能力，为制造强国和网络强国战略建设奠定坚实基础。目前这套解决方案已经应用于网络安全应急响应平</w:t>
      </w:r>
      <w:r>
        <w:rPr>
          <w:spacing w:val="-66"/>
        </w:rPr>
        <w:t> </w:t>
      </w:r>
      <w:r>
        <w:rPr>
          <w:spacing w:val="-66"/>
        </w:rPr>
      </w:r>
      <w:r>
        <w:rPr/>
        <w:t>台、工控安全应急通信系统等。</w:t>
      </w:r>
    </w:p>
    <w:p>
      <w:pPr>
        <w:pStyle w:val="BodyText"/>
        <w:spacing w:line="300" w:lineRule="auto" w:before="19"/>
        <w:ind w:right="1133" w:firstLine="360"/>
        <w:jc w:val="both"/>
      </w:pPr>
      <w:r>
        <w:rPr>
          <w:spacing w:val="-3"/>
        </w:rPr>
        <w:t>政协履职平台由公司与中国联通共同发起，信源豆豆为该平台提供了重要功能，实现了</w:t>
      </w:r>
      <w:r>
        <w:rPr>
          <w:rFonts w:ascii="Times New Roman" w:hAnsi="Times New Roman" w:cs="Times New Roman" w:eastAsia="Times New Roman" w:hint="default"/>
          <w:spacing w:val="-3"/>
        </w:rPr>
        <w:t>“</w:t>
      </w:r>
      <w:r>
        <w:rPr>
          <w:spacing w:val="-3"/>
        </w:rPr>
        <w:t>联络联系</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点对点沟通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系</w:t>
      </w:r>
      <w:r>
        <w:rPr/>
        <w:t> 统信息推送</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w:t>
      </w:r>
      <w:r>
        <w:rPr/>
        <w:t>主题议政</w:t>
      </w:r>
      <w:r>
        <w:rPr>
          <w:rFonts w:ascii="Times New Roman" w:hAnsi="Times New Roman" w:cs="Times New Roman" w:eastAsia="Times New Roman" w:hint="default"/>
        </w:rPr>
        <w:t>”</w:t>
      </w:r>
      <w:r>
        <w:rPr/>
        <w:t>等功能，该系统最大的群组容纳</w:t>
      </w:r>
      <w:r>
        <w:rPr>
          <w:rFonts w:ascii="Times New Roman" w:hAnsi="Times New Roman" w:cs="Times New Roman" w:eastAsia="Times New Roman" w:hint="default"/>
        </w:rPr>
        <w:t>2500</w:t>
      </w:r>
      <w:r>
        <w:rPr/>
        <w:t>人，创造了在即时通讯领域系统社群容纳最多人数，系</w:t>
      </w:r>
      <w:r>
        <w:rPr>
          <w:spacing w:val="-59"/>
        </w:rPr>
        <w:t> </w:t>
      </w:r>
      <w:r>
        <w:rPr>
          <w:spacing w:val="-59"/>
        </w:rPr>
      </w:r>
      <w:r>
        <w:rPr/>
        <w:t>统上线一年多，运行十分稳定。</w:t>
      </w:r>
    </w:p>
    <w:p>
      <w:pPr>
        <w:pStyle w:val="BodyText"/>
        <w:spacing w:line="314" w:lineRule="auto" w:before="31"/>
        <w:ind w:right="1036" w:firstLine="360"/>
        <w:jc w:val="left"/>
      </w:pPr>
      <w:r>
        <w:rPr>
          <w:spacing w:val="-2"/>
        </w:rPr>
        <w:t>信源豆豆社区防控平台是公司响应民政部和国家卫生健康委的号召（全面贯彻落实习近平总书记重要指示批示精神和党</w:t>
      </w:r>
      <w:r>
        <w:rPr/>
        <w:t> </w:t>
      </w:r>
      <w:r>
        <w:rPr>
          <w:spacing w:val="-6"/>
        </w:rPr>
        <w:t>中央、国务院决策部署，遵循</w:t>
      </w:r>
      <w:r>
        <w:rPr>
          <w:rFonts w:ascii="Times New Roman" w:hAnsi="Times New Roman" w:cs="Times New Roman" w:eastAsia="Times New Roman" w:hint="default"/>
          <w:spacing w:val="-6"/>
        </w:rPr>
        <w:t>“</w:t>
      </w:r>
      <w:r>
        <w:rPr>
          <w:spacing w:val="-6"/>
        </w:rPr>
        <w:t>外防输入、内防反弹</w:t>
      </w:r>
      <w:r>
        <w:rPr>
          <w:rFonts w:ascii="Times New Roman" w:hAnsi="Times New Roman" w:cs="Times New Roman" w:eastAsia="Times New Roman" w:hint="default"/>
          <w:spacing w:val="-6"/>
        </w:rPr>
        <w:t>”</w:t>
      </w:r>
      <w:r>
        <w:rPr>
          <w:spacing w:val="-6"/>
        </w:rPr>
        <w:t>的总体防控策略和以县域为单位实施差异化防控的基本要求，根据县（市、</w:t>
      </w:r>
      <w:r>
        <w:rPr>
          <w:spacing w:val="-84"/>
        </w:rPr>
        <w:t> </w:t>
      </w:r>
      <w:r>
        <w:rPr>
          <w:spacing w:val="-84"/>
        </w:rPr>
      </w:r>
      <w:r>
        <w:rPr>
          <w:spacing w:val="-2"/>
        </w:rPr>
        <w:t>区、旗）疫情风险等级和社区疫情划分，科学精准制定实施社区疫情防控措施，做好新冠肺炎治愈患者和解除医学观察人员</w:t>
      </w:r>
      <w:r>
        <w:rPr>
          <w:spacing w:val="-64"/>
        </w:rPr>
        <w:t> </w:t>
      </w:r>
      <w:r>
        <w:rPr>
          <w:spacing w:val="-64"/>
        </w:rPr>
      </w:r>
      <w:r>
        <w:rPr>
          <w:spacing w:val="-2"/>
        </w:rPr>
        <w:t>回归融入社区相关工作，助力全面推进复工复产，努力减少疫情防控对社区居民正常生活的影响。），为社区抗疫量身定制</w:t>
      </w:r>
      <w:r>
        <w:rPr>
          <w:spacing w:val="-65"/>
        </w:rPr>
        <w:t> </w:t>
      </w:r>
      <w:r>
        <w:rPr>
          <w:spacing w:val="-65"/>
        </w:rPr>
      </w:r>
      <w:r>
        <w:rPr>
          <w:spacing w:val="-2"/>
        </w:rPr>
        <w:t>的一站式平台化管理工具，可实现社区工作数据实时统计及更新、提升防疫效率，帮助社区加强小区疫情防控管理，从而积</w:t>
      </w:r>
      <w:r>
        <w:rPr>
          <w:spacing w:val="-62"/>
        </w:rPr>
        <w:t> </w:t>
      </w:r>
      <w:r>
        <w:rPr>
          <w:spacing w:val="-62"/>
        </w:rPr>
      </w:r>
      <w:r>
        <w:rPr/>
        <w:t>极落实社区防控</w:t>
      </w:r>
      <w:r>
        <w:rPr>
          <w:rFonts w:ascii="Times New Roman" w:hAnsi="Times New Roman" w:cs="Times New Roman" w:eastAsia="Times New Roman" w:hint="default"/>
        </w:rPr>
        <w:t>“</w:t>
      </w:r>
      <w:r>
        <w:rPr/>
        <w:t>四早</w:t>
      </w:r>
      <w:r>
        <w:rPr>
          <w:rFonts w:ascii="Times New Roman" w:hAnsi="Times New Roman" w:cs="Times New Roman" w:eastAsia="Times New Roman" w:hint="default"/>
        </w:rPr>
        <w:t>”</w:t>
      </w:r>
      <w:r>
        <w:rPr/>
        <w:t>重点</w:t>
      </w:r>
      <w:r>
        <w:rPr>
          <w:rFonts w:ascii="Times New Roman" w:hAnsi="Times New Roman" w:cs="Times New Roman" w:eastAsia="Times New Roman" w:hint="default"/>
        </w:rPr>
        <w:t>——“</w:t>
      </w:r>
      <w:r>
        <w:rPr/>
        <w:t>早发现、早报告、早隔离、早治疗</w:t>
      </w:r>
      <w:r>
        <w:rPr>
          <w:rFonts w:ascii="Times New Roman" w:hAnsi="Times New Roman" w:cs="Times New Roman" w:eastAsia="Times New Roman" w:hint="default"/>
        </w:rPr>
        <w:t>”</w:t>
      </w:r>
      <w:r>
        <w:rPr/>
        <w:t>，为取得疫情防控战的最终胜利筑牢安全屏障。</w:t>
      </w:r>
    </w:p>
    <w:p>
      <w:pPr>
        <w:pStyle w:val="BodyText"/>
        <w:spacing w:line="316" w:lineRule="auto" w:before="1"/>
        <w:ind w:right="1044" w:firstLine="360"/>
        <w:jc w:val="both"/>
      </w:pPr>
      <w:r>
        <w:rPr>
          <w:spacing w:val="-2"/>
        </w:rPr>
        <w:t>目前，信源豆豆已应用于北京网信办、中国地质科学院地质科学数据网络建设中心、中国人民银行清算总中心、华夏银</w:t>
      </w:r>
      <w:r>
        <w:rPr/>
        <w:t> </w:t>
      </w:r>
      <w:r>
        <w:rPr>
          <w:spacing w:val="-2"/>
        </w:rPr>
        <w:t>行股份有限公司、湖北省财政厅等客户，同时在公安、军工、军队等特殊行业客户中进行了示范性部署，融入了国内安全可</w:t>
      </w:r>
      <w:r>
        <w:rPr>
          <w:spacing w:val="-67"/>
        </w:rPr>
        <w:t> </w:t>
      </w:r>
      <w:r>
        <w:rPr>
          <w:spacing w:val="-67"/>
        </w:rPr>
      </w:r>
      <w:r>
        <w:rPr>
          <w:spacing w:val="-4"/>
        </w:rPr>
        <w:t>信等技术理念，满足特殊行业客户的要求，受到了政府机关、公安、军工、军队、金融、能源、医疗等行业客户的一致好评。</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（三）经营模式</w:t>
      </w:r>
      <w:r>
        <w:rPr>
          <w:rFonts w:ascii="宋体" w:hAnsi="宋体" w:cs="宋体" w:eastAsia="宋体" w:hint="default"/>
          <w:b/>
          <w:bCs/>
          <w:w w:val="99"/>
        </w:rPr>
        <w:t> </w:t>
      </w:r>
      <w:r>
        <w:rPr>
          <w:spacing w:val="-2"/>
        </w:rPr>
        <w:t>报告期内，公司秉承着</w:t>
      </w:r>
      <w:r>
        <w:rPr>
          <w:rFonts w:ascii="Times New Roman" w:hAnsi="Times New Roman" w:cs="Times New Roman" w:eastAsia="Times New Roman" w:hint="default"/>
          <w:spacing w:val="-2"/>
        </w:rPr>
        <w:t>“</w:t>
      </w:r>
      <w:r>
        <w:rPr>
          <w:spacing w:val="-2"/>
        </w:rPr>
        <w:t>信息之源、信誉之源、信心之源</w:t>
      </w:r>
      <w:r>
        <w:rPr>
          <w:rFonts w:ascii="Times New Roman" w:hAnsi="Times New Roman" w:cs="Times New Roman" w:eastAsia="Times New Roman" w:hint="default"/>
          <w:spacing w:val="-2"/>
        </w:rPr>
        <w:t>”</w:t>
      </w:r>
      <w:r>
        <w:rPr>
          <w:spacing w:val="-2"/>
        </w:rPr>
        <w:t>的核心理念，坚持技术创新，并围绕客户的实际需求，以市场</w:t>
      </w:r>
    </w:p>
    <w:p>
      <w:pPr>
        <w:pStyle w:val="BodyText"/>
        <w:spacing w:line="319" w:lineRule="auto"/>
        <w:ind w:left="513" w:right="1122" w:hanging="361"/>
        <w:jc w:val="left"/>
      </w:pPr>
      <w:r>
        <w:rPr/>
        <w:t>为导向，持续为客户提供优质的产品与服务。 </w:t>
      </w:r>
      <w:r>
        <w:rPr>
          <w:spacing w:val="-2"/>
        </w:rPr>
        <w:t>在产品研发方面，将自主创新视为公司发展的根本，经过二十余年沉淀，积累了丰富的技术信息和科学研发能力，已发</w:t>
      </w:r>
    </w:p>
    <w:p>
      <w:pPr>
        <w:pStyle w:val="BodyText"/>
        <w:spacing w:line="240" w:lineRule="auto" w:before="17"/>
        <w:ind w:right="0"/>
        <w:jc w:val="left"/>
      </w:pPr>
      <w:r>
        <w:rPr/>
        <w:t>展成一家具备前沿技术研究、安全产品研发、安全咨询服务的整体解决方案提供商，并首创具有知识产权的完整终端安全管</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理产品体系。</w:t>
      </w:r>
    </w:p>
    <w:p>
      <w:pPr>
        <w:pStyle w:val="BodyText"/>
        <w:spacing w:line="316" w:lineRule="auto" w:before="76"/>
        <w:ind w:right="1130" w:firstLine="360"/>
        <w:jc w:val="both"/>
      </w:pPr>
      <w:r>
        <w:rPr>
          <w:spacing w:val="-2"/>
        </w:rPr>
        <w:t>在市场销售方面，公司坚持以客户为中心，深入了解客户需求，为客户提供全方位的服务和应用解决方案，通过多年来</w:t>
      </w:r>
      <w:r>
        <w:rPr/>
        <w:t> </w:t>
      </w:r>
      <w:r>
        <w:rPr>
          <w:spacing w:val="-2"/>
        </w:rPr>
        <w:t>的积累和努力，得到业内广泛认可。公司凭借有竞争力的产品、较强的研发能力、完整的解决方案、良好的品牌声誉取得了</w:t>
      </w:r>
      <w:r>
        <w:rPr>
          <w:spacing w:val="-66"/>
        </w:rPr>
        <w:t> </w:t>
      </w:r>
      <w:r>
        <w:rPr>
          <w:spacing w:val="-66"/>
        </w:rPr>
      </w:r>
      <w:r>
        <w:rPr>
          <w:spacing w:val="-2"/>
        </w:rPr>
        <w:t>客户的信任，建立了良好稳固的合作关系；公司建立了完善的服务体系，配备了一批高素质的专业技术支持人员和客户服务</w:t>
      </w:r>
      <w:r>
        <w:rPr>
          <w:spacing w:val="-63"/>
        </w:rPr>
        <w:t> </w:t>
      </w:r>
      <w:r>
        <w:rPr>
          <w:spacing w:val="-63"/>
        </w:rPr>
      </w:r>
      <w:r>
        <w:rPr/>
        <w:t>人员，能够快捷响应客户需求。</w:t>
      </w:r>
    </w:p>
    <w:p>
      <w:pPr>
        <w:pStyle w:val="BodyText"/>
        <w:spacing w:line="309" w:lineRule="auto" w:before="19"/>
        <w:ind w:right="1129" w:firstLine="360"/>
        <w:jc w:val="both"/>
      </w:pPr>
      <w:r>
        <w:rPr>
          <w:spacing w:val="-2"/>
        </w:rPr>
        <w:t>公司始终采取</w:t>
      </w:r>
      <w:r>
        <w:rPr>
          <w:rFonts w:ascii="Times New Roman" w:hAnsi="Times New Roman" w:cs="Times New Roman" w:eastAsia="Times New Roman" w:hint="default"/>
          <w:spacing w:val="-2"/>
        </w:rPr>
        <w:t>“</w:t>
      </w:r>
      <w:r>
        <w:rPr>
          <w:spacing w:val="-2"/>
        </w:rPr>
        <w:t>集中管控、专业经营、精细管理</w:t>
      </w:r>
      <w:r>
        <w:rPr>
          <w:rFonts w:ascii="Times New Roman" w:hAnsi="Times New Roman" w:cs="Times New Roman" w:eastAsia="Times New Roman" w:hint="default"/>
          <w:spacing w:val="-2"/>
        </w:rPr>
        <w:t>”</w:t>
      </w:r>
      <w:r>
        <w:rPr>
          <w:spacing w:val="-2"/>
        </w:rPr>
        <w:t>的模式，有力的推动公司业务提升和管理优化。随着财务、采购、销售</w:t>
      </w:r>
      <w:r>
        <w:rPr/>
        <w:t> </w:t>
      </w:r>
      <w:r>
        <w:rPr>
          <w:spacing w:val="-2"/>
        </w:rPr>
        <w:t>的集中管理和各项规范流程的完善和执行、信息化管理平台的搭建以及管理工作的推进，进一步完善了管理机制，夯实了管</w:t>
      </w:r>
      <w:r>
        <w:rPr>
          <w:spacing w:val="-63"/>
        </w:rPr>
        <w:t> </w:t>
      </w:r>
      <w:r>
        <w:rPr>
          <w:spacing w:val="-63"/>
        </w:rPr>
      </w:r>
      <w:r>
        <w:rPr/>
        <w:t>理基础，提升了管理运营效率，使公司的规范化经营水平迈上了一个新的台阶。</w:t>
      </w:r>
    </w:p>
    <w:p>
      <w:pPr>
        <w:spacing w:line="240" w:lineRule="auto" w:before="9"/>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（四）主要业绩驱动因素</w:t>
      </w:r>
      <w:r>
        <w:rPr>
          <w:rFonts w:ascii="宋体" w:hAnsi="宋体" w:cs="宋体" w:eastAsia="宋体" w:hint="default"/>
          <w:b/>
          <w:bCs/>
          <w:w w:val="99"/>
        </w:rPr>
        <w:t> </w:t>
      </w:r>
      <w:r>
        <w:rPr>
          <w:spacing w:val="-2"/>
        </w:rPr>
        <w:t>随着全球信息化浪潮的不断推进，网络安全正逐渐成为一个关系国家安全、主权和社会稳定的重要问题，国家对网络安</w:t>
      </w:r>
    </w:p>
    <w:p>
      <w:pPr>
        <w:pStyle w:val="BodyText"/>
        <w:spacing w:line="312" w:lineRule="auto" w:before="19"/>
        <w:ind w:right="1133"/>
        <w:jc w:val="both"/>
      </w:pPr>
      <w:r>
        <w:rPr>
          <w:spacing w:val="-2"/>
        </w:rPr>
        <w:t>全的重视程度逐年提高。继《中华人民共和国网络安全法》于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日正式施行后，国家又陆续出台了《国家网络空间</w:t>
      </w:r>
      <w:r>
        <w:rPr>
          <w:spacing w:val="-64"/>
        </w:rPr>
        <w:t> </w:t>
      </w:r>
      <w:r>
        <w:rPr>
          <w:spacing w:val="-64"/>
        </w:rPr>
      </w:r>
      <w:r>
        <w:rPr>
          <w:spacing w:val="-2"/>
        </w:rPr>
        <w:t>安全战略》、《网络安全等级保护条例》、《信息安全技术网络安全等级保护基本要求》、《信息安全技术网络安全等级保</w:t>
      </w:r>
      <w:r>
        <w:rPr>
          <w:spacing w:val="-68"/>
        </w:rPr>
        <w:t> </w:t>
      </w:r>
      <w:r>
        <w:rPr>
          <w:spacing w:val="-68"/>
        </w:rPr>
      </w:r>
      <w:r>
        <w:rPr>
          <w:spacing w:val="-2"/>
        </w:rPr>
        <w:t>护测评要求》、《信息安全技术网络安全等级保护安全设计技术要求》等法律法规和配套文件，使得各行业对网络安全的投</w:t>
      </w:r>
      <w:r>
        <w:rPr>
          <w:spacing w:val="-65"/>
        </w:rPr>
        <w:t> </w:t>
      </w:r>
      <w:r>
        <w:rPr>
          <w:spacing w:val="-65"/>
        </w:rPr>
      </w:r>
      <w:r>
        <w:rPr/>
        <w:t>入持续提升。</w:t>
      </w:r>
    </w:p>
    <w:p>
      <w:pPr>
        <w:pStyle w:val="BodyText"/>
        <w:spacing w:line="309" w:lineRule="auto" w:before="22"/>
        <w:ind w:right="1131" w:firstLine="360"/>
        <w:jc w:val="both"/>
      </w:pPr>
      <w:r>
        <w:rPr/>
        <w:t>同时，随着</w:t>
      </w:r>
      <w:r>
        <w:rPr>
          <w:rFonts w:ascii="Times New Roman" w:hAnsi="Times New Roman" w:cs="Times New Roman" w:eastAsia="Times New Roman" w:hint="default"/>
        </w:rPr>
        <w:t>5G</w:t>
      </w:r>
      <w:r>
        <w:rPr/>
        <w:t>、云计算、大数据、物联网、人工智能、区块链等新兴技术的发展，企业业务、设备及网络的融合程度 </w:t>
      </w:r>
      <w:r>
        <w:rPr>
          <w:spacing w:val="-2"/>
        </w:rPr>
        <w:t>持续提升，新技术的应用导致业务场景发生变化，也将伴随着新的网络安全问题发生，因此新兴安全需求也在不断产生。企</w:t>
      </w:r>
      <w:r>
        <w:rPr>
          <w:spacing w:val="-64"/>
        </w:rPr>
        <w:t> </w:t>
      </w:r>
      <w:r>
        <w:rPr>
          <w:spacing w:val="-64"/>
        </w:rPr>
      </w:r>
      <w:r>
        <w:rPr/>
        <w:t>业的自发性需求也推动了行业空间及公司业务规模的持续发展。</w:t>
      </w:r>
    </w:p>
    <w:p>
      <w:pPr>
        <w:pStyle w:val="BodyText"/>
        <w:spacing w:line="316" w:lineRule="auto" w:before="24"/>
        <w:ind w:right="1134" w:firstLine="360"/>
        <w:jc w:val="both"/>
      </w:pPr>
      <w:r>
        <w:rPr>
          <w:spacing w:val="-2"/>
        </w:rPr>
        <w:t>公司凭借研发实力、品牌效应、销售渠道以及产品、服务等优势，牢牢把握市场发展的契机，持续不断地推进新产品研</w:t>
      </w:r>
      <w:r>
        <w:rPr/>
        <w:t> </w:t>
      </w:r>
      <w:r>
        <w:rPr>
          <w:spacing w:val="-2"/>
        </w:rPr>
        <w:t>发和技术创新，通过加强市场开拓力度以及销售队伍建设、完善公司治理结构等措施，促进公司主营业务持续、稳定、健康</w:t>
      </w:r>
      <w:r>
        <w:rPr>
          <w:spacing w:val="-67"/>
        </w:rPr>
        <w:t> </w:t>
      </w:r>
      <w:r>
        <w:rPr>
          <w:spacing w:val="-67"/>
        </w:rPr>
      </w:r>
      <w:r>
        <w:rPr/>
        <w:t>发展。</w:t>
      </w:r>
    </w:p>
    <w:p>
      <w:pPr>
        <w:spacing w:line="240" w:lineRule="auto" w:before="4"/>
        <w:rPr>
          <w:rFonts w:ascii="宋体" w:hAnsi="宋体" w:cs="宋体" w:eastAsia="宋体" w:hint="default"/>
          <w:sz w:val="25"/>
          <w:szCs w:val="25"/>
        </w:rPr>
      </w:pPr>
    </w:p>
    <w:p>
      <w:pPr>
        <w:pStyle w:val="Heading5"/>
        <w:spacing w:line="240" w:lineRule="auto"/>
        <w:ind w:left="424" w:right="1122"/>
        <w:jc w:val="left"/>
        <w:rPr>
          <w:b w:val="0"/>
          <w:bCs w:val="0"/>
        </w:rPr>
      </w:pPr>
      <w:r>
        <w:rPr/>
        <w:t>（五）行业格局及公司所处行业地位</w:t>
      </w:r>
      <w:r>
        <w:rPr>
          <w:b w:val="0"/>
          <w:bCs w:val="0"/>
        </w:rPr>
      </w:r>
    </w:p>
    <w:p>
      <w:pPr>
        <w:pStyle w:val="BodyText"/>
        <w:spacing w:line="340" w:lineRule="auto" w:before="76"/>
        <w:ind w:left="513" w:right="1122"/>
        <w:jc w:val="left"/>
      </w:pPr>
      <w:r>
        <w:rPr>
          <w:rFonts w:ascii="Times New Roman" w:hAnsi="Times New Roman" w:cs="Times New Roman" w:eastAsia="Times New Roman" w:hint="default"/>
        </w:rPr>
        <w:t>1</w:t>
      </w:r>
      <w:r>
        <w:rPr/>
        <w:t>、行业发展总体趋势 </w:t>
      </w:r>
      <w:r>
        <w:rPr>
          <w:spacing w:val="-2"/>
        </w:rPr>
        <w:t>公司所处的软件和信息技术服务业作为</w:t>
      </w:r>
      <w:r>
        <w:rPr>
          <w:rFonts w:ascii="Times New Roman" w:hAnsi="Times New Roman" w:cs="Times New Roman" w:eastAsia="Times New Roman" w:hint="default"/>
          <w:spacing w:val="-2"/>
        </w:rPr>
        <w:t>“</w:t>
      </w:r>
      <w:r>
        <w:rPr>
          <w:spacing w:val="-2"/>
        </w:rPr>
        <w:t>战略性新兴产业</w:t>
      </w:r>
      <w:r>
        <w:rPr>
          <w:rFonts w:ascii="Times New Roman" w:hAnsi="Times New Roman" w:cs="Times New Roman" w:eastAsia="Times New Roman" w:hint="default"/>
          <w:spacing w:val="-2"/>
        </w:rPr>
        <w:t>”</w:t>
      </w:r>
      <w:r>
        <w:rPr>
          <w:spacing w:val="-2"/>
        </w:rPr>
        <w:t>，持续获得国家产业政策支持。</w:t>
      </w:r>
      <w:r>
        <w:rPr>
          <w:rFonts w:ascii="Times New Roman" w:hAnsi="Times New Roman" w:cs="Times New Roman" w:eastAsia="Times New Roman" w:hint="default"/>
          <w:spacing w:val="-2"/>
        </w:rPr>
        <w:t>2017</w:t>
      </w:r>
      <w:r>
        <w:rPr>
          <w:spacing w:val="-2"/>
        </w:rPr>
        <w:t>年，国家工业和信息化部</w:t>
      </w:r>
    </w:p>
    <w:p>
      <w:pPr>
        <w:pStyle w:val="BodyText"/>
        <w:spacing w:line="228" w:lineRule="exact"/>
        <w:ind w:right="0"/>
        <w:jc w:val="left"/>
      </w:pPr>
      <w:r>
        <w:rPr/>
        <w:t>发布了《软件和信息技术服务业发展规划（</w:t>
      </w:r>
      <w:r>
        <w:rPr>
          <w:rFonts w:ascii="Times New Roman" w:hAnsi="Times New Roman" w:cs="Times New Roman" w:eastAsia="Times New Roman" w:hint="default"/>
        </w:rPr>
        <w:t>2016-2020</w:t>
      </w:r>
      <w:r>
        <w:rPr/>
        <w:t>年）》（工信部规〔</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425</w:t>
      </w:r>
      <w:r>
        <w:rPr/>
        <w:t>号），明确指出将研究制定新形势下适</w:t>
      </w:r>
    </w:p>
    <w:p>
      <w:pPr>
        <w:pStyle w:val="BodyText"/>
        <w:spacing w:line="316" w:lineRule="auto" w:before="63"/>
        <w:ind w:right="1034"/>
        <w:jc w:val="left"/>
      </w:pPr>
      <w:r>
        <w:rPr/>
        <w:t>应产业发展特点的政策措施，加大对软件和信息技术服务业发展的财政资金支持，着力研发云计算、大数据、移动互联网、 </w:t>
      </w:r>
      <w:r>
        <w:rPr>
          <w:spacing w:val="-2"/>
        </w:rPr>
        <w:t>物联网等新兴领域关键软件产品和解决方案，加快培育新业态和新模式。在产业扶持政策的推动下，我国软件和信息技术服</w:t>
      </w:r>
      <w:r>
        <w:rPr>
          <w:spacing w:val="-63"/>
        </w:rPr>
        <w:t> </w:t>
      </w:r>
      <w:r>
        <w:rPr>
          <w:spacing w:val="-63"/>
        </w:rPr>
      </w:r>
      <w:r>
        <w:rPr/>
        <w:t>务业呈现出平稳较快的增长态势。</w:t>
      </w:r>
    </w:p>
    <w:p>
      <w:pPr>
        <w:pStyle w:val="BodyText"/>
        <w:spacing w:line="302" w:lineRule="auto" w:before="57"/>
        <w:ind w:right="1128" w:firstLine="360"/>
        <w:jc w:val="both"/>
      </w:pPr>
      <w:r>
        <w:rPr/>
        <w:t>随着</w:t>
      </w:r>
      <w:r>
        <w:rPr>
          <w:rFonts w:ascii="Times New Roman" w:hAnsi="Times New Roman" w:cs="Times New Roman" w:eastAsia="Times New Roman" w:hint="default"/>
        </w:rPr>
        <w:t>5G</w:t>
      </w:r>
      <w:r>
        <w:rPr/>
        <w:t>、大数据、物联网等技术的蓬勃发展，网络安全已成为事关国家安全与经济发展的重大问题。习总书记在</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spacing w:val="-2"/>
        </w:rPr>
        <w:t>年中央网络安全和信息化领导小组第一次会议上指出没有网络安全就没有国家安全，没有信息化就没有现代化。网络安全政</w:t>
      </w:r>
      <w:r>
        <w:rPr>
          <w:spacing w:val="-64"/>
        </w:rPr>
        <w:t> </w:t>
      </w:r>
      <w:r>
        <w:rPr>
          <w:spacing w:val="-64"/>
        </w:rPr>
      </w:r>
      <w:r>
        <w:rPr>
          <w:spacing w:val="-2"/>
        </w:rPr>
        <w:t>策法规的持续完善优化，使得网络安全市场规范性逐步提升。《</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国家信息化规划》提出，要完善国家网络安全保证</w:t>
      </w:r>
      <w:r>
        <w:rPr>
          <w:spacing w:val="-44"/>
        </w:rPr>
        <w:t> </w:t>
      </w:r>
      <w:r>
        <w:rPr>
          <w:spacing w:val="-44"/>
        </w:rPr>
      </w:r>
      <w:r>
        <w:rPr/>
        <w:t>体系，保障国家信息安全。国家已把信息化和网络信息安全列入了国家发展战略方向之一。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日，《信息安全技</w:t>
      </w:r>
      <w:r>
        <w:rPr>
          <w:spacing w:val="-85"/>
        </w:rPr>
        <w:t> </w:t>
      </w:r>
      <w:r>
        <w:rPr>
          <w:spacing w:val="-85"/>
        </w:rPr>
      </w:r>
      <w:r>
        <w:rPr/>
        <w:t>术网络信息安全等级保护基本要求》（简称</w:t>
      </w:r>
      <w:r>
        <w:rPr>
          <w:rFonts w:ascii="Times New Roman" w:hAnsi="Times New Roman" w:cs="Times New Roman" w:eastAsia="Times New Roman" w:hint="default"/>
        </w:rPr>
        <w:t>“</w:t>
      </w:r>
      <w:r>
        <w:rPr/>
        <w:t>等保</w:t>
      </w:r>
      <w:r>
        <w:rPr>
          <w:rFonts w:ascii="Times New Roman" w:hAnsi="Times New Roman" w:cs="Times New Roman" w:eastAsia="Times New Roman" w:hint="default"/>
        </w:rPr>
        <w:t>2.0”</w:t>
      </w:r>
      <w:r>
        <w:rPr/>
        <w:t>）正式公开发布，等保</w:t>
      </w:r>
      <w:r>
        <w:rPr>
          <w:rFonts w:ascii="Times New Roman" w:hAnsi="Times New Roman" w:cs="Times New Roman" w:eastAsia="Times New Roman" w:hint="default"/>
        </w:rPr>
        <w:t>2.0</w:t>
      </w:r>
      <w:r>
        <w:rPr/>
        <w:t>覆盖工业控制系统、云计算、大数据、物联</w:t>
      </w:r>
      <w:r>
        <w:rPr>
          <w:spacing w:val="-67"/>
        </w:rPr>
        <w:t> </w:t>
      </w:r>
      <w:r>
        <w:rPr>
          <w:spacing w:val="-67"/>
        </w:rPr>
      </w:r>
      <w:r>
        <w:rPr/>
        <w:t>网等新技术、新应用，为落实新修系统安全工作提供了方向和依据。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日，《国家网络安全产业发展规划》正式</w:t>
      </w:r>
      <w:r>
        <w:rPr>
          <w:spacing w:val="-85"/>
        </w:rPr>
        <w:t> </w:t>
      </w:r>
      <w:r>
        <w:rPr>
          <w:spacing w:val="-85"/>
        </w:rPr>
      </w:r>
      <w:r>
        <w:rPr>
          <w:spacing w:val="-2"/>
        </w:rPr>
        <w:t>发布，工业和信息化部与北京市人民政府决定建设国家网络安全产业园区。根据规划，到</w:t>
      </w:r>
      <w:r>
        <w:rPr>
          <w:rFonts w:ascii="Times New Roman" w:hAnsi="Times New Roman" w:cs="Times New Roman" w:eastAsia="Times New Roman" w:hint="default"/>
          <w:spacing w:val="-2"/>
        </w:rPr>
        <w:t>2020</w:t>
      </w:r>
      <w:r>
        <w:rPr>
          <w:spacing w:val="-2"/>
        </w:rPr>
        <w:t>年，依托产业园带动北京市网</w:t>
      </w:r>
      <w:r>
        <w:rPr>
          <w:spacing w:val="-62"/>
        </w:rPr>
        <w:t> </w:t>
      </w:r>
      <w:r>
        <w:rPr>
          <w:spacing w:val="-62"/>
        </w:rPr>
      </w:r>
      <w:r>
        <w:rPr/>
        <w:t>络安全产业规模超过</w:t>
      </w:r>
      <w:r>
        <w:rPr>
          <w:rFonts w:ascii="Times New Roman" w:hAnsi="Times New Roman" w:cs="Times New Roman" w:eastAsia="Times New Roman" w:hint="default"/>
        </w:rPr>
        <w:t>1,000</w:t>
      </w:r>
      <w:r>
        <w:rPr/>
        <w:t>亿元，拉动</w:t>
      </w:r>
      <w:r>
        <w:rPr>
          <w:rFonts w:ascii="Times New Roman" w:hAnsi="Times New Roman" w:cs="Times New Roman" w:eastAsia="Times New Roman" w:hint="default"/>
        </w:rPr>
        <w:t>GDP</w:t>
      </w:r>
      <w:r>
        <w:rPr/>
        <w:t>增长超过</w:t>
      </w:r>
      <w:r>
        <w:rPr>
          <w:rFonts w:ascii="Times New Roman" w:hAnsi="Times New Roman" w:cs="Times New Roman" w:eastAsia="Times New Roman" w:hint="default"/>
        </w:rPr>
        <w:t>3,300</w:t>
      </w:r>
      <w:r>
        <w:rPr/>
        <w:t>亿元，打造不少于</w:t>
      </w:r>
      <w:r>
        <w:rPr>
          <w:rFonts w:ascii="Times New Roman" w:hAnsi="Times New Roman" w:cs="Times New Roman" w:eastAsia="Times New Roman" w:hint="default"/>
        </w:rPr>
        <w:t>3</w:t>
      </w:r>
      <w:r>
        <w:rPr/>
        <w:t>家年收入超过</w:t>
      </w:r>
      <w:r>
        <w:rPr>
          <w:rFonts w:ascii="Times New Roman" w:hAnsi="Times New Roman" w:cs="Times New Roman" w:eastAsia="Times New Roman" w:hint="default"/>
        </w:rPr>
        <w:t>100</w:t>
      </w:r>
      <w:r>
        <w:rPr/>
        <w:t>亿元的骨干企业。到</w:t>
      </w:r>
      <w:r>
        <w:rPr>
          <w:rFonts w:ascii="Times New Roman" w:hAnsi="Times New Roman" w:cs="Times New Roman" w:eastAsia="Times New Roman" w:hint="default"/>
        </w:rPr>
        <w:t>2025</w:t>
      </w:r>
      <w:r>
        <w:rPr/>
        <w:t>年，</w:t>
      </w:r>
      <w:r>
        <w:rPr>
          <w:spacing w:val="-88"/>
        </w:rPr>
        <w:t> </w:t>
      </w:r>
      <w:r>
        <w:rPr>
          <w:spacing w:val="-2"/>
        </w:rPr>
        <w:t>依托产业园建成我国网络安全产业</w:t>
      </w:r>
      <w:r>
        <w:rPr>
          <w:rFonts w:ascii="Times New Roman" w:hAnsi="Times New Roman" w:cs="Times New Roman" w:eastAsia="Times New Roman" w:hint="default"/>
          <w:spacing w:val="-2"/>
        </w:rPr>
        <w:t>“</w:t>
      </w:r>
      <w:r>
        <w:rPr>
          <w:spacing w:val="-2"/>
        </w:rPr>
        <w:t>五个基地</w:t>
      </w:r>
      <w:r>
        <w:rPr>
          <w:rFonts w:ascii="Times New Roman" w:hAnsi="Times New Roman" w:cs="Times New Roman" w:eastAsia="Times New Roman" w:hint="default"/>
          <w:spacing w:val="-2"/>
        </w:rPr>
        <w:t>”</w:t>
      </w:r>
      <w:r>
        <w:rPr>
          <w:spacing w:val="-2"/>
        </w:rPr>
        <w:t>。随着政策法规的支持、行业技术标准的制定和安全意识的强化，各级政府及</w:t>
      </w:r>
      <w:r>
        <w:rPr>
          <w:spacing w:val="-45"/>
        </w:rPr>
        <w:t> </w:t>
      </w:r>
      <w:r>
        <w:rPr>
          <w:spacing w:val="-45"/>
        </w:rPr>
      </w:r>
      <w:r>
        <w:rPr/>
        <w:t>企事业单位逐渐加大网络安全投入力度，网络安全产品的需求程度也逐渐提升，这为行业的持续发展奠定了基础。</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4"/>
          <w:szCs w:val="14"/>
        </w:rPr>
      </w:pPr>
    </w:p>
    <w:p>
      <w:pPr>
        <w:pStyle w:val="BodyText"/>
        <w:spacing w:line="338" w:lineRule="auto"/>
        <w:ind w:left="513" w:right="1122"/>
        <w:jc w:val="left"/>
      </w:pPr>
      <w:r>
        <w:rPr>
          <w:rFonts w:ascii="Times New Roman" w:hAnsi="Times New Roman" w:cs="Times New Roman" w:eastAsia="Times New Roman" w:hint="default"/>
        </w:rPr>
        <w:t>2</w:t>
      </w:r>
      <w:r>
        <w:rPr/>
        <w:t>、公司行业地位 </w:t>
      </w:r>
      <w:r>
        <w:rPr>
          <w:spacing w:val="-2"/>
        </w:rPr>
        <w:t>公司自成立以来一直专注于网络信息安全领域，经过十多年的积累和沉淀，依托二十余年在信息安全领域的耕耘、不断</w:t>
      </w:r>
    </w:p>
    <w:p>
      <w:pPr>
        <w:pStyle w:val="BodyText"/>
        <w:spacing w:line="316" w:lineRule="auto" w:before="2"/>
        <w:ind w:right="1122"/>
        <w:jc w:val="left"/>
      </w:pPr>
      <w:r>
        <w:rPr>
          <w:spacing w:val="-2"/>
        </w:rPr>
        <w:t>创新与实践，目前已成为国内网络安全产业领军企业之一，业务区域及品牌影响力也在全国范围内不断扩大和提升。公司具</w:t>
      </w:r>
      <w:r>
        <w:rPr>
          <w:spacing w:val="-63"/>
        </w:rPr>
        <w:t> </w:t>
      </w:r>
      <w:r>
        <w:rPr>
          <w:spacing w:val="-63"/>
        </w:rPr>
      </w:r>
      <w:r>
        <w:rPr/>
        <w:t>有自主知识产权的核心专利技术，产品和解决方案广泛深入到各行业，同时加快培育新业态和新模式，形成</w:t>
      </w:r>
      <w:r>
        <w:rPr>
          <w:rFonts w:ascii="Times New Roman" w:hAnsi="Times New Roman" w:cs="Times New Roman" w:eastAsia="Times New Roman" w:hint="default"/>
        </w:rPr>
        <w:t>“</w:t>
      </w:r>
      <w:r>
        <w:rPr/>
        <w:t>平台、数据、</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left="513" w:right="0" w:hanging="361"/>
        <w:jc w:val="left"/>
      </w:pPr>
      <w:r>
        <w:rPr/>
        <w:t>应用、服务、安全</w:t>
      </w:r>
      <w:r>
        <w:rPr>
          <w:rFonts w:ascii="Times New Roman" w:hAnsi="Times New Roman" w:cs="Times New Roman" w:eastAsia="Times New Roman" w:hint="default"/>
        </w:rPr>
        <w:t>”</w:t>
      </w:r>
      <w:r>
        <w:rPr/>
        <w:t>协同发展的格局。 </w:t>
      </w:r>
      <w:r>
        <w:rPr>
          <w:spacing w:val="-4"/>
        </w:rPr>
        <w:t>作为国内终端安全管理领域的龙头企业，公司积累了丰富的客户资源以及良好的市场口碑，并凝聚了行业内优秀的技术、</w:t>
      </w:r>
    </w:p>
    <w:p>
      <w:pPr>
        <w:pStyle w:val="BodyText"/>
        <w:spacing w:line="309" w:lineRule="auto" w:before="1"/>
        <w:ind w:right="1054"/>
        <w:jc w:val="left"/>
      </w:pPr>
      <w:r>
        <w:rPr/>
        <w:t>营销和管理团队。同时积极响应国家网络信息安全战略，以</w:t>
      </w:r>
      <w:r>
        <w:rPr>
          <w:rFonts w:ascii="Times New Roman" w:hAnsi="Times New Roman" w:cs="Times New Roman" w:eastAsia="Times New Roman" w:hint="default"/>
        </w:rPr>
        <w:t>“</w:t>
      </w:r>
      <w:r>
        <w:rPr/>
        <w:t>信息安全、大数据安全、安全通信应用</w:t>
      </w:r>
      <w:r>
        <w:rPr>
          <w:rFonts w:ascii="Times New Roman" w:hAnsi="Times New Roman" w:cs="Times New Roman" w:eastAsia="Times New Roman" w:hint="default"/>
        </w:rPr>
        <w:t>”</w:t>
      </w:r>
      <w:r>
        <w:rPr/>
        <w:t>三大方向为发展战略， </w:t>
      </w:r>
      <w:r>
        <w:rPr>
          <w:spacing w:val="-2"/>
        </w:rPr>
        <w:t>积极推进互联网与传统信息安全产业的融合，构建基于高强度安全的互联网生态圈，推出大数据管理与分析平台、互联网安</w:t>
      </w:r>
      <w:r>
        <w:rPr>
          <w:spacing w:val="-63"/>
        </w:rPr>
        <w:t> </w:t>
      </w:r>
      <w:r>
        <w:rPr>
          <w:spacing w:val="-63"/>
        </w:rPr>
      </w:r>
      <w:r>
        <w:rPr/>
        <w:t>全聚合通道等新兴战略业务，延伸公司产业链。</w:t>
      </w:r>
    </w:p>
    <w:p>
      <w:pPr>
        <w:pStyle w:val="BodyText"/>
        <w:spacing w:line="312" w:lineRule="auto" w:before="62"/>
        <w:ind w:right="1036" w:firstLine="360"/>
        <w:jc w:val="left"/>
      </w:pPr>
      <w:r>
        <w:rPr>
          <w:spacing w:val="-3"/>
        </w:rPr>
        <w:t>未来，公司将继续围绕主营业务深化战略布局，同时以</w:t>
      </w:r>
      <w:r>
        <w:rPr>
          <w:rFonts w:ascii="Times New Roman" w:hAnsi="Times New Roman" w:cs="Times New Roman" w:eastAsia="Times New Roman" w:hint="default"/>
          <w:spacing w:val="-3"/>
        </w:rPr>
        <w:t>“</w:t>
      </w:r>
      <w:r>
        <w:rPr>
          <w:spacing w:val="-3"/>
        </w:rPr>
        <w:t>信息安全、大数据安全、安全通信应用</w:t>
      </w:r>
      <w:r>
        <w:rPr>
          <w:rFonts w:ascii="Times New Roman" w:hAnsi="Times New Roman" w:cs="Times New Roman" w:eastAsia="Times New Roman" w:hint="default"/>
          <w:spacing w:val="-3"/>
        </w:rPr>
        <w:t>”</w:t>
      </w:r>
      <w:r>
        <w:rPr>
          <w:spacing w:val="-3"/>
        </w:rPr>
        <w:t>作为依托进行人工智能、</w:t>
      </w:r>
      <w:r>
        <w:rPr/>
        <w:t> </w:t>
      </w:r>
      <w:r>
        <w:rPr>
          <w:spacing w:val="-2"/>
        </w:rPr>
        <w:t>区块链、安全可控等业务领域的拓展，在不断提升产品和解决方案竞争力的同时，创造新价值和新服务，持续满足并引导客</w:t>
      </w:r>
      <w:r>
        <w:rPr>
          <w:spacing w:val="-65"/>
        </w:rPr>
        <w:t> </w:t>
      </w:r>
      <w:r>
        <w:rPr>
          <w:spacing w:val="-65"/>
        </w:rPr>
      </w:r>
      <w:r>
        <w:rPr>
          <w:spacing w:val="-2"/>
        </w:rPr>
        <w:t>户需求，增强与行业客户的黏性，深化与行业客户的合作，为政府、重要行业及广大互联网用户提供更安全、更智能、更便</w:t>
      </w:r>
      <w:r>
        <w:rPr>
          <w:spacing w:val="-67"/>
        </w:rPr>
        <w:t> </w:t>
      </w:r>
      <w:r>
        <w:rPr>
          <w:spacing w:val="-67"/>
        </w:rPr>
      </w:r>
      <w:r>
        <w:rPr/>
        <w:t>捷的产品和服务，为我国信息技术安全可控和互联网发展提供更强劲的动力。</w:t>
      </w:r>
    </w:p>
    <w:p>
      <w:pPr>
        <w:spacing w:line="240" w:lineRule="auto" w:before="0"/>
        <w:rPr>
          <w:rFonts w:ascii="宋体" w:hAnsi="宋体" w:cs="宋体" w:eastAsia="宋体" w:hint="default"/>
          <w:sz w:val="18"/>
          <w:szCs w:val="18"/>
        </w:rPr>
      </w:pPr>
    </w:p>
    <w:p>
      <w:pPr>
        <w:pStyle w:val="BodyText"/>
        <w:spacing w:line="300" w:lineRule="auto" w:before="140"/>
        <w:ind w:left="513" w:right="1122"/>
        <w:jc w:val="left"/>
      </w:pPr>
      <w:r>
        <w:rPr>
          <w:rFonts w:ascii="Times New Roman" w:hAnsi="Times New Roman" w:cs="Times New Roman" w:eastAsia="Times New Roman" w:hint="default"/>
        </w:rPr>
        <w:t>3</w:t>
      </w:r>
      <w:r>
        <w:rPr/>
        <w:t>、客户所处分析 </w:t>
      </w:r>
      <w:r>
        <w:rPr>
          <w:spacing w:val="-2"/>
        </w:rPr>
        <w:t>公司主要客户为政府、军队、军工、能源、金融、医疗等重要行业的大中型用户。随着网络安全法等法律法规的深入推</w:t>
      </w:r>
    </w:p>
    <w:p>
      <w:pPr>
        <w:pStyle w:val="BodyText"/>
        <w:spacing w:line="300" w:lineRule="auto" w:before="31"/>
        <w:ind w:right="1122"/>
        <w:jc w:val="left"/>
      </w:pPr>
      <w:r>
        <w:rPr/>
        <w:t>进，这些客户的合规性需求逐年增长。同时，随着</w:t>
      </w:r>
      <w:r>
        <w:rPr>
          <w:rFonts w:ascii="Times New Roman" w:hAnsi="Times New Roman" w:cs="Times New Roman" w:eastAsia="Times New Roman" w:hint="default"/>
        </w:rPr>
        <w:t>5G</w:t>
      </w:r>
      <w:r>
        <w:rPr/>
        <w:t>、云计算、大数据、物联网、人工智能、区块链等新兴技术的发展，</w:t>
      </w:r>
      <w:r>
        <w:rPr>
          <w:spacing w:val="-40"/>
        </w:rPr>
        <w:t> </w:t>
      </w:r>
      <w:r>
        <w:rPr>
          <w:spacing w:val="-40"/>
        </w:rPr>
      </w:r>
      <w:r>
        <w:rPr/>
        <w:t>使得关键行业和重要系统对网络安全保障的自发性需求不断提高。</w:t>
      </w:r>
    </w:p>
    <w:p>
      <w:pPr>
        <w:pStyle w:val="BodyText"/>
        <w:spacing w:line="314" w:lineRule="auto" w:before="31"/>
        <w:ind w:right="1130" w:firstLine="360"/>
        <w:jc w:val="both"/>
      </w:pPr>
      <w:r>
        <w:rPr>
          <w:spacing w:val="-2"/>
        </w:rPr>
        <w:t>安全产业已成为网络强国安全领域建设的重要基础，国家在网络安全的投入不断增加推进市场容量和规模逐步扩大。公</w:t>
      </w:r>
      <w:r>
        <w:rPr/>
        <w:t> </w:t>
      </w:r>
      <w:r>
        <w:rPr>
          <w:spacing w:val="-2"/>
        </w:rPr>
        <w:t>司将抓住机遇，以</w:t>
      </w:r>
      <w:r>
        <w:rPr>
          <w:rFonts w:ascii="Times New Roman" w:hAnsi="Times New Roman" w:cs="Times New Roman" w:eastAsia="Times New Roman" w:hint="default"/>
          <w:spacing w:val="-2"/>
        </w:rPr>
        <w:t>“</w:t>
      </w:r>
      <w:r>
        <w:rPr>
          <w:spacing w:val="-2"/>
        </w:rPr>
        <w:t>信息安全、大数据安全、安全通信应用</w:t>
      </w:r>
      <w:r>
        <w:rPr>
          <w:rFonts w:ascii="Times New Roman" w:hAnsi="Times New Roman" w:cs="Times New Roman" w:eastAsia="Times New Roman" w:hint="default"/>
          <w:spacing w:val="-2"/>
        </w:rPr>
        <w:t>”</w:t>
      </w:r>
      <w:r>
        <w:rPr>
          <w:spacing w:val="-2"/>
        </w:rPr>
        <w:t>三大发展战略，围绕主营业务深化战略布局，加快工控安全、安</w:t>
      </w:r>
      <w:r>
        <w:rPr>
          <w:spacing w:val="-45"/>
        </w:rPr>
        <w:t> </w:t>
      </w:r>
      <w:r>
        <w:rPr>
          <w:spacing w:val="-45"/>
        </w:rPr>
      </w:r>
      <w:r>
        <w:rPr>
          <w:spacing w:val="-2"/>
        </w:rPr>
        <w:t>全可控等业务领域的拓展，在不断提升产品和解决方案竞争力的同时创造新价值，持续满足并引导客户需求，增强与行业客</w:t>
      </w:r>
      <w:r>
        <w:rPr>
          <w:spacing w:val="-63"/>
        </w:rPr>
        <w:t> </w:t>
      </w:r>
      <w:r>
        <w:rPr>
          <w:spacing w:val="-63"/>
        </w:rPr>
      </w:r>
      <w:r>
        <w:rPr>
          <w:spacing w:val="-2"/>
        </w:rPr>
        <w:t>户的黏性，深化与行业客户的合作，为政府、重要行业及广大互联网用户提供更安全、更智能、更便捷的产品和服务，为建</w:t>
      </w:r>
      <w:r>
        <w:rPr>
          <w:spacing w:val="-68"/>
        </w:rPr>
        <w:t> </w:t>
      </w:r>
      <w:r>
        <w:rPr>
          <w:spacing w:val="-68"/>
        </w:rPr>
      </w:r>
      <w:r>
        <w:rPr/>
        <w:t>设科技强国、网络强国和数字社会提供支撑。</w:t>
      </w:r>
    </w:p>
    <w:p>
      <w:pPr>
        <w:spacing w:line="240" w:lineRule="auto" w:before="13"/>
        <w:rPr>
          <w:rFonts w:ascii="宋体" w:hAnsi="宋体" w:cs="宋体" w:eastAsia="宋体" w:hint="default"/>
          <w:sz w:val="20"/>
          <w:szCs w:val="20"/>
        </w:rPr>
      </w:pPr>
    </w:p>
    <w:p>
      <w:pPr>
        <w:pStyle w:val="Heading2"/>
        <w:spacing w:line="240" w:lineRule="auto"/>
        <w:ind w:right="1122"/>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44"/>
        <w:ind w:left="0" w:right="1138"/>
        <w:jc w:val="right"/>
      </w:pPr>
      <w:r>
        <w:rPr/>
        <w:pict>
          <v:shape style="position:absolute;margin-left:56.400002pt;margin-top:-85.688278pt;width:479.3pt;height:299.8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长期股权投资同比增加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56.7%</w:t>
                        </w:r>
                        <w:r>
                          <w:rPr>
                            <w:rFonts w:ascii="宋体" w:hAnsi="宋体" w:cs="宋体" w:eastAsia="宋体" w:hint="default"/>
                            <w:sz w:val="18"/>
                            <w:szCs w:val="18"/>
                          </w:rPr>
                          <w:t>、其他权益工具投资同比增长</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，以上两个项目 合计增长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62.41%</w:t>
                        </w:r>
                        <w:r>
                          <w:rPr>
                            <w:rFonts w:ascii="宋体" w:hAnsi="宋体" w:cs="宋体" w:eastAsia="宋体" w:hint="default"/>
                            <w:sz w:val="18"/>
                            <w:szCs w:val="18"/>
                          </w:rPr>
                          <w:t>，主要原因是：本年新增联营企业投资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6,783.5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万元，主要包括嘉 </w:t>
                        </w:r>
                        <w:r>
                          <w:rPr>
                            <w:rFonts w:ascii="宋体" w:hAnsi="宋体" w:cs="宋体" w:eastAsia="宋体" w:hint="default"/>
                            <w:spacing w:val="-3"/>
                            <w:sz w:val="18"/>
                            <w:szCs w:val="18"/>
                          </w:rPr>
                          <w:t>兴北源投资合伙企业（有限合伙）</w:t>
                        </w:r>
                        <w:r>
                          <w:rPr>
                            <w:rFonts w:ascii="Times New Roman" w:hAnsi="Times New Roman" w:cs="Times New Roman" w:eastAsia="Times New Roman" w:hint="default"/>
                            <w:spacing w:val="-3"/>
                            <w:sz w:val="18"/>
                            <w:szCs w:val="18"/>
                          </w:rPr>
                          <w:t>3,120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万元，北京美络克思科技有限公司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3"/>
                            <w:sz w:val="18"/>
                            <w:szCs w:val="18"/>
                          </w:rPr>
                          <w:t>元，杭州安司源科技有限公司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960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万元，深圳市金城保密技术有限公司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403.5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北京信源健和科技有限责任公司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629"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19"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61.68%</w:t>
                        </w:r>
                        <w:r>
                          <w:rPr>
                            <w:rFonts w:ascii="宋体" w:hAnsi="宋体" w:cs="宋体" w:eastAsia="宋体" w:hint="default"/>
                            <w:sz w:val="18"/>
                            <w:szCs w:val="18"/>
                          </w:rPr>
                          <w:t>、开发支出同比下降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58.79%</w:t>
                        </w:r>
                        <w:r>
                          <w:rPr>
                            <w:rFonts w:ascii="宋体" w:hAnsi="宋体" w:cs="宋体" w:eastAsia="宋体" w:hint="default"/>
                            <w:sz w:val="18"/>
                            <w:szCs w:val="18"/>
                          </w:rPr>
                          <w:t>，二者合计比上年同期增长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22.63%</w:t>
                        </w:r>
                        <w:r>
                          <w:rPr>
                            <w:rFonts w:ascii="宋体" w:hAnsi="宋体" w:cs="宋体" w:eastAsia="宋体" w:hint="default"/>
                            <w:sz w:val="18"/>
                            <w:szCs w:val="18"/>
                          </w:rPr>
                          <w:t>， </w:t>
                        </w:r>
                        <w:r>
                          <w:rPr>
                            <w:rFonts w:ascii="宋体" w:hAnsi="宋体" w:cs="宋体" w:eastAsia="宋体" w:hint="default"/>
                            <w:spacing w:val="-3"/>
                            <w:sz w:val="18"/>
                            <w:szCs w:val="18"/>
                          </w:rPr>
                          <w:t>主要原因是：应急协调指挥平台、北信源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统一平台、北信源自主可控安全套 件等项目结项后结转至无形资产所致。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同比增长</w:t>
                        </w:r>
                        <w:r>
                          <w:rPr>
                            <w:rFonts w:ascii="宋体" w:hAnsi="宋体" w:cs="宋体" w:eastAsia="宋体" w:hint="default"/>
                            <w:spacing w:val="-26"/>
                            <w:sz w:val="18"/>
                            <w:szCs w:val="18"/>
                          </w:rPr>
                          <w:t> </w:t>
                        </w:r>
                        <w:r>
                          <w:rPr>
                            <w:rFonts w:ascii="Times New Roman" w:hAnsi="Times New Roman" w:cs="Times New Roman" w:eastAsia="Times New Roman" w:hint="default"/>
                            <w:spacing w:val="-2"/>
                            <w:sz w:val="18"/>
                            <w:szCs w:val="18"/>
                          </w:rPr>
                          <w:t>70.56%</w:t>
                        </w:r>
                        <w:r>
                          <w:rPr>
                            <w:rFonts w:ascii="宋体" w:hAnsi="宋体" w:cs="宋体" w:eastAsia="宋体" w:hint="default"/>
                            <w:spacing w:val="-2"/>
                            <w:sz w:val="18"/>
                            <w:szCs w:val="18"/>
                          </w:rPr>
                          <w:t>，主要原因是：主要原因是：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北信源（南京）研发运营基地项目</w:t>
                        </w:r>
                        <w:r>
                          <w:rPr>
                            <w:rFonts w:ascii="Times New Roman" w:hAnsi="Times New Roman" w:cs="Times New Roman" w:eastAsia="Times New Roman" w:hint="default"/>
                            <w:spacing w:val="-2"/>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预付工程款项转入在建工程所致。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27"/>
                            <w:sz w:val="18"/>
                            <w:szCs w:val="18"/>
                          </w:rPr>
                          <w:t> </w:t>
                        </w:r>
                        <w:r>
                          <w:rPr>
                            <w:rFonts w:ascii="Times New Roman" w:hAnsi="Times New Roman" w:cs="Times New Roman" w:eastAsia="Times New Roman" w:hint="default"/>
                            <w:spacing w:val="-3"/>
                            <w:sz w:val="18"/>
                            <w:szCs w:val="18"/>
                          </w:rPr>
                          <w:t>58.89%</w:t>
                        </w:r>
                        <w:r>
                          <w:rPr>
                            <w:rFonts w:ascii="宋体" w:hAnsi="宋体" w:cs="宋体" w:eastAsia="宋体" w:hint="default"/>
                            <w:spacing w:val="-3"/>
                            <w:sz w:val="18"/>
                            <w:szCs w:val="18"/>
                          </w:rPr>
                          <w:t>，随着公司国产化战略的推进，将资金投入面向国产化计算机的终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端安全管理平台、基于可信终端的安全管理平台等募集项目所致。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8"/>
                          <w:jc w:val="left"/>
                          <w:rPr>
                            <w:rFonts w:ascii="宋体" w:hAnsi="宋体" w:cs="宋体" w:eastAsia="宋体" w:hint="default"/>
                            <w:sz w:val="18"/>
                            <w:szCs w:val="18"/>
                          </w:rPr>
                        </w:pPr>
                        <w:r>
                          <w:rPr>
                            <w:rFonts w:ascii="宋体" w:hAnsi="宋体" w:cs="宋体" w:eastAsia="宋体" w:hint="default"/>
                            <w:sz w:val="18"/>
                            <w:szCs w:val="18"/>
                          </w:rPr>
                          <w:t>同比增加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，由于公司执行新金融工具准则，将购买的保本浮动收益型理财产 品计入该项目所致。</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48.82%</w:t>
            </w:r>
            <w:r>
              <w:rPr>
                <w:rFonts w:ascii="宋体" w:hAnsi="宋体" w:cs="宋体" w:eastAsia="宋体" w:hint="default"/>
                <w:sz w:val="18"/>
                <w:szCs w:val="18"/>
              </w:rPr>
              <w:t>，主要原因是：客户以票据方式结算金额增加所致。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39.37%</w:t>
            </w:r>
            <w:r>
              <w:rPr>
                <w:rFonts w:ascii="宋体" w:hAnsi="宋体" w:cs="宋体" w:eastAsia="宋体" w:hint="default"/>
                <w:spacing w:val="-3"/>
                <w:sz w:val="18"/>
                <w:szCs w:val="18"/>
              </w:rPr>
              <w:t>，主要原因是：公司参加客户组织的招标，拨付的投标保证金增加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108.26%</w:t>
            </w:r>
            <w:r>
              <w:rPr>
                <w:rFonts w:ascii="宋体" w:hAnsi="宋体" w:cs="宋体" w:eastAsia="宋体" w:hint="default"/>
                <w:sz w:val="18"/>
                <w:szCs w:val="18"/>
              </w:rPr>
              <w:t>，主要原因是：公司集成业务规模增加。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8"/>
              <w:jc w:val="left"/>
              <w:rPr>
                <w:rFonts w:ascii="宋体" w:hAnsi="宋体" w:cs="宋体" w:eastAsia="宋体" w:hint="default"/>
                <w:sz w:val="18"/>
                <w:szCs w:val="18"/>
              </w:rPr>
            </w:pPr>
            <w:r>
              <w:rPr>
                <w:rFonts w:ascii="宋体" w:hAnsi="宋体" w:cs="宋体" w:eastAsia="宋体" w:hint="default"/>
                <w:sz w:val="18"/>
                <w:szCs w:val="18"/>
              </w:rPr>
              <w:t>同比下降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，由于公司执行新金融工具准则，调整至其他权益工具投资科目核 算所致。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同比降低</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41.97%</w:t>
            </w:r>
            <w:r>
              <w:rPr>
                <w:rFonts w:ascii="宋体" w:hAnsi="宋体" w:cs="宋体" w:eastAsia="宋体" w:hint="default"/>
                <w:spacing w:val="-3"/>
                <w:sz w:val="18"/>
                <w:szCs w:val="18"/>
              </w:rPr>
              <w:t>，主要原因是：本报告期待摊销的技术服务费、咨询费等金额减少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同比增长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39.98%</w:t>
            </w:r>
            <w:r>
              <w:rPr>
                <w:rFonts w:ascii="宋体" w:hAnsi="宋体" w:cs="宋体" w:eastAsia="宋体" w:hint="default"/>
                <w:sz w:val="18"/>
                <w:szCs w:val="18"/>
              </w:rPr>
              <w:t>，主要原因是：资产减值准备相关的递延所得税资产增加所致。</w:t>
            </w:r>
          </w:p>
        </w:tc>
      </w:tr>
      <w:tr>
        <w:trPr>
          <w:trHeight w:val="716"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同比降低</w:t>
            </w:r>
            <w:r>
              <w:rPr>
                <w:rFonts w:ascii="宋体" w:hAnsi="宋体" w:cs="宋体" w:eastAsia="宋体" w:hint="default"/>
                <w:spacing w:val="-33"/>
                <w:sz w:val="18"/>
                <w:szCs w:val="18"/>
              </w:rPr>
              <w:t> </w:t>
            </w:r>
            <w:r>
              <w:rPr>
                <w:rFonts w:ascii="Times New Roman" w:hAnsi="Times New Roman" w:cs="Times New Roman" w:eastAsia="Times New Roman" w:hint="default"/>
                <w:spacing w:val="-2"/>
                <w:sz w:val="18"/>
                <w:szCs w:val="18"/>
              </w:rPr>
              <w:t>34.77%</w:t>
            </w:r>
            <w:r>
              <w:rPr>
                <w:rFonts w:ascii="宋体" w:hAnsi="宋体" w:cs="宋体" w:eastAsia="宋体" w:hint="default"/>
                <w:spacing w:val="-2"/>
                <w:sz w:val="18"/>
                <w:szCs w:val="18"/>
              </w:rPr>
              <w:t>，主要原因是：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北信源（南京）研发运营基地项目</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预付工程款项</w:t>
            </w:r>
            <w:r>
              <w:rPr>
                <w:rFonts w:ascii="宋体" w:hAnsi="宋体" w:cs="宋体" w:eastAsia="宋体" w:hint="default"/>
                <w:spacing w:val="-85"/>
                <w:sz w:val="18"/>
                <w:szCs w:val="18"/>
              </w:rPr>
              <w:t> </w:t>
            </w:r>
            <w:r>
              <w:rPr>
                <w:rFonts w:ascii="宋体" w:hAnsi="宋体" w:cs="宋体" w:eastAsia="宋体" w:hint="default"/>
                <w:sz w:val="18"/>
                <w:szCs w:val="18"/>
              </w:rPr>
              <w:t>转入在建工程所致。</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1"/>
        <w:gridCol w:w="1066"/>
        <w:gridCol w:w="1064"/>
        <w:gridCol w:w="1063"/>
        <w:gridCol w:w="1066"/>
        <w:gridCol w:w="1064"/>
        <w:gridCol w:w="1058"/>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74" w:hanging="269"/>
              <w:jc w:val="left"/>
              <w:rPr>
                <w:rFonts w:ascii="宋体" w:hAnsi="宋体" w:cs="宋体" w:eastAsia="宋体" w:hint="default"/>
                <w:sz w:val="18"/>
                <w:szCs w:val="18"/>
              </w:rPr>
            </w:pPr>
            <w:r>
              <w:rPr>
                <w:rFonts w:ascii="宋体" w:hAnsi="宋体" w:cs="宋体" w:eastAsia="宋体" w:hint="default"/>
                <w:sz w:val="18"/>
                <w:szCs w:val="18"/>
              </w:rPr>
              <w:t>资产的具体 内容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所在地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保障资产安 全性的控制 措施</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境外资产占 公司净资产 的比重</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是否存在重 大减值风险</w:t>
            </w:r>
          </w:p>
        </w:tc>
      </w:tr>
      <w:tr>
        <w:trPr>
          <w:trHeight w:val="102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12"/>
                <w:sz w:val="18"/>
                <w:szCs w:val="18"/>
              </w:rPr>
              <w:t>北信源（马来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2"/>
                <w:sz w:val="18"/>
                <w:szCs w:val="18"/>
              </w:rPr>
              <w:t>西亚）信息技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术公司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464.07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北信源国际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239.08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自主运营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22"/>
        <w:jc w:val="left"/>
      </w:pPr>
      <w:r>
        <w:rPr>
          <w:rFonts w:ascii="宋体" w:hAnsi="宋体" w:cs="宋体" w:eastAsia="宋体" w:hint="default"/>
          <w:b/>
          <w:bCs/>
        </w:rPr>
        <w:t>（一）资质优势</w:t>
      </w:r>
      <w:r>
        <w:rPr>
          <w:rFonts w:ascii="宋体" w:hAnsi="宋体" w:cs="宋体" w:eastAsia="宋体" w:hint="default"/>
          <w:b/>
          <w:bCs/>
          <w:w w:val="99"/>
        </w:rPr>
        <w:t> </w:t>
      </w:r>
      <w:r>
        <w:rPr>
          <w:spacing w:val="-2"/>
        </w:rPr>
        <w:t>由于网络安全行业的特殊性，准入门槛要求较高，获得资质或许可的多少是衡量信息安全企业竞争实力的重要标准，也</w:t>
      </w:r>
    </w:p>
    <w:p>
      <w:pPr>
        <w:pStyle w:val="BodyText"/>
        <w:spacing w:line="314" w:lineRule="auto" w:before="19"/>
        <w:ind w:right="1129"/>
        <w:jc w:val="both"/>
      </w:pPr>
      <w:r>
        <w:rPr>
          <w:spacing w:val="-2"/>
        </w:rPr>
        <w:t>是抢占市场份额的关键。公司凭借领先的技术优势及丰富的案例优势，已经拥有国家规划布局重点软件企业、国家网络与信</w:t>
      </w:r>
      <w:r>
        <w:rPr>
          <w:spacing w:val="-63"/>
        </w:rPr>
        <w:t> </w:t>
      </w:r>
      <w:r>
        <w:rPr>
          <w:spacing w:val="-63"/>
        </w:rPr>
      </w:r>
      <w:r>
        <w:rPr>
          <w:spacing w:val="-2"/>
        </w:rPr>
        <w:t>息安全通报中心技术支持单位、北京市关键信息基础设施网络安全检查工作技术支撑单位、商用密码产品生产定点单位；通</w:t>
      </w:r>
      <w:r>
        <w:rPr>
          <w:spacing w:val="-63"/>
        </w:rPr>
        <w:t> </w:t>
      </w:r>
      <w:r>
        <w:rPr>
          <w:spacing w:val="-63"/>
        </w:rPr>
      </w:r>
      <w:r>
        <w:rPr>
          <w:spacing w:val="-1"/>
        </w:rPr>
        <w:t>过</w:t>
      </w:r>
      <w:r>
        <w:rPr>
          <w:rFonts w:ascii="Times New Roman" w:hAnsi="Times New Roman" w:cs="Times New Roman" w:eastAsia="Times New Roman" w:hint="default"/>
          <w:spacing w:val="-1"/>
        </w:rPr>
        <w:t>CMMI-DEV-ML-3</w:t>
      </w:r>
      <w:r>
        <w:rPr>
          <w:spacing w:val="-1"/>
        </w:rPr>
        <w:t>认证、信息安全等级保护安全建设服务机构能力评估认证、</w:t>
      </w:r>
      <w:r>
        <w:rPr>
          <w:rFonts w:ascii="Times New Roman" w:hAnsi="Times New Roman" w:cs="Times New Roman" w:eastAsia="Times New Roman" w:hint="default"/>
          <w:spacing w:val="-1"/>
        </w:rPr>
        <w:t>ISO9001:2015</w:t>
      </w:r>
      <w:r>
        <w:rPr>
          <w:spacing w:val="-1"/>
        </w:rPr>
        <w:t>质量管理体系认证、信息安全</w:t>
      </w:r>
      <w:r>
        <w:rPr>
          <w:spacing w:val="-65"/>
        </w:rPr>
        <w:t> </w:t>
      </w:r>
      <w:r>
        <w:rPr>
          <w:spacing w:val="-65"/>
        </w:rPr>
      </w:r>
      <w:r>
        <w:rPr>
          <w:spacing w:val="-2"/>
        </w:rPr>
        <w:t>管理体系认证；拥有近百项计算机信息系统安全专用产品销售许可证、涉密信息系统产品检测证书、军用信息安全产品认证</w:t>
      </w:r>
      <w:r>
        <w:rPr>
          <w:spacing w:val="-62"/>
        </w:rPr>
        <w:t> </w:t>
      </w:r>
      <w:r>
        <w:rPr>
          <w:spacing w:val="-62"/>
        </w:rPr>
      </w:r>
      <w:r>
        <w:rPr>
          <w:spacing w:val="-2"/>
        </w:rPr>
        <w:t>证书、商用密码产品销售许可证、涉密信息系统集成甲级资质证书、装备承制单位注册证书等权威机构颁发的产品及企业资</w:t>
      </w:r>
      <w:r>
        <w:rPr>
          <w:spacing w:val="-63"/>
        </w:rPr>
        <w:t> </w:t>
      </w:r>
      <w:r>
        <w:rPr>
          <w:spacing w:val="-63"/>
        </w:rPr>
      </w:r>
      <w:r>
        <w:rPr/>
        <w:t>质。</w:t>
      </w:r>
    </w:p>
    <w:p>
      <w:pPr>
        <w:spacing w:line="240" w:lineRule="auto" w:before="6"/>
        <w:rPr>
          <w:rFonts w:ascii="宋体" w:hAnsi="宋体" w:cs="宋体" w:eastAsia="宋体" w:hint="default"/>
          <w:sz w:val="25"/>
          <w:szCs w:val="25"/>
        </w:rPr>
      </w:pPr>
    </w:p>
    <w:p>
      <w:pPr>
        <w:pStyle w:val="BodyText"/>
        <w:spacing w:line="316" w:lineRule="auto"/>
        <w:ind w:left="513" w:right="1213"/>
        <w:jc w:val="left"/>
        <w:rPr>
          <w:rFonts w:ascii="Times New Roman" w:hAnsi="Times New Roman" w:cs="Times New Roman" w:eastAsia="Times New Roman" w:hint="default"/>
        </w:rPr>
      </w:pPr>
      <w:r>
        <w:rPr>
          <w:rFonts w:ascii="宋体" w:hAnsi="宋体" w:cs="宋体" w:eastAsia="宋体" w:hint="default"/>
          <w:b/>
          <w:bCs/>
        </w:rPr>
        <w:t>（二）行业先发优势</w:t>
      </w:r>
      <w:r>
        <w:rPr>
          <w:rFonts w:ascii="宋体" w:hAnsi="宋体" w:cs="宋体" w:eastAsia="宋体" w:hint="default"/>
          <w:b/>
          <w:bCs/>
          <w:w w:val="99"/>
        </w:rPr>
        <w:t> </w:t>
      </w:r>
      <w:r>
        <w:rPr/>
        <w:t>公司是中国第一批自主品牌信息安全产品及整体解决方案供应商，作为国内著名的信息安全厂商，公司已经为自</w:t>
      </w:r>
      <w:r>
        <w:rPr>
          <w:rFonts w:ascii="Times New Roman" w:hAnsi="Times New Roman" w:cs="Times New Roman" w:eastAsia="Times New Roman" w:hint="default"/>
        </w:rPr>
        <w:t>2001</w:t>
      </w:r>
    </w:p>
    <w:p>
      <w:pPr>
        <w:pStyle w:val="BodyText"/>
        <w:spacing w:line="300" w:lineRule="auto"/>
        <w:ind w:right="1090"/>
        <w:jc w:val="both"/>
      </w:pPr>
      <w:r>
        <w:rPr/>
        <w:t>年来的历届</w:t>
      </w:r>
      <w:r>
        <w:rPr>
          <w:rFonts w:ascii="Times New Roman" w:hAnsi="Times New Roman" w:cs="Times New Roman" w:eastAsia="Times New Roman" w:hint="default"/>
        </w:rPr>
        <w:t>“</w:t>
      </w:r>
      <w:r>
        <w:rPr/>
        <w:t>全国人大会议</w:t>
      </w:r>
      <w:r>
        <w:rPr>
          <w:rFonts w:ascii="Times New Roman" w:hAnsi="Times New Roman" w:cs="Times New Roman" w:eastAsia="Times New Roman" w:hint="default"/>
        </w:rPr>
        <w:t>”</w:t>
      </w:r>
      <w:r>
        <w:rPr/>
        <w:t>、</w:t>
      </w:r>
      <w:r>
        <w:rPr>
          <w:rFonts w:ascii="Times New Roman" w:hAnsi="Times New Roman" w:cs="Times New Roman" w:eastAsia="Times New Roman" w:hint="default"/>
        </w:rPr>
        <w:t>2003</w:t>
      </w:r>
      <w:r>
        <w:rPr/>
        <w:t>年以来的</w:t>
      </w:r>
      <w:r>
        <w:rPr>
          <w:rFonts w:ascii="Times New Roman" w:hAnsi="Times New Roman" w:cs="Times New Roman" w:eastAsia="Times New Roman" w:hint="default"/>
        </w:rPr>
        <w:t>“</w:t>
      </w:r>
      <w:r>
        <w:rPr/>
        <w:t>历届全国政协会议</w:t>
      </w:r>
      <w:r>
        <w:rPr>
          <w:rFonts w:ascii="Times New Roman" w:hAnsi="Times New Roman" w:cs="Times New Roman" w:eastAsia="Times New Roman" w:hint="default"/>
        </w:rPr>
        <w:t>”</w:t>
      </w:r>
      <w:r>
        <w:rPr/>
        <w:t>，党的十八大、十九大等重要会议以及</w:t>
      </w:r>
      <w:r>
        <w:rPr>
          <w:rFonts w:ascii="Times New Roman" w:hAnsi="Times New Roman" w:cs="Times New Roman" w:eastAsia="Times New Roman" w:hint="default"/>
        </w:rPr>
        <w:t>2008</w:t>
      </w:r>
      <w:r>
        <w:rPr/>
        <w:t>年北京奥运会、 </w:t>
      </w:r>
      <w:r>
        <w:rPr>
          <w:rFonts w:ascii="Times New Roman" w:hAnsi="Times New Roman" w:cs="Times New Roman" w:eastAsia="Times New Roman" w:hint="default"/>
        </w:rPr>
        <w:t>2010</w:t>
      </w:r>
      <w:r>
        <w:rPr/>
        <w:t>年上海世博会、</w:t>
      </w:r>
      <w:r>
        <w:rPr>
          <w:rFonts w:ascii="Times New Roman" w:hAnsi="Times New Roman" w:cs="Times New Roman" w:eastAsia="Times New Roman" w:hint="default"/>
        </w:rPr>
        <w:t>2010</w:t>
      </w:r>
      <w:r>
        <w:rPr/>
        <w:t>年广州亚运会、</w:t>
      </w:r>
      <w:r>
        <w:rPr>
          <w:rFonts w:ascii="Times New Roman" w:hAnsi="Times New Roman" w:cs="Times New Roman" w:eastAsia="Times New Roman" w:hint="default"/>
        </w:rPr>
        <w:t>2011</w:t>
      </w:r>
      <w:r>
        <w:rPr/>
        <w:t>年深圳大运会、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APEC</w:t>
      </w:r>
      <w:r>
        <w:rPr/>
        <w:t>会议、</w:t>
      </w:r>
      <w:r>
        <w:rPr>
          <w:rFonts w:ascii="Times New Roman" w:hAnsi="Times New Roman" w:cs="Times New Roman" w:eastAsia="Times New Roman" w:hint="default"/>
        </w:rPr>
        <w:t>2014</w:t>
      </w:r>
      <w:r>
        <w:rPr/>
        <w:t>年亚信峰会、</w:t>
      </w:r>
      <w:r>
        <w:rPr>
          <w:rFonts w:ascii="Times New Roman" w:hAnsi="Times New Roman" w:cs="Times New Roman" w:eastAsia="Times New Roman" w:hint="default"/>
        </w:rPr>
        <w:t>2014</w:t>
      </w:r>
      <w:r>
        <w:rPr/>
        <w:t>年青奥会、</w:t>
      </w:r>
      <w:r>
        <w:rPr>
          <w:rFonts w:ascii="Times New Roman" w:hAnsi="Times New Roman" w:cs="Times New Roman" w:eastAsia="Times New Roman" w:hint="default"/>
        </w:rPr>
        <w:t>2016</w:t>
      </w:r>
      <w:r>
        <w:rPr/>
        <w:t>年 </w:t>
      </w:r>
      <w:r>
        <w:rPr>
          <w:rFonts w:ascii="Times New Roman" w:hAnsi="Times New Roman" w:cs="Times New Roman" w:eastAsia="Times New Roman" w:hint="default"/>
        </w:rPr>
        <w:t>G20</w:t>
      </w:r>
      <w:r>
        <w:rPr/>
        <w:t>峰会、</w:t>
      </w:r>
      <w:r>
        <w:rPr>
          <w:rFonts w:ascii="Times New Roman" w:hAnsi="Times New Roman" w:cs="Times New Roman" w:eastAsia="Times New Roman" w:hint="default"/>
        </w:rPr>
        <w:t>2018</w:t>
      </w:r>
      <w:r>
        <w:rPr/>
        <w:t>年青岛上合峰会等世界级、国家级会议、赛事提供现场信息安保服务。公司还长年向公安部、中组部、中宣 </w:t>
      </w:r>
      <w:r>
        <w:rPr>
          <w:spacing w:val="-2"/>
        </w:rPr>
        <w:t>部、农业部、国家统计局、银河证券、中信证券等国家部委及中央企业提供驻场运维服务，并被国家网络与信息安全信息通</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13" w:right="1034" w:hanging="361"/>
        <w:jc w:val="left"/>
      </w:pPr>
      <w:r>
        <w:rPr/>
        <w:t>报中心聘为技术支持单位、被全国信息网络安全联盟聘为技术支持单位，被北京市公安局聘为网络信息安全技术保障单位。 </w:t>
      </w:r>
      <w:r>
        <w:rPr>
          <w:spacing w:val="-2"/>
        </w:rPr>
        <w:t>由于行业的信息网络和系统有其特殊性，信息安全建设需要在遵守国家等级保护和分级保护等政策规定的基础上结合行</w:t>
      </w:r>
    </w:p>
    <w:p>
      <w:pPr>
        <w:pStyle w:val="BodyText"/>
        <w:spacing w:line="316" w:lineRule="auto" w:before="19"/>
        <w:ind w:right="1122"/>
        <w:jc w:val="left"/>
      </w:pPr>
      <w:r>
        <w:rPr/>
        <w:t>业特点进行，作为少数在终端安全管理市场和数据安全管理市场具有较强自主研发能力并拥有大量优质客户资源的民营企 </w:t>
      </w:r>
      <w:r>
        <w:rPr>
          <w:spacing w:val="-2"/>
        </w:rPr>
        <w:t>业，公司凭借与客户长期合作积累的丰富经验，针对不同行业客户的需求，开发出多种完整的个性化解决方案，并可以根据</w:t>
      </w:r>
      <w:r>
        <w:rPr>
          <w:spacing w:val="-65"/>
        </w:rPr>
        <w:t> </w:t>
      </w:r>
      <w:r>
        <w:rPr>
          <w:spacing w:val="-65"/>
        </w:rPr>
      </w:r>
      <w:r>
        <w:rPr/>
        <w:t>不同客户的个性化需求快速定制不同类型的解决方案，具备较强的竞争优势。</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（三）技术研发优势</w:t>
      </w:r>
      <w:r>
        <w:rPr>
          <w:rFonts w:ascii="宋体" w:hAnsi="宋体" w:cs="宋体" w:eastAsia="宋体" w:hint="default"/>
          <w:b/>
          <w:bCs/>
          <w:w w:val="99"/>
        </w:rPr>
        <w:t> </w:t>
      </w:r>
      <w:r>
        <w:rPr>
          <w:spacing w:val="-2"/>
        </w:rPr>
        <w:t>公司长期在网络安全领域精耕细作，始终秉承专业、专注的态度致力于前瞻科技，不断提升产品性能和服务品质，持续</w:t>
      </w:r>
    </w:p>
    <w:p>
      <w:pPr>
        <w:pStyle w:val="BodyText"/>
        <w:spacing w:line="316" w:lineRule="auto" w:before="19"/>
        <w:ind w:right="1130"/>
        <w:jc w:val="both"/>
      </w:pPr>
      <w:r>
        <w:rPr>
          <w:spacing w:val="-2"/>
        </w:rPr>
        <w:t>加大研发投入和技术创新，经过多年积累，公司具备提供网络安全领域的软件设计开发、技术咨询、关键设备研发、系统集</w:t>
      </w:r>
      <w:r>
        <w:rPr>
          <w:spacing w:val="-67"/>
        </w:rPr>
        <w:t> </w:t>
      </w:r>
      <w:r>
        <w:rPr>
          <w:spacing w:val="-67"/>
        </w:rPr>
      </w:r>
      <w:r>
        <w:rPr>
          <w:spacing w:val="-2"/>
        </w:rPr>
        <w:t>成服务、大数据、移动互联等应用业务的较强业务能力，随着信息技术应用创新的进一步落地，公司产品技术竞争力将得到</w:t>
      </w:r>
      <w:r>
        <w:rPr>
          <w:spacing w:val="-63"/>
        </w:rPr>
        <w:t> </w:t>
      </w:r>
      <w:r>
        <w:rPr>
          <w:spacing w:val="-63"/>
        </w:rPr>
      </w:r>
      <w:r>
        <w:rPr/>
        <w:t>进一步释放。</w:t>
      </w:r>
    </w:p>
    <w:p>
      <w:pPr>
        <w:pStyle w:val="BodyText"/>
        <w:spacing w:line="316" w:lineRule="auto" w:before="19"/>
        <w:ind w:right="1130" w:firstLine="360"/>
        <w:jc w:val="both"/>
      </w:pPr>
      <w:r>
        <w:rPr>
          <w:spacing w:val="-2"/>
        </w:rPr>
        <w:t>公司在网络安全技术相关领域拥有高度的话语权和市场地位，曾承担过多项国家发改委、北京市经济和信息化局和北京</w:t>
      </w:r>
      <w:r>
        <w:rPr/>
        <w:t> </w:t>
      </w:r>
      <w:r>
        <w:rPr>
          <w:spacing w:val="-2"/>
        </w:rPr>
        <w:t>市科委的科研与产业化项目；公司持续深化与国内外科研院校的长期战略合作，积极开展产学研合作和上下游技术攻关，与</w:t>
      </w:r>
      <w:r>
        <w:rPr>
          <w:spacing w:val="-63"/>
        </w:rPr>
        <w:t> </w:t>
      </w:r>
      <w:r>
        <w:rPr>
          <w:spacing w:val="-63"/>
        </w:rPr>
      </w:r>
      <w:r>
        <w:rPr/>
        <w:t>清华大学、北京大学、中科院等建立了良好的合作关系。</w:t>
      </w:r>
    </w:p>
    <w:p>
      <w:pPr>
        <w:pStyle w:val="BodyText"/>
        <w:spacing w:line="300" w:lineRule="auto" w:before="19"/>
        <w:ind w:right="1130" w:firstLine="360"/>
        <w:jc w:val="both"/>
      </w:pPr>
      <w:r>
        <w:rPr>
          <w:spacing w:val="-1"/>
        </w:rPr>
        <w:t>公司坚持自主研发及创新，近年来公司的研发费用支出均占公司营业总收入的</w:t>
      </w:r>
      <w:r>
        <w:rPr>
          <w:rFonts w:ascii="Times New Roman" w:hAnsi="Times New Roman" w:cs="Times New Roman" w:eastAsia="Times New Roman" w:hint="default"/>
          <w:spacing w:val="-1"/>
        </w:rPr>
        <w:t>20%</w:t>
      </w:r>
      <w:r>
        <w:rPr>
          <w:spacing w:val="-1"/>
        </w:rPr>
        <w:t>以上。截至报告期末，公司及子公司</w:t>
      </w:r>
      <w:r>
        <w:rPr/>
        <w:t> 取得软件著作权证书</w:t>
      </w:r>
      <w:r>
        <w:rPr>
          <w:rFonts w:ascii="Times New Roman" w:hAnsi="Times New Roman" w:cs="Times New Roman" w:eastAsia="Times New Roman" w:hint="default"/>
        </w:rPr>
        <w:t>206</w:t>
      </w:r>
      <w:r>
        <w:rPr/>
        <w:t>项；申请专利总计</w:t>
      </w:r>
      <w:r>
        <w:rPr>
          <w:rFonts w:ascii="Times New Roman" w:hAnsi="Times New Roman" w:cs="Times New Roman" w:eastAsia="Times New Roman" w:hint="default"/>
        </w:rPr>
        <w:t>404</w:t>
      </w:r>
      <w:r>
        <w:rPr/>
        <w:t>项，授权专利</w:t>
      </w:r>
      <w:r>
        <w:rPr>
          <w:rFonts w:ascii="Times New Roman" w:hAnsi="Times New Roman" w:cs="Times New Roman" w:eastAsia="Times New Roman" w:hint="default"/>
        </w:rPr>
        <w:t>94</w:t>
      </w:r>
      <w:r>
        <w:rPr/>
        <w:t>项，其中发明专利</w:t>
      </w:r>
      <w:r>
        <w:rPr>
          <w:rFonts w:ascii="Times New Roman" w:hAnsi="Times New Roman" w:cs="Times New Roman" w:eastAsia="Times New Roman" w:hint="default"/>
        </w:rPr>
        <w:t>81</w:t>
      </w:r>
      <w:r>
        <w:rPr/>
        <w:t>项，外观设计专利</w:t>
      </w:r>
      <w:r>
        <w:rPr>
          <w:rFonts w:ascii="Times New Roman" w:hAnsi="Times New Roman" w:cs="Times New Roman" w:eastAsia="Times New Roman" w:hint="default"/>
        </w:rPr>
        <w:t>9</w:t>
      </w:r>
      <w:r>
        <w:rPr/>
        <w:t>项，实用新型专利</w:t>
      </w: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项；已申请取得商标</w:t>
      </w:r>
      <w:r>
        <w:rPr>
          <w:rFonts w:ascii="Times New Roman" w:hAnsi="Times New Roman" w:cs="Times New Roman" w:eastAsia="Times New Roman" w:hint="default"/>
        </w:rPr>
        <w:t>117</w:t>
      </w:r>
      <w:r>
        <w:rPr/>
        <w:t>项，涵盖了信息安全、大数据、移动互联应用领域等诸多技术，形成了较全面并具有前瞻性的专利</w:t>
      </w:r>
      <w:r>
        <w:rPr>
          <w:spacing w:val="-85"/>
        </w:rPr>
        <w:t> </w:t>
      </w:r>
      <w:r>
        <w:rPr>
          <w:spacing w:val="-85"/>
        </w:rPr>
      </w:r>
      <w:r>
        <w:rPr/>
        <w:t>体系，进一步提升产品创新开发能力。</w:t>
      </w:r>
    </w:p>
    <w:p>
      <w:pPr>
        <w:spacing w:line="240" w:lineRule="auto" w:before="0"/>
        <w:rPr>
          <w:rFonts w:ascii="宋体" w:hAnsi="宋体" w:cs="宋体" w:eastAsia="宋体" w:hint="default"/>
          <w:sz w:val="18"/>
          <w:szCs w:val="18"/>
        </w:rPr>
      </w:pPr>
    </w:p>
    <w:p>
      <w:pPr>
        <w:pStyle w:val="BodyText"/>
        <w:spacing w:line="357" w:lineRule="auto" w:before="148"/>
        <w:ind w:left="513" w:right="1122"/>
        <w:jc w:val="left"/>
      </w:pPr>
      <w:r>
        <w:rPr>
          <w:rFonts w:ascii="宋体" w:hAnsi="宋体" w:cs="宋体" w:eastAsia="宋体" w:hint="default"/>
          <w:b/>
          <w:bCs/>
        </w:rPr>
        <w:t>（四）品牌优势</w:t>
      </w:r>
      <w:r>
        <w:rPr>
          <w:rFonts w:ascii="宋体" w:hAnsi="宋体" w:cs="宋体" w:eastAsia="宋体" w:hint="default"/>
          <w:b/>
          <w:bCs/>
          <w:w w:val="99"/>
        </w:rPr>
        <w:t> </w:t>
      </w:r>
      <w:r>
        <w:rPr>
          <w:spacing w:val="-2"/>
        </w:rPr>
        <w:t>公司自成立之初便一直注重品牌的培育与发展，聚焦核心业务开展品牌与市场体系建设，持续加强面向市场的品牌传播</w:t>
      </w:r>
    </w:p>
    <w:p>
      <w:pPr>
        <w:pStyle w:val="BodyText"/>
        <w:spacing w:line="224" w:lineRule="exact"/>
        <w:ind w:right="1122"/>
        <w:jc w:val="left"/>
      </w:pPr>
      <w:r>
        <w:rPr/>
        <w:t>与管理，加大品牌与市场对业务发展的引领，不断增强品牌优势。</w:t>
      </w:r>
    </w:p>
    <w:p>
      <w:pPr>
        <w:pStyle w:val="BodyText"/>
        <w:spacing w:line="300" w:lineRule="auto" w:before="117"/>
        <w:ind w:right="1127" w:firstLine="360"/>
        <w:jc w:val="both"/>
      </w:pPr>
      <w:r>
        <w:rPr>
          <w:spacing w:val="-3"/>
        </w:rPr>
        <w:t>报告期内，公司获得</w:t>
      </w:r>
      <w:r>
        <w:rPr>
          <w:rFonts w:ascii="Times New Roman" w:hAnsi="Times New Roman" w:cs="Times New Roman" w:eastAsia="Times New Roman" w:hint="default"/>
          <w:spacing w:val="-3"/>
        </w:rPr>
        <w:t>“</w:t>
      </w:r>
      <w:r>
        <w:rPr>
          <w:spacing w:val="-3"/>
        </w:rPr>
        <w:t>北京软件和信息服务业综合实力百强企业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spacing w:val="-3"/>
        </w:rPr>
        <w:t>中国云计算</w:t>
      </w:r>
      <w:r>
        <w:rPr>
          <w:rFonts w:ascii="Times New Roman" w:hAnsi="Times New Roman" w:cs="Times New Roman" w:eastAsia="Times New Roman" w:hint="default"/>
          <w:spacing w:val="-3"/>
        </w:rPr>
        <w:t>/</w:t>
      </w:r>
      <w:r>
        <w:rPr>
          <w:spacing w:val="-3"/>
        </w:rPr>
        <w:t>大数据及物联网最佳实践奖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spacing w:val="-1"/>
        </w:rPr>
        <w:t>中国网络信息安全领军企业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专用信息设备应用示范基地最佳组织奖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专用信息设备应用示范基地最佳合作企业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国</w:t>
      </w:r>
      <w:r>
        <w:rPr>
          <w:spacing w:val="-59"/>
        </w:rPr>
        <w:t> </w:t>
      </w:r>
      <w:r>
        <w:rPr>
          <w:spacing w:val="-1"/>
        </w:rPr>
        <w:t>家网络与信息安全信息通报中心优秀技术支持单位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福建省网络与信息安全信息通报中心技术支撑单位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工业控制系统</w:t>
      </w:r>
      <w:r>
        <w:rPr>
          <w:spacing w:val="-76"/>
        </w:rPr>
        <w:t> </w:t>
      </w:r>
      <w:r>
        <w:rPr>
          <w:spacing w:val="-76"/>
        </w:rPr>
      </w:r>
      <w:r>
        <w:rPr/>
        <w:t>信息安全产业联盟理事单位</w:t>
      </w:r>
      <w:r>
        <w:rPr>
          <w:rFonts w:ascii="Times New Roman" w:hAnsi="Times New Roman" w:cs="Times New Roman" w:eastAsia="Times New Roman" w:hint="default"/>
        </w:rPr>
        <w:t>” </w:t>
      </w:r>
      <w:r>
        <w:rPr/>
        <w:t>等品牌奖项，公司产品及解决方案荣获</w:t>
      </w:r>
      <w:r>
        <w:rPr>
          <w:rFonts w:ascii="Times New Roman" w:hAnsi="Times New Roman" w:cs="Times New Roman" w:eastAsia="Times New Roman" w:hint="default"/>
        </w:rPr>
        <w:t>“</w:t>
      </w:r>
      <w:r>
        <w:rPr/>
        <w:t>高科技产业化成果</w:t>
      </w:r>
      <w:r>
        <w:rPr>
          <w:rFonts w:ascii="Times New Roman" w:hAnsi="Times New Roman" w:cs="Times New Roman" w:eastAsia="Times New Roman" w:hint="default"/>
        </w:rPr>
        <w:t>2019</w:t>
      </w:r>
      <w:r>
        <w:rPr/>
        <w:t>推荐项目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中国智慧健康医</w:t>
      </w:r>
      <w:r>
        <w:rPr>
          <w:spacing w:val="-50"/>
        </w:rPr>
        <w:t> </w:t>
      </w:r>
      <w:r>
        <w:rPr>
          <w:spacing w:val="-50"/>
        </w:rPr>
      </w:r>
      <w:r>
        <w:rPr/>
        <w:t>疗新成果</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第四届中国网络与信息安全大会优秀产品奖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网络安全技术应用试点示范项目</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等奖项。</w:t>
      </w:r>
    </w:p>
    <w:p>
      <w:pPr>
        <w:pStyle w:val="BodyText"/>
        <w:spacing w:line="307" w:lineRule="auto" w:before="53"/>
        <w:ind w:right="0" w:firstLine="360"/>
        <w:jc w:val="left"/>
      </w:pPr>
      <w:r>
        <w:rPr>
          <w:spacing w:val="-4"/>
        </w:rPr>
        <w:t>报告期内，公司先后收到国家邮政局邮政业安全中心、武汉市公安局信息化领导小组办公室、福建省公安厅科技通信处、</w:t>
      </w:r>
      <w:r>
        <w:rPr/>
        <w:t> </w:t>
      </w:r>
      <w:r>
        <w:rPr>
          <w:spacing w:val="-2"/>
        </w:rPr>
        <w:t>郑州市公安局科技通信管理处、</w:t>
      </w:r>
      <w:r>
        <w:rPr>
          <w:rFonts w:ascii="Times New Roman" w:hAnsi="Times New Roman" w:cs="Times New Roman" w:eastAsia="Times New Roman" w:hint="default"/>
          <w:spacing w:val="-2"/>
        </w:rPr>
        <w:t>2019</w:t>
      </w:r>
      <w:r>
        <w:rPr>
          <w:spacing w:val="-2"/>
        </w:rPr>
        <w:t>年国家网络安全宣传周组委会、国家烟草专卖局烟草经济信息中心、武汉市公安局等机</w:t>
      </w:r>
      <w:r>
        <w:rPr>
          <w:spacing w:val="-59"/>
        </w:rPr>
        <w:t> </w:t>
      </w:r>
      <w:r>
        <w:rPr>
          <w:spacing w:val="-59"/>
        </w:rPr>
      </w:r>
      <w:r>
        <w:rPr>
          <w:spacing w:val="-2"/>
        </w:rPr>
        <w:t>构和组织发来的感谢信和表扬，各方均对公司的专业能力与服务意识给予了高度认可与由衷感谢，</w:t>
      </w:r>
      <w:r>
        <w:rPr>
          <w:rFonts w:ascii="Times New Roman" w:hAnsi="Times New Roman" w:cs="Times New Roman" w:eastAsia="Times New Roman" w:hint="default"/>
          <w:spacing w:val="-2"/>
        </w:rPr>
        <w:t>“</w:t>
      </w:r>
      <w:r>
        <w:rPr>
          <w:spacing w:val="-2"/>
        </w:rPr>
        <w:t>北信源</w:t>
      </w:r>
      <w:r>
        <w:rPr>
          <w:rFonts w:ascii="Times New Roman" w:hAnsi="Times New Roman" w:cs="Times New Roman" w:eastAsia="Times New Roman" w:hint="default"/>
          <w:spacing w:val="-2"/>
        </w:rPr>
        <w:t>VRV”</w:t>
      </w:r>
      <w:r>
        <w:rPr>
          <w:spacing w:val="-2"/>
        </w:rPr>
        <w:t>品牌获得了</w:t>
      </w:r>
      <w:r>
        <w:rPr>
          <w:spacing w:val="-62"/>
        </w:rPr>
        <w:t> </w:t>
      </w:r>
      <w:r>
        <w:rPr>
          <w:spacing w:val="-62"/>
        </w:rPr>
      </w:r>
      <w:r>
        <w:rPr/>
        <w:t>广泛的赞誉和市场认可。</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360" w:lineRule="auto"/>
        <w:ind w:left="513" w:right="1122"/>
        <w:jc w:val="left"/>
      </w:pPr>
      <w:r>
        <w:rPr>
          <w:rFonts w:ascii="宋体" w:hAnsi="宋体" w:cs="宋体" w:eastAsia="宋体" w:hint="default"/>
          <w:b/>
          <w:bCs/>
        </w:rPr>
        <w:t>（五）专业的核心团队优势</w:t>
      </w:r>
      <w:r>
        <w:rPr>
          <w:rFonts w:ascii="宋体" w:hAnsi="宋体" w:cs="宋体" w:eastAsia="宋体" w:hint="default"/>
          <w:b/>
          <w:bCs/>
          <w:w w:val="99"/>
        </w:rPr>
        <w:t> </w:t>
      </w:r>
      <w:r>
        <w:rPr>
          <w:spacing w:val="-2"/>
        </w:rPr>
        <w:t>公司十分注重对人才的挖掘培养和组织的建设，目前已经建立了较为完善的研发、测试、销售、技术支持与服务、管理</w:t>
      </w:r>
    </w:p>
    <w:p>
      <w:pPr>
        <w:pStyle w:val="BodyText"/>
        <w:spacing w:line="222" w:lineRule="exact"/>
        <w:ind w:right="0"/>
        <w:jc w:val="left"/>
      </w:pPr>
      <w:r>
        <w:rPr/>
        <w:t>等系统化专业体系。公司核心团队稳定，具有强大的技术实力和管理能力，能够准确把握行业发展趋势和方向，发现行业新</w:t>
      </w:r>
    </w:p>
    <w:p>
      <w:pPr>
        <w:pStyle w:val="BodyText"/>
        <w:spacing w:line="316" w:lineRule="auto" w:before="76"/>
        <w:ind w:left="513" w:right="1122" w:hanging="361"/>
        <w:jc w:val="left"/>
      </w:pPr>
      <w:r>
        <w:rPr/>
        <w:t>的利润增长点，提升公司长期持续经营能力。 </w:t>
      </w:r>
      <w:r>
        <w:rPr>
          <w:spacing w:val="-2"/>
        </w:rPr>
        <w:t>目前，公司已建立起了一支技术精湛、经验丰富、结构合理、团结协作的队伍。专业研发团队以博士、硕士为骨干，公</w:t>
      </w:r>
    </w:p>
    <w:p>
      <w:pPr>
        <w:pStyle w:val="BodyText"/>
        <w:spacing w:line="316" w:lineRule="auto" w:before="19"/>
        <w:ind w:right="1122"/>
        <w:jc w:val="left"/>
      </w:pPr>
      <w:r>
        <w:rPr>
          <w:spacing w:val="-2"/>
        </w:rPr>
        <w:t>司管理和销售团队则在管理、技术、市场等方面各有所长。各团队之间分工明确，配合默契，对于公司长期发展战略和经营</w:t>
      </w:r>
      <w:r>
        <w:rPr>
          <w:spacing w:val="-67"/>
        </w:rPr>
        <w:t> </w:t>
      </w:r>
      <w:r>
        <w:rPr>
          <w:spacing w:val="-67"/>
        </w:rPr>
      </w:r>
      <w:r>
        <w:rPr/>
        <w:t>理念形成了共识，善于把握市场机遇，勇于进取、乐于创新、富有创业精神。</w:t>
      </w:r>
    </w:p>
    <w:p>
      <w:pPr>
        <w:pStyle w:val="BodyText"/>
        <w:spacing w:line="316" w:lineRule="auto" w:before="19"/>
        <w:ind w:right="1134" w:firstLine="360"/>
        <w:jc w:val="both"/>
      </w:pPr>
      <w:r>
        <w:rPr>
          <w:spacing w:val="-2"/>
        </w:rPr>
        <w:t>此外，公司持续健全人才激励机制，优化组织绩效管理，并通过引进人才、骨干成员持股等方式，有效保证了公司的凝</w:t>
      </w:r>
      <w:r>
        <w:rPr/>
        <w:t> 聚力和员工的稳定性。</w:t>
      </w:r>
    </w:p>
    <w:p>
      <w:pPr>
        <w:spacing w:line="240" w:lineRule="auto" w:before="4"/>
        <w:rPr>
          <w:rFonts w:ascii="宋体" w:hAnsi="宋体" w:cs="宋体" w:eastAsia="宋体" w:hint="default"/>
          <w:sz w:val="25"/>
          <w:szCs w:val="25"/>
        </w:rPr>
      </w:pPr>
    </w:p>
    <w:p>
      <w:pPr>
        <w:pStyle w:val="Heading5"/>
        <w:spacing w:line="240" w:lineRule="auto"/>
        <w:ind w:right="1122"/>
        <w:jc w:val="left"/>
        <w:rPr>
          <w:b w:val="0"/>
          <w:bCs w:val="0"/>
        </w:rPr>
      </w:pPr>
      <w:r>
        <w:rPr/>
        <w:t>（六）覆盖广泛的营销服务体系优势</w:t>
      </w:r>
      <w:r>
        <w:rPr>
          <w:b w:val="0"/>
          <w:bCs w:val="0"/>
        </w:rPr>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2" w:firstLine="360"/>
        <w:jc w:val="both"/>
      </w:pPr>
      <w:r>
        <w:rPr>
          <w:spacing w:val="-2"/>
        </w:rPr>
        <w:t>公司凭借在信息安全领域多年的积累，依靠自身过硬的产品和领先的技术实力，与客户在业务开展过程中形成了积极的</w:t>
      </w:r>
      <w:r>
        <w:rPr/>
        <w:t> </w:t>
      </w:r>
      <w:r>
        <w:rPr>
          <w:spacing w:val="-2"/>
        </w:rPr>
        <w:t>互动，能在第一时间了解客户诉求，通过需求提炼、产品和解决方案规划和设计，为其提供专业完善的定制化解决方案。公</w:t>
      </w:r>
      <w:r>
        <w:rPr>
          <w:spacing w:val="-67"/>
        </w:rPr>
        <w:t> </w:t>
      </w:r>
      <w:r>
        <w:rPr>
          <w:spacing w:val="-67"/>
        </w:rPr>
      </w:r>
      <w:r>
        <w:rPr/>
        <w:t>司依靠快速的响应能力和完善的售后服务，获得了客户的信任和支持，并在业内形成了良好的口碑。</w:t>
      </w:r>
    </w:p>
    <w:p>
      <w:pPr>
        <w:pStyle w:val="BodyText"/>
        <w:spacing w:line="316" w:lineRule="auto" w:before="19"/>
        <w:ind w:right="1131" w:firstLine="360"/>
        <w:jc w:val="both"/>
      </w:pPr>
      <w:r>
        <w:rPr>
          <w:spacing w:val="-2"/>
        </w:rPr>
        <w:t>网络安全业务多以行业解决方案模式在市场推广，具备广泛的服务能力成为被客户选择的关键因素。公司拥有专业的信</w:t>
      </w:r>
      <w:r>
        <w:rPr/>
        <w:t> </w:t>
      </w:r>
      <w:r>
        <w:rPr>
          <w:spacing w:val="-2"/>
        </w:rPr>
        <w:t>息安全研发、咨询与服务人员，总部位于北京，并在福建、江苏、湖南、上海、南京、青岛、广州、西安、武汉、深圳、成</w:t>
      </w:r>
      <w:r>
        <w:rPr>
          <w:spacing w:val="-75"/>
        </w:rPr>
        <w:t> </w:t>
      </w:r>
      <w:r>
        <w:rPr>
          <w:spacing w:val="-75"/>
        </w:rPr>
      </w:r>
      <w:r>
        <w:rPr>
          <w:spacing w:val="-2"/>
        </w:rPr>
        <w:t>都、杭州等地设立了子公司或分公司，在天津、河北、山东等二十余个省、市设立了办事处。公司现已构建了覆盖全国七大</w:t>
      </w:r>
      <w:r>
        <w:rPr>
          <w:spacing w:val="-70"/>
        </w:rPr>
        <w:t> </w:t>
      </w:r>
      <w:r>
        <w:rPr>
          <w:spacing w:val="-70"/>
        </w:rPr>
      </w:r>
      <w:r>
        <w:rPr>
          <w:spacing w:val="-2"/>
        </w:rPr>
        <w:t>区、近三十个省市的营销与服务网络，具有较强的跨区域经营能力，经过自身业务的发展以及与各分子公司的协同发展，为</w:t>
      </w:r>
      <w:r>
        <w:rPr>
          <w:spacing w:val="-64"/>
        </w:rPr>
        <w:t> </w:t>
      </w:r>
      <w:r>
        <w:rPr>
          <w:spacing w:val="-64"/>
        </w:rPr>
      </w:r>
      <w:r>
        <w:rPr/>
        <w:t>全国的用户提供业界领先的产品与服务。</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22"/>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报告期内，公司全面围绕年度经营计划开展工作，以</w:t>
      </w:r>
      <w:r>
        <w:rPr>
          <w:rFonts w:ascii="Times New Roman" w:hAnsi="Times New Roman" w:cs="Times New Roman" w:eastAsia="Times New Roman" w:hint="default"/>
          <w:spacing w:val="-2"/>
        </w:rPr>
        <w:t>“</w:t>
      </w:r>
      <w:r>
        <w:rPr>
          <w:spacing w:val="-2"/>
        </w:rPr>
        <w:t>信息安全、大数据安全、安全通信应用</w:t>
      </w:r>
      <w:r>
        <w:rPr>
          <w:rFonts w:ascii="Times New Roman" w:hAnsi="Times New Roman" w:cs="Times New Roman" w:eastAsia="Times New Roman" w:hint="default"/>
          <w:spacing w:val="-2"/>
        </w:rPr>
        <w:t>”</w:t>
      </w:r>
      <w:r>
        <w:rPr>
          <w:spacing w:val="-2"/>
        </w:rPr>
        <w:t>为三大发展战略，以技术</w:t>
      </w:r>
      <w:r>
        <w:rPr/>
        <w:t> </w:t>
      </w:r>
      <w:r>
        <w:rPr>
          <w:spacing w:val="-2"/>
        </w:rPr>
        <w:t>创新为驱动，持续加大技术研发的投入力度，提升产品的市场竞争力。报告期内，公司进一步优化完善组织架构体系，并围</w:t>
      </w:r>
      <w:r>
        <w:rPr>
          <w:spacing w:val="-67"/>
        </w:rPr>
        <w:t> </w:t>
      </w:r>
      <w:r>
        <w:rPr>
          <w:spacing w:val="-67"/>
        </w:rPr>
      </w:r>
      <w:r>
        <w:rPr/>
        <w:t>绕业务咨询、产品技术、系统集成及解决方案，继续深化业务融合，使整体经营规模稳步增长。</w:t>
      </w:r>
    </w:p>
    <w:p>
      <w:pPr>
        <w:pStyle w:val="BodyText"/>
        <w:spacing w:line="300" w:lineRule="auto" w:before="24"/>
        <w:ind w:right="1037" w:firstLine="360"/>
        <w:jc w:val="both"/>
      </w:pPr>
      <w:r>
        <w:rPr>
          <w:spacing w:val="-2"/>
        </w:rPr>
        <w:t>报告期内，公司实现营业收入</w:t>
      </w:r>
      <w:r>
        <w:rPr>
          <w:rFonts w:ascii="Times New Roman" w:hAnsi="Times New Roman" w:cs="Times New Roman" w:eastAsia="Times New Roman" w:hint="default"/>
          <w:spacing w:val="-2"/>
        </w:rPr>
        <w:t>72,198.24</w:t>
      </w:r>
      <w:r>
        <w:rPr>
          <w:spacing w:val="-2"/>
        </w:rPr>
        <w:t>万元，比上年同期增长</w:t>
      </w:r>
      <w:r>
        <w:rPr>
          <w:rFonts w:ascii="Times New Roman" w:hAnsi="Times New Roman" w:cs="Times New Roman" w:eastAsia="Times New Roman" w:hint="default"/>
          <w:spacing w:val="-2"/>
        </w:rPr>
        <w:t>26.13%</w:t>
      </w:r>
      <w:r>
        <w:rPr>
          <w:spacing w:val="-2"/>
        </w:rPr>
        <w:t>；实现归属于上市公司股东的净利润</w:t>
      </w:r>
      <w:r>
        <w:rPr>
          <w:rFonts w:ascii="Times New Roman" w:hAnsi="Times New Roman" w:cs="Times New Roman" w:eastAsia="Times New Roman" w:hint="default"/>
          <w:spacing w:val="-2"/>
        </w:rPr>
        <w:t>2,238.42</w:t>
      </w:r>
      <w:r>
        <w:rPr>
          <w:spacing w:val="-2"/>
        </w:rPr>
        <w:t>万元，</w:t>
      </w:r>
      <w:r>
        <w:rPr/>
        <w:t> 比上年同期下降</w:t>
      </w:r>
      <w:r>
        <w:rPr>
          <w:rFonts w:ascii="Times New Roman" w:hAnsi="Times New Roman" w:cs="Times New Roman" w:eastAsia="Times New Roman" w:hint="default"/>
        </w:rPr>
        <w:t>73.95%</w:t>
      </w:r>
      <w:r>
        <w:rPr/>
        <w:t>；归属于上市公司股东的扣除非经常性损益后的净利润</w:t>
      </w:r>
      <w:r>
        <w:rPr>
          <w:rFonts w:ascii="Times New Roman" w:hAnsi="Times New Roman" w:cs="Times New Roman" w:eastAsia="Times New Roman" w:hint="default"/>
        </w:rPr>
        <w:t>1,013.06</w:t>
      </w:r>
      <w:r>
        <w:rPr/>
        <w:t>万元，比上年同期下降</w:t>
      </w:r>
      <w:r>
        <w:rPr>
          <w:rFonts w:ascii="Times New Roman" w:hAnsi="Times New Roman" w:cs="Times New Roman" w:eastAsia="Times New Roman" w:hint="default"/>
        </w:rPr>
        <w:t>84.45%</w:t>
      </w:r>
      <w:r>
        <w:rPr/>
        <w:t>。</w:t>
      </w:r>
    </w:p>
    <w:p>
      <w:pPr>
        <w:spacing w:line="240" w:lineRule="auto" w:before="11"/>
        <w:rPr>
          <w:rFonts w:ascii="宋体" w:hAnsi="宋体" w:cs="宋体" w:eastAsia="宋体" w:hint="default"/>
          <w:sz w:val="24"/>
          <w:szCs w:val="24"/>
        </w:rPr>
      </w:pPr>
    </w:p>
    <w:p>
      <w:pPr>
        <w:pStyle w:val="BodyText"/>
        <w:spacing w:line="240" w:lineRule="auto"/>
        <w:ind w:left="513" w:right="1122"/>
        <w:jc w:val="left"/>
      </w:pPr>
      <w:r>
        <w:rPr/>
        <w:t>报告期内，公司重点开展了以下工作：</w:t>
      </w:r>
    </w:p>
    <w:p>
      <w:pPr>
        <w:spacing w:line="240" w:lineRule="auto" w:before="0"/>
        <w:rPr>
          <w:rFonts w:ascii="宋体" w:hAnsi="宋体" w:cs="宋体" w:eastAsia="宋体" w:hint="default"/>
          <w:sz w:val="18"/>
          <w:szCs w:val="18"/>
        </w:rPr>
      </w:pPr>
    </w:p>
    <w:p>
      <w:pPr>
        <w:spacing w:line="316" w:lineRule="auto" w:before="153"/>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（一）持续加强市场拓展力度</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公司根据年度经营计划积极应对行业市场的变化，积极把握机遇，不断加强市场宣传和拓展的力度，密切关注市场需求</w:t>
      </w:r>
    </w:p>
    <w:p>
      <w:pPr>
        <w:pStyle w:val="BodyText"/>
        <w:spacing w:line="312" w:lineRule="auto" w:before="19"/>
        <w:ind w:right="1131"/>
        <w:jc w:val="both"/>
      </w:pPr>
      <w:r>
        <w:rPr>
          <w:spacing w:val="-2"/>
        </w:rPr>
        <w:t>的发展动态，并结合公司产品特点，不断优化产品。同时公司深入挖掘各类市场的发展机会，加强对重点领域重点客户的支</w:t>
      </w:r>
      <w:r>
        <w:rPr>
          <w:spacing w:val="-64"/>
        </w:rPr>
        <w:t> </w:t>
      </w:r>
      <w:r>
        <w:rPr>
          <w:spacing w:val="-64"/>
        </w:rPr>
      </w:r>
      <w:r>
        <w:rPr>
          <w:spacing w:val="-2"/>
        </w:rPr>
        <w:t>持与服务，积极推动客户的项目进度，公司还积极拓展新行业、新领域，在医疗大健康等重点行业的核心业务领域不断取得</w:t>
      </w:r>
      <w:r>
        <w:rPr>
          <w:spacing w:val="-64"/>
        </w:rPr>
        <w:t> </w:t>
      </w:r>
      <w:r>
        <w:rPr>
          <w:spacing w:val="-64"/>
        </w:rPr>
      </w:r>
      <w:r>
        <w:rPr>
          <w:spacing w:val="-2"/>
        </w:rPr>
        <w:t>突破和进步，丰富业务范围，实现公司经营规模持续增长。公司顺应产业政策，聚焦</w:t>
      </w:r>
      <w:r>
        <w:rPr>
          <w:rFonts w:ascii="Times New Roman" w:hAnsi="Times New Roman" w:cs="Times New Roman" w:eastAsia="Times New Roman" w:hint="default"/>
          <w:spacing w:val="-2"/>
        </w:rPr>
        <w:t>“</w:t>
      </w:r>
      <w:r>
        <w:rPr>
          <w:spacing w:val="-2"/>
        </w:rPr>
        <w:t>信息技术应用创新</w:t>
      </w:r>
      <w:r>
        <w:rPr>
          <w:rFonts w:ascii="Times New Roman" w:hAnsi="Times New Roman" w:cs="Times New Roman" w:eastAsia="Times New Roman" w:hint="default"/>
          <w:spacing w:val="-2"/>
        </w:rPr>
        <w:t>”</w:t>
      </w:r>
      <w:r>
        <w:rPr>
          <w:spacing w:val="-2"/>
        </w:rPr>
        <w:t>这一国家安全的核</w:t>
      </w:r>
      <w:r>
        <w:rPr>
          <w:spacing w:val="-43"/>
        </w:rPr>
        <w:t> </w:t>
      </w:r>
      <w:r>
        <w:rPr>
          <w:spacing w:val="-2"/>
        </w:rPr>
        <w:t>心发展方向，充分借力大数据平台和区块链等核心技术，进一步完善和提升终端安全体系防护能力，提高信息系统的</w:t>
      </w:r>
      <w:r>
        <w:rPr>
          <w:rFonts w:ascii="Times New Roman" w:hAnsi="Times New Roman" w:cs="Times New Roman" w:eastAsia="Times New Roman" w:hint="default"/>
          <w:spacing w:val="-2"/>
        </w:rPr>
        <w:t>IT</w:t>
      </w:r>
      <w:r>
        <w:rPr>
          <w:spacing w:val="-2"/>
        </w:rPr>
        <w:t>运维</w:t>
      </w:r>
      <w:r>
        <w:rPr>
          <w:spacing w:val="-51"/>
        </w:rPr>
        <w:t> </w:t>
      </w:r>
      <w:r>
        <w:rPr>
          <w:spacing w:val="-2"/>
        </w:rPr>
        <w:t>水平。截至报告期末，公司及参股子公司已有多款安全产品入选国产化信息产品《适配名录》，这也是公司领先布局的成果</w:t>
      </w:r>
      <w:r>
        <w:rPr>
          <w:spacing w:val="-67"/>
        </w:rPr>
        <w:t> </w:t>
      </w:r>
      <w:r>
        <w:rPr>
          <w:spacing w:val="-67"/>
        </w:rPr>
      </w:r>
      <w:r>
        <w:rPr/>
        <w:t>展示，证明了公司多层次、多方面守护国产化信息产品安全的能力。</w:t>
      </w:r>
    </w:p>
    <w:p>
      <w:pPr>
        <w:spacing w:line="240" w:lineRule="auto" w:before="7"/>
        <w:rPr>
          <w:rFonts w:ascii="宋体" w:hAnsi="宋体" w:cs="宋体" w:eastAsia="宋体" w:hint="default"/>
          <w:sz w:val="25"/>
          <w:szCs w:val="25"/>
        </w:rPr>
      </w:pPr>
    </w:p>
    <w:p>
      <w:pPr>
        <w:spacing w:line="316"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（二）不断加强持续创新能力，做好技术储备</w:t>
      </w:r>
      <w:r>
        <w:rPr>
          <w:rFonts w:ascii="宋体" w:hAnsi="宋体" w:cs="宋体" w:eastAsia="宋体" w:hint="default"/>
          <w:b/>
          <w:bCs/>
          <w:w w:val="99"/>
          <w:sz w:val="18"/>
          <w:szCs w:val="18"/>
        </w:rPr>
        <w:t> </w:t>
      </w:r>
      <w:r>
        <w:rPr>
          <w:rFonts w:ascii="宋体" w:hAnsi="宋体" w:cs="宋体" w:eastAsia="宋体" w:hint="default"/>
          <w:spacing w:val="-2"/>
          <w:sz w:val="18"/>
          <w:szCs w:val="18"/>
        </w:rPr>
        <w:t>公司根据技术发展趋势和市场需求情况，不断加强技术研发和技术创新能力，持续进行相关核心技术的开发，优化产品</w:t>
      </w:r>
    </w:p>
    <w:p>
      <w:pPr>
        <w:pStyle w:val="BodyText"/>
        <w:spacing w:line="316" w:lineRule="auto" w:before="19"/>
        <w:ind w:right="1131"/>
        <w:jc w:val="both"/>
      </w:pPr>
      <w:r>
        <w:rPr>
          <w:spacing w:val="-2"/>
        </w:rPr>
        <w:t>结构，实现现有产品的升级迭代，同时紧跟国家发展战略和产业政策，坚持自主创新与产学研相结合，构建前瞻性的企业研</w:t>
      </w:r>
      <w:r>
        <w:rPr>
          <w:spacing w:val="-65"/>
        </w:rPr>
        <w:t> </w:t>
      </w:r>
      <w:r>
        <w:rPr>
          <w:spacing w:val="-65"/>
        </w:rPr>
      </w:r>
      <w:r>
        <w:rPr/>
        <w:t>发机制，引进优秀科研人才，打造高效研发团队，不断增强公司自主创新能力。</w:t>
      </w:r>
    </w:p>
    <w:p>
      <w:pPr>
        <w:pStyle w:val="BodyText"/>
        <w:spacing w:line="240" w:lineRule="auto" w:before="19"/>
        <w:ind w:left="513" w:right="1122"/>
        <w:jc w:val="left"/>
      </w:pPr>
      <w:r>
        <w:rPr/>
        <w:t>报告期内公司研发投入</w:t>
      </w:r>
      <w:r>
        <w:rPr>
          <w:rFonts w:ascii="Times New Roman" w:hAnsi="Times New Roman" w:cs="Times New Roman" w:eastAsia="Times New Roman" w:hint="default"/>
        </w:rPr>
        <w:t>11,726.53</w:t>
      </w:r>
      <w:r>
        <w:rPr/>
        <w:t>万元，占营业收入的</w:t>
      </w:r>
      <w:r>
        <w:rPr>
          <w:rFonts w:ascii="Times New Roman" w:hAnsi="Times New Roman" w:cs="Times New Roman" w:eastAsia="Times New Roman" w:hint="default"/>
        </w:rPr>
        <w:t>16.24%</w:t>
      </w:r>
      <w:r>
        <w:rPr/>
        <w:t>。截至报告期末，公司及子公司取得成果如下：</w:t>
      </w:r>
    </w:p>
    <w:p>
      <w:pPr>
        <w:spacing w:line="240" w:lineRule="auto" w:before="2"/>
        <w:rPr>
          <w:rFonts w:ascii="宋体" w:hAnsi="宋体" w:cs="宋体" w:eastAsia="宋体" w:hint="default"/>
          <w:sz w:val="4"/>
          <w:szCs w:val="4"/>
        </w:rPr>
      </w:pPr>
    </w:p>
    <w:tbl>
      <w:tblPr>
        <w:tblW w:w="0" w:type="auto"/>
        <w:jc w:val="left"/>
        <w:tblInd w:w="164" w:type="dxa"/>
        <w:tblLayout w:type="fixed"/>
        <w:tblCellMar>
          <w:top w:w="0" w:type="dxa"/>
          <w:left w:w="0" w:type="dxa"/>
          <w:bottom w:w="0" w:type="dxa"/>
          <w:right w:w="0" w:type="dxa"/>
        </w:tblCellMar>
        <w:tblLook w:val="01E0"/>
      </w:tblPr>
      <w:tblGrid>
        <w:gridCol w:w="555"/>
        <w:gridCol w:w="5691"/>
        <w:gridCol w:w="3413"/>
      </w:tblGrid>
      <w:tr>
        <w:trPr>
          <w:trHeight w:val="346"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发明专利名称</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一种代替人工签名栏的打印水印生成方法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2015102037293</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快速识别移动存储设备的方法和装置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2016107120395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Windows</w:t>
            </w:r>
            <w:r>
              <w:rPr>
                <w:rFonts w:ascii="宋体" w:hAnsi="宋体" w:cs="宋体" w:eastAsia="宋体" w:hint="default"/>
                <w:sz w:val="18"/>
                <w:szCs w:val="18"/>
              </w:rPr>
              <w:t>操作系统崩溃的检测方法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2016104915884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一种网络边界检测方法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2015102769465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一种数据窃取风险分析方法及分析系统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201610800143X</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一种虚拟机磁盘数据的获取方法及系统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2015108090119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一种虚拟化平台下</w:t>
            </w:r>
            <w:r>
              <w:rPr>
                <w:rFonts w:ascii="Times New Roman" w:hAnsi="Times New Roman" w:cs="Times New Roman" w:eastAsia="Times New Roman" w:hint="default"/>
                <w:sz w:val="18"/>
                <w:szCs w:val="18"/>
              </w:rPr>
              <w:t>windows</w:t>
            </w:r>
            <w:r>
              <w:rPr>
                <w:rFonts w:ascii="宋体" w:hAnsi="宋体" w:cs="宋体" w:eastAsia="宋体" w:hint="default"/>
                <w:sz w:val="18"/>
                <w:szCs w:val="18"/>
              </w:rPr>
              <w:t>虚拟机漏洞扫描的方法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2016102149645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一种带宽自适应改善网络视频质量的系统和方法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2016107516034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一种即时通信中的大规模组织机构的实时同步方法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2017106296351</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一种基于设备指纹的设备识别系统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2016106095907</w:t>
            </w:r>
          </w:p>
        </w:tc>
      </w:tr>
      <w:tr>
        <w:trPr>
          <w:trHeight w:val="43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一种基于可信启动的虚拟机数据保护方法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2016103083950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55"/>
        <w:gridCol w:w="5691"/>
        <w:gridCol w:w="3413"/>
      </w:tblGrid>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即时通讯中消息分组管控的方法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2016106142217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一种移动存储设备的访问权限控制方法及装置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2015105639641</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D-S</w:t>
            </w:r>
            <w:r>
              <w:rPr>
                <w:rFonts w:ascii="宋体" w:hAnsi="宋体" w:cs="宋体" w:eastAsia="宋体" w:hint="default"/>
                <w:sz w:val="18"/>
                <w:szCs w:val="18"/>
              </w:rPr>
              <w:t>证据理论的服务器负载状态评估分析方法和系统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2016104910715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即时通讯中的动态网络心跳处理方法及终端</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2016107850947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一种全新的安全的即时通信体系</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2015105764942</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一种虚拟化平台下补丁分发系统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2016101929090</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获取</w:t>
            </w:r>
            <w:r>
              <w:rPr>
                <w:rFonts w:ascii="Times New Roman" w:hAnsi="Times New Roman" w:cs="Times New Roman" w:eastAsia="Times New Roman" w:hint="default"/>
                <w:sz w:val="18"/>
                <w:szCs w:val="18"/>
              </w:rPr>
              <w:t>Windows</w:t>
            </w:r>
            <w:r>
              <w:rPr>
                <w:rFonts w:ascii="宋体" w:hAnsi="宋体" w:cs="宋体" w:eastAsia="宋体" w:hint="default"/>
                <w:sz w:val="18"/>
                <w:szCs w:val="18"/>
              </w:rPr>
              <w:t>虚拟机中已删除文件的方法、装置及安全虚拟机</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2016102144393</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一种联动认证动态</w:t>
            </w:r>
            <w:r>
              <w:rPr>
                <w:rFonts w:ascii="Times New Roman" w:hAnsi="Times New Roman" w:cs="Times New Roman" w:eastAsia="Times New Roman" w:hint="default"/>
                <w:sz w:val="18"/>
                <w:szCs w:val="18"/>
              </w:rPr>
              <w:t>VLAN</w:t>
            </w:r>
            <w:r>
              <w:rPr>
                <w:rFonts w:ascii="宋体" w:hAnsi="宋体" w:cs="宋体" w:eastAsia="宋体" w:hint="default"/>
                <w:sz w:val="18"/>
                <w:szCs w:val="18"/>
              </w:rPr>
              <w:t>切换的方法及系统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2016106096416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一种集群数据实时查询方法及系统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2016106819646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无代理来宾虚拟机已安装软件检测方法、装置及系统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2015107958228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一种虚拟机软件安装方法、安装控制器及安装代理</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2015108021886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VMWare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WorkStation</w:t>
            </w:r>
            <w:r>
              <w:rPr>
                <w:rFonts w:ascii="宋体" w:hAnsi="宋体" w:cs="宋体" w:eastAsia="宋体" w:hint="default"/>
                <w:sz w:val="18"/>
                <w:szCs w:val="18"/>
              </w:rPr>
              <w:t>的</w:t>
            </w:r>
            <w:r>
              <w:rPr>
                <w:rFonts w:ascii="Times New Roman" w:hAnsi="Times New Roman" w:cs="Times New Roman" w:eastAsia="Times New Roman" w:hint="default"/>
                <w:sz w:val="18"/>
                <w:szCs w:val="18"/>
              </w:rPr>
              <w:t>Windows</w:t>
            </w:r>
            <w:r>
              <w:rPr>
                <w:rFonts w:ascii="宋体" w:hAnsi="宋体" w:cs="宋体" w:eastAsia="宋体" w:hint="default"/>
                <w:sz w:val="18"/>
                <w:szCs w:val="18"/>
              </w:rPr>
              <w:t>虚拟机进程枚举方法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2016108754932</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一种屏幕水印处理方法及装置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2017103902082</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一种使用</w:t>
            </w:r>
            <w:r>
              <w:rPr>
                <w:rFonts w:ascii="Times New Roman" w:hAnsi="Times New Roman" w:cs="Times New Roman" w:eastAsia="Times New Roman" w:hint="default"/>
                <w:sz w:val="18"/>
                <w:szCs w:val="18"/>
              </w:rPr>
              <w:t>Ambari</w:t>
            </w:r>
            <w:r>
              <w:rPr>
                <w:rFonts w:ascii="宋体" w:hAnsi="宋体" w:cs="宋体" w:eastAsia="宋体" w:hint="default"/>
                <w:sz w:val="18"/>
                <w:szCs w:val="18"/>
              </w:rPr>
              <w:t>在大数据组件管理中扩展自定义服务的方法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2016105744271</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HUB</w:t>
            </w:r>
            <w:r>
              <w:rPr>
                <w:rFonts w:ascii="宋体" w:hAnsi="宋体" w:cs="宋体" w:eastAsia="宋体" w:hint="default"/>
                <w:sz w:val="18"/>
                <w:szCs w:val="18"/>
              </w:rPr>
              <w:t>设备识别方法及装置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201710317783X</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即时通讯中的大规模组织机构更新方法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2016107839261</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一种互联网网站的分类方法及装置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201610799477X</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数据处理方法、装置及服务器</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2016103449026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一种分布式主键生成方法与装置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2017102530148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一种防身份认证</w:t>
            </w:r>
            <w:r>
              <w:rPr>
                <w:rFonts w:ascii="Times New Roman" w:hAnsi="Times New Roman" w:cs="Times New Roman" w:eastAsia="Times New Roman" w:hint="default"/>
                <w:sz w:val="18"/>
                <w:szCs w:val="18"/>
              </w:rPr>
              <w:t>KEY</w:t>
            </w:r>
            <w:r>
              <w:rPr>
                <w:rFonts w:ascii="宋体" w:hAnsi="宋体" w:cs="宋体" w:eastAsia="宋体" w:hint="default"/>
                <w:sz w:val="18"/>
                <w:szCs w:val="18"/>
              </w:rPr>
              <w:t>丢失的方法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2017103460814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一种将多</w:t>
            </w:r>
            <w:r>
              <w:rPr>
                <w:rFonts w:ascii="Times New Roman" w:hAnsi="Times New Roman" w:cs="Times New Roman" w:eastAsia="Times New Roman" w:hint="default"/>
                <w:sz w:val="18"/>
                <w:szCs w:val="18"/>
              </w:rPr>
              <w:t>DLL</w:t>
            </w:r>
            <w:r>
              <w:rPr>
                <w:rFonts w:ascii="宋体" w:hAnsi="宋体" w:cs="宋体" w:eastAsia="宋体" w:hint="default"/>
                <w:sz w:val="18"/>
                <w:szCs w:val="18"/>
              </w:rPr>
              <w:t>注入目标进程的优化管理方法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2016107285218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一种对部署的中间件进行监控的方法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2016106528015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34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高并发</w:t>
            </w:r>
            <w:r>
              <w:rPr>
                <w:rFonts w:ascii="Times New Roman" w:hAnsi="Times New Roman" w:cs="Times New Roman" w:eastAsia="Times New Roman" w:hint="default"/>
                <w:sz w:val="18"/>
                <w:szCs w:val="18"/>
              </w:rPr>
              <w:t>REDIS</w:t>
            </w:r>
            <w:r>
              <w:rPr>
                <w:rFonts w:ascii="宋体" w:hAnsi="宋体" w:cs="宋体" w:eastAsia="宋体" w:hint="default"/>
                <w:sz w:val="18"/>
                <w:szCs w:val="18"/>
              </w:rPr>
              <w:t>数据库操作方法及系统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2017105161785</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一种在计算机存储介质上存储文件的方法及系统</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2016106096257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一种即时通讯中定时提醒消息的处理方法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2016107516513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Docker</w:t>
            </w:r>
            <w:r>
              <w:rPr>
                <w:rFonts w:ascii="宋体" w:hAnsi="宋体" w:cs="宋体" w:eastAsia="宋体" w:hint="default"/>
                <w:sz w:val="18"/>
                <w:szCs w:val="18"/>
              </w:rPr>
              <w:t>平台的中间件应用管控方法和装置</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2017105158814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一种准确获取虚拟机控制块（</w:t>
            </w:r>
            <w:r>
              <w:rPr>
                <w:rFonts w:ascii="Times New Roman" w:hAnsi="Times New Roman" w:cs="Times New Roman" w:eastAsia="Times New Roman" w:hint="default"/>
                <w:sz w:val="18"/>
                <w:szCs w:val="18"/>
              </w:rPr>
              <w:t>VMCS</w:t>
            </w:r>
            <w:r>
              <w:rPr>
                <w:rFonts w:ascii="宋体" w:hAnsi="宋体" w:cs="宋体" w:eastAsia="宋体" w:hint="default"/>
                <w:sz w:val="18"/>
                <w:szCs w:val="18"/>
              </w:rPr>
              <w:t>）中关键数据位置的方法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2016106191533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39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一种针对隔离网络环境的即时通信群消息合并转发方法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2016100429514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一种避免</w:t>
            </w:r>
            <w:r>
              <w:rPr>
                <w:rFonts w:ascii="Times New Roman" w:hAnsi="Times New Roman" w:cs="Times New Roman" w:eastAsia="Times New Roman" w:hint="default"/>
                <w:sz w:val="18"/>
                <w:szCs w:val="18"/>
              </w:rPr>
              <w:t>BNS</w:t>
            </w:r>
            <w:r>
              <w:rPr>
                <w:rFonts w:ascii="宋体" w:hAnsi="宋体" w:cs="宋体" w:eastAsia="宋体" w:hint="default"/>
                <w:sz w:val="18"/>
                <w:szCs w:val="18"/>
              </w:rPr>
              <w:t>污染的方法</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2016108872375</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41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一种页面加载方法、服务器及浏览器</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2017107564210</w:t>
            </w:r>
          </w:p>
        </w:tc>
      </w:tr>
      <w:tr>
        <w:trPr>
          <w:trHeight w:val="34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软件著作权</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登记号</w:t>
            </w:r>
            <w:r>
              <w:rPr>
                <w:rFonts w:ascii="宋体" w:hAnsi="宋体" w:cs="宋体" w:eastAsia="宋体" w:hint="default"/>
                <w:sz w:val="18"/>
                <w:szCs w:val="18"/>
              </w:rPr>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Times New Roman" w:hAnsi="Times New Roman" w:cs="Times New Roman" w:eastAsia="Times New Roman" w:hint="default"/>
                <w:sz w:val="18"/>
                <w:szCs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2018SR133516</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55"/>
        <w:gridCol w:w="5691"/>
        <w:gridCol w:w="3413"/>
      </w:tblGrid>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2018SR190547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北信源打印刻录监控与审计系统</w:t>
            </w:r>
            <w:r>
              <w:rPr>
                <w:rFonts w:ascii="Times New Roman" w:hAnsi="Times New Roman" w:cs="Times New Roman" w:eastAsia="Times New Roman" w:hint="default"/>
                <w:sz w:val="18"/>
                <w:szCs w:val="18"/>
                <w:u w:val="single" w:color="000000"/>
              </w:rPr>
              <w:t>(</w:t>
            </w:r>
            <w:r>
              <w:rPr>
                <w:rFonts w:ascii="宋体" w:hAnsi="宋体" w:cs="宋体" w:eastAsia="宋体" w:hint="default"/>
                <w:sz w:val="18"/>
                <w:szCs w:val="18"/>
                <w:u w:val="single" w:color="000000"/>
              </w:rPr>
              <w:t>单机版</w:t>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pacing w:val="-1"/>
                <w:sz w:val="18"/>
                <w:szCs w:val="18"/>
                <w:u w:val="single" w:color="000000"/>
              </w:rPr>
              <w:t> </w:t>
            </w:r>
            <w:r>
              <w:rPr>
                <w:rFonts w:ascii="Times New Roman" w:hAnsi="Times New Roman" w:cs="Times New Roman" w:eastAsia="Times New Roman" w:hint="default"/>
                <w:sz w:val="18"/>
                <w:szCs w:val="18"/>
                <w:u w:val="single" w:color="000000"/>
              </w:rPr>
              <w:t>V6.0</w:t>
            </w:r>
            <w:r>
              <w:rPr>
                <w:rFonts w:ascii="Times New Roman" w:hAnsi="Times New Roman" w:cs="Times New Roman" w:eastAsia="Times New Roman"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2018SR223840</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2018SR229984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北信源打印及刻录安全监控与审计系统</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2018SR252894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2018SR433002</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北信源主机监控与审计系统</w:t>
            </w:r>
            <w:r>
              <w:rPr>
                <w:rFonts w:ascii="Times New Roman" w:hAnsi="Times New Roman" w:cs="Times New Roman" w:eastAsia="Times New Roman" w:hint="default"/>
                <w:sz w:val="18"/>
                <w:szCs w:val="18"/>
              </w:rPr>
              <w:t>V1.2</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2018SR433017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信源工控隔离网关系统</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2018SR704267</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信源工控防火墙系统</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2018SR704270</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北信源数字水印系统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2018SR808839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北信源服务器配置检查系统</w:t>
            </w:r>
            <w:r>
              <w:rPr>
                <w:rFonts w:ascii="Times New Roman" w:hAnsi="Times New Roman" w:cs="Times New Roman" w:eastAsia="Times New Roman" w:hint="default"/>
                <w:sz w:val="18"/>
                <w:szCs w:val="18"/>
              </w:rPr>
              <w:t>V3.1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2018SR894156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北信源景云网络防病毒系统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2018SR894010</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V6.6</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2018SR893999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北信源终端安全登录系统</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2018SR894163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2018SR894016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信源豆豆即时通信系统</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2018SR908862</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17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全球主动定位系统</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2018SR937937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GN</w:t>
            </w:r>
            <w:r>
              <w:rPr>
                <w:rFonts w:ascii="宋体" w:hAnsi="宋体" w:cs="宋体" w:eastAsia="宋体" w:hint="default"/>
                <w:sz w:val="18"/>
                <w:szCs w:val="18"/>
              </w:rPr>
              <w:t>接口用户行为监测软件</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2018SR937919</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GB</w:t>
            </w:r>
            <w:r>
              <w:rPr>
                <w:rFonts w:ascii="宋体" w:hAnsi="宋体" w:cs="宋体" w:eastAsia="宋体" w:hint="default"/>
                <w:sz w:val="18"/>
                <w:szCs w:val="18"/>
              </w:rPr>
              <w:t>接口用户行为监测软件</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2018SR937927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北信源即时通信及应用聚合平台</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2018SR980349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北信源服务器安全防护系统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2018SR905288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北信源屏幕信息防泄漏系统</w:t>
            </w:r>
            <w:r>
              <w:rPr>
                <w:rFonts w:ascii="Times New Roman" w:hAnsi="Times New Roman" w:cs="Times New Roman" w:eastAsia="Times New Roman" w:hint="default"/>
                <w:sz w:val="18"/>
                <w:szCs w:val="18"/>
              </w:rPr>
              <w:t>V6.6.02.03</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2018SR905279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北信源即时通信系统</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2018SR830824</w:t>
            </w:r>
          </w:p>
        </w:tc>
      </w:tr>
      <w:tr>
        <w:trPr>
          <w:trHeight w:val="34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销售许可证</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XKC60009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北信源打印及刻录安全监控与审计系统</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XKC60129</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北信源网络接入控制系统 </w:t>
            </w:r>
            <w:r>
              <w:rPr>
                <w:rFonts w:ascii="Times New Roman" w:hAnsi="Times New Roman" w:cs="Times New Roman" w:eastAsia="Times New Roman" w:hint="default"/>
                <w:sz w:val="18"/>
                <w:szCs w:val="18"/>
              </w:rPr>
              <w:t>VRV BMG</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XKC60236</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计算机终端安全护理系统（</w:t>
            </w: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care</w:t>
            </w:r>
            <w:r>
              <w:rPr>
                <w:rFonts w:ascii="宋体" w:hAnsi="宋体" w:cs="宋体" w:eastAsia="宋体" w:hint="default"/>
                <w:sz w:val="18"/>
                <w:szCs w:val="18"/>
              </w:rPr>
              <w:t>）</w:t>
            </w:r>
            <w:r>
              <w:rPr>
                <w:rFonts w:ascii="Times New Roman" w:hAnsi="Times New Roman" w:cs="Times New Roman" w:eastAsia="Times New Roman" w:hint="default"/>
                <w:sz w:val="18"/>
                <w:szCs w:val="18"/>
              </w:rPr>
              <w:t>V6.7</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XKC37764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北信源计算机终端保密检查系统</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XKC33008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北信源安全免疫移动硬盘系统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0403180119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北信源非法外联及客户端安全监控系统</w:t>
            </w:r>
            <w:r>
              <w:rPr>
                <w:rFonts w:ascii="Times New Roman" w:hAnsi="Times New Roman" w:cs="Times New Roman" w:eastAsia="Times New Roman" w:hint="default"/>
                <w:sz w:val="18"/>
                <w:szCs w:val="18"/>
              </w:rPr>
              <w:t>V6.6</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0405180145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信源工控隔离网关</w:t>
            </w:r>
            <w:r>
              <w:rPr>
                <w:rFonts w:ascii="Times New Roman" w:hAnsi="Times New Roman" w:cs="Times New Roman" w:eastAsia="Times New Roman" w:hint="default"/>
                <w:sz w:val="18"/>
                <w:szCs w:val="18"/>
              </w:rPr>
              <w:t>XY-IGA/V3.0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0402180233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信源工控防火墙</w:t>
            </w:r>
            <w:r>
              <w:rPr>
                <w:rFonts w:ascii="Times New Roman" w:hAnsi="Times New Roman" w:cs="Times New Roman" w:eastAsia="Times New Roman" w:hint="default"/>
                <w:sz w:val="18"/>
                <w:szCs w:val="18"/>
              </w:rPr>
              <w:t>XY-IFW/V3.0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0402180269</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55"/>
        <w:gridCol w:w="5691"/>
        <w:gridCol w:w="3413"/>
      </w:tblGrid>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北信源服务器配置检查系统</w:t>
            </w:r>
            <w:r>
              <w:rPr>
                <w:rFonts w:ascii="Times New Roman" w:hAnsi="Times New Roman" w:cs="Times New Roman" w:eastAsia="Times New Roman" w:hint="default"/>
                <w:sz w:val="18"/>
                <w:szCs w:val="18"/>
              </w:rPr>
              <w:t>V3.1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2" w:right="0"/>
              <w:jc w:val="center"/>
              <w:rPr>
                <w:rFonts w:ascii="Times New Roman" w:hAnsi="Times New Roman" w:cs="Times New Roman" w:eastAsia="Times New Roman" w:hint="default"/>
                <w:sz w:val="18"/>
                <w:szCs w:val="18"/>
              </w:rPr>
            </w:pPr>
            <w:r>
              <w:rPr>
                <w:rFonts w:ascii="Times New Roman"/>
                <w:sz w:val="18"/>
              </w:rPr>
              <w:t>0405180448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北信源景云网络防病毒系统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0106180479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北信源上网行为管理系统</w:t>
            </w:r>
            <w:r>
              <w:rPr>
                <w:rFonts w:ascii="Times New Roman" w:hAnsi="Times New Roman" w:cs="Times New Roman" w:eastAsia="Times New Roman" w:hint="default"/>
                <w:sz w:val="18"/>
                <w:szCs w:val="18"/>
              </w:rPr>
              <w:t>VRV</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BMG/V6.0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0402180923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北信源移动存储管理系统及安全</w:t>
            </w:r>
            <w:r>
              <w:rPr>
                <w:rFonts w:ascii="Times New Roman" w:hAnsi="Times New Roman" w:cs="Times New Roman" w:eastAsia="Times New Roman" w:hint="default"/>
                <w:sz w:val="18"/>
                <w:szCs w:val="18"/>
              </w:rPr>
              <w:t>U</w:t>
            </w:r>
            <w:r>
              <w:rPr>
                <w:rFonts w:ascii="宋体" w:hAnsi="宋体" w:cs="宋体" w:eastAsia="宋体" w:hint="default"/>
                <w:sz w:val="18"/>
                <w:szCs w:val="18"/>
              </w:rPr>
              <w:t>盘</w:t>
            </w:r>
            <w:r>
              <w:rPr>
                <w:rFonts w:ascii="Times New Roman" w:hAnsi="Times New Roman" w:cs="Times New Roman" w:eastAsia="Times New Roman" w:hint="default"/>
                <w:sz w:val="18"/>
                <w:szCs w:val="18"/>
              </w:rPr>
              <w:t>2.16.0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0403180922</w:t>
            </w:r>
          </w:p>
        </w:tc>
      </w:tr>
      <w:tr>
        <w:trPr>
          <w:trHeight w:val="346"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b/>
                <w:bCs/>
                <w:sz w:val="18"/>
                <w:szCs w:val="18"/>
              </w:rPr>
              <w:t>国家信息安全产品认证证书</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北信源网络接入控制系统</w:t>
            </w:r>
            <w:r>
              <w:rPr>
                <w:rFonts w:ascii="Times New Roman" w:hAnsi="Times New Roman" w:cs="Times New Roman" w:eastAsia="Times New Roman" w:hint="default"/>
                <w:sz w:val="18"/>
                <w:szCs w:val="18"/>
              </w:rPr>
              <w:t>VRV BMG</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977"/>
              <w:jc w:val="right"/>
              <w:rPr>
                <w:rFonts w:ascii="Times New Roman" w:hAnsi="Times New Roman" w:cs="Times New Roman" w:eastAsia="Times New Roman" w:hint="default"/>
                <w:sz w:val="18"/>
                <w:szCs w:val="18"/>
              </w:rPr>
            </w:pPr>
            <w:r>
              <w:rPr>
                <w:rFonts w:ascii="Times New Roman"/>
                <w:spacing w:val="-1"/>
                <w:sz w:val="18"/>
              </w:rPr>
              <w:t>2018162312000659</w:t>
            </w:r>
          </w:p>
        </w:tc>
      </w:tr>
      <w:tr>
        <w:trPr>
          <w:trHeight w:val="34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b/>
                <w:bCs/>
                <w:sz w:val="18"/>
                <w:szCs w:val="18"/>
              </w:rPr>
              <w:t>涉密信息系统产品检测证书</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b/>
                <w:bCs/>
                <w:sz w:val="18"/>
                <w:szCs w:val="18"/>
              </w:rPr>
              <w:t>编号</w:t>
            </w:r>
            <w:r>
              <w:rPr>
                <w:rFonts w:ascii="宋体" w:hAnsi="宋体" w:cs="宋体" w:eastAsia="宋体" w:hint="default"/>
                <w:sz w:val="18"/>
                <w:szCs w:val="18"/>
              </w:rPr>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北信源打印刻录监控与审计系统（单机版）</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2018C06253</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2018C06270</w:t>
            </w:r>
          </w:p>
        </w:tc>
      </w:tr>
      <w:tr>
        <w:trPr>
          <w:trHeight w:val="425"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北信源网络安全管理系统</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2018C06650</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V6.6</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2018C06649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北信源主机监控审计与补丁分发系统</w:t>
            </w:r>
            <w:r>
              <w:rPr>
                <w:rFonts w:ascii="Times New Roman" w:hAnsi="Times New Roman" w:cs="Times New Roman" w:eastAsia="Times New Roman" w:hint="default"/>
                <w:sz w:val="18"/>
                <w:szCs w:val="18"/>
              </w:rPr>
              <w:t>V6.6.02</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2018C06981</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w:t>
            </w:r>
            <w:r>
              <w:rPr>
                <w:rFonts w:ascii="Times New Roman" w:hAnsi="Times New Roman" w:cs="Times New Roman" w:eastAsia="Times New Roman" w:hint="default"/>
                <w:sz w:val="18"/>
                <w:szCs w:val="18"/>
              </w:rPr>
              <w:t>IES</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V4.0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59"/>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国保测</w:t>
            </w:r>
            <w:r>
              <w:rPr>
                <w:rFonts w:ascii="Times New Roman" w:hAnsi="Times New Roman" w:cs="Times New Roman" w:eastAsia="Times New Roman" w:hint="default"/>
                <w:spacing w:val="-1"/>
                <w:sz w:val="18"/>
                <w:szCs w:val="18"/>
              </w:rPr>
              <w:t>2018C07117</w:t>
            </w:r>
          </w:p>
        </w:tc>
      </w:tr>
      <w:tr>
        <w:trPr>
          <w:trHeight w:val="34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产品资质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软件产品证书</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证书编号</w:t>
            </w:r>
            <w:r>
              <w:rPr>
                <w:rFonts w:ascii="宋体" w:hAnsi="宋体" w:cs="宋体" w:eastAsia="宋体" w:hint="default"/>
                <w:sz w:val="18"/>
                <w:szCs w:val="18"/>
              </w:rPr>
            </w:r>
          </w:p>
        </w:tc>
      </w:tr>
      <w:tr>
        <w:trPr>
          <w:trHeight w:val="346"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北信源存储介质信息消除系统【简称：</w:t>
            </w:r>
            <w:r>
              <w:rPr>
                <w:rFonts w:ascii="Times New Roman" w:hAnsi="Times New Roman" w:cs="Times New Roman" w:eastAsia="Times New Roman" w:hint="default"/>
                <w:sz w:val="18"/>
                <w:szCs w:val="18"/>
              </w:rPr>
              <w:t>VRV IES  </w:t>
            </w:r>
            <w:r>
              <w:rPr>
                <w:rFonts w:ascii="宋体" w:hAnsi="宋体" w:cs="宋体" w:eastAsia="宋体" w:hint="default"/>
                <w:sz w:val="18"/>
                <w:szCs w:val="18"/>
              </w:rPr>
              <w:t>】</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RC-2018-0756</w:t>
            </w:r>
          </w:p>
        </w:tc>
      </w:tr>
      <w:tr>
        <w:trPr>
          <w:trHeight w:val="74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90"/>
              <w:jc w:val="center"/>
              <w:rPr>
                <w:rFonts w:ascii="宋体" w:hAnsi="宋体" w:cs="宋体" w:eastAsia="宋体" w:hint="default"/>
                <w:sz w:val="18"/>
                <w:szCs w:val="18"/>
              </w:rPr>
            </w:pPr>
            <w:r>
              <w:rPr>
                <w:rFonts w:ascii="宋体" w:hAnsi="宋体" w:cs="宋体" w:eastAsia="宋体" w:hint="default"/>
                <w:sz w:val="18"/>
                <w:szCs w:val="18"/>
              </w:rPr>
              <w:t>北信源主机监控审计与补丁分发系统【简称：主机监控审计与补丁分发</w:t>
            </w:r>
          </w:p>
          <w:p>
            <w:pPr>
              <w:pStyle w:val="TableParagraph"/>
              <w:spacing w:line="240" w:lineRule="auto" w:before="116"/>
              <w:ind w:right="1"/>
              <w:jc w:val="center"/>
              <w:rPr>
                <w:rFonts w:ascii="Times New Roman" w:hAnsi="Times New Roman" w:cs="Times New Roman" w:eastAsia="Times New Roman" w:hint="default"/>
                <w:sz w:val="18"/>
                <w:szCs w:val="18"/>
              </w:rPr>
            </w:pPr>
            <w:r>
              <w:rPr>
                <w:rFonts w:ascii="Times New Roman"/>
                <w:sz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tabs>
                <w:tab w:pos="1070" w:val="left" w:leader="none"/>
              </w:tabs>
              <w:spacing w:line="240" w:lineRule="auto" w:before="61"/>
              <w:ind w:left="-1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t>京</w:t>
            </w:r>
            <w:r>
              <w:rPr>
                <w:rFonts w:ascii="Times New Roman" w:hAnsi="Times New Roman" w:cs="Times New Roman" w:eastAsia="Times New Roman" w:hint="default"/>
                <w:sz w:val="18"/>
                <w:szCs w:val="18"/>
              </w:rPr>
              <w:t>RC-2018-0757</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北信源内网安全管理及补丁分发准入控制系统</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V8.1</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RC-2018-0758</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北信源打印刻录监控与审计系统（单机版）【简称：</w:t>
            </w:r>
            <w:r>
              <w:rPr>
                <w:rFonts w:ascii="Times New Roman" w:hAnsi="Times New Roman" w:cs="Times New Roman" w:eastAsia="Times New Roman" w:hint="default"/>
                <w:sz w:val="18"/>
                <w:szCs w:val="18"/>
              </w:rPr>
              <w:t>Vrvios</w:t>
            </w:r>
            <w:r>
              <w:rPr>
                <w:rFonts w:ascii="宋体" w:hAnsi="宋体" w:cs="宋体" w:eastAsia="宋体" w:hint="default"/>
                <w:sz w:val="18"/>
                <w:szCs w:val="18"/>
              </w:rPr>
              <w:t>】</w:t>
            </w:r>
            <w:r>
              <w:rPr>
                <w:rFonts w:ascii="Times New Roman" w:hAnsi="Times New Roman" w:cs="Times New Roman" w:eastAsia="Times New Roman" w:hint="default"/>
                <w:sz w:val="18"/>
                <w:szCs w:val="18"/>
              </w:rPr>
              <w:t>V6.0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RC-2018-0759</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北信源电子文档安全管理系统【简称：电子文档安全管理系统】</w:t>
            </w:r>
            <w:r>
              <w:rPr>
                <w:rFonts w:ascii="Times New Roman" w:hAnsi="Times New Roman" w:cs="Times New Roman" w:eastAsia="Times New Roman" w:hint="default"/>
                <w:sz w:val="18"/>
                <w:szCs w:val="18"/>
              </w:rPr>
              <w:t>V2.0.0.3</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RC-2018-1562</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北信源存储介质信息消除工具软件【简称：存储介质信息消除工具】</w:t>
            </w:r>
            <w:r>
              <w:rPr>
                <w:rFonts w:ascii="Times New Roman" w:hAnsi="Times New Roman" w:cs="Times New Roman" w:eastAsia="Times New Roman" w:hint="default"/>
                <w:spacing w:val="-3"/>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RC-2018-1563</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北信源网情监测与分析管理平台软件【简称：北信源网情监测平台】</w:t>
            </w:r>
            <w:r>
              <w:rPr>
                <w:rFonts w:ascii="Times New Roman" w:hAnsi="Times New Roman" w:cs="Times New Roman" w:eastAsia="Times New Roman" w:hint="default"/>
                <w:spacing w:val="-3"/>
                <w:sz w:val="18"/>
                <w:szCs w:val="18"/>
              </w:rPr>
              <w:t>V3.0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RC-2018-1564</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北信源电子文档安全管理系统（中标麒麟版）</w:t>
            </w:r>
            <w:r>
              <w:rPr>
                <w:rFonts w:ascii="Times New Roman" w:hAnsi="Times New Roman" w:cs="Times New Roman" w:eastAsia="Times New Roman" w:hint="default"/>
                <w:sz w:val="18"/>
                <w:szCs w:val="18"/>
              </w:rPr>
              <w:t>V2.0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RC-2018-1565</w:t>
            </w:r>
          </w:p>
        </w:tc>
      </w:tr>
      <w:tr>
        <w:trPr>
          <w:trHeight w:val="427"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北信源身份鉴别系统</w:t>
            </w:r>
            <w:r>
              <w:rPr>
                <w:rFonts w:ascii="Times New Roman" w:hAnsi="Times New Roman" w:cs="Times New Roman" w:eastAsia="Times New Roman" w:hint="default"/>
                <w:sz w:val="18"/>
                <w:szCs w:val="18"/>
              </w:rPr>
              <w:t>V1.0</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RC-2018-1566</w:t>
            </w:r>
          </w:p>
        </w:tc>
      </w:tr>
      <w:tr>
        <w:trPr>
          <w:trHeight w:val="42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10</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北信源主机监控与审计系统</w:t>
            </w:r>
            <w:r>
              <w:rPr>
                <w:rFonts w:ascii="Times New Roman" w:hAnsi="Times New Roman" w:cs="Times New Roman" w:eastAsia="Times New Roman" w:hint="default"/>
                <w:sz w:val="18"/>
                <w:szCs w:val="18"/>
              </w:rPr>
              <w:t>V1.2</w:t>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RC-2018-1567</w:t>
            </w:r>
          </w:p>
        </w:tc>
      </w:tr>
      <w:tr>
        <w:trPr>
          <w:trHeight w:val="346"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商标</w:t>
            </w:r>
            <w:r>
              <w:rPr>
                <w:rFonts w:ascii="宋体" w:hAnsi="宋体" w:cs="宋体" w:eastAsia="宋体" w:hint="default"/>
                <w:sz w:val="18"/>
                <w:szCs w:val="18"/>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r>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1</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
                <w:szCs w:val="3"/>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19293022</w:t>
            </w:r>
            <w:r>
              <w:rPr>
                <w:rFonts w:ascii="宋体" w:hAnsi="宋体" w:cs="宋体" w:eastAsia="宋体" w:hint="default"/>
                <w:sz w:val="18"/>
                <w:szCs w:val="18"/>
              </w:rPr>
              <w:t>号</w:t>
            </w:r>
          </w:p>
        </w:tc>
      </w:tr>
      <w:tr>
        <w:trPr>
          <w:trHeight w:val="65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2</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
                <w:szCs w:val="2"/>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19293026</w:t>
            </w:r>
            <w:r>
              <w:rPr>
                <w:rFonts w:ascii="宋体" w:hAnsi="宋体" w:cs="宋体" w:eastAsia="宋体" w:hint="default"/>
                <w:sz w:val="18"/>
                <w:szCs w:val="18"/>
              </w:rPr>
              <w:t>号</w:t>
            </w:r>
          </w:p>
        </w:tc>
      </w:tr>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3</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
                <w:szCs w:val="3"/>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19266767</w:t>
            </w:r>
            <w:r>
              <w:rPr>
                <w:rFonts w:ascii="宋体" w:hAnsi="宋体" w:cs="宋体" w:eastAsia="宋体" w:hint="default"/>
                <w:sz w:val="18"/>
                <w:szCs w:val="18"/>
              </w:rPr>
              <w:t>号</w:t>
            </w:r>
          </w:p>
        </w:tc>
      </w:tr>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4</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
                <w:szCs w:val="2"/>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19254081</w:t>
            </w:r>
            <w:r>
              <w:rPr>
                <w:rFonts w:ascii="宋体" w:hAnsi="宋体" w:cs="宋体" w:eastAsia="宋体" w:hint="default"/>
                <w:sz w:val="18"/>
                <w:szCs w:val="18"/>
              </w:rPr>
              <w:t>号</w:t>
            </w:r>
          </w:p>
        </w:tc>
      </w:tr>
      <w:tr>
        <w:trPr>
          <w:trHeight w:val="65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5</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
                <w:szCs w:val="2"/>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19293024</w:t>
            </w:r>
            <w:r>
              <w:rPr>
                <w:rFonts w:ascii="宋体" w:hAnsi="宋体" w:cs="宋体" w:eastAsia="宋体" w:hint="default"/>
                <w:sz w:val="18"/>
                <w:szCs w:val="18"/>
              </w:rPr>
              <w:t>号</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4" w:type="dxa"/>
        <w:tblLayout w:type="fixed"/>
        <w:tblCellMar>
          <w:top w:w="0" w:type="dxa"/>
          <w:left w:w="0" w:type="dxa"/>
          <w:bottom w:w="0" w:type="dxa"/>
          <w:right w:w="0" w:type="dxa"/>
        </w:tblCellMar>
        <w:tblLook w:val="01E0"/>
      </w:tblPr>
      <w:tblGrid>
        <w:gridCol w:w="555"/>
        <w:gridCol w:w="5691"/>
        <w:gridCol w:w="3413"/>
      </w:tblGrid>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6</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3"/>
                <w:szCs w:val="3"/>
              </w:rPr>
            </w:pPr>
          </w:p>
          <w:p>
            <w:pPr>
              <w:pStyle w:val="TableParagraph"/>
              <w:spacing w:line="567" w:lineRule="exact"/>
              <w:ind w:left="255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360425" cy="360425"/>
                  <wp:effectExtent l="0" t="0" r="0" b="0"/>
                  <wp:docPr id="13" name="image3.png" descr=""/>
                  <wp:cNvGraphicFramePr>
                    <a:graphicFrameLocks noChangeAspect="1"/>
                  </wp:cNvGraphicFramePr>
                  <a:graphic>
                    <a:graphicData uri="http://schemas.openxmlformats.org/drawingml/2006/picture">
                      <pic:pic>
                        <pic:nvPicPr>
                          <pic:cNvPr id="14" name="image3.png"/>
                          <pic:cNvPicPr/>
                        </pic:nvPicPr>
                        <pic:blipFill>
                          <a:blip r:embed="rId12" cstate="print"/>
                          <a:stretch>
                            <a:fillRect/>
                          </a:stretch>
                        </pic:blipFill>
                        <pic:spPr>
                          <a:xfrm>
                            <a:off x="0" y="0"/>
                            <a:ext cx="360425" cy="360425"/>
                          </a:xfrm>
                          <a:prstGeom prst="rect">
                            <a:avLst/>
                          </a:prstGeom>
                        </pic:spPr>
                      </pic:pic>
                    </a:graphicData>
                  </a:graphic>
                </wp:inline>
              </w:drawing>
            </w:r>
            <w:r>
              <w:rPr>
                <w:rFonts w:ascii="Times New Roman" w:hAnsi="Times New Roman" w:cs="Times New Roman" w:eastAsia="Times New Roman" w:hint="default"/>
                <w:position w:val="-10"/>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154"/>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19293028</w:t>
            </w:r>
            <w:r>
              <w:rPr>
                <w:rFonts w:ascii="宋体" w:hAnsi="宋体" w:cs="宋体" w:eastAsia="宋体" w:hint="default"/>
                <w:sz w:val="18"/>
                <w:szCs w:val="18"/>
              </w:rPr>
              <w:t>号</w:t>
            </w:r>
          </w:p>
        </w:tc>
      </w:tr>
      <w:tr>
        <w:trPr>
          <w:trHeight w:val="658"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445" w:lineRule="exact"/>
              <w:ind w:left="257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2664" cy="282606"/>
                  <wp:effectExtent l="0" t="0" r="0" b="0"/>
                  <wp:docPr id="15" name="image4.jpeg" descr=""/>
                  <wp:cNvGraphicFramePr>
                    <a:graphicFrameLocks noChangeAspect="1"/>
                  </wp:cNvGraphicFramePr>
                  <a:graphic>
                    <a:graphicData uri="http://schemas.openxmlformats.org/drawingml/2006/picture">
                      <pic:pic>
                        <pic:nvPicPr>
                          <pic:cNvPr id="16" name="image4.jpeg"/>
                          <pic:cNvPicPr/>
                        </pic:nvPicPr>
                        <pic:blipFill>
                          <a:blip r:embed="rId13" cstate="print"/>
                          <a:stretch>
                            <a:fillRect/>
                          </a:stretch>
                        </pic:blipFill>
                        <pic:spPr>
                          <a:xfrm>
                            <a:off x="0" y="0"/>
                            <a:ext cx="332664"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154"/>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25443422</w:t>
            </w:r>
            <w:r>
              <w:rPr>
                <w:rFonts w:ascii="宋体" w:hAnsi="宋体" w:cs="宋体" w:eastAsia="宋体" w:hint="default"/>
                <w:sz w:val="18"/>
                <w:szCs w:val="18"/>
              </w:rPr>
              <w:t>号</w:t>
            </w:r>
          </w:p>
        </w:tc>
      </w:tr>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8</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8"/>
                <w:szCs w:val="8"/>
              </w:rPr>
            </w:pPr>
          </w:p>
          <w:p>
            <w:pPr>
              <w:pStyle w:val="TableParagraph"/>
              <w:spacing w:line="445" w:lineRule="exact"/>
              <w:ind w:left="257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2664" cy="282606"/>
                  <wp:effectExtent l="0" t="0" r="0" b="0"/>
                  <wp:docPr id="17" name="image4.jpeg" descr=""/>
                  <wp:cNvGraphicFramePr>
                    <a:graphicFrameLocks noChangeAspect="1"/>
                  </wp:cNvGraphicFramePr>
                  <a:graphic>
                    <a:graphicData uri="http://schemas.openxmlformats.org/drawingml/2006/picture">
                      <pic:pic>
                        <pic:nvPicPr>
                          <pic:cNvPr id="18" name="image4.jpeg"/>
                          <pic:cNvPicPr/>
                        </pic:nvPicPr>
                        <pic:blipFill>
                          <a:blip r:embed="rId13" cstate="print"/>
                          <a:stretch>
                            <a:fillRect/>
                          </a:stretch>
                        </pic:blipFill>
                        <pic:spPr>
                          <a:xfrm>
                            <a:off x="0" y="0"/>
                            <a:ext cx="332664"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154"/>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25469825</w:t>
            </w:r>
            <w:r>
              <w:rPr>
                <w:rFonts w:ascii="宋体" w:hAnsi="宋体" w:cs="宋体" w:eastAsia="宋体" w:hint="default"/>
                <w:sz w:val="18"/>
                <w:szCs w:val="18"/>
              </w:rPr>
              <w:t>号</w:t>
            </w:r>
          </w:p>
        </w:tc>
      </w:tr>
      <w:tr>
        <w:trPr>
          <w:trHeight w:val="660" w:hRule="exact"/>
        </w:trPr>
        <w:tc>
          <w:tcPr>
            <w:tcW w:w="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w:t>
            </w:r>
          </w:p>
        </w:tc>
        <w:tc>
          <w:tcPr>
            <w:tcW w:w="5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8"/>
                <w:szCs w:val="8"/>
              </w:rPr>
            </w:pPr>
          </w:p>
          <w:p>
            <w:pPr>
              <w:pStyle w:val="TableParagraph"/>
              <w:spacing w:line="445" w:lineRule="exact"/>
              <w:ind w:left="257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331920" cy="282606"/>
                  <wp:effectExtent l="0" t="0" r="0" b="0"/>
                  <wp:docPr id="19" name="image4.jpeg" descr=""/>
                  <wp:cNvGraphicFramePr>
                    <a:graphicFrameLocks noChangeAspect="1"/>
                  </wp:cNvGraphicFramePr>
                  <a:graphic>
                    <a:graphicData uri="http://schemas.openxmlformats.org/drawingml/2006/picture">
                      <pic:pic>
                        <pic:nvPicPr>
                          <pic:cNvPr id="20" name="image4.jpeg"/>
                          <pic:cNvPicPr/>
                        </pic:nvPicPr>
                        <pic:blipFill>
                          <a:blip r:embed="rId13" cstate="print"/>
                          <a:stretch>
                            <a:fillRect/>
                          </a:stretch>
                        </pic:blipFill>
                        <pic:spPr>
                          <a:xfrm>
                            <a:off x="0" y="0"/>
                            <a:ext cx="331920" cy="282606"/>
                          </a:xfrm>
                          <a:prstGeom prst="rect">
                            <a:avLst/>
                          </a:prstGeom>
                        </pic:spPr>
                      </pic:pic>
                    </a:graphicData>
                  </a:graphic>
                </wp:inline>
              </w:drawing>
            </w:r>
            <w:r>
              <w:rPr>
                <w:rFonts w:ascii="Times New Roman" w:hAnsi="Times New Roman" w:cs="Times New Roman" w:eastAsia="Times New Roman" w:hint="default"/>
                <w:position w:val="-8"/>
                <w:sz w:val="20"/>
                <w:szCs w:val="20"/>
              </w:rPr>
            </w:r>
          </w:p>
        </w:tc>
        <w:tc>
          <w:tcPr>
            <w:tcW w:w="3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154"/>
              <w:jc w:val="right"/>
              <w:rPr>
                <w:rFonts w:ascii="宋体" w:hAnsi="宋体" w:cs="宋体" w:eastAsia="宋体" w:hint="default"/>
                <w:sz w:val="18"/>
                <w:szCs w:val="18"/>
              </w:rPr>
            </w:pPr>
            <w:r>
              <w:rPr>
                <w:rFonts w:ascii="宋体" w:hAnsi="宋体" w:cs="宋体" w:eastAsia="宋体" w:hint="default"/>
                <w:sz w:val="18"/>
                <w:szCs w:val="18"/>
              </w:rPr>
              <w:t>第</w:t>
            </w:r>
            <w:r>
              <w:rPr>
                <w:rFonts w:ascii="Times New Roman" w:hAnsi="Times New Roman" w:cs="Times New Roman" w:eastAsia="Times New Roman" w:hint="default"/>
                <w:sz w:val="18"/>
                <w:szCs w:val="18"/>
              </w:rPr>
              <w:t>25958713</w:t>
            </w:r>
            <w:r>
              <w:rPr>
                <w:rFonts w:ascii="宋体" w:hAnsi="宋体" w:cs="宋体" w:eastAsia="宋体" w:hint="default"/>
                <w:sz w:val="18"/>
                <w:szCs w:val="18"/>
              </w:rPr>
              <w:t>号</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5"/>
          <w:szCs w:val="15"/>
        </w:rPr>
      </w:pPr>
    </w:p>
    <w:p>
      <w:pPr>
        <w:spacing w:line="316"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（三）不断推进对外投资与合作，建立产业生态圈</w:t>
      </w:r>
      <w:r>
        <w:rPr>
          <w:rFonts w:ascii="宋体" w:hAnsi="宋体" w:cs="宋体" w:eastAsia="宋体" w:hint="default"/>
          <w:b/>
          <w:bCs/>
          <w:w w:val="99"/>
          <w:sz w:val="18"/>
          <w:szCs w:val="18"/>
        </w:rPr>
        <w:t> </w:t>
      </w:r>
      <w:r>
        <w:rPr>
          <w:rFonts w:ascii="宋体" w:hAnsi="宋体" w:cs="宋体" w:eastAsia="宋体" w:hint="default"/>
          <w:sz w:val="18"/>
          <w:szCs w:val="18"/>
        </w:rPr>
        <w:t>报告期内，经公司第三届董事会第十三次临时会议审议通过，公司拟使用自有资金</w:t>
      </w:r>
      <w:r>
        <w:rPr>
          <w:rFonts w:ascii="Times New Roman" w:hAnsi="Times New Roman" w:cs="Times New Roman" w:eastAsia="Times New Roman" w:hint="default"/>
          <w:sz w:val="18"/>
          <w:szCs w:val="18"/>
        </w:rPr>
        <w:t>5,100</w:t>
      </w:r>
      <w:r>
        <w:rPr>
          <w:rFonts w:ascii="宋体" w:hAnsi="宋体" w:cs="宋体" w:eastAsia="宋体" w:hint="default"/>
          <w:sz w:val="18"/>
          <w:szCs w:val="18"/>
        </w:rPr>
        <w:t>万元人民币与其他多名股东共</w:t>
      </w:r>
    </w:p>
    <w:p>
      <w:pPr>
        <w:pStyle w:val="BodyText"/>
        <w:spacing w:line="316" w:lineRule="auto"/>
        <w:ind w:right="0"/>
        <w:jc w:val="left"/>
      </w:pPr>
      <w:r>
        <w:rPr>
          <w:spacing w:val="-4"/>
        </w:rPr>
        <w:t>同投资设立上海北信源供应链管理有限公司。通过合资、合作形式，实现市场的拓展并获得更多的市场份额，截至报告期末，</w:t>
      </w:r>
      <w:r>
        <w:rPr>
          <w:spacing w:val="-46"/>
        </w:rPr>
        <w:t> </w:t>
      </w:r>
      <w:r>
        <w:rPr>
          <w:spacing w:val="-46"/>
        </w:rPr>
      </w:r>
      <w:r>
        <w:rPr/>
        <w:t>合资公司已完成工商注册登记。</w:t>
      </w:r>
    </w:p>
    <w:p>
      <w:pPr>
        <w:pStyle w:val="BodyText"/>
        <w:spacing w:line="300" w:lineRule="auto" w:before="19"/>
        <w:ind w:right="1131" w:firstLine="360"/>
        <w:jc w:val="both"/>
      </w:pPr>
      <w:r>
        <w:rPr/>
        <w:t>报告期内，经公司第三届董事会第十一次会议审议通过，拟使用自有资金人民币 </w:t>
      </w:r>
      <w:r>
        <w:rPr>
          <w:rFonts w:ascii="Times New Roman" w:hAnsi="Times New Roman" w:cs="Times New Roman" w:eastAsia="Times New Roman" w:hint="default"/>
        </w:rPr>
        <w:t>2,000</w:t>
      </w:r>
      <w:r>
        <w:rPr>
          <w:rFonts w:ascii="Times New Roman" w:hAnsi="Times New Roman" w:cs="Times New Roman" w:eastAsia="Times New Roman" w:hint="default"/>
          <w:spacing w:val="38"/>
        </w:rPr>
        <w:t> </w:t>
      </w:r>
      <w:r>
        <w:rPr/>
        <w:t>万元受让北京美络克思科技有 </w:t>
      </w:r>
      <w:r>
        <w:rPr>
          <w:spacing w:val="-1"/>
        </w:rPr>
        <w:t>限公司</w:t>
      </w:r>
      <w:r>
        <w:rPr>
          <w:rFonts w:ascii="Times New Roman" w:hAnsi="Times New Roman" w:cs="Times New Roman" w:eastAsia="Times New Roman" w:hint="default"/>
          <w:spacing w:val="-1"/>
        </w:rPr>
        <w:t>10%</w:t>
      </w:r>
      <w:r>
        <w:rPr>
          <w:spacing w:val="-1"/>
        </w:rPr>
        <w:t>的股权。本次交易有利于充分发挥双方在应用软件的技术开发和系统集成业务上的协同效应，有利于提升产品竞</w:t>
      </w:r>
      <w:r>
        <w:rPr/>
        <w:t> 争力，增强市场拓展力度，促进公司业务发展。截至报告期末，已完成了相关工商变更登记手续。</w:t>
      </w:r>
    </w:p>
    <w:p>
      <w:pPr>
        <w:pStyle w:val="BodyText"/>
        <w:spacing w:line="314" w:lineRule="auto" w:before="31"/>
        <w:ind w:right="1130" w:firstLine="360"/>
        <w:jc w:val="both"/>
      </w:pPr>
      <w:r>
        <w:rPr>
          <w:spacing w:val="-2"/>
        </w:rPr>
        <w:t>报告期内，经公司第三届董事会第十六次临时会议审议通过，公司拟使用自有资金受让嘉兴泽阳股权投资合伙企业（有</w:t>
      </w:r>
      <w:r>
        <w:rPr/>
        <w:t> </w:t>
      </w:r>
      <w:r>
        <w:rPr>
          <w:spacing w:val="-2"/>
        </w:rPr>
        <w:t>限合伙）（以下简称</w:t>
      </w:r>
      <w:r>
        <w:rPr>
          <w:rFonts w:ascii="Times New Roman" w:hAnsi="Times New Roman" w:cs="Times New Roman" w:eastAsia="Times New Roman" w:hint="default"/>
          <w:spacing w:val="-2"/>
        </w:rPr>
        <w:t>“</w:t>
      </w:r>
      <w:r>
        <w:rPr>
          <w:spacing w:val="-2"/>
        </w:rPr>
        <w:t>嘉兴泽阳</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99%</w:t>
      </w:r>
      <w:r>
        <w:rPr>
          <w:spacing w:val="-2"/>
        </w:rPr>
        <w:t>的财产份额。受让完成后，公司拟使用自有资金</w:t>
      </w:r>
      <w:r>
        <w:rPr>
          <w:rFonts w:ascii="Times New Roman" w:hAnsi="Times New Roman" w:cs="Times New Roman" w:eastAsia="Times New Roman" w:hint="default"/>
          <w:spacing w:val="-2"/>
        </w:rPr>
        <w:t>4,010</w:t>
      </w:r>
      <w:r>
        <w:rPr>
          <w:spacing w:val="-2"/>
        </w:rPr>
        <w:t>万元对嘉兴泽阳进行增资。嘉兴</w:t>
      </w:r>
      <w:r>
        <w:rPr>
          <w:spacing w:val="-55"/>
        </w:rPr>
        <w:t> </w:t>
      </w:r>
      <w:r>
        <w:rPr>
          <w:spacing w:val="-55"/>
        </w:rPr>
      </w:r>
      <w:r>
        <w:rPr>
          <w:spacing w:val="-2"/>
        </w:rPr>
        <w:t>泽阳将主要围绕信息安全、大数据安全、安全通信应用及相关应用行业进行投资，帮助公司进一步完善在信息安全、大数据</w:t>
      </w:r>
      <w:r>
        <w:rPr>
          <w:spacing w:val="-65"/>
        </w:rPr>
        <w:t> </w:t>
      </w:r>
      <w:r>
        <w:rPr>
          <w:spacing w:val="-65"/>
        </w:rPr>
      </w:r>
      <w:r>
        <w:rPr>
          <w:spacing w:val="-2"/>
        </w:rPr>
        <w:t>安全、安全通信应用等领域的前瞻性战略布局，打造终端安全、数据安全、工控安全、国产化办公应用等领域在内的信息安</w:t>
      </w:r>
      <w:r>
        <w:rPr>
          <w:spacing w:val="-65"/>
        </w:rPr>
        <w:t> </w:t>
      </w:r>
      <w:r>
        <w:rPr>
          <w:spacing w:val="-65"/>
        </w:rPr>
      </w:r>
      <w:r>
        <w:rPr>
          <w:spacing w:val="-2"/>
        </w:rPr>
        <w:t>全产业生态圈。报告期内，嘉兴泽阳投资了杭州安司源科技有限公司，该公司致力于下一代分布式安全即时通信网络应用的</w:t>
      </w:r>
      <w:r>
        <w:rPr>
          <w:spacing w:val="-66"/>
        </w:rPr>
        <w:t> </w:t>
      </w:r>
      <w:r>
        <w:rPr>
          <w:spacing w:val="-66"/>
        </w:rPr>
      </w:r>
      <w:r>
        <w:rPr/>
        <w:t>研究与开发。</w:t>
      </w:r>
    </w:p>
    <w:p>
      <w:pPr>
        <w:pStyle w:val="BodyText"/>
        <w:spacing w:line="316" w:lineRule="auto" w:before="20"/>
        <w:ind w:right="1131" w:firstLine="360"/>
        <w:jc w:val="both"/>
      </w:pPr>
      <w:r>
        <w:rPr>
          <w:spacing w:val="-2"/>
        </w:rPr>
        <w:t>报告期内，公司参投的产业基金嘉兴北源投资合伙企业（有限合伙）投资了北京慢吉科技有限公司。北京慢吉科技有限</w:t>
      </w:r>
      <w:r>
        <w:rPr/>
        <w:t> </w:t>
      </w:r>
      <w:r>
        <w:rPr>
          <w:spacing w:val="-2"/>
        </w:rPr>
        <w:t>公司是一家具有完备业务协同与移动安全服务能力的解决方案提供商。该公司通过技术研发能力与平台建设能力，深度契合</w:t>
      </w:r>
      <w:r>
        <w:rPr>
          <w:spacing w:val="-63"/>
        </w:rPr>
        <w:t> </w:t>
      </w:r>
      <w:r>
        <w:rPr>
          <w:spacing w:val="-63"/>
        </w:rPr>
      </w:r>
      <w:r>
        <w:rPr>
          <w:spacing w:val="-2"/>
        </w:rPr>
        <w:t>企业的业务场景，形成了基于端、管、云、智平台产品组成的信息化与业务协同解决方案，已为政府、金融、能源、医疗等</w:t>
      </w:r>
      <w:r>
        <w:rPr>
          <w:spacing w:val="-68"/>
        </w:rPr>
        <w:t> </w:t>
      </w:r>
      <w:r>
        <w:rPr>
          <w:spacing w:val="-68"/>
        </w:rPr>
      </w:r>
      <w:r>
        <w:rPr/>
        <w:t>行业的知名客户提供了完备的信息化平台服务。</w:t>
      </w:r>
    </w:p>
    <w:p>
      <w:pPr>
        <w:pStyle w:val="BodyText"/>
        <w:spacing w:line="316" w:lineRule="auto" w:before="19"/>
        <w:ind w:right="1044" w:firstLine="360"/>
        <w:jc w:val="both"/>
      </w:pPr>
      <w:r>
        <w:rPr>
          <w:spacing w:val="-2"/>
        </w:rPr>
        <w:t>公司结合战略发展需要，为更好的发挥各方资源、技术等优势，相继与深信服科技股份有限公司、成都鼎桥通信技术有</w:t>
      </w:r>
      <w:r>
        <w:rPr/>
        <w:t> </w:t>
      </w:r>
      <w:r>
        <w:rPr>
          <w:spacing w:val="-4"/>
        </w:rPr>
        <w:t>限公司等签署了框架合作协议，在网络安全、移动安全移动应用等方面进行了战略布局，截至报告期末，相关工作有序开展。</w:t>
      </w:r>
    </w:p>
    <w:p>
      <w:pPr>
        <w:spacing w:line="240" w:lineRule="auto" w:before="4"/>
        <w:rPr>
          <w:rFonts w:ascii="宋体" w:hAnsi="宋体" w:cs="宋体" w:eastAsia="宋体" w:hint="default"/>
          <w:sz w:val="25"/>
          <w:szCs w:val="25"/>
        </w:rPr>
      </w:pPr>
    </w:p>
    <w:p>
      <w:pPr>
        <w:spacing w:line="319"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（四）强化协同效应，全面提升整合能力</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报告期内，公司紧紧围绕业务和目标匹配相关资源。在内部，公司通过合理统筹资源，加强母公司和子公司之间的协同</w:t>
      </w:r>
    </w:p>
    <w:p>
      <w:pPr>
        <w:pStyle w:val="BodyText"/>
        <w:spacing w:line="316" w:lineRule="auto" w:before="17"/>
        <w:ind w:right="0"/>
        <w:jc w:val="left"/>
      </w:pPr>
      <w:r>
        <w:rPr>
          <w:spacing w:val="-4"/>
        </w:rPr>
        <w:t>发展，强化技术和资源整合，依托各自资源优势，实现了各子公司与母公司间的统筹部署、战略协同、业务协作和资源共享，</w:t>
      </w:r>
      <w:r>
        <w:rPr>
          <w:spacing w:val="-43"/>
        </w:rPr>
        <w:t> </w:t>
      </w:r>
      <w:r>
        <w:rPr>
          <w:spacing w:val="-43"/>
        </w:rPr>
      </w:r>
      <w:r>
        <w:rPr>
          <w:spacing w:val="-2"/>
        </w:rPr>
        <w:t>实现了各子公司与公司既有产品和业务的优势互补，推动了各子公司业务发展，协同效应明显。在外部，公司凭借在网络安</w:t>
      </w:r>
      <w:r>
        <w:rPr>
          <w:spacing w:val="-64"/>
        </w:rPr>
        <w:t> </w:t>
      </w:r>
      <w:r>
        <w:rPr>
          <w:spacing w:val="-64"/>
        </w:rPr>
      </w:r>
      <w:r>
        <w:rPr>
          <w:spacing w:val="-2"/>
        </w:rPr>
        <w:t>全产业的号召力和资源吸附力，主动开展与控股、参股公司以及科研机构的合作，优化了公司的产业布局，全面提升整合能</w:t>
      </w:r>
      <w:r>
        <w:rPr>
          <w:spacing w:val="-64"/>
        </w:rPr>
        <w:t> </w:t>
      </w:r>
      <w:r>
        <w:rPr>
          <w:spacing w:val="-64"/>
        </w:rPr>
      </w:r>
      <w:r>
        <w:rPr/>
        <w:t>力，共同促进网络安全产业发展。</w:t>
      </w:r>
    </w:p>
    <w:p>
      <w:pPr>
        <w:spacing w:line="240" w:lineRule="auto" w:before="4"/>
        <w:rPr>
          <w:rFonts w:ascii="宋体" w:hAnsi="宋体" w:cs="宋体" w:eastAsia="宋体" w:hint="default"/>
          <w:sz w:val="25"/>
          <w:szCs w:val="25"/>
        </w:rPr>
      </w:pPr>
    </w:p>
    <w:p>
      <w:pPr>
        <w:spacing w:line="316"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（五）加强投资者关系管理，树立资本市场良好形象</w:t>
      </w:r>
      <w:r>
        <w:rPr>
          <w:rFonts w:ascii="宋体" w:hAnsi="宋体" w:cs="宋体" w:eastAsia="宋体" w:hint="default"/>
          <w:b/>
          <w:bCs/>
          <w:w w:val="99"/>
          <w:sz w:val="18"/>
          <w:szCs w:val="18"/>
        </w:rPr>
        <w:t> </w:t>
      </w:r>
      <w:r>
        <w:rPr>
          <w:rFonts w:ascii="宋体" w:hAnsi="宋体" w:cs="宋体" w:eastAsia="宋体" w:hint="default"/>
          <w:spacing w:val="-2"/>
          <w:sz w:val="18"/>
          <w:szCs w:val="18"/>
        </w:rPr>
        <w:t>公司始终高度重视投资者关系管理工作，并一直致力于建立高效、流畅、透明的投资者互动通道，与资本市场保持多渠</w:t>
      </w:r>
    </w:p>
    <w:p>
      <w:pPr>
        <w:pStyle w:val="BodyText"/>
        <w:spacing w:line="319" w:lineRule="auto" w:before="19"/>
        <w:ind w:right="0"/>
        <w:jc w:val="left"/>
      </w:pPr>
      <w:r>
        <w:rPr>
          <w:spacing w:val="-2"/>
        </w:rPr>
        <w:t>道、多层次的沟通互动。报告期内，公司除通过深交所互动易、投资者热线电话、现场调研、电话会议、参加投资策略会及</w:t>
      </w:r>
      <w:r>
        <w:rPr>
          <w:spacing w:val="-73"/>
        </w:rPr>
        <w:t> </w:t>
      </w:r>
      <w:r>
        <w:rPr>
          <w:spacing w:val="-73"/>
        </w:rPr>
      </w:r>
      <w:r>
        <w:rPr>
          <w:spacing w:val="-4"/>
        </w:rPr>
        <w:t>行业论坛等方式外，还积极筹办网上业绩说明会、参加北京辖区上市公司投资者集体接待日活动，拓宽与投资者的交流渠道，</w:t>
      </w:r>
      <w:r>
        <w:rPr>
          <w:spacing w:val="-44"/>
        </w:rPr>
        <w:t> </w:t>
      </w:r>
      <w:r>
        <w:rPr>
          <w:spacing w:val="-44"/>
        </w:rPr>
      </w:r>
      <w:r>
        <w:rPr>
          <w:spacing w:val="-2"/>
        </w:rPr>
        <w:t>加深与广大投资者进行互动、沟通，深化投资者对公司的了解和认同，促进公司与投资者之间长期、健康、稳定的关系，提</w:t>
      </w:r>
      <w:r>
        <w:rPr>
          <w:spacing w:val="-70"/>
        </w:rPr>
        <w:t> </w:t>
      </w:r>
      <w:r>
        <w:rPr>
          <w:spacing w:val="-70"/>
        </w:rPr>
      </w:r>
      <w:r>
        <w:rPr>
          <w:spacing w:val="-4"/>
        </w:rPr>
        <w:t>升公司形象，实现公司价值和股东利益最大化。同时，公司始终严格按照法律法规和规范性文件的规定，做好信息披露工作，</w:t>
      </w:r>
      <w:r>
        <w:rPr>
          <w:spacing w:val="-46"/>
        </w:rPr>
        <w:t> </w:t>
      </w:r>
      <w:r>
        <w:rPr>
          <w:spacing w:val="-46"/>
        </w:rPr>
      </w:r>
      <w:r>
        <w:rPr/>
        <w:t>认真履行信息披露义务，保证信息披露的及时性、真实性、准确性和完整性。</w:t>
      </w:r>
    </w:p>
    <w:p>
      <w:pPr>
        <w:spacing w:after="0" w:line="319"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line="316" w:lineRule="auto" w:before="44"/>
        <w:ind w:left="513" w:right="1123" w:firstLine="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（六）获颁奖项与资质，实力再获认可</w:t>
      </w:r>
      <w:r>
        <w:rPr>
          <w:rFonts w:ascii="宋体" w:hAnsi="宋体" w:cs="宋体" w:eastAsia="宋体" w:hint="default"/>
          <w:b/>
          <w:bCs/>
          <w:w w:val="99"/>
          <w:sz w:val="18"/>
          <w:szCs w:val="18"/>
        </w:rPr>
        <w:t> </w:t>
      </w:r>
      <w:r>
        <w:rPr>
          <w:rFonts w:ascii="宋体" w:hAnsi="宋体" w:cs="宋体" w:eastAsia="宋体" w:hint="default"/>
          <w:spacing w:val="-3"/>
          <w:sz w:val="18"/>
          <w:szCs w:val="18"/>
        </w:rPr>
        <w:t>报告期内，公司获得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北京软件和信息服务业综合实力百强企业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中国云计算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大数据及物联网最佳实践奖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“2019</w:t>
      </w:r>
    </w:p>
    <w:p>
      <w:pPr>
        <w:pStyle w:val="BodyText"/>
        <w:spacing w:line="300" w:lineRule="auto"/>
        <w:ind w:right="1129"/>
        <w:jc w:val="both"/>
      </w:pPr>
      <w:r>
        <w:rPr/>
        <w:t>中国网络信息安全领军企业</w:t>
      </w:r>
      <w:r>
        <w:rPr>
          <w:rFonts w:ascii="Times New Roman" w:hAnsi="Times New Roman" w:cs="Times New Roman" w:eastAsia="Times New Roman" w:hint="default"/>
        </w:rPr>
        <w:t>”</w:t>
      </w:r>
      <w:r>
        <w:rPr/>
        <w:t>、</w:t>
      </w:r>
      <w:r>
        <w:rPr>
          <w:spacing w:val="30"/>
        </w:rPr>
        <w:t> </w:t>
      </w:r>
      <w:r>
        <w:rPr>
          <w:rFonts w:ascii="Times New Roman" w:hAnsi="Times New Roman" w:cs="Times New Roman" w:eastAsia="Times New Roman" w:hint="default"/>
        </w:rPr>
        <w:t>“</w:t>
      </w:r>
      <w:r>
        <w:rPr/>
        <w:t>国家网络与信息安全信息通报中心优秀技术支持单位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福建省网络与信息安全信息通报</w:t>
      </w:r>
      <w:r>
        <w:rPr>
          <w:spacing w:val="-79"/>
        </w:rPr>
        <w:t> </w:t>
      </w:r>
      <w:r>
        <w:rPr>
          <w:spacing w:val="-79"/>
        </w:rPr>
      </w:r>
      <w:r>
        <w:rPr/>
        <w:t>中心技术支撑单位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工业控制系统信息安全产业联盟理事单位</w:t>
      </w:r>
      <w:r>
        <w:rPr>
          <w:rFonts w:ascii="Times New Roman" w:hAnsi="Times New Roman" w:cs="Times New Roman" w:eastAsia="Times New Roman" w:hint="default"/>
        </w:rPr>
        <w:t>”</w:t>
      </w:r>
      <w:r>
        <w:rPr>
          <w:rFonts w:ascii="Times New Roman" w:hAnsi="Times New Roman" w:cs="Times New Roman" w:eastAsia="Times New Roman" w:hint="default"/>
          <w:spacing w:val="32"/>
        </w:rPr>
        <w:t> </w:t>
      </w:r>
      <w:r>
        <w:rPr/>
        <w:t>等品牌奖项，公司产品及解决方案荣获</w:t>
      </w:r>
      <w:r>
        <w:rPr>
          <w:rFonts w:ascii="Times New Roman" w:hAnsi="Times New Roman" w:cs="Times New Roman" w:eastAsia="Times New Roman" w:hint="default"/>
        </w:rPr>
        <w:t>“</w:t>
      </w:r>
      <w:r>
        <w:rPr/>
        <w:t>高科技产业化成</w:t>
      </w:r>
      <w:r>
        <w:rPr>
          <w:spacing w:val="-79"/>
        </w:rPr>
        <w:t> </w:t>
      </w:r>
      <w:r>
        <w:rPr>
          <w:spacing w:val="-79"/>
        </w:rPr>
      </w:r>
      <w:r>
        <w:rPr>
          <w:spacing w:val="-1"/>
        </w:rPr>
        <w:t>果</w:t>
      </w:r>
      <w:r>
        <w:rPr>
          <w:rFonts w:ascii="Times New Roman" w:hAnsi="Times New Roman" w:cs="Times New Roman" w:eastAsia="Times New Roman" w:hint="default"/>
          <w:spacing w:val="-1"/>
        </w:rPr>
        <w:t>2019</w:t>
      </w:r>
      <w:r>
        <w:rPr>
          <w:spacing w:val="-1"/>
        </w:rPr>
        <w:t>推荐项目</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中国智慧健康医疗新成果</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第四届中国网络与信息安全大会优秀产品奖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网络安全技术应用试点示</w:t>
      </w:r>
      <w:r>
        <w:rPr>
          <w:spacing w:val="-57"/>
        </w:rPr>
        <w:t> </w:t>
      </w:r>
      <w:r>
        <w:rPr>
          <w:spacing w:val="-57"/>
        </w:rPr>
      </w:r>
      <w:r>
        <w:rPr/>
        <w:t>范项目</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等奖项。</w:t>
      </w:r>
    </w:p>
    <w:p>
      <w:pPr>
        <w:pStyle w:val="BodyText"/>
        <w:spacing w:line="300" w:lineRule="auto" w:before="13"/>
        <w:ind w:right="1129" w:firstLine="360"/>
        <w:jc w:val="both"/>
      </w:pPr>
      <w:r>
        <w:rPr/>
        <w:t>报告期内，公司取得了软件企业证书、信用等级证书</w:t>
      </w:r>
      <w:r>
        <w:rPr>
          <w:rFonts w:ascii="Times New Roman" w:hAnsi="Times New Roman" w:cs="Times New Roman" w:eastAsia="Times New Roman" w:hint="default"/>
        </w:rPr>
        <w:t>AAA</w:t>
      </w:r>
      <w:r>
        <w:rPr/>
        <w:t>、国家信息安全测评信息安全服务资质证书（安全工程类一 </w:t>
      </w:r>
      <w:r>
        <w:rPr>
          <w:spacing w:val="-2"/>
        </w:rPr>
        <w:t>级）、国家信息安全测评信息安全服务资质证书（安全开发类一级）、</w:t>
      </w:r>
      <w:r>
        <w:rPr>
          <w:rFonts w:ascii="Times New Roman" w:hAnsi="Times New Roman" w:cs="Times New Roman" w:eastAsia="Times New Roman" w:hint="default"/>
          <w:spacing w:val="-2"/>
        </w:rPr>
        <w:t>2019</w:t>
      </w:r>
      <w:r>
        <w:rPr>
          <w:spacing w:val="-2"/>
        </w:rPr>
        <w:t>年北京市诚信系统集成企业、武器装备质量管理</w:t>
      </w:r>
      <w:r>
        <w:rPr>
          <w:spacing w:val="-63"/>
        </w:rPr>
        <w:t> </w:t>
      </w:r>
      <w:r>
        <w:rPr>
          <w:spacing w:val="-63"/>
        </w:rPr>
      </w:r>
      <w:r>
        <w:rPr/>
        <w:t>体系认证证书、知识产权管理体系认证证书、信息安全服务资质认证证书（信息安全风险评估）、</w:t>
      </w:r>
      <w:r>
        <w:rPr>
          <w:rFonts w:ascii="Times New Roman" w:hAnsi="Times New Roman" w:cs="Times New Roman" w:eastAsia="Times New Roman" w:hint="default"/>
        </w:rPr>
        <w:t>ISO45001</w:t>
      </w:r>
      <w:r>
        <w:rPr/>
        <w:t>职业健康安全</w:t>
      </w:r>
      <w:r>
        <w:rPr>
          <w:spacing w:val="-19"/>
        </w:rPr>
        <w:t> </w:t>
      </w:r>
      <w:r>
        <w:rPr>
          <w:spacing w:val="-19"/>
        </w:rPr>
      </w:r>
      <w:r>
        <w:rPr/>
        <w:t>管理体系、</w:t>
      </w:r>
      <w:r>
        <w:rPr>
          <w:rFonts w:ascii="Times New Roman" w:hAnsi="Times New Roman" w:cs="Times New Roman" w:eastAsia="Times New Roman" w:hint="default"/>
        </w:rPr>
        <w:t>ISO14001</w:t>
      </w:r>
      <w:r>
        <w:rPr/>
        <w:t>环境管理体系、</w:t>
      </w:r>
      <w:r>
        <w:rPr>
          <w:rFonts w:ascii="Times New Roman" w:hAnsi="Times New Roman" w:cs="Times New Roman" w:eastAsia="Times New Roman" w:hint="default"/>
        </w:rPr>
        <w:t>ITSS</w:t>
      </w:r>
      <w:r>
        <w:rPr/>
        <w:t>信息技术服务运行维护标准符合性证书、中国保密协会理事单位证书、商用密码</w:t>
      </w:r>
      <w:r>
        <w:rPr>
          <w:spacing w:val="-36"/>
        </w:rPr>
        <w:t> </w:t>
      </w:r>
      <w:r>
        <w:rPr>
          <w:spacing w:val="-36"/>
        </w:rPr>
      </w:r>
      <w:r>
        <w:rPr/>
        <w:t>行业协会会员。</w:t>
      </w:r>
    </w:p>
    <w:p>
      <w:pPr>
        <w:pStyle w:val="BodyText"/>
        <w:spacing w:line="316" w:lineRule="auto" w:before="31"/>
        <w:ind w:right="1130" w:firstLine="360"/>
        <w:jc w:val="both"/>
      </w:pPr>
      <w:r>
        <w:rPr>
          <w:spacing w:val="-2"/>
        </w:rPr>
        <w:t>公司创新与竞争能力、品牌与影响力不断获得认可，进一步彰显了公司的品牌效益，对公司保持国内市场领先地位起到</w:t>
      </w:r>
      <w:r>
        <w:rPr/>
        <w:t> 了重要保障和推动作用，为公司的可持续健康发展奠定了扎实的基础。</w:t>
      </w:r>
    </w:p>
    <w:p>
      <w:pPr>
        <w:spacing w:line="240" w:lineRule="auto" w:before="4"/>
        <w:rPr>
          <w:rFonts w:ascii="宋体" w:hAnsi="宋体" w:cs="宋体" w:eastAsia="宋体" w:hint="default"/>
          <w:sz w:val="25"/>
          <w:szCs w:val="25"/>
        </w:rPr>
      </w:pPr>
    </w:p>
    <w:p>
      <w:pPr>
        <w:spacing w:line="360"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（七）加大品牌宣传，树立优质形象</w:t>
      </w:r>
      <w:r>
        <w:rPr>
          <w:rFonts w:ascii="宋体" w:hAnsi="宋体" w:cs="宋体" w:eastAsia="宋体" w:hint="default"/>
          <w:b/>
          <w:bCs/>
          <w:w w:val="99"/>
          <w:sz w:val="18"/>
          <w:szCs w:val="18"/>
        </w:rPr>
        <w:t> </w:t>
      </w:r>
      <w:r>
        <w:rPr>
          <w:rFonts w:ascii="宋体" w:hAnsi="宋体" w:cs="宋体" w:eastAsia="宋体" w:hint="default"/>
          <w:spacing w:val="-2"/>
          <w:sz w:val="18"/>
          <w:szCs w:val="18"/>
        </w:rPr>
        <w:t>公司不断加强专业化推广，积极亮相行业峰会、技术论坛，并参加重点行业展会。报告期内，公司亮相</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华为生态伙</w:t>
      </w:r>
    </w:p>
    <w:p>
      <w:pPr>
        <w:pStyle w:val="BodyText"/>
        <w:spacing w:line="212" w:lineRule="exact"/>
        <w:ind w:right="0"/>
        <w:jc w:val="both"/>
      </w:pPr>
      <w:r>
        <w:rPr/>
        <w:t>伴大会、</w:t>
      </w:r>
      <w:r>
        <w:rPr>
          <w:rFonts w:ascii="Times New Roman" w:hAnsi="Times New Roman" w:cs="Times New Roman" w:eastAsia="Times New Roman" w:hint="default"/>
        </w:rPr>
        <w:t>2019</w:t>
      </w:r>
      <w:r>
        <w:rPr/>
        <w:t>中国网络信息安全峰会、杭州智慧安防大会、第七届中国核电信息技术高峰论坛、</w:t>
      </w:r>
      <w:r>
        <w:rPr>
          <w:rFonts w:ascii="Times New Roman" w:hAnsi="Times New Roman" w:cs="Times New Roman" w:eastAsia="Times New Roman" w:hint="default"/>
        </w:rPr>
        <w:t>2019</w:t>
      </w:r>
      <w:r>
        <w:rPr/>
        <w:t>船舶行业信息化建设与</w:t>
      </w:r>
    </w:p>
    <w:p>
      <w:pPr>
        <w:pStyle w:val="BodyText"/>
        <w:spacing w:line="300" w:lineRule="auto" w:before="63"/>
        <w:ind w:right="1128"/>
        <w:jc w:val="both"/>
      </w:pPr>
      <w:r>
        <w:rPr>
          <w:spacing w:val="-2"/>
        </w:rPr>
        <w:t>智能制造装备推介会、</w:t>
      </w:r>
      <w:r>
        <w:rPr>
          <w:rFonts w:ascii="Times New Roman" w:hAnsi="Times New Roman" w:cs="Times New Roman" w:eastAsia="Times New Roman" w:hint="default"/>
          <w:spacing w:val="-2"/>
        </w:rPr>
        <w:t>2019</w:t>
      </w:r>
      <w:r>
        <w:rPr>
          <w:spacing w:val="-2"/>
        </w:rPr>
        <w:t>年北京国际互联网科技博览会、福州城市大脑暨创新应用发布会、</w:t>
      </w:r>
      <w:r>
        <w:rPr>
          <w:rFonts w:ascii="Times New Roman" w:hAnsi="Times New Roman" w:cs="Times New Roman" w:eastAsia="Times New Roman" w:hint="default"/>
          <w:spacing w:val="-2"/>
        </w:rPr>
        <w:t>2019</w:t>
      </w:r>
      <w:r>
        <w:rPr>
          <w:spacing w:val="-2"/>
        </w:rPr>
        <w:t>国家网络安全宣传周暨网</w:t>
      </w:r>
      <w:r>
        <w:rPr>
          <w:spacing w:val="-57"/>
        </w:rPr>
        <w:t> </w:t>
      </w:r>
      <w:r>
        <w:rPr>
          <w:spacing w:val="-57"/>
        </w:rPr>
      </w:r>
      <w:r>
        <w:rPr>
          <w:spacing w:val="-2"/>
        </w:rPr>
        <w:t>络完全博览会、</w:t>
      </w:r>
      <w:r>
        <w:rPr>
          <w:rFonts w:ascii="Times New Roman" w:hAnsi="Times New Roman" w:cs="Times New Roman" w:eastAsia="Times New Roman" w:hint="default"/>
          <w:spacing w:val="-2"/>
        </w:rPr>
        <w:t>2019</w:t>
      </w:r>
      <w:r>
        <w:rPr>
          <w:spacing w:val="-2"/>
        </w:rPr>
        <w:t>中国网络安全等级保护和关键信息基础设施保护大会、</w:t>
      </w:r>
      <w:r>
        <w:rPr>
          <w:rFonts w:ascii="Times New Roman" w:hAnsi="Times New Roman" w:cs="Times New Roman" w:eastAsia="Times New Roman" w:hint="default"/>
          <w:spacing w:val="-2"/>
        </w:rPr>
        <w:t>2019</w:t>
      </w:r>
      <w:r>
        <w:rPr>
          <w:spacing w:val="-2"/>
        </w:rPr>
        <w:t>中国物联网大会</w:t>
      </w:r>
      <w:r>
        <w:rPr>
          <w:rFonts w:ascii="Times New Roman" w:hAnsi="Times New Roman" w:cs="Times New Roman" w:eastAsia="Times New Roman" w:hint="default"/>
          <w:spacing w:val="-2"/>
        </w:rPr>
        <w:t>——</w:t>
      </w:r>
      <w:r>
        <w:rPr>
          <w:spacing w:val="-2"/>
        </w:rPr>
        <w:t>电子信息企业技术创新</w:t>
      </w:r>
      <w:r>
        <w:rPr>
          <w:spacing w:val="-60"/>
        </w:rPr>
        <w:t> </w:t>
      </w:r>
      <w:r>
        <w:rPr/>
        <w:t>科技联合体成立大会暨技术交流高峰论坛、世界</w:t>
      </w:r>
      <w:r>
        <w:rPr>
          <w:rFonts w:ascii="Times New Roman" w:hAnsi="Times New Roman" w:cs="Times New Roman" w:eastAsia="Times New Roman" w:hint="default"/>
        </w:rPr>
        <w:t>5G</w:t>
      </w:r>
      <w:r>
        <w:rPr/>
        <w:t>大会、长沙智能制造大会、信息技术应用创新展览等活动，向与会者展</w:t>
      </w:r>
      <w:r>
        <w:rPr>
          <w:spacing w:val="-40"/>
        </w:rPr>
        <w:t> </w:t>
      </w:r>
      <w:r>
        <w:rPr>
          <w:spacing w:val="-40"/>
        </w:rPr>
      </w:r>
      <w:r>
        <w:rPr/>
        <w:t>示了公司前沿技术和产品，获得来自市场的良好反响，极大地提升公司品牌知名度和行业影响力。</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2"/>
        <w:jc w:val="left"/>
      </w:pPr>
      <w:r>
        <w:rPr/>
        <w:t>营业收入整体情况</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721,982,374.33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572,400,445.59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26.13%</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97,954,253.19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53,243,040.74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83.98%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62,586,589.23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53,959,188.51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185,387,448.55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222,517,911.01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331,273,475.22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170,005,876.98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44,780,608.14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72,674,428.35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-38.38%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408,446,354.45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326,018,323.66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49,838,601.79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86,254,687.21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143,317,195.23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126,130,909.72</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22.04%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120,380,222.86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33,996,525.00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22,744,371.62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31,403,126.46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-27.57%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287,605,851.26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181,061,530.69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58.84%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214,911,675.56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174,489,878.67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23.17%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56,730,077.38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59,948,143.16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36,022,517.29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31,641,027.12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13.85%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74,014,767.81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45,774,231.21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27,701,225.31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47,967,902.44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港澳及海外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2,251,888.10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114,605.84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1,864.90%</w:t>
            </w:r>
          </w:p>
        </w:tc>
      </w:tr>
    </w:tbl>
    <w:p>
      <w:pPr>
        <w:pStyle w:val="BodyText"/>
        <w:spacing w:line="240" w:lineRule="auto" w:before="49"/>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3"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110,189,911.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186,612,659.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224,354,774.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200,825,029.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53</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86,469,555.0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109,657,838.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108,747,934.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267,525,117.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3,733,828.72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23,375,884.1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34,087,130.8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-38,812,656.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94</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1,225,564.49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23,084,706.4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9,254,462.97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60,525,339.4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38" w:lineRule="auto" w:before="49"/>
        <w:ind w:right="1122"/>
        <w:jc w:val="left"/>
      </w:pPr>
      <w:r>
        <w:rPr/>
        <w:t>说明经营季节性（或周期性）发生的原因及波动风险 </w:t>
      </w:r>
      <w:r>
        <w:rPr>
          <w:spacing w:val="-2"/>
        </w:rPr>
        <w:t>由于收入随着季节发生变动：一季度相对较低，四季度相对较高，而费用发生进度有事较为均衡的，因此四个季度中一季度</w:t>
      </w:r>
      <w:r>
        <w:rPr>
          <w:spacing w:val="-65"/>
        </w:rPr>
        <w:t> </w:t>
      </w:r>
      <w:r>
        <w:rPr>
          <w:spacing w:val="-65"/>
        </w:rPr>
      </w:r>
      <w:r>
        <w:rPr/>
        <w:t>净利润相对较低、二三季度净利润稳中有升、四季度净利润增幅较大。</w:t>
      </w:r>
    </w:p>
    <w:p>
      <w:pPr>
        <w:spacing w:line="240" w:lineRule="auto" w:before="7"/>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331,273,475.22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109,058,022.45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67.08%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94.86%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137.14%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-5.87%</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185,387,448.55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65,694,694.29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97,954,253.19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65,022,028.44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654.62%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-50.20%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软件产品收入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408,446,354.45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24,002,494.78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120,380,222.86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93,051,174.98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集成产品收入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143,317,195.23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132,357,603.21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39.41%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-17.08%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74,014,767.81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3,827,975.15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94.83%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-21.52%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287,605,851.26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98,988,965.62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58.84%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214,911,675.56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127,652,787.70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-2.43%</w:t>
            </w:r>
          </w:p>
        </w:tc>
      </w:tr>
    </w:tbl>
    <w:p>
      <w:pPr>
        <w:pStyle w:val="BodyText"/>
        <w:spacing w:line="240" w:lineRule="auto" w:before="49"/>
        <w:ind w:right="112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97,954,253.19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53,243,040.74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83.98%</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97,954,253.19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53,243,040.74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83.98%</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62,586,589.23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53,959,188.51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15.99%</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62,586,589.23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53,959,188.51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15.99%</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185,387,448.55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222,517,911.01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-16.69%</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185,387,448.55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222,517,911.01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-16.69%</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331,273,475.22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170,005,876.98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331,273,475.22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170,005,876.98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94.86%</w:t>
            </w:r>
          </w:p>
        </w:tc>
      </w:tr>
      <w:tr>
        <w:trPr>
          <w:trHeight w:val="404"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44,780,608.14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72,674,428.35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-38.38%</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44,780,608.14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72,674,428.35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-38.38%</w:t>
            </w:r>
          </w:p>
        </w:tc>
      </w:tr>
    </w:tbl>
    <w:p>
      <w:pPr>
        <w:pStyle w:val="BodyText"/>
        <w:spacing w:line="240" w:lineRule="auto" w:before="49"/>
        <w:ind w:right="1122"/>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行业和产品分类</w:t>
      </w:r>
    </w:p>
    <w:p>
      <w:pPr>
        <w:pStyle w:val="BodyText"/>
        <w:spacing w:line="240" w:lineRule="auto" w:before="115"/>
        <w:ind w:left="0" w:right="1131"/>
        <w:jc w:val="right"/>
      </w:pPr>
      <w:r>
        <w:rPr/>
        <w:t>单位：元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65,022,028.44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8,616,536.22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军工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13,196,267.40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6,298,866.93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109.50%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4,021,051.34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8,597,338.47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65,694,694.29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85,326,170.54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109,058,022.45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45,988,293.18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137.14%</w:t>
            </w:r>
          </w:p>
        </w:tc>
      </w:tr>
    </w:tbl>
    <w:p>
      <w:pPr>
        <w:pStyle w:val="BodyText"/>
        <w:spacing w:line="240" w:lineRule="auto" w:before="49"/>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24,002,494.78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18,792,806.12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7,580,790.95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10,447,202.02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-27.44%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132,357,603.21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94,941,170.42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93,051,174.98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30,646,026.78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19.79%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203.63%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9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报告期内，公司新增上海北信源供应链管理有限公司、嘉兴泽阳股权投资合伙企业（有限合伙）纳入合并范围。</w:t>
      </w:r>
    </w:p>
    <w:p>
      <w:pPr>
        <w:spacing w:line="240" w:lineRule="auto" w:before="6"/>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143,040,018.78</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19.81%</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2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after="0" w:line="240" w:lineRule="auto"/>
        <w:jc w:val="lef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60,247,433.63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8.34%</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27,876,106.20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19,613,274.34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19,112,957.11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16,190,247.50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143,040,018.78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19.81%</w:t>
            </w:r>
          </w:p>
        </w:tc>
      </w:tr>
    </w:tbl>
    <w:p>
      <w:pPr>
        <w:pStyle w:val="BodyText"/>
        <w:spacing w:line="240" w:lineRule="auto" w:before="49"/>
        <w:ind w:right="1122"/>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91,649,016.49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16.07%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w:t>
            </w:r>
          </w:p>
        </w:tc>
      </w:tr>
    </w:tbl>
    <w:p>
      <w:pPr>
        <w:pStyle w:val="BodyText"/>
        <w:spacing w:line="240" w:lineRule="auto" w:before="49"/>
        <w:ind w:right="1122"/>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58,259,270.54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12,470,182.06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9,363,823.73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7,691,049.97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3,864,690.19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91,649,016.49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16.07%</w:t>
            </w:r>
          </w:p>
        </w:tc>
      </w:tr>
    </w:tbl>
    <w:p>
      <w:pPr>
        <w:pStyle w:val="BodyText"/>
        <w:spacing w:line="240" w:lineRule="auto" w:before="49"/>
        <w:ind w:right="1122"/>
        <w:jc w:val="left"/>
      </w:pPr>
      <w:r>
        <w:rPr/>
        <w:t>主要供应商其他情况说明</w:t>
      </w:r>
    </w:p>
    <w:p>
      <w:pPr>
        <w:pStyle w:val="BodyText"/>
        <w:spacing w:line="319"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公司前五名供应商中北京辰信领创信息技术有限公司与本公司存在关联关系。其他四大供应商与本公司不存在关联关系，公</w:t>
      </w:r>
      <w:r>
        <w:rPr>
          <w:spacing w:val="-64"/>
        </w:rPr>
        <w:t> </w:t>
      </w:r>
      <w:r>
        <w:rPr>
          <w:spacing w:val="-64"/>
        </w:rPr>
      </w:r>
      <w:r>
        <w:rPr/>
        <w:t>司董事、监事、高级管理人员、核心技术人员、持股</w:t>
      </w:r>
      <w:r>
        <w:rPr>
          <w:rFonts w:ascii="Times New Roman" w:hAnsi="Times New Roman" w:cs="Times New Roman" w:eastAsia="Times New Roman" w:hint="default"/>
        </w:rPr>
        <w:t>5%</w:t>
      </w:r>
      <w:r>
        <w:rPr/>
        <w:t>以上股东、实际控制人和其他关联方在其他四大供应商中未直接或 间接拥有权益。</w:t>
      </w:r>
    </w:p>
    <w:p>
      <w:pPr>
        <w:spacing w:line="240" w:lineRule="auto" w:before="9"/>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142,533,023.13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105,256,294.73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公司加大市场宣传推广力度所致。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99,897,258.82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85,729,679.15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-1,000,892.62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-3,433,195.94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公司新增银行信用贷款，利息费用增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93,666,590.70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71,927,600.47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受信息安全创新产业政策影响，公司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67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83"/>
              <w:jc w:val="left"/>
              <w:rPr>
                <w:rFonts w:ascii="宋体" w:hAnsi="宋体" w:cs="宋体" w:eastAsia="宋体" w:hint="default"/>
                <w:sz w:val="18"/>
                <w:szCs w:val="18"/>
              </w:rPr>
            </w:pPr>
            <w:r>
              <w:rPr>
                <w:rFonts w:ascii="宋体" w:hAnsi="宋体" w:cs="宋体" w:eastAsia="宋体" w:hint="default"/>
                <w:sz w:val="18"/>
                <w:szCs w:val="18"/>
              </w:rPr>
              <w:t>加大对信创安全产品技术研发投入 及创新所致。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-31,703.69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23,851.60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-127,151,950.68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本期计提的应收款项信用减值损失 金额增加所致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-90,405,996.91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公司按照新金融工具准则调整所致， 见第二节、五</w:t>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465,127.00</w:t>
            </w: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执行金融工具准则后，将购买理保本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浮动收益型财产品划分到交易性金 </w:t>
            </w:r>
            <w:r>
              <w:rPr>
                <w:rFonts w:ascii="宋体" w:hAnsi="宋体" w:cs="宋体" w:eastAsia="宋体" w:hint="default"/>
                <w:spacing w:val="-2"/>
                <w:sz w:val="18"/>
                <w:szCs w:val="18"/>
              </w:rPr>
              <w:t>融资产，本年发生（未到期）理财收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益计入公允价值变动损益所致。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1,533,652.48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8,150,064.58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-81.18%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随着募集资金投入到项目，闲置募集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资金产生的银行理财收入降低所致</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-4,507,018.06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3,662,721.40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）利润总额降低使所得税费用降 </w:t>
            </w:r>
            <w:r>
              <w:rPr>
                <w:rFonts w:ascii="宋体" w:hAnsi="宋体" w:cs="宋体" w:eastAsia="宋体" w:hint="default"/>
                <w:spacing w:val="-7"/>
                <w:sz w:val="18"/>
                <w:szCs w:val="18"/>
              </w:rPr>
              <w:t>低；（</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）研发支出加计扣除因素使当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期所得税费用减少</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2998" w:hanging="361"/>
        <w:jc w:val="left"/>
      </w:pPr>
      <w:r>
        <w:rPr/>
        <w:pict>
          <v:shape style="position:absolute;margin-left:57.959999pt;margin-top:32.711704pt;width:416.15pt;height:336.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3"/>
                    <w:gridCol w:w="2374"/>
                    <w:gridCol w:w="2542"/>
                    <w:gridCol w:w="320"/>
                    <w:gridCol w:w="2448"/>
                  </w:tblGrid>
                  <w:tr>
                    <w:trPr>
                      <w:trHeight w:val="355" w:hRule="exact"/>
                    </w:trPr>
                    <w:tc>
                      <w:tcPr>
                        <w:tcW w:w="6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0"/>
                          <w:ind w:left="10"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237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54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8"/>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2768"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项目进度</w:t>
                        </w:r>
                        <w:r>
                          <w:rPr>
                            <w:rFonts w:ascii="宋体" w:hAnsi="宋体" w:cs="宋体" w:eastAsia="宋体" w:hint="default"/>
                            <w:sz w:val="18"/>
                            <w:szCs w:val="18"/>
                          </w:rPr>
                        </w:r>
                      </w:p>
                    </w:tc>
                  </w:tr>
                  <w:tr>
                    <w:trPr>
                      <w:trHeight w:val="3783"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sz w:val="18"/>
                          </w:rPr>
                          <w:t>1</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3" w:right="5"/>
                          <w:jc w:val="center"/>
                          <w:rPr>
                            <w:rFonts w:ascii="宋体" w:hAnsi="宋体" w:cs="宋体" w:eastAsia="宋体" w:hint="default"/>
                            <w:sz w:val="18"/>
                            <w:szCs w:val="18"/>
                          </w:rPr>
                        </w:pPr>
                        <w:r>
                          <w:rPr>
                            <w:rFonts w:ascii="宋体" w:hAnsi="宋体" w:cs="宋体" w:eastAsia="宋体" w:hint="default"/>
                            <w:sz w:val="18"/>
                            <w:szCs w:val="18"/>
                          </w:rPr>
                          <w:t>即时通讯及移动办公开发平台</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07" w:lineRule="auto" w:before="8"/>
                          <w:ind w:left="-5" w:right="-10" w:firstLine="360"/>
                          <w:jc w:val="left"/>
                          <w:rPr>
                            <w:rFonts w:ascii="宋体" w:hAnsi="宋体" w:cs="宋体" w:eastAsia="宋体" w:hint="default"/>
                            <w:sz w:val="18"/>
                            <w:szCs w:val="18"/>
                          </w:rPr>
                        </w:pPr>
                        <w:r>
                          <w:rPr>
                            <w:rFonts w:ascii="宋体" w:hAnsi="宋体" w:cs="宋体" w:eastAsia="宋体" w:hint="default"/>
                            <w:sz w:val="18"/>
                            <w:szCs w:val="18"/>
                          </w:rPr>
                          <w:t>信源豆豆（</w:t>
                        </w:r>
                        <w:r>
                          <w:rPr>
                            <w:rFonts w:ascii="Times New Roman" w:hAnsi="Times New Roman" w:cs="Times New Roman" w:eastAsia="Times New Roman" w:hint="default"/>
                            <w:sz w:val="18"/>
                            <w:szCs w:val="18"/>
                          </w:rPr>
                          <w:t>Linkdood</w:t>
                        </w:r>
                        <w:r>
                          <w:rPr>
                            <w:rFonts w:ascii="宋体" w:hAnsi="宋体" w:cs="宋体" w:eastAsia="宋体" w:hint="default"/>
                            <w:sz w:val="18"/>
                            <w:szCs w:val="18"/>
                          </w:rPr>
                          <w:t>）是由</w:t>
                        </w:r>
                        <w:r>
                          <w:rPr>
                            <w:rFonts w:ascii="宋体" w:hAnsi="宋体" w:cs="宋体" w:eastAsia="宋体" w:hint="default"/>
                            <w:spacing w:val="2"/>
                            <w:sz w:val="18"/>
                            <w:szCs w:val="18"/>
                          </w:rPr>
                          <w:t> </w:t>
                        </w:r>
                        <w:r>
                          <w:rPr>
                            <w:rFonts w:ascii="宋体" w:hAnsi="宋体" w:cs="宋体" w:eastAsia="宋体" w:hint="default"/>
                            <w:spacing w:val="6"/>
                            <w:sz w:val="18"/>
                            <w:szCs w:val="18"/>
                          </w:rPr>
                          <w:t>北信源全力打造的</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新一代互联</w:t>
                        </w:r>
                        <w:r>
                          <w:rPr>
                            <w:rFonts w:ascii="宋体" w:hAnsi="宋体" w:cs="宋体" w:eastAsia="宋体" w:hint="default"/>
                            <w:spacing w:val="-78"/>
                            <w:sz w:val="18"/>
                            <w:szCs w:val="18"/>
                          </w:rPr>
                          <w:t> </w:t>
                        </w:r>
                        <w:r>
                          <w:rPr>
                            <w:rFonts w:ascii="宋体" w:hAnsi="宋体" w:cs="宋体" w:eastAsia="宋体" w:hint="default"/>
                            <w:spacing w:val="-6"/>
                            <w:w w:val="100"/>
                            <w:sz w:val="18"/>
                            <w:szCs w:val="18"/>
                          </w:rPr>
                          <w:t>网安全聚合通道</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安全连接</w:t>
                        </w:r>
                        <w:r>
                          <w:rPr>
                            <w:rFonts w:ascii="宋体" w:hAnsi="宋体" w:cs="宋体" w:eastAsia="宋体" w:hint="default"/>
                            <w:spacing w:val="-80"/>
                            <w:w w:val="100"/>
                            <w:sz w:val="18"/>
                            <w:szCs w:val="18"/>
                          </w:rPr>
                          <w:t> </w:t>
                        </w:r>
                        <w:r>
                          <w:rPr>
                            <w:rFonts w:ascii="宋体" w:hAnsi="宋体" w:cs="宋体" w:eastAsia="宋体" w:hint="default"/>
                            <w:spacing w:val="-6"/>
                            <w:w w:val="100"/>
                            <w:sz w:val="18"/>
                            <w:szCs w:val="18"/>
                          </w:rPr>
                          <w:t>智慧聚合</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为核心理念，打造跨终</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端、全方位、安全可信的通信聚</w:t>
                        </w:r>
                        <w:r>
                          <w:rPr>
                            <w:rFonts w:ascii="宋体" w:hAnsi="宋体" w:cs="宋体" w:eastAsia="宋体" w:hint="default"/>
                            <w:sz w:val="18"/>
                            <w:szCs w:val="18"/>
                          </w:rPr>
                          <w:t> </w:t>
                        </w:r>
                        <w:r>
                          <w:rPr>
                            <w:rFonts w:ascii="宋体" w:hAnsi="宋体" w:cs="宋体" w:eastAsia="宋体" w:hint="default"/>
                            <w:spacing w:val="4"/>
                            <w:sz w:val="18"/>
                            <w:szCs w:val="18"/>
                          </w:rPr>
                          <w:t>合平台，全面支持安卓、</w:t>
                        </w:r>
                        <w:r>
                          <w:rPr>
                            <w:rFonts w:ascii="Times New Roman" w:hAnsi="Times New Roman" w:cs="Times New Roman" w:eastAsia="Times New Roman" w:hint="default"/>
                            <w:spacing w:val="4"/>
                            <w:sz w:val="18"/>
                            <w:szCs w:val="18"/>
                          </w:rPr>
                          <w:t>iOS</w:t>
                        </w:r>
                        <w:r>
                          <w:rPr>
                            <w:rFonts w:ascii="宋体" w:hAnsi="宋体" w:cs="宋体" w:eastAsia="宋体" w:hint="default"/>
                            <w:spacing w:val="4"/>
                            <w:sz w:val="18"/>
                            <w:szCs w:val="18"/>
                          </w:rPr>
                          <w:t>、</w:t>
                        </w:r>
                        <w:r>
                          <w:rPr>
                            <w:rFonts w:ascii="宋体" w:hAnsi="宋体" w:cs="宋体" w:eastAsia="宋体" w:hint="default"/>
                            <w:spacing w:val="-82"/>
                            <w:sz w:val="18"/>
                            <w:szCs w:val="18"/>
                          </w:rPr>
                          <w:t> </w:t>
                        </w:r>
                        <w:r>
                          <w:rPr>
                            <w:rFonts w:ascii="Times New Roman" w:hAnsi="Times New Roman" w:cs="Times New Roman" w:eastAsia="Times New Roman" w:hint="default"/>
                            <w:sz w:val="18"/>
                            <w:szCs w:val="18"/>
                          </w:rPr>
                          <w:t>Mac</w:t>
                        </w:r>
                        <w:r>
                          <w:rPr>
                            <w:rFonts w:ascii="宋体" w:hAnsi="宋体" w:cs="宋体" w:eastAsia="宋体" w:hint="default"/>
                            <w:sz w:val="18"/>
                            <w:szCs w:val="18"/>
                          </w:rPr>
                          <w:t>、</w:t>
                        </w:r>
                        <w:r>
                          <w:rPr>
                            <w:rFonts w:ascii="Times New Roman" w:hAnsi="Times New Roman" w:cs="Times New Roman" w:eastAsia="Times New Roman" w:hint="default"/>
                            <w:sz w:val="18"/>
                            <w:szCs w:val="18"/>
                          </w:rPr>
                          <w:t>Windows</w:t>
                        </w:r>
                        <w:r>
                          <w:rPr>
                            <w:rFonts w:ascii="宋体" w:hAnsi="宋体" w:cs="宋体" w:eastAsia="宋体" w:hint="default"/>
                            <w:sz w:val="18"/>
                            <w:szCs w:val="18"/>
                          </w:rPr>
                          <w:t>和国产操作系统 </w:t>
                        </w:r>
                        <w:r>
                          <w:rPr>
                            <w:rFonts w:ascii="宋体" w:hAnsi="宋体" w:cs="宋体" w:eastAsia="宋体" w:hint="default"/>
                            <w:spacing w:val="14"/>
                            <w:sz w:val="18"/>
                            <w:szCs w:val="18"/>
                          </w:rPr>
                          <w:t>为企业和互联网用户提供即时</w:t>
                        </w:r>
                        <w:r>
                          <w:rPr>
                            <w:rFonts w:ascii="宋体" w:hAnsi="宋体" w:cs="宋体" w:eastAsia="宋体" w:hint="default"/>
                            <w:spacing w:val="14"/>
                            <w:sz w:val="18"/>
                            <w:szCs w:val="18"/>
                          </w:rPr>
                          <w:t> </w:t>
                        </w:r>
                        <w:r>
                          <w:rPr>
                            <w:rFonts w:ascii="宋体" w:hAnsi="宋体" w:cs="宋体" w:eastAsia="宋体" w:hint="default"/>
                            <w:spacing w:val="-10"/>
                            <w:sz w:val="18"/>
                            <w:szCs w:val="18"/>
                          </w:rPr>
                          <w:t>通讯、协同办公、任务管理、</w:t>
                        </w:r>
                        <w:r>
                          <w:rPr>
                            <w:rFonts w:ascii="Times New Roman" w:hAnsi="Times New Roman" w:cs="Times New Roman" w:eastAsia="Times New Roman" w:hint="default"/>
                            <w:spacing w:val="-10"/>
                            <w:sz w:val="18"/>
                            <w:szCs w:val="18"/>
                          </w:rPr>
                          <w:t>ERP</w:t>
                        </w:r>
                        <w:r>
                          <w:rPr>
                            <w:rFonts w:ascii="Times New Roman" w:hAnsi="Times New Roman" w:cs="Times New Roman" w:eastAsia="Times New Roman" w:hint="default"/>
                            <w:sz w:val="18"/>
                            <w:szCs w:val="18"/>
                          </w:rPr>
                          <w:t> </w:t>
                        </w:r>
                        <w:r>
                          <w:rPr>
                            <w:rFonts w:ascii="宋体" w:hAnsi="宋体" w:cs="宋体" w:eastAsia="宋体" w:hint="default"/>
                            <w:sz w:val="18"/>
                            <w:szCs w:val="18"/>
                          </w:rPr>
                          <w:t>改造、应用开发、万物互联、互 通互联、聚合推广等多层次的平 台服务。</w:t>
                        </w:r>
                      </w:p>
                    </w:tc>
                    <w:tc>
                      <w:tcPr>
                        <w:tcW w:w="320" w:type="dxa"/>
                        <w:tcBorders>
                          <w:top w:val="single" w:sz="12" w:space="0" w:color="000000"/>
                          <w:left w:val="single" w:sz="1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2448" w:type="dxa"/>
                        <w:tcBorders>
                          <w:top w:val="single" w:sz="12" w:space="0" w:color="000000"/>
                          <w:left w:val="nil" w:sz="6" w:space="0" w:color="auto"/>
                          <w:bottom w:val="single" w:sz="12" w:space="0" w:color="000000"/>
                          <w:right w:val="single" w:sz="12" w:space="0" w:color="000000"/>
                        </w:tcBorders>
                      </w:tcPr>
                      <w:p>
                        <w:pPr>
                          <w:pStyle w:val="TableParagraph"/>
                          <w:spacing w:line="316" w:lineRule="auto" w:before="8"/>
                          <w:ind w:left="406" w:right="560" w:hanging="156"/>
                          <w:jc w:val="left"/>
                          <w:rPr>
                            <w:rFonts w:ascii="宋体" w:hAnsi="宋体" w:cs="宋体" w:eastAsia="宋体" w:hint="default"/>
                            <w:sz w:val="18"/>
                            <w:szCs w:val="18"/>
                          </w:rPr>
                        </w:pPr>
                        <w:r>
                          <w:rPr>
                            <w:rFonts w:ascii="宋体" w:hAnsi="宋体" w:cs="宋体" w:eastAsia="宋体" w:hint="default"/>
                            <w:sz w:val="18"/>
                            <w:szCs w:val="18"/>
                          </w:rPr>
                          <w:t>产品销售推广阶段： 信源豆豆</w:t>
                        </w:r>
                        <w:r>
                          <w:rPr>
                            <w:rFonts w:ascii="Times New Roman" w:hAnsi="Times New Roman" w:cs="Times New Roman" w:eastAsia="Times New Roman" w:hint="default"/>
                            <w:sz w:val="18"/>
                            <w:szCs w:val="18"/>
                          </w:rPr>
                          <w:t>5.1</w:t>
                        </w:r>
                        <w:r>
                          <w:rPr>
                            <w:rFonts w:ascii="宋体" w:hAnsi="宋体" w:cs="宋体" w:eastAsia="宋体" w:hint="default"/>
                            <w:sz w:val="18"/>
                            <w:szCs w:val="18"/>
                          </w:rPr>
                          <w:t>版本</w:t>
                        </w:r>
                      </w:p>
                    </w:tc>
                  </w:tr>
                  <w:tr>
                    <w:trPr>
                      <w:trHeight w:val="2225"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right="51"/>
                          <w:jc w:val="center"/>
                          <w:rPr>
                            <w:rFonts w:ascii="Times New Roman" w:hAnsi="Times New Roman" w:cs="Times New Roman" w:eastAsia="Times New Roman" w:hint="default"/>
                            <w:sz w:val="18"/>
                            <w:szCs w:val="18"/>
                          </w:rPr>
                        </w:pPr>
                        <w:r>
                          <w:rPr>
                            <w:rFonts w:ascii="Times New Roman"/>
                            <w:sz w:val="18"/>
                          </w:rPr>
                          <w:t>2</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网络安全应急协调联动平台</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网络安全应急协调联动平</w:t>
                        </w:r>
                        <w:r>
                          <w:rPr>
                            <w:rFonts w:ascii="宋体" w:hAnsi="宋体" w:cs="宋体" w:eastAsia="宋体" w:hint="default"/>
                            <w:spacing w:val="-74"/>
                            <w:sz w:val="18"/>
                            <w:szCs w:val="18"/>
                          </w:rPr>
                          <w:t> </w:t>
                        </w:r>
                        <w:r>
                          <w:rPr>
                            <w:rFonts w:ascii="宋体" w:hAnsi="宋体" w:cs="宋体" w:eastAsia="宋体" w:hint="default"/>
                            <w:spacing w:val="14"/>
                            <w:sz w:val="18"/>
                            <w:szCs w:val="18"/>
                          </w:rPr>
                          <w:t>台能够提高各行业网络安全事</w:t>
                        </w:r>
                        <w:r>
                          <w:rPr>
                            <w:rFonts w:ascii="宋体" w:hAnsi="宋体" w:cs="宋体" w:eastAsia="宋体" w:hint="default"/>
                            <w:spacing w:val="14"/>
                            <w:sz w:val="18"/>
                            <w:szCs w:val="18"/>
                          </w:rPr>
                          <w:t> </w:t>
                        </w:r>
                        <w:r>
                          <w:rPr>
                            <w:rFonts w:ascii="宋体" w:hAnsi="宋体" w:cs="宋体" w:eastAsia="宋体" w:hint="default"/>
                            <w:sz w:val="18"/>
                            <w:szCs w:val="18"/>
                          </w:rPr>
                          <w:t>件应急处理效率和规范性，通过</w:t>
                        </w:r>
                        <w:r>
                          <w:rPr>
                            <w:rFonts w:ascii="宋体" w:hAnsi="宋体" w:cs="宋体" w:eastAsia="宋体" w:hint="default"/>
                            <w:sz w:val="18"/>
                            <w:szCs w:val="18"/>
                          </w:rPr>
                          <w:t> 该平台，各行业用户单位能够采 </w:t>
                        </w:r>
                        <w:r>
                          <w:rPr>
                            <w:rFonts w:ascii="宋体" w:hAnsi="宋体" w:cs="宋体" w:eastAsia="宋体" w:hint="default"/>
                            <w:spacing w:val="14"/>
                            <w:sz w:val="18"/>
                            <w:szCs w:val="18"/>
                          </w:rPr>
                          <w:t>用技术手段构建一套网络安全</w:t>
                        </w:r>
                        <w:r>
                          <w:rPr>
                            <w:rFonts w:ascii="宋体" w:hAnsi="宋体" w:cs="宋体" w:eastAsia="宋体" w:hint="default"/>
                            <w:spacing w:val="14"/>
                            <w:sz w:val="18"/>
                            <w:szCs w:val="18"/>
                          </w:rPr>
                          <w:t> </w:t>
                        </w:r>
                        <w:r>
                          <w:rPr>
                            <w:rFonts w:ascii="宋体" w:hAnsi="宋体" w:cs="宋体" w:eastAsia="宋体" w:hint="default"/>
                            <w:sz w:val="18"/>
                            <w:szCs w:val="18"/>
                          </w:rPr>
                          <w:t>应急事件的联动处理工作平台，</w:t>
                        </w:r>
                        <w:r>
                          <w:rPr>
                            <w:rFonts w:ascii="宋体" w:hAnsi="宋体" w:cs="宋体" w:eastAsia="宋体" w:hint="default"/>
                            <w:sz w:val="18"/>
                            <w:szCs w:val="18"/>
                          </w:rPr>
                          <w:t> 提高应急联动协同处置能力</w:t>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10"/>
                          <w:ind w:left="84" w:right="86" w:hanging="1"/>
                          <w:jc w:val="center"/>
                          <w:rPr>
                            <w:rFonts w:ascii="宋体" w:hAnsi="宋体" w:cs="宋体" w:eastAsia="宋体" w:hint="default"/>
                            <w:sz w:val="18"/>
                            <w:szCs w:val="18"/>
                          </w:rPr>
                        </w:pPr>
                        <w:r>
                          <w:rPr>
                            <w:rFonts w:ascii="宋体" w:hAnsi="宋体" w:cs="宋体" w:eastAsia="宋体" w:hint="default"/>
                            <w:sz w:val="18"/>
                            <w:szCs w:val="18"/>
                          </w:rPr>
                          <w:t>产品销售推广阶段： 网络安全应急协调联动平台</w:t>
                        </w:r>
                        <w:r>
                          <w:rPr>
                            <w:rFonts w:ascii="Times New Roman" w:hAnsi="Times New Roman" w:cs="Times New Roman" w:eastAsia="Times New Roman" w:hint="default"/>
                            <w:sz w:val="18"/>
                            <w:szCs w:val="18"/>
                          </w:rPr>
                          <w:t>3.0</w:t>
                        </w:r>
                        <w:r>
                          <w:rPr>
                            <w:rFonts w:ascii="宋体" w:hAnsi="宋体" w:cs="宋体" w:eastAsia="宋体" w:hint="default"/>
                            <w:sz w:val="18"/>
                            <w:szCs w:val="18"/>
                          </w:rPr>
                          <w:t>版 本</w:t>
                        </w:r>
                      </w:p>
                    </w:tc>
                  </w:tr>
                  <w:tr>
                    <w:trPr>
                      <w:trHeight w:val="353" w:hRule="exact"/>
                    </w:trPr>
                    <w:tc>
                      <w:tcPr>
                        <w:tcW w:w="603" w:type="dxa"/>
                        <w:tcBorders>
                          <w:top w:val="single" w:sz="12" w:space="0" w:color="000000"/>
                          <w:left w:val="single" w:sz="6" w:space="0" w:color="000000"/>
                          <w:bottom w:val="single" w:sz="12" w:space="0" w:color="000000"/>
                          <w:right w:val="single" w:sz="12" w:space="0" w:color="000000"/>
                        </w:tcBorders>
                      </w:tcPr>
                      <w:p>
                        <w:pPr/>
                      </w:p>
                    </w:tc>
                    <w:tc>
                      <w:tcPr>
                        <w:tcW w:w="2374" w:type="dxa"/>
                        <w:tcBorders>
                          <w:top w:val="single" w:sz="12" w:space="0" w:color="000000"/>
                          <w:left w:val="single" w:sz="12" w:space="0" w:color="000000"/>
                          <w:bottom w:val="single" w:sz="12" w:space="0" w:color="000000"/>
                          <w:right w:val="single" w:sz="12" w:space="0" w:color="000000"/>
                        </w:tcBorders>
                      </w:tcPr>
                      <w:p>
                        <w:pP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hAnsi="宋体" w:cs="宋体" w:eastAsia="宋体" w:hint="default"/>
                            <w:spacing w:val="7"/>
                            <w:sz w:val="18"/>
                            <w:szCs w:val="18"/>
                          </w:rPr>
                          <w:t>采用终端行为基线技术进行</w:t>
                        </w:r>
                        <w:r>
                          <w:rPr>
                            <w:rFonts w:ascii="宋体" w:hAnsi="宋体" w:cs="宋体" w:eastAsia="宋体" w:hint="default"/>
                            <w:sz w:val="18"/>
                            <w:szCs w:val="18"/>
                          </w:rPr>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556" w:right="0"/>
                          <w:jc w:val="left"/>
                          <w:rPr>
                            <w:rFonts w:ascii="宋体" w:hAnsi="宋体" w:cs="宋体" w:eastAsia="宋体" w:hint="default"/>
                            <w:sz w:val="18"/>
                            <w:szCs w:val="18"/>
                          </w:rPr>
                        </w:pPr>
                        <w:r>
                          <w:rPr>
                            <w:rFonts w:ascii="宋体" w:hAnsi="宋体" w:cs="宋体" w:eastAsia="宋体" w:hint="default"/>
                            <w:sz w:val="18"/>
                            <w:szCs w:val="18"/>
                          </w:rPr>
                          <w:t>产品销售推广阶段：</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公司高度重视产品和技术的创新，</w:t>
      </w:r>
      <w:r>
        <w:rPr>
          <w:rFonts w:ascii="Times New Roman" w:hAnsi="Times New Roman" w:cs="Times New Roman" w:eastAsia="Times New Roman" w:hint="default"/>
        </w:rPr>
        <w:t>2019</w:t>
      </w:r>
      <w:r>
        <w:rPr/>
        <w:t>年公司研发投入</w:t>
      </w:r>
      <w:r>
        <w:rPr>
          <w:rFonts w:ascii="Times New Roman" w:hAnsi="Times New Roman" w:cs="Times New Roman" w:eastAsia="Times New Roman" w:hint="default"/>
        </w:rPr>
        <w:t>11,726.53</w:t>
      </w:r>
      <w:r>
        <w:rPr/>
        <w:t>万元，占营业收入的</w:t>
      </w:r>
      <w:r>
        <w:rPr>
          <w:rFonts w:ascii="Times New Roman" w:hAnsi="Times New Roman" w:cs="Times New Roman" w:eastAsia="Times New Roman" w:hint="default"/>
        </w:rPr>
        <w:t>16.24%</w:t>
      </w:r>
      <w:r>
        <w:rPr/>
        <w:t>。</w:t>
      </w:r>
    </w:p>
    <w:p>
      <w:pPr>
        <w:spacing w:after="0" w:line="338" w:lineRule="auto"/>
        <w:jc w:val="left"/>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603"/>
        <w:gridCol w:w="2374"/>
        <w:gridCol w:w="2542"/>
        <w:gridCol w:w="2768"/>
      </w:tblGrid>
      <w:tr>
        <w:trPr>
          <w:trHeight w:val="1292" w:hRule="exact"/>
        </w:trPr>
        <w:tc>
          <w:tcPr>
            <w:tcW w:w="60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0"/>
              <w:ind w:left="4" w:right="0"/>
              <w:jc w:val="center"/>
              <w:rPr>
                <w:rFonts w:ascii="Times New Roman" w:hAnsi="Times New Roman" w:cs="Times New Roman" w:eastAsia="Times New Roman" w:hint="default"/>
                <w:sz w:val="18"/>
                <w:szCs w:val="18"/>
              </w:rPr>
            </w:pPr>
            <w:r>
              <w:rPr>
                <w:rFonts w:ascii="Times New Roman"/>
                <w:sz w:val="18"/>
              </w:rPr>
              <w:t>3</w:t>
            </w:r>
          </w:p>
        </w:tc>
        <w:tc>
          <w:tcPr>
            <w:tcW w:w="2374"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8"/>
              <w:ind w:left="-3" w:right="5"/>
              <w:jc w:val="center"/>
              <w:rPr>
                <w:rFonts w:ascii="宋体" w:hAnsi="宋体" w:cs="宋体" w:eastAsia="宋体" w:hint="default"/>
                <w:sz w:val="18"/>
                <w:szCs w:val="18"/>
              </w:rPr>
            </w:pPr>
            <w:r>
              <w:rPr>
                <w:rFonts w:ascii="宋体" w:hAnsi="宋体" w:cs="宋体" w:eastAsia="宋体" w:hint="default"/>
                <w:sz w:val="18"/>
                <w:szCs w:val="18"/>
              </w:rPr>
              <w:t>智慧终端安全一体化管理平台</w:t>
            </w:r>
          </w:p>
        </w:tc>
        <w:tc>
          <w:tcPr>
            <w:tcW w:w="2542"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18"/>
              <w:ind w:left="-5" w:right="3"/>
              <w:jc w:val="both"/>
              <w:rPr>
                <w:rFonts w:ascii="宋体" w:hAnsi="宋体" w:cs="宋体" w:eastAsia="宋体" w:hint="default"/>
                <w:sz w:val="18"/>
                <w:szCs w:val="18"/>
              </w:rPr>
            </w:pPr>
            <w:r>
              <w:rPr>
                <w:rFonts w:ascii="宋体" w:hAnsi="宋体" w:cs="宋体" w:eastAsia="宋体" w:hint="default"/>
                <w:sz w:val="18"/>
                <w:szCs w:val="18"/>
              </w:rPr>
              <w:t>终端态势分析，建立全网终端智 能评价体系，将传统终端、国产 终端、虚拟化终端、移动终端纳 入泛终端管理范畴。</w:t>
            </w:r>
          </w:p>
        </w:tc>
        <w:tc>
          <w:tcPr>
            <w:tcW w:w="2768"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18"/>
              <w:ind w:left="8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版本已发布</w:t>
            </w:r>
          </w:p>
        </w:tc>
      </w:tr>
      <w:tr>
        <w:trPr>
          <w:trHeight w:val="1910"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4</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智慧数据安全防护系统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24" w:firstLine="271"/>
              <w:jc w:val="both"/>
              <w:rPr>
                <w:rFonts w:ascii="宋体" w:hAnsi="宋体" w:cs="宋体" w:eastAsia="宋体" w:hint="default"/>
                <w:sz w:val="18"/>
                <w:szCs w:val="18"/>
              </w:rPr>
            </w:pPr>
            <w:r>
              <w:rPr>
                <w:rFonts w:ascii="宋体" w:hAnsi="宋体" w:cs="宋体" w:eastAsia="宋体" w:hint="default"/>
                <w:spacing w:val="23"/>
                <w:sz w:val="18"/>
                <w:szCs w:val="18"/>
              </w:rPr>
              <w:t>建立数据内容智慧分析引</w:t>
            </w:r>
            <w:r>
              <w:rPr>
                <w:rFonts w:ascii="宋体" w:hAnsi="宋体" w:cs="宋体" w:eastAsia="宋体" w:hint="default"/>
                <w:spacing w:val="-64"/>
                <w:sz w:val="18"/>
                <w:szCs w:val="18"/>
              </w:rPr>
              <w:t> </w:t>
            </w:r>
            <w:r>
              <w:rPr>
                <w:rFonts w:ascii="宋体" w:hAnsi="宋体" w:cs="宋体" w:eastAsia="宋体" w:hint="default"/>
                <w:spacing w:val="14"/>
                <w:sz w:val="18"/>
                <w:szCs w:val="18"/>
              </w:rPr>
              <w:t>擎，融合数据防护各类管控策</w:t>
            </w:r>
            <w:r>
              <w:rPr>
                <w:rFonts w:ascii="宋体" w:hAnsi="宋体" w:cs="宋体" w:eastAsia="宋体" w:hint="default"/>
                <w:spacing w:val="14"/>
                <w:sz w:val="18"/>
                <w:szCs w:val="18"/>
              </w:rPr>
              <w:t> </w:t>
            </w:r>
            <w:r>
              <w:rPr>
                <w:rFonts w:ascii="宋体" w:hAnsi="宋体" w:cs="宋体" w:eastAsia="宋体" w:hint="default"/>
                <w:sz w:val="18"/>
                <w:szCs w:val="18"/>
              </w:rPr>
              <w:t>略，构建数据资产全生命周期管</w:t>
            </w:r>
            <w:r>
              <w:rPr>
                <w:rFonts w:ascii="宋体" w:hAnsi="宋体" w:cs="宋体" w:eastAsia="宋体" w:hint="default"/>
                <w:sz w:val="18"/>
                <w:szCs w:val="18"/>
              </w:rPr>
              <w:t> 理平台，全程掌控关键数据的组 成和分布，更有效保护重要数据 资产。</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已发布。</w:t>
            </w:r>
          </w:p>
        </w:tc>
      </w:tr>
      <w:tr>
        <w:trPr>
          <w:trHeight w:val="1601"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3"/>
              <w:ind w:left="4" w:right="0"/>
              <w:jc w:val="center"/>
              <w:rPr>
                <w:rFonts w:ascii="Times New Roman" w:hAnsi="Times New Roman" w:cs="Times New Roman" w:eastAsia="Times New Roman" w:hint="default"/>
                <w:sz w:val="18"/>
                <w:szCs w:val="18"/>
              </w:rPr>
            </w:pPr>
            <w:r>
              <w:rPr>
                <w:rFonts w:ascii="Times New Roman"/>
                <w:sz w:val="18"/>
              </w:rPr>
              <w:t>5</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5"/>
              <w:jc w:val="center"/>
              <w:rPr>
                <w:rFonts w:ascii="宋体" w:hAnsi="宋体" w:cs="宋体" w:eastAsia="宋体" w:hint="default"/>
                <w:sz w:val="18"/>
                <w:szCs w:val="18"/>
              </w:rPr>
            </w:pPr>
            <w:r>
              <w:rPr>
                <w:rFonts w:ascii="宋体" w:hAnsi="宋体" w:cs="宋体" w:eastAsia="宋体" w:hint="default"/>
                <w:sz w:val="18"/>
                <w:szCs w:val="18"/>
              </w:rPr>
              <w:t>智慧边界接入控制系统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1"/>
              <w:ind w:left="-5" w:right="-9" w:firstLine="360"/>
              <w:jc w:val="both"/>
              <w:rPr>
                <w:rFonts w:ascii="宋体" w:hAnsi="宋体" w:cs="宋体" w:eastAsia="宋体" w:hint="default"/>
                <w:sz w:val="18"/>
                <w:szCs w:val="18"/>
              </w:rPr>
            </w:pPr>
            <w:r>
              <w:rPr>
                <w:rFonts w:ascii="宋体" w:hAnsi="宋体" w:cs="宋体" w:eastAsia="宋体" w:hint="default"/>
                <w:spacing w:val="14"/>
                <w:sz w:val="18"/>
                <w:szCs w:val="18"/>
              </w:rPr>
              <w:t>智能探测识别网络边界自</w:t>
            </w:r>
            <w:r>
              <w:rPr>
                <w:rFonts w:ascii="宋体" w:hAnsi="宋体" w:cs="宋体" w:eastAsia="宋体" w:hint="default"/>
                <w:spacing w:val="-74"/>
                <w:sz w:val="18"/>
                <w:szCs w:val="18"/>
              </w:rPr>
              <w:t> </w:t>
            </w:r>
            <w:r>
              <w:rPr>
                <w:rFonts w:ascii="宋体" w:hAnsi="宋体" w:cs="宋体" w:eastAsia="宋体" w:hint="default"/>
                <w:sz w:val="18"/>
                <w:szCs w:val="18"/>
              </w:rPr>
              <w:t>动进行边界防御，能够将传统终</w:t>
            </w:r>
            <w:r>
              <w:rPr>
                <w:rFonts w:ascii="宋体" w:hAnsi="宋体" w:cs="宋体" w:eastAsia="宋体" w:hint="default"/>
                <w:sz w:val="18"/>
                <w:szCs w:val="18"/>
              </w:rPr>
              <w:t> 端、国产终端、虚拟化终端、移 动终端、工业终端进行统一的泛 终端准入控制。</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3"/>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5.1</w:t>
            </w:r>
            <w:r>
              <w:rPr>
                <w:rFonts w:ascii="宋体" w:hAnsi="宋体" w:cs="宋体" w:eastAsia="宋体" w:hint="default"/>
                <w:sz w:val="18"/>
                <w:szCs w:val="18"/>
              </w:rPr>
              <w:t>已发布。</w:t>
            </w:r>
          </w:p>
        </w:tc>
      </w:tr>
      <w:tr>
        <w:trPr>
          <w:trHeight w:val="3161"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6</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808" w:right="5" w:hanging="812"/>
              <w:jc w:val="left"/>
              <w:rPr>
                <w:rFonts w:ascii="宋体" w:hAnsi="宋体" w:cs="宋体" w:eastAsia="宋体" w:hint="default"/>
                <w:sz w:val="18"/>
                <w:szCs w:val="18"/>
              </w:rPr>
            </w:pPr>
            <w:r>
              <w:rPr>
                <w:rFonts w:ascii="宋体" w:hAnsi="宋体" w:cs="宋体" w:eastAsia="宋体" w:hint="default"/>
                <w:sz w:val="18"/>
                <w:szCs w:val="18"/>
              </w:rPr>
              <w:t>网络与终端安全和行为大数据 分析系统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2" w:lineRule="auto" w:before="8"/>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网络与终端安全和行为大</w:t>
            </w:r>
            <w:r>
              <w:rPr>
                <w:rFonts w:ascii="宋体" w:hAnsi="宋体" w:cs="宋体" w:eastAsia="宋体" w:hint="default"/>
                <w:spacing w:val="-74"/>
                <w:sz w:val="18"/>
                <w:szCs w:val="18"/>
              </w:rPr>
              <w:t> </w:t>
            </w:r>
            <w:r>
              <w:rPr>
                <w:rFonts w:ascii="宋体" w:hAnsi="宋体" w:cs="宋体" w:eastAsia="宋体" w:hint="default"/>
                <w:spacing w:val="14"/>
                <w:sz w:val="18"/>
                <w:szCs w:val="18"/>
              </w:rPr>
              <w:t>数据分析系统是终端安全大数</w:t>
            </w:r>
            <w:r>
              <w:rPr>
                <w:rFonts w:ascii="宋体" w:hAnsi="宋体" w:cs="宋体" w:eastAsia="宋体" w:hint="default"/>
                <w:spacing w:val="14"/>
                <w:sz w:val="18"/>
                <w:szCs w:val="18"/>
              </w:rPr>
              <w:t> </w:t>
            </w:r>
            <w:r>
              <w:rPr>
                <w:rFonts w:ascii="宋体" w:hAnsi="宋体" w:cs="宋体" w:eastAsia="宋体" w:hint="default"/>
                <w:spacing w:val="8"/>
                <w:sz w:val="18"/>
                <w:szCs w:val="18"/>
              </w:rPr>
              <w:t>据平台升级版本</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基于内网泛终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端、网络设备、安全设备、网络</w:t>
            </w:r>
            <w:r>
              <w:rPr>
                <w:rFonts w:ascii="宋体" w:hAnsi="宋体" w:cs="宋体" w:eastAsia="宋体" w:hint="default"/>
                <w:sz w:val="18"/>
                <w:szCs w:val="18"/>
              </w:rPr>
              <w:t> 流量、业务系统和应用系统产生 </w:t>
            </w:r>
            <w:r>
              <w:rPr>
                <w:rFonts w:ascii="宋体" w:hAnsi="宋体" w:cs="宋体" w:eastAsia="宋体" w:hint="default"/>
                <w:spacing w:val="-6"/>
                <w:sz w:val="18"/>
                <w:szCs w:val="18"/>
              </w:rPr>
              <w:t>的海量数据，利用</w:t>
            </w:r>
            <w:r>
              <w:rPr>
                <w:rFonts w:ascii="Times New Roman" w:hAnsi="Times New Roman" w:cs="Times New Roman" w:eastAsia="Times New Roman" w:hint="default"/>
                <w:spacing w:val="-6"/>
                <w:sz w:val="18"/>
                <w:szCs w:val="18"/>
              </w:rPr>
              <w:t>Hadoop</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Spark</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z w:val="18"/>
                <w:szCs w:val="18"/>
              </w:rPr>
              <w:t>等大数据技术，结合</w:t>
            </w:r>
            <w:r>
              <w:rPr>
                <w:rFonts w:ascii="Times New Roman" w:hAnsi="Times New Roman" w:cs="Times New Roman" w:eastAsia="Times New Roman" w:hint="default"/>
                <w:sz w:val="18"/>
                <w:szCs w:val="18"/>
              </w:rPr>
              <w:t>AI</w:t>
            </w:r>
            <w:r>
              <w:rPr>
                <w:rFonts w:ascii="宋体" w:hAnsi="宋体" w:cs="宋体" w:eastAsia="宋体" w:hint="default"/>
                <w:sz w:val="18"/>
                <w:szCs w:val="18"/>
              </w:rPr>
              <w:t>人工智能 算法进行信息安全、终端管理、 业务保障、数据资产保护服务的 平台。</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3.2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已发布</w:t>
            </w:r>
          </w:p>
        </w:tc>
      </w:tr>
      <w:tr>
        <w:trPr>
          <w:trHeight w:val="2847"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7</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897" w:right="5" w:hanging="900"/>
              <w:jc w:val="left"/>
              <w:rPr>
                <w:rFonts w:ascii="宋体" w:hAnsi="宋体" w:cs="宋体" w:eastAsia="宋体" w:hint="default"/>
                <w:sz w:val="18"/>
                <w:szCs w:val="18"/>
              </w:rPr>
            </w:pPr>
            <w:r>
              <w:rPr>
                <w:rFonts w:ascii="宋体" w:hAnsi="宋体" w:cs="宋体" w:eastAsia="宋体" w:hint="default"/>
                <w:sz w:val="18"/>
                <w:szCs w:val="18"/>
              </w:rPr>
              <w:t>打印复印及刻录安全监控与审 计系统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09" w:lineRule="auto" w:before="8"/>
              <w:ind w:left="-5" w:right="-10" w:firstLine="360"/>
              <w:jc w:val="both"/>
              <w:rPr>
                <w:rFonts w:ascii="宋体" w:hAnsi="宋体" w:cs="宋体" w:eastAsia="宋体" w:hint="default"/>
                <w:sz w:val="18"/>
                <w:szCs w:val="18"/>
              </w:rPr>
            </w:pPr>
            <w:r>
              <w:rPr>
                <w:rFonts w:ascii="宋体" w:hAnsi="宋体" w:cs="宋体" w:eastAsia="宋体" w:hint="default"/>
                <w:spacing w:val="-7"/>
                <w:w w:val="100"/>
                <w:sz w:val="18"/>
                <w:szCs w:val="18"/>
              </w:rPr>
              <w:t>该系统实现四集中管控：</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集</w:t>
            </w:r>
            <w:r>
              <w:rPr>
                <w:rFonts w:ascii="宋体" w:hAnsi="宋体" w:cs="宋体" w:eastAsia="宋体" w:hint="default"/>
                <w:sz w:val="18"/>
                <w:szCs w:val="18"/>
              </w:rPr>
              <w:t> 中管控打印机、复印机</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集中</w:t>
            </w:r>
            <w:r>
              <w:rPr>
                <w:rFonts w:ascii="宋体" w:hAnsi="宋体" w:cs="宋体" w:eastAsia="宋体" w:hint="default"/>
                <w:spacing w:val="-77"/>
                <w:sz w:val="18"/>
                <w:szCs w:val="18"/>
              </w:rPr>
              <w:t> </w:t>
            </w:r>
            <w:r>
              <w:rPr>
                <w:rFonts w:ascii="宋体" w:hAnsi="宋体" w:cs="宋体" w:eastAsia="宋体" w:hint="default"/>
                <w:sz w:val="18"/>
                <w:szCs w:val="18"/>
              </w:rPr>
              <w:t>涉密载体管理</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集中管控刻录</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，基于条码技术，从文件的产</w:t>
            </w:r>
            <w:r>
              <w:rPr>
                <w:rFonts w:ascii="宋体" w:hAnsi="宋体" w:cs="宋体" w:eastAsia="宋体" w:hint="default"/>
                <w:sz w:val="18"/>
                <w:szCs w:val="18"/>
              </w:rPr>
              <w:t> 生、流转、归档、销毁的全生命 </w:t>
            </w:r>
            <w:r>
              <w:rPr>
                <w:rFonts w:ascii="宋体" w:hAnsi="宋体" w:cs="宋体" w:eastAsia="宋体" w:hint="default"/>
                <w:spacing w:val="14"/>
                <w:sz w:val="18"/>
                <w:szCs w:val="18"/>
              </w:rPr>
              <w:t>周期的各环节进行安全处理和</w:t>
            </w:r>
            <w:r>
              <w:rPr>
                <w:rFonts w:ascii="宋体" w:hAnsi="宋体" w:cs="宋体" w:eastAsia="宋体" w:hint="default"/>
                <w:spacing w:val="14"/>
                <w:sz w:val="18"/>
                <w:szCs w:val="18"/>
              </w:rPr>
              <w:t> </w:t>
            </w:r>
            <w:r>
              <w:rPr>
                <w:rFonts w:ascii="宋体" w:hAnsi="宋体" w:cs="宋体" w:eastAsia="宋体" w:hint="default"/>
                <w:sz w:val="18"/>
                <w:szCs w:val="18"/>
              </w:rPr>
              <w:t>管控，同时建立全生命周期过程</w:t>
            </w:r>
            <w:r>
              <w:rPr>
                <w:rFonts w:ascii="宋体" w:hAnsi="宋体" w:cs="宋体" w:eastAsia="宋体" w:hint="default"/>
                <w:sz w:val="18"/>
                <w:szCs w:val="18"/>
              </w:rPr>
              <w:t> 中的审计、日志系统，对文件的 安全流转进行全程监控。</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宋体" w:hAnsi="宋体" w:cs="宋体" w:eastAsia="宋体" w:hint="default"/>
                <w:sz w:val="18"/>
                <w:szCs w:val="18"/>
              </w:rPr>
              <w:t>版本已发布。</w:t>
            </w:r>
          </w:p>
        </w:tc>
      </w:tr>
      <w:tr>
        <w:trPr>
          <w:trHeight w:val="2849"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8</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8"/>
              <w:jc w:val="center"/>
              <w:rPr>
                <w:rFonts w:ascii="宋体" w:hAnsi="宋体" w:cs="宋体" w:eastAsia="宋体" w:hint="default"/>
                <w:sz w:val="18"/>
                <w:szCs w:val="18"/>
              </w:rPr>
            </w:pPr>
            <w:r>
              <w:rPr>
                <w:rFonts w:ascii="宋体" w:hAnsi="宋体" w:cs="宋体" w:eastAsia="宋体" w:hint="default"/>
                <w:sz w:val="18"/>
                <w:szCs w:val="18"/>
              </w:rPr>
              <w:t>服务器配置检查系统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该系统针对服务器配置检</w:t>
            </w:r>
            <w:r>
              <w:rPr>
                <w:rFonts w:ascii="宋体" w:hAnsi="宋体" w:cs="宋体" w:eastAsia="宋体" w:hint="default"/>
                <w:spacing w:val="-74"/>
                <w:sz w:val="18"/>
                <w:szCs w:val="18"/>
              </w:rPr>
              <w:t> </w:t>
            </w:r>
            <w:r>
              <w:rPr>
                <w:rFonts w:ascii="宋体" w:hAnsi="宋体" w:cs="宋体" w:eastAsia="宋体" w:hint="default"/>
                <w:sz w:val="18"/>
                <w:szCs w:val="18"/>
              </w:rPr>
              <w:t>查需求，提供合规检查规则库，</w:t>
            </w:r>
            <w:r>
              <w:rPr>
                <w:rFonts w:ascii="宋体" w:hAnsi="宋体" w:cs="宋体" w:eastAsia="宋体" w:hint="default"/>
                <w:sz w:val="18"/>
                <w:szCs w:val="18"/>
              </w:rPr>
              <w:t> </w:t>
            </w:r>
            <w:r>
              <w:rPr>
                <w:rFonts w:ascii="宋体" w:hAnsi="宋体" w:cs="宋体" w:eastAsia="宋体" w:hint="default"/>
                <w:spacing w:val="14"/>
                <w:sz w:val="18"/>
                <w:szCs w:val="18"/>
              </w:rPr>
              <w:t>支持根据服务器上安装的操作</w:t>
            </w:r>
            <w:r>
              <w:rPr>
                <w:rFonts w:ascii="宋体" w:hAnsi="宋体" w:cs="宋体" w:eastAsia="宋体" w:hint="default"/>
                <w:spacing w:val="14"/>
                <w:sz w:val="18"/>
                <w:szCs w:val="18"/>
              </w:rPr>
              <w:t> </w:t>
            </w:r>
            <w:r>
              <w:rPr>
                <w:rFonts w:ascii="宋体" w:hAnsi="宋体" w:cs="宋体" w:eastAsia="宋体" w:hint="default"/>
                <w:sz w:val="18"/>
                <w:szCs w:val="18"/>
              </w:rPr>
              <w:t>系统版本、数据库、应用系统等</w:t>
            </w:r>
            <w:r>
              <w:rPr>
                <w:rFonts w:ascii="宋体" w:hAnsi="宋体" w:cs="宋体" w:eastAsia="宋体" w:hint="default"/>
                <w:sz w:val="18"/>
                <w:szCs w:val="18"/>
              </w:rPr>
              <w:t> 需求，灵活制定合规检查策略； 支持自定义检查项，可以对应用 的核心注册表路径和内容、系统 服务和关键进程运行状态、</w:t>
            </w:r>
            <w:r>
              <w:rPr>
                <w:rFonts w:ascii="Times New Roman" w:hAnsi="Times New Roman" w:cs="Times New Roman" w:eastAsia="Times New Roman" w:hint="default"/>
                <w:sz w:val="18"/>
                <w:szCs w:val="18"/>
              </w:rPr>
              <w:t>IE</w:t>
            </w:r>
            <w:r>
              <w:rPr>
                <w:rFonts w:ascii="宋体" w:hAnsi="宋体" w:cs="宋体" w:eastAsia="宋体" w:hint="default"/>
                <w:sz w:val="18"/>
                <w:szCs w:val="18"/>
              </w:rPr>
              <w:t>选 </w:t>
            </w:r>
            <w:r>
              <w:rPr>
                <w:rFonts w:ascii="宋体" w:hAnsi="宋体" w:cs="宋体" w:eastAsia="宋体" w:hint="default"/>
                <w:spacing w:val="14"/>
                <w:sz w:val="18"/>
                <w:szCs w:val="18"/>
              </w:rPr>
              <w:t>项配置和插件程序等配置进行</w:t>
            </w:r>
            <w:r>
              <w:rPr>
                <w:rFonts w:ascii="宋体" w:hAnsi="宋体" w:cs="宋体" w:eastAsia="宋体" w:hint="default"/>
                <w:sz w:val="18"/>
                <w:szCs w:val="18"/>
              </w:rPr>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736"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版本已发布。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603"/>
        <w:gridCol w:w="2374"/>
        <w:gridCol w:w="2542"/>
        <w:gridCol w:w="320"/>
        <w:gridCol w:w="2448"/>
      </w:tblGrid>
      <w:tr>
        <w:trPr>
          <w:trHeight w:val="668" w:hRule="exact"/>
        </w:trPr>
        <w:tc>
          <w:tcPr>
            <w:tcW w:w="603" w:type="dxa"/>
            <w:tcBorders>
              <w:top w:val="single" w:sz="6" w:space="0" w:color="000000"/>
              <w:left w:val="single" w:sz="6" w:space="0" w:color="000000"/>
              <w:bottom w:val="single" w:sz="12" w:space="0" w:color="000000"/>
              <w:right w:val="single" w:sz="12" w:space="0" w:color="000000"/>
            </w:tcBorders>
          </w:tcPr>
          <w:p>
            <w:pPr/>
          </w:p>
        </w:tc>
        <w:tc>
          <w:tcPr>
            <w:tcW w:w="2374" w:type="dxa"/>
            <w:tcBorders>
              <w:top w:val="single" w:sz="6" w:space="0" w:color="000000"/>
              <w:left w:val="single" w:sz="12" w:space="0" w:color="000000"/>
              <w:bottom w:val="single" w:sz="12" w:space="0" w:color="000000"/>
              <w:right w:val="single" w:sz="12" w:space="0" w:color="000000"/>
            </w:tcBorders>
          </w:tcPr>
          <w:p>
            <w:pPr/>
          </w:p>
        </w:tc>
        <w:tc>
          <w:tcPr>
            <w:tcW w:w="2542"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18"/>
              <w:ind w:left="-5" w:right="3"/>
              <w:jc w:val="left"/>
              <w:rPr>
                <w:rFonts w:ascii="宋体" w:hAnsi="宋体" w:cs="宋体" w:eastAsia="宋体" w:hint="default"/>
                <w:sz w:val="18"/>
                <w:szCs w:val="18"/>
              </w:rPr>
            </w:pPr>
            <w:r>
              <w:rPr>
                <w:rFonts w:ascii="宋体" w:hAnsi="宋体" w:cs="宋体" w:eastAsia="宋体" w:hint="default"/>
                <w:sz w:val="18"/>
                <w:szCs w:val="18"/>
              </w:rPr>
              <w:t>检查，满足企业对服务器各种安 全运维的管理需求。</w:t>
            </w:r>
          </w:p>
        </w:tc>
        <w:tc>
          <w:tcPr>
            <w:tcW w:w="2768" w:type="dxa"/>
            <w:gridSpan w:val="2"/>
            <w:tcBorders>
              <w:top w:val="single" w:sz="6" w:space="0" w:color="000000"/>
              <w:left w:val="single" w:sz="12" w:space="0" w:color="000000"/>
              <w:bottom w:val="single" w:sz="12" w:space="0" w:color="000000"/>
              <w:right w:val="single" w:sz="12" w:space="0" w:color="000000"/>
            </w:tcBorders>
          </w:tcPr>
          <w:p>
            <w:pPr/>
          </w:p>
        </w:tc>
      </w:tr>
      <w:tr>
        <w:trPr>
          <w:trHeight w:val="3471"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9</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274"/>
              <w:jc w:val="right"/>
              <w:rPr>
                <w:rFonts w:ascii="宋体" w:hAnsi="宋体" w:cs="宋体" w:eastAsia="宋体" w:hint="default"/>
                <w:sz w:val="18"/>
                <w:szCs w:val="18"/>
              </w:rPr>
            </w:pPr>
            <w:r>
              <w:rPr>
                <w:rFonts w:ascii="宋体" w:hAnsi="宋体" w:cs="宋体" w:eastAsia="宋体" w:hint="default"/>
                <w:sz w:val="18"/>
                <w:szCs w:val="18"/>
              </w:rPr>
              <w:t>安全免疫移动硬盘</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2" w:lineRule="auto" w:before="8"/>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安全免疫移动硬盘是一种</w:t>
            </w:r>
            <w:r>
              <w:rPr>
                <w:rFonts w:ascii="宋体" w:hAnsi="宋体" w:cs="宋体" w:eastAsia="宋体" w:hint="default"/>
                <w:spacing w:val="-74"/>
                <w:sz w:val="18"/>
                <w:szCs w:val="18"/>
              </w:rPr>
              <w:t> </w:t>
            </w:r>
            <w:r>
              <w:rPr>
                <w:rFonts w:ascii="宋体" w:hAnsi="宋体" w:cs="宋体" w:eastAsia="宋体" w:hint="default"/>
                <w:sz w:val="18"/>
                <w:szCs w:val="18"/>
              </w:rPr>
              <w:t>用于保护数据安全的</w:t>
            </w:r>
            <w:r>
              <w:rPr>
                <w:rFonts w:ascii="Times New Roman" w:hAnsi="Times New Roman" w:cs="Times New Roman" w:eastAsia="Times New Roman" w:hint="default"/>
                <w:sz w:val="18"/>
                <w:szCs w:val="18"/>
              </w:rPr>
              <w:t>USB</w:t>
            </w:r>
            <w:r>
              <w:rPr>
                <w:rFonts w:ascii="宋体" w:hAnsi="宋体" w:cs="宋体" w:eastAsia="宋体" w:hint="default"/>
                <w:sz w:val="18"/>
                <w:szCs w:val="18"/>
              </w:rPr>
              <w:t>移动硬 盘。除移动硬盘外还包括采集信 息工具，信息录入平台，系统授 权工具模块组成。安全移动硬盘 </w:t>
            </w:r>
            <w:r>
              <w:rPr>
                <w:rFonts w:ascii="宋体" w:hAnsi="宋体" w:cs="宋体" w:eastAsia="宋体" w:hint="default"/>
                <w:spacing w:val="-6"/>
                <w:w w:val="100"/>
                <w:sz w:val="18"/>
                <w:szCs w:val="18"/>
              </w:rPr>
              <w:t>包括两种使用模式：</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内网专用安</w:t>
            </w:r>
            <w:r>
              <w:rPr>
                <w:rFonts w:ascii="宋体" w:hAnsi="宋体" w:cs="宋体" w:eastAsia="宋体" w:hint="default"/>
                <w:sz w:val="18"/>
                <w:szCs w:val="18"/>
              </w:rPr>
              <w:t> 全移动硬盘</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单向导入安全移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动硬盘</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分别对应于内网数据备</w:t>
            </w:r>
            <w:r>
              <w:rPr>
                <w:rFonts w:ascii="宋体" w:hAnsi="宋体" w:cs="宋体" w:eastAsia="宋体" w:hint="default"/>
                <w:spacing w:val="-78"/>
                <w:sz w:val="18"/>
                <w:szCs w:val="18"/>
              </w:rPr>
              <w:t> </w:t>
            </w:r>
            <w:r>
              <w:rPr>
                <w:rFonts w:ascii="宋体" w:hAnsi="宋体" w:cs="宋体" w:eastAsia="宋体" w:hint="default"/>
                <w:spacing w:val="14"/>
                <w:sz w:val="18"/>
                <w:szCs w:val="18"/>
              </w:rPr>
              <w:t>份存储与内部流转场景和外部</w:t>
            </w:r>
            <w:r>
              <w:rPr>
                <w:rFonts w:ascii="宋体" w:hAnsi="宋体" w:cs="宋体" w:eastAsia="宋体" w:hint="default"/>
                <w:spacing w:val="14"/>
                <w:sz w:val="18"/>
                <w:szCs w:val="18"/>
              </w:rPr>
              <w:t> 数据单向导入防止内部数据外 </w:t>
            </w:r>
            <w:r>
              <w:rPr>
                <w:rFonts w:ascii="宋体" w:hAnsi="宋体" w:cs="宋体" w:eastAsia="宋体" w:hint="default"/>
                <w:sz w:val="18"/>
                <w:szCs w:val="18"/>
              </w:rPr>
              <w:t>泄场景。</w:t>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736" w:right="0"/>
              <w:jc w:val="left"/>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版本已发布。</w:t>
            </w:r>
          </w:p>
        </w:tc>
      </w:tr>
      <w:tr>
        <w:trPr>
          <w:trHeight w:val="4097"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0" w:right="0"/>
              <w:jc w:val="center"/>
              <w:rPr>
                <w:rFonts w:ascii="Times New Roman" w:hAnsi="Times New Roman" w:cs="Times New Roman" w:eastAsia="Times New Roman" w:hint="default"/>
                <w:sz w:val="18"/>
                <w:szCs w:val="18"/>
              </w:rPr>
            </w:pPr>
            <w:r>
              <w:rPr>
                <w:rFonts w:ascii="Times New Roman"/>
                <w:sz w:val="18"/>
              </w:rPr>
              <w:t>10</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185"/>
              <w:jc w:val="right"/>
              <w:rPr>
                <w:rFonts w:ascii="宋体" w:hAnsi="宋体" w:cs="宋体" w:eastAsia="宋体" w:hint="default"/>
                <w:sz w:val="18"/>
                <w:szCs w:val="18"/>
              </w:rPr>
            </w:pPr>
            <w:r>
              <w:rPr>
                <w:rFonts w:ascii="宋体" w:hAnsi="宋体" w:cs="宋体" w:eastAsia="宋体" w:hint="default"/>
                <w:sz w:val="18"/>
                <w:szCs w:val="18"/>
              </w:rPr>
              <w:t>虚拟化终端安全管理系统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北信源虚拟化终端安全管</w:t>
            </w:r>
            <w:r>
              <w:rPr>
                <w:rFonts w:ascii="宋体" w:hAnsi="宋体" w:cs="宋体" w:eastAsia="宋体" w:hint="default"/>
                <w:sz w:val="18"/>
                <w:szCs w:val="18"/>
              </w:rPr>
              <w:t> </w:t>
            </w:r>
            <w:r>
              <w:rPr>
                <w:rFonts w:ascii="宋体" w:hAnsi="宋体" w:cs="宋体" w:eastAsia="宋体" w:hint="default"/>
                <w:spacing w:val="14"/>
                <w:sz w:val="18"/>
                <w:szCs w:val="18"/>
              </w:rPr>
              <w:t>理系统是北信源总结多年在桌</w:t>
            </w:r>
            <w:r>
              <w:rPr>
                <w:rFonts w:ascii="宋体" w:hAnsi="宋体" w:cs="宋体" w:eastAsia="宋体" w:hint="default"/>
                <w:spacing w:val="14"/>
                <w:sz w:val="18"/>
                <w:szCs w:val="18"/>
              </w:rPr>
              <w:t> </w:t>
            </w:r>
            <w:r>
              <w:rPr>
                <w:rFonts w:ascii="宋体" w:hAnsi="宋体" w:cs="宋体" w:eastAsia="宋体" w:hint="default"/>
                <w:sz w:val="18"/>
                <w:szCs w:val="18"/>
              </w:rPr>
              <w:t>面终端安全管理领域开发、实施</w:t>
            </w:r>
            <w:r>
              <w:rPr>
                <w:rFonts w:ascii="宋体" w:hAnsi="宋体" w:cs="宋体" w:eastAsia="宋体" w:hint="default"/>
                <w:sz w:val="18"/>
                <w:szCs w:val="18"/>
              </w:rPr>
              <w:t> 经验，针对当前虚拟化环境下所 </w:t>
            </w:r>
            <w:r>
              <w:rPr>
                <w:rFonts w:ascii="宋体" w:hAnsi="宋体" w:cs="宋体" w:eastAsia="宋体" w:hint="default"/>
                <w:spacing w:val="14"/>
                <w:sz w:val="18"/>
                <w:szCs w:val="18"/>
              </w:rPr>
              <w:t>面临的安全问题提出的安全解</w:t>
            </w:r>
            <w:r>
              <w:rPr>
                <w:rFonts w:ascii="宋体" w:hAnsi="宋体" w:cs="宋体" w:eastAsia="宋体" w:hint="default"/>
                <w:spacing w:val="14"/>
                <w:sz w:val="18"/>
                <w:szCs w:val="18"/>
              </w:rPr>
              <w:t> </w:t>
            </w:r>
            <w:r>
              <w:rPr>
                <w:rFonts w:ascii="宋体" w:hAnsi="宋体" w:cs="宋体" w:eastAsia="宋体" w:hint="default"/>
                <w:sz w:val="18"/>
                <w:szCs w:val="18"/>
              </w:rPr>
              <w:t>决方案。该方案参照国家有关终</w:t>
            </w:r>
            <w:r>
              <w:rPr>
                <w:rFonts w:ascii="宋体" w:hAnsi="宋体" w:cs="宋体" w:eastAsia="宋体" w:hint="default"/>
                <w:sz w:val="18"/>
                <w:szCs w:val="18"/>
              </w:rPr>
              <w:t> </w:t>
            </w:r>
            <w:r>
              <w:rPr>
                <w:rFonts w:ascii="宋体" w:hAnsi="宋体" w:cs="宋体" w:eastAsia="宋体" w:hint="default"/>
                <w:spacing w:val="14"/>
                <w:sz w:val="18"/>
                <w:szCs w:val="18"/>
              </w:rPr>
              <w:t>端安全管理标准规范和虚拟化</w:t>
            </w:r>
            <w:r>
              <w:rPr>
                <w:rFonts w:ascii="宋体" w:hAnsi="宋体" w:cs="宋体" w:eastAsia="宋体" w:hint="default"/>
                <w:spacing w:val="14"/>
                <w:sz w:val="18"/>
                <w:szCs w:val="18"/>
              </w:rPr>
              <w:t> </w:t>
            </w:r>
            <w:r>
              <w:rPr>
                <w:rFonts w:ascii="宋体" w:hAnsi="宋体" w:cs="宋体" w:eastAsia="宋体" w:hint="default"/>
                <w:sz w:val="18"/>
                <w:szCs w:val="18"/>
              </w:rPr>
              <w:t>相关要求，从虚拟终端安全管控</w:t>
            </w:r>
            <w:r>
              <w:rPr>
                <w:rFonts w:ascii="宋体" w:hAnsi="宋体" w:cs="宋体" w:eastAsia="宋体" w:hint="default"/>
                <w:sz w:val="18"/>
                <w:szCs w:val="18"/>
              </w:rPr>
              <w:t> </w:t>
            </w:r>
            <w:r>
              <w:rPr>
                <w:rFonts w:ascii="宋体" w:hAnsi="宋体" w:cs="宋体" w:eastAsia="宋体" w:hint="default"/>
                <w:spacing w:val="14"/>
                <w:sz w:val="18"/>
                <w:szCs w:val="18"/>
              </w:rPr>
              <w:t>和虚拟化综合审计两个方面入</w:t>
            </w:r>
            <w:r>
              <w:rPr>
                <w:rFonts w:ascii="宋体" w:hAnsi="宋体" w:cs="宋体" w:eastAsia="宋体" w:hint="default"/>
                <w:spacing w:val="14"/>
                <w:sz w:val="18"/>
                <w:szCs w:val="18"/>
              </w:rPr>
              <w:t> </w:t>
            </w:r>
            <w:r>
              <w:rPr>
                <w:rFonts w:ascii="宋体" w:hAnsi="宋体" w:cs="宋体" w:eastAsia="宋体" w:hint="default"/>
                <w:sz w:val="18"/>
                <w:szCs w:val="18"/>
              </w:rPr>
              <w:t>手，实现对虚拟化终端的安全管</w:t>
            </w:r>
            <w:r>
              <w:rPr>
                <w:rFonts w:ascii="宋体" w:hAnsi="宋体" w:cs="宋体" w:eastAsia="宋体" w:hint="default"/>
                <w:sz w:val="18"/>
                <w:szCs w:val="18"/>
              </w:rPr>
              <w:t> 理和虚拟化全面审计，满足用户 合规审计要求，保障虚拟终端安 全。</w:t>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6"/>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V3.2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版本已发布</w:t>
            </w:r>
          </w:p>
        </w:tc>
      </w:tr>
      <w:tr>
        <w:trPr>
          <w:trHeight w:val="5034"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11</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185"/>
              <w:jc w:val="right"/>
              <w:rPr>
                <w:rFonts w:ascii="宋体" w:hAnsi="宋体" w:cs="宋体" w:eastAsia="宋体" w:hint="default"/>
                <w:sz w:val="18"/>
                <w:szCs w:val="18"/>
              </w:rPr>
            </w:pPr>
            <w:r>
              <w:rPr>
                <w:rFonts w:ascii="宋体" w:hAnsi="宋体" w:cs="宋体" w:eastAsia="宋体" w:hint="default"/>
                <w:sz w:val="18"/>
                <w:szCs w:val="18"/>
              </w:rPr>
              <w:t>服务器安全运营管理平台</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left"/>
              <w:rPr>
                <w:rFonts w:ascii="宋体" w:hAnsi="宋体" w:cs="宋体" w:eastAsia="宋体" w:hint="default"/>
                <w:sz w:val="18"/>
                <w:szCs w:val="18"/>
              </w:rPr>
            </w:pPr>
            <w:r>
              <w:rPr>
                <w:rFonts w:ascii="宋体" w:hAnsi="宋体" w:cs="宋体" w:eastAsia="宋体" w:hint="default"/>
                <w:sz w:val="18"/>
                <w:szCs w:val="18"/>
              </w:rPr>
              <w:t>服务器安全加固，就是在服 务器操作系统的基础上，通过安 </w:t>
            </w:r>
            <w:r>
              <w:rPr>
                <w:rFonts w:ascii="宋体" w:hAnsi="宋体" w:cs="宋体" w:eastAsia="宋体" w:hint="default"/>
                <w:spacing w:val="14"/>
                <w:sz w:val="18"/>
                <w:szCs w:val="18"/>
              </w:rPr>
              <w:t>装安全类软件或手动修改操作</w:t>
            </w:r>
            <w:r>
              <w:rPr>
                <w:rFonts w:ascii="宋体" w:hAnsi="宋体" w:cs="宋体" w:eastAsia="宋体" w:hint="default"/>
                <w:spacing w:val="14"/>
                <w:sz w:val="18"/>
                <w:szCs w:val="18"/>
              </w:rPr>
              <w:t> </w:t>
            </w:r>
            <w:r>
              <w:rPr>
                <w:rFonts w:ascii="宋体" w:hAnsi="宋体" w:cs="宋体" w:eastAsia="宋体" w:hint="default"/>
                <w:sz w:val="18"/>
                <w:szCs w:val="18"/>
              </w:rPr>
              <w:t>系统配置的形式，从安全管理、</w:t>
            </w:r>
            <w:r>
              <w:rPr>
                <w:rFonts w:ascii="宋体" w:hAnsi="宋体" w:cs="宋体" w:eastAsia="宋体" w:hint="default"/>
                <w:sz w:val="18"/>
                <w:szCs w:val="18"/>
              </w:rPr>
              <w:t> 运行安全、数据安全等角度提升 操作系统安全防护强度，保障重 要信息系统安全。通过构建统一 </w:t>
            </w:r>
            <w:r>
              <w:rPr>
                <w:rFonts w:ascii="宋体" w:hAnsi="宋体" w:cs="宋体" w:eastAsia="宋体" w:hint="default"/>
                <w:spacing w:val="-8"/>
                <w:sz w:val="18"/>
                <w:szCs w:val="18"/>
              </w:rPr>
              <w:t>安全管理平台（安全管理中心）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4"/>
                <w:sz w:val="18"/>
                <w:szCs w:val="18"/>
              </w:rPr>
              <w:t>对整个网络系统的服务器统一</w:t>
            </w:r>
            <w:r>
              <w:rPr>
                <w:rFonts w:ascii="宋体" w:hAnsi="宋体" w:cs="宋体" w:eastAsia="宋体" w:hint="default"/>
                <w:spacing w:val="14"/>
                <w:sz w:val="18"/>
                <w:szCs w:val="18"/>
              </w:rPr>
              <w:t> </w:t>
            </w:r>
            <w:r>
              <w:rPr>
                <w:rFonts w:ascii="宋体" w:hAnsi="宋体" w:cs="宋体" w:eastAsia="宋体" w:hint="default"/>
                <w:sz w:val="18"/>
                <w:szCs w:val="18"/>
              </w:rPr>
              <w:t>管理、集中控制，保证各项安全</w:t>
            </w:r>
            <w:r>
              <w:rPr>
                <w:rFonts w:ascii="宋体" w:hAnsi="宋体" w:cs="宋体" w:eastAsia="宋体" w:hint="default"/>
                <w:sz w:val="18"/>
                <w:szCs w:val="18"/>
              </w:rPr>
              <w:t> 机制的高度协调统一。消除各个 </w:t>
            </w:r>
            <w:r>
              <w:rPr>
                <w:rFonts w:ascii="宋体" w:hAnsi="宋体" w:cs="宋体" w:eastAsia="宋体" w:hint="default"/>
                <w:spacing w:val="14"/>
                <w:sz w:val="18"/>
                <w:szCs w:val="18"/>
              </w:rPr>
              <w:t>服务器由于配置不同造成的安</w:t>
            </w:r>
            <w:r>
              <w:rPr>
                <w:rFonts w:ascii="宋体" w:hAnsi="宋体" w:cs="宋体" w:eastAsia="宋体" w:hint="default"/>
                <w:spacing w:val="14"/>
                <w:sz w:val="18"/>
                <w:szCs w:val="18"/>
              </w:rPr>
              <w:t> </w:t>
            </w:r>
            <w:r>
              <w:rPr>
                <w:rFonts w:ascii="宋体" w:hAnsi="宋体" w:cs="宋体" w:eastAsia="宋体" w:hint="default"/>
                <w:sz w:val="18"/>
                <w:szCs w:val="18"/>
              </w:rPr>
              <w:t>全隐患，最终构建一道针对整个</w:t>
            </w:r>
            <w:r>
              <w:rPr>
                <w:rFonts w:ascii="宋体" w:hAnsi="宋体" w:cs="宋体" w:eastAsia="宋体" w:hint="default"/>
                <w:sz w:val="18"/>
                <w:szCs w:val="18"/>
              </w:rPr>
              <w:t> 服务器系统的整体安全防线，有 </w:t>
            </w:r>
            <w:r>
              <w:rPr>
                <w:rFonts w:ascii="宋体" w:hAnsi="宋体" w:cs="宋体" w:eastAsia="宋体" w:hint="default"/>
                <w:spacing w:val="14"/>
                <w:sz w:val="18"/>
                <w:szCs w:val="18"/>
              </w:rPr>
              <w:t>效保护服务器系统中的信息安</w:t>
            </w:r>
            <w:r>
              <w:rPr>
                <w:rFonts w:ascii="宋体" w:hAnsi="宋体" w:cs="宋体" w:eastAsia="宋体" w:hint="default"/>
                <w:spacing w:val="14"/>
                <w:sz w:val="18"/>
                <w:szCs w:val="18"/>
              </w:rPr>
              <w:t> </w:t>
            </w:r>
            <w:r>
              <w:rPr>
                <w:rFonts w:ascii="宋体" w:hAnsi="宋体" w:cs="宋体" w:eastAsia="宋体" w:hint="default"/>
                <w:sz w:val="18"/>
                <w:szCs w:val="18"/>
              </w:rPr>
              <w:t>全。</w:t>
            </w:r>
          </w:p>
        </w:tc>
        <w:tc>
          <w:tcPr>
            <w:tcW w:w="320" w:type="dxa"/>
            <w:tcBorders>
              <w:top w:val="single" w:sz="12" w:space="0" w:color="000000"/>
              <w:left w:val="single" w:sz="12" w:space="0" w:color="000000"/>
              <w:bottom w:val="single" w:sz="1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2448" w:type="dxa"/>
            <w:tcBorders>
              <w:top w:val="single" w:sz="12" w:space="0" w:color="000000"/>
              <w:left w:val="nil" w:sz="6" w:space="0" w:color="auto"/>
              <w:bottom w:val="single" w:sz="12" w:space="0" w:color="000000"/>
              <w:right w:val="single" w:sz="12" w:space="0" w:color="000000"/>
            </w:tcBorders>
          </w:tcPr>
          <w:p>
            <w:pPr>
              <w:pStyle w:val="TableParagraph"/>
              <w:spacing w:line="240" w:lineRule="auto" w:before="8"/>
              <w:ind w:right="309"/>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309"/>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版本已发布。</w:t>
            </w:r>
          </w:p>
        </w:tc>
      </w:tr>
      <w:tr>
        <w:trPr>
          <w:trHeight w:val="665"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12</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448" w:right="0"/>
              <w:jc w:val="left"/>
              <w:rPr>
                <w:rFonts w:ascii="宋体" w:hAnsi="宋体" w:cs="宋体" w:eastAsia="宋体" w:hint="default"/>
                <w:sz w:val="18"/>
                <w:szCs w:val="18"/>
              </w:rPr>
            </w:pPr>
            <w:r>
              <w:rPr>
                <w:rFonts w:ascii="宋体" w:hAnsi="宋体" w:cs="宋体" w:eastAsia="宋体" w:hint="default"/>
                <w:sz w:val="18"/>
                <w:szCs w:val="18"/>
              </w:rPr>
              <w:t>特权账号监管系统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left"/>
              <w:rPr>
                <w:rFonts w:ascii="宋体" w:hAnsi="宋体" w:cs="宋体" w:eastAsia="宋体" w:hint="default"/>
                <w:sz w:val="18"/>
                <w:szCs w:val="18"/>
              </w:rPr>
            </w:pPr>
            <w:r>
              <w:rPr>
                <w:rFonts w:ascii="宋体" w:hAnsi="宋体" w:cs="宋体" w:eastAsia="宋体" w:hint="default"/>
                <w:spacing w:val="14"/>
                <w:sz w:val="18"/>
                <w:szCs w:val="18"/>
              </w:rPr>
              <w:t>特权账号生命周期管控系</w:t>
            </w:r>
            <w:r>
              <w:rPr>
                <w:rFonts w:ascii="宋体" w:hAnsi="宋体" w:cs="宋体" w:eastAsia="宋体" w:hint="default"/>
                <w:spacing w:val="-74"/>
                <w:sz w:val="18"/>
                <w:szCs w:val="18"/>
              </w:rPr>
              <w:t> </w:t>
            </w:r>
            <w:r>
              <w:rPr>
                <w:rFonts w:ascii="宋体" w:hAnsi="宋体" w:cs="宋体" w:eastAsia="宋体" w:hint="default"/>
                <w:spacing w:val="14"/>
                <w:sz w:val="18"/>
                <w:szCs w:val="18"/>
              </w:rPr>
              <w:t>统软件可以使信息系统管理人</w:t>
            </w:r>
            <w:r>
              <w:rPr>
                <w:rFonts w:ascii="宋体" w:hAnsi="宋体" w:cs="宋体" w:eastAsia="宋体" w:hint="default"/>
                <w:sz w:val="18"/>
                <w:szCs w:val="18"/>
              </w:rPr>
            </w:r>
          </w:p>
        </w:tc>
        <w:tc>
          <w:tcPr>
            <w:tcW w:w="2768" w:type="dxa"/>
            <w:gridSpan w:val="2"/>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产品销售推广阶段：</w:t>
            </w:r>
          </w:p>
          <w:p>
            <w:pPr>
              <w:pStyle w:val="TableParagraph"/>
              <w:spacing w:line="240" w:lineRule="auto" w:before="76"/>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版本已发布。</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603"/>
        <w:gridCol w:w="2374"/>
        <w:gridCol w:w="2542"/>
        <w:gridCol w:w="2768"/>
      </w:tblGrid>
      <w:tr>
        <w:trPr>
          <w:trHeight w:val="2852" w:hRule="exact"/>
        </w:trPr>
        <w:tc>
          <w:tcPr>
            <w:tcW w:w="603" w:type="dxa"/>
            <w:tcBorders>
              <w:top w:val="single" w:sz="6" w:space="0" w:color="000000"/>
              <w:left w:val="single" w:sz="6" w:space="0" w:color="000000"/>
              <w:bottom w:val="single" w:sz="12" w:space="0" w:color="000000"/>
              <w:right w:val="single" w:sz="12" w:space="0" w:color="000000"/>
            </w:tcBorders>
          </w:tcPr>
          <w:p>
            <w:pPr/>
          </w:p>
        </w:tc>
        <w:tc>
          <w:tcPr>
            <w:tcW w:w="2374" w:type="dxa"/>
            <w:tcBorders>
              <w:top w:val="single" w:sz="6" w:space="0" w:color="000000"/>
              <w:left w:val="single" w:sz="12" w:space="0" w:color="000000"/>
              <w:bottom w:val="single" w:sz="12" w:space="0" w:color="000000"/>
              <w:right w:val="single" w:sz="12" w:space="0" w:color="000000"/>
            </w:tcBorders>
          </w:tcPr>
          <w:p>
            <w:pPr/>
          </w:p>
        </w:tc>
        <w:tc>
          <w:tcPr>
            <w:tcW w:w="2542"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18"/>
              <w:ind w:left="-5" w:right="-10"/>
              <w:jc w:val="both"/>
              <w:rPr>
                <w:rFonts w:ascii="宋体" w:hAnsi="宋体" w:cs="宋体" w:eastAsia="宋体" w:hint="default"/>
                <w:sz w:val="18"/>
                <w:szCs w:val="18"/>
              </w:rPr>
            </w:pPr>
            <w:r>
              <w:rPr>
                <w:rFonts w:ascii="宋体" w:hAnsi="宋体" w:cs="宋体" w:eastAsia="宋体" w:hint="default"/>
                <w:spacing w:val="14"/>
                <w:sz w:val="18"/>
                <w:szCs w:val="18"/>
              </w:rPr>
              <w:t>员或用户更加安全的管理信息 </w:t>
            </w:r>
            <w:r>
              <w:rPr>
                <w:rFonts w:ascii="宋体" w:hAnsi="宋体" w:cs="宋体" w:eastAsia="宋体" w:hint="default"/>
                <w:sz w:val="18"/>
                <w:szCs w:val="18"/>
              </w:rPr>
              <w:t>系统内部存在的特权帐号，同时</w:t>
            </w:r>
            <w:r>
              <w:rPr>
                <w:rFonts w:ascii="宋体" w:hAnsi="宋体" w:cs="宋体" w:eastAsia="宋体" w:hint="default"/>
                <w:sz w:val="18"/>
                <w:szCs w:val="18"/>
              </w:rPr>
              <w:t> 可基于各种运维需求，实现对特 权帐号的使用授权、认证、审计 及操作权限控制，并提供实时审 计日志及会话监控功能，实现内 </w:t>
            </w:r>
            <w:r>
              <w:rPr>
                <w:rFonts w:ascii="宋体" w:hAnsi="宋体" w:cs="宋体" w:eastAsia="宋体" w:hint="default"/>
                <w:spacing w:val="14"/>
                <w:sz w:val="18"/>
                <w:szCs w:val="18"/>
              </w:rPr>
              <w:t>部特权帐号使用可控、权限可</w:t>
            </w:r>
            <w:r>
              <w:rPr>
                <w:rFonts w:ascii="宋体" w:hAnsi="宋体" w:cs="宋体" w:eastAsia="宋体" w:hint="default"/>
                <w:spacing w:val="14"/>
                <w:sz w:val="18"/>
                <w:szCs w:val="18"/>
              </w:rPr>
              <w:t> </w:t>
            </w:r>
            <w:r>
              <w:rPr>
                <w:rFonts w:ascii="宋体" w:hAnsi="宋体" w:cs="宋体" w:eastAsia="宋体" w:hint="default"/>
                <w:sz w:val="18"/>
                <w:szCs w:val="18"/>
              </w:rPr>
              <w:t>控、操作可查、违规可举证的目</w:t>
            </w:r>
            <w:r>
              <w:rPr>
                <w:rFonts w:ascii="宋体" w:hAnsi="宋体" w:cs="宋体" w:eastAsia="宋体" w:hint="default"/>
                <w:sz w:val="18"/>
                <w:szCs w:val="18"/>
              </w:rPr>
              <w:t> 的。</w:t>
            </w:r>
          </w:p>
        </w:tc>
        <w:tc>
          <w:tcPr>
            <w:tcW w:w="2768" w:type="dxa"/>
            <w:tcBorders>
              <w:top w:val="single" w:sz="6" w:space="0" w:color="000000"/>
              <w:left w:val="single" w:sz="12" w:space="0" w:color="000000"/>
              <w:bottom w:val="single" w:sz="12" w:space="0" w:color="000000"/>
              <w:right w:val="single" w:sz="12" w:space="0" w:color="000000"/>
            </w:tcBorders>
          </w:tcPr>
          <w:p>
            <w:pPr/>
          </w:p>
        </w:tc>
      </w:tr>
      <w:tr>
        <w:trPr>
          <w:trHeight w:val="4095"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13</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主机</w:t>
            </w:r>
            <w:r>
              <w:rPr>
                <w:rFonts w:ascii="Times New Roman" w:hAnsi="Times New Roman" w:cs="Times New Roman" w:eastAsia="Times New Roman" w:hint="default"/>
                <w:sz w:val="18"/>
                <w:szCs w:val="18"/>
              </w:rPr>
              <w:t>EDR</w:t>
            </w:r>
            <w:r>
              <w:rPr>
                <w:rFonts w:ascii="宋体" w:hAnsi="宋体" w:cs="宋体" w:eastAsia="宋体" w:hint="default"/>
                <w:sz w:val="18"/>
                <w:szCs w:val="18"/>
              </w:rPr>
              <w:t>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both"/>
              <w:rPr>
                <w:rFonts w:ascii="宋体" w:hAnsi="宋体" w:cs="宋体" w:eastAsia="宋体" w:hint="default"/>
                <w:sz w:val="18"/>
                <w:szCs w:val="18"/>
              </w:rPr>
            </w:pPr>
            <w:r>
              <w:rPr>
                <w:rFonts w:ascii="宋体" w:hAnsi="宋体" w:cs="宋体" w:eastAsia="宋体" w:hint="default"/>
                <w:sz w:val="18"/>
                <w:szCs w:val="18"/>
              </w:rPr>
              <w:t>主机</w:t>
            </w:r>
            <w:r>
              <w:rPr>
                <w:rFonts w:ascii="Times New Roman" w:hAnsi="Times New Roman" w:cs="Times New Roman" w:eastAsia="Times New Roman" w:hint="default"/>
                <w:sz w:val="18"/>
                <w:szCs w:val="18"/>
              </w:rPr>
              <w:t>EDR</w:t>
            </w:r>
            <w:r>
              <w:rPr>
                <w:rFonts w:ascii="宋体" w:hAnsi="宋体" w:cs="宋体" w:eastAsia="宋体" w:hint="default"/>
                <w:sz w:val="18"/>
                <w:szCs w:val="18"/>
              </w:rPr>
              <w:t>系统，将主机系统 </w:t>
            </w:r>
            <w:r>
              <w:rPr>
                <w:rFonts w:ascii="宋体" w:hAnsi="宋体" w:cs="宋体" w:eastAsia="宋体" w:hint="default"/>
                <w:spacing w:val="14"/>
                <w:sz w:val="18"/>
                <w:szCs w:val="18"/>
              </w:rPr>
              <w:t>和业务软件上常见的安全问题</w:t>
            </w:r>
            <w:r>
              <w:rPr>
                <w:rFonts w:ascii="宋体" w:hAnsi="宋体" w:cs="宋体" w:eastAsia="宋体" w:hint="default"/>
                <w:spacing w:val="14"/>
                <w:sz w:val="18"/>
                <w:szCs w:val="18"/>
              </w:rPr>
              <w:t> </w:t>
            </w:r>
            <w:r>
              <w:rPr>
                <w:rFonts w:ascii="宋体" w:hAnsi="宋体" w:cs="宋体" w:eastAsia="宋体" w:hint="default"/>
                <w:sz w:val="18"/>
                <w:szCs w:val="18"/>
              </w:rPr>
              <w:t>整合起来，集成了资产管理、漏</w:t>
            </w:r>
            <w:r>
              <w:rPr>
                <w:rFonts w:ascii="宋体" w:hAnsi="宋体" w:cs="宋体" w:eastAsia="宋体" w:hint="default"/>
                <w:sz w:val="18"/>
                <w:szCs w:val="18"/>
              </w:rPr>
              <w:t> 洞检查、安全配置等多方面的安 全检测于一体，对不同主机系统 </w:t>
            </w:r>
            <w:r>
              <w:rPr>
                <w:rFonts w:ascii="宋体" w:hAnsi="宋体" w:cs="宋体" w:eastAsia="宋体" w:hint="default"/>
                <w:spacing w:val="14"/>
                <w:sz w:val="18"/>
                <w:szCs w:val="18"/>
              </w:rPr>
              <w:t>上的安全状态进行集中统一管</w:t>
            </w:r>
            <w:r>
              <w:rPr>
                <w:rFonts w:ascii="宋体" w:hAnsi="宋体" w:cs="宋体" w:eastAsia="宋体" w:hint="default"/>
                <w:spacing w:val="14"/>
                <w:sz w:val="18"/>
                <w:szCs w:val="18"/>
              </w:rPr>
              <w:t> </w:t>
            </w:r>
            <w:r>
              <w:rPr>
                <w:rFonts w:ascii="宋体" w:hAnsi="宋体" w:cs="宋体" w:eastAsia="宋体" w:hint="default"/>
                <w:sz w:val="18"/>
                <w:szCs w:val="18"/>
              </w:rPr>
              <w:t>理和控制，通过特征检测及可视</w:t>
            </w:r>
            <w:r>
              <w:rPr>
                <w:rFonts w:ascii="宋体" w:hAnsi="宋体" w:cs="宋体" w:eastAsia="宋体" w:hint="default"/>
                <w:sz w:val="18"/>
                <w:szCs w:val="18"/>
              </w:rPr>
              <w:t> 化展示等手段，针对主机建立完 善的安全态势全面监控、安全威 胁实时预警、安全事故紧急响应 的能力，通过独立的自适应体系 </w:t>
            </w:r>
            <w:r>
              <w:rPr>
                <w:rFonts w:ascii="宋体" w:hAnsi="宋体" w:cs="宋体" w:eastAsia="宋体" w:hint="default"/>
                <w:spacing w:val="14"/>
                <w:sz w:val="18"/>
                <w:szCs w:val="18"/>
              </w:rPr>
              <w:t>结构协助安全管理员快速发现</w:t>
            </w:r>
            <w:r>
              <w:rPr>
                <w:rFonts w:ascii="宋体" w:hAnsi="宋体" w:cs="宋体" w:eastAsia="宋体" w:hint="default"/>
                <w:spacing w:val="14"/>
                <w:sz w:val="18"/>
                <w:szCs w:val="18"/>
              </w:rPr>
              <w:t> </w:t>
            </w:r>
            <w:r>
              <w:rPr>
                <w:rFonts w:ascii="宋体" w:hAnsi="宋体" w:cs="宋体" w:eastAsia="宋体" w:hint="default"/>
                <w:sz w:val="18"/>
                <w:szCs w:val="18"/>
              </w:rPr>
              <w:t>和分析安全问题。</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产品发布阶段</w:t>
            </w:r>
          </w:p>
          <w:p>
            <w:pPr>
              <w:pStyle w:val="TableParagraph"/>
              <w:spacing w:line="240" w:lineRule="auto" w:before="7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已正式发布</w:t>
            </w:r>
          </w:p>
        </w:tc>
      </w:tr>
      <w:tr>
        <w:trPr>
          <w:trHeight w:val="3473"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2"/>
              <w:ind w:left="10" w:right="0"/>
              <w:jc w:val="center"/>
              <w:rPr>
                <w:rFonts w:ascii="Times New Roman" w:hAnsi="Times New Roman" w:cs="Times New Roman" w:eastAsia="Times New Roman" w:hint="default"/>
                <w:sz w:val="18"/>
                <w:szCs w:val="18"/>
              </w:rPr>
            </w:pPr>
            <w:r>
              <w:rPr>
                <w:rFonts w:ascii="Times New Roman"/>
                <w:sz w:val="18"/>
              </w:rPr>
              <w:t>14</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北信源服务器审计系统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10"/>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北信源服务器审计系统是</w:t>
            </w:r>
            <w:r>
              <w:rPr>
                <w:rFonts w:ascii="宋体" w:hAnsi="宋体" w:cs="宋体" w:eastAsia="宋体" w:hint="default"/>
                <w:spacing w:val="-74"/>
                <w:sz w:val="18"/>
                <w:szCs w:val="18"/>
              </w:rPr>
              <w:t> </w:t>
            </w:r>
            <w:r>
              <w:rPr>
                <w:rFonts w:ascii="宋体" w:hAnsi="宋体" w:cs="宋体" w:eastAsia="宋体" w:hint="default"/>
                <w:spacing w:val="14"/>
                <w:sz w:val="18"/>
                <w:szCs w:val="18"/>
              </w:rPr>
              <w:t>针对国产服务器推出的安全监</w:t>
            </w:r>
            <w:r>
              <w:rPr>
                <w:rFonts w:ascii="宋体" w:hAnsi="宋体" w:cs="宋体" w:eastAsia="宋体" w:hint="default"/>
                <w:spacing w:val="14"/>
                <w:sz w:val="18"/>
                <w:szCs w:val="18"/>
              </w:rPr>
              <w:t> </w:t>
            </w:r>
            <w:r>
              <w:rPr>
                <w:rFonts w:ascii="宋体" w:hAnsi="宋体" w:cs="宋体" w:eastAsia="宋体" w:hint="default"/>
                <w:sz w:val="18"/>
                <w:szCs w:val="18"/>
              </w:rPr>
              <w:t>控审计产品，通过对服务器运行</w:t>
            </w:r>
            <w:r>
              <w:rPr>
                <w:rFonts w:ascii="宋体" w:hAnsi="宋体" w:cs="宋体" w:eastAsia="宋体" w:hint="default"/>
                <w:sz w:val="18"/>
                <w:szCs w:val="18"/>
              </w:rPr>
              <w:t> 监控和用户访问行为审计，实现 </w:t>
            </w:r>
            <w:r>
              <w:rPr>
                <w:rFonts w:ascii="宋体" w:hAnsi="宋体" w:cs="宋体" w:eastAsia="宋体" w:hint="default"/>
                <w:spacing w:val="14"/>
                <w:sz w:val="18"/>
                <w:szCs w:val="18"/>
              </w:rPr>
              <w:t>了对服务器访问行为的全方位</w:t>
            </w:r>
            <w:r>
              <w:rPr>
                <w:rFonts w:ascii="宋体" w:hAnsi="宋体" w:cs="宋体" w:eastAsia="宋体" w:hint="default"/>
                <w:spacing w:val="14"/>
                <w:sz w:val="18"/>
                <w:szCs w:val="18"/>
              </w:rPr>
              <w:t> </w:t>
            </w:r>
            <w:r>
              <w:rPr>
                <w:rFonts w:ascii="宋体" w:hAnsi="宋体" w:cs="宋体" w:eastAsia="宋体" w:hint="default"/>
                <w:sz w:val="18"/>
                <w:szCs w:val="18"/>
              </w:rPr>
              <w:t>跟踪和审计。系统提供了用户组</w:t>
            </w:r>
            <w:r>
              <w:rPr>
                <w:rFonts w:ascii="宋体" w:hAnsi="宋体" w:cs="宋体" w:eastAsia="宋体" w:hint="default"/>
                <w:sz w:val="18"/>
                <w:szCs w:val="18"/>
              </w:rPr>
              <w:t> 织机构管理，服务器注册管理， 在线服务器管理、离线服务器管 理，软、硬件资产基本管理，进 程运行、服务运行审计，统一策 略制定，统一审计日志展示等。</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left="1005" w:right="0"/>
              <w:jc w:val="left"/>
              <w:rPr>
                <w:rFonts w:ascii="宋体" w:hAnsi="宋体" w:cs="宋体" w:eastAsia="宋体" w:hint="default"/>
                <w:sz w:val="18"/>
                <w:szCs w:val="18"/>
              </w:rPr>
            </w:pPr>
            <w:r>
              <w:rPr>
                <w:rFonts w:ascii="宋体" w:hAnsi="宋体" w:cs="宋体" w:eastAsia="宋体" w:hint="default"/>
                <w:sz w:val="18"/>
                <w:szCs w:val="18"/>
              </w:rPr>
              <w:t>研发阶段</w:t>
            </w:r>
          </w:p>
        </w:tc>
      </w:tr>
      <w:tr>
        <w:trPr>
          <w:trHeight w:val="2849"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15</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8"/>
              <w:jc w:val="center"/>
              <w:rPr>
                <w:rFonts w:ascii="宋体" w:hAnsi="宋体" w:cs="宋体" w:eastAsia="宋体" w:hint="default"/>
                <w:sz w:val="18"/>
                <w:szCs w:val="18"/>
              </w:rPr>
            </w:pPr>
            <w:r>
              <w:rPr>
                <w:rFonts w:ascii="宋体" w:hAnsi="宋体" w:cs="宋体" w:eastAsia="宋体" w:hint="default"/>
                <w:sz w:val="18"/>
                <w:szCs w:val="18"/>
              </w:rPr>
              <w:t>北信源运维监管系统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北信源运维监管平台是针</w:t>
            </w:r>
            <w:r>
              <w:rPr>
                <w:rFonts w:ascii="宋体" w:hAnsi="宋体" w:cs="宋体" w:eastAsia="宋体" w:hint="default"/>
                <w:spacing w:val="-74"/>
                <w:sz w:val="18"/>
                <w:szCs w:val="18"/>
              </w:rPr>
              <w:t> </w:t>
            </w:r>
            <w:r>
              <w:rPr>
                <w:rFonts w:ascii="宋体" w:hAnsi="宋体" w:cs="宋体" w:eastAsia="宋体" w:hint="default"/>
                <w:spacing w:val="14"/>
                <w:sz w:val="18"/>
                <w:szCs w:val="18"/>
              </w:rPr>
              <w:t>对国产服务器以及服务器操作</w:t>
            </w:r>
            <w:r>
              <w:rPr>
                <w:rFonts w:ascii="宋体" w:hAnsi="宋体" w:cs="宋体" w:eastAsia="宋体" w:hint="default"/>
                <w:spacing w:val="14"/>
                <w:sz w:val="18"/>
                <w:szCs w:val="18"/>
              </w:rPr>
              <w:t> </w:t>
            </w:r>
            <w:r>
              <w:rPr>
                <w:rFonts w:ascii="宋体" w:hAnsi="宋体" w:cs="宋体" w:eastAsia="宋体" w:hint="default"/>
                <w:sz w:val="18"/>
                <w:szCs w:val="18"/>
              </w:rPr>
              <w:t>系统推出的安全监控审计产品，</w:t>
            </w:r>
            <w:r>
              <w:rPr>
                <w:rFonts w:ascii="宋体" w:hAnsi="宋体" w:cs="宋体" w:eastAsia="宋体" w:hint="default"/>
                <w:sz w:val="18"/>
                <w:szCs w:val="18"/>
              </w:rPr>
              <w:t> </w:t>
            </w:r>
            <w:r>
              <w:rPr>
                <w:rFonts w:ascii="宋体" w:hAnsi="宋体" w:cs="宋体" w:eastAsia="宋体" w:hint="default"/>
                <w:spacing w:val="14"/>
                <w:sz w:val="18"/>
                <w:szCs w:val="18"/>
              </w:rPr>
              <w:t>针对企业内部的专用服务器以</w:t>
            </w:r>
            <w:r>
              <w:rPr>
                <w:rFonts w:ascii="宋体" w:hAnsi="宋体" w:cs="宋体" w:eastAsia="宋体" w:hint="default"/>
                <w:spacing w:val="14"/>
                <w:sz w:val="18"/>
                <w:szCs w:val="18"/>
              </w:rPr>
              <w:t> 及与服务器息息相关的网络设 </w:t>
            </w:r>
            <w:r>
              <w:rPr>
                <w:rFonts w:ascii="宋体" w:hAnsi="宋体" w:cs="宋体" w:eastAsia="宋体" w:hint="default"/>
                <w:sz w:val="18"/>
                <w:szCs w:val="18"/>
              </w:rPr>
              <w:t>备、安全设备、服务器主机、数</w:t>
            </w:r>
            <w:r>
              <w:rPr>
                <w:rFonts w:ascii="宋体" w:hAnsi="宋体" w:cs="宋体" w:eastAsia="宋体" w:hint="default"/>
                <w:sz w:val="18"/>
                <w:szCs w:val="18"/>
              </w:rPr>
              <w:t> 据库、中间件、业务系统等运行 </w:t>
            </w:r>
            <w:r>
              <w:rPr>
                <w:rFonts w:ascii="宋体" w:hAnsi="宋体" w:cs="宋体" w:eastAsia="宋体" w:hint="default"/>
                <w:spacing w:val="14"/>
                <w:sz w:val="18"/>
                <w:szCs w:val="18"/>
              </w:rPr>
              <w:t>状态监控，采集它们的安全状</w:t>
            </w:r>
            <w:r>
              <w:rPr>
                <w:rFonts w:ascii="宋体" w:hAnsi="宋体" w:cs="宋体" w:eastAsia="宋体" w:hint="default"/>
                <w:spacing w:val="14"/>
                <w:sz w:val="18"/>
                <w:szCs w:val="18"/>
              </w:rPr>
              <w:t> </w:t>
            </w:r>
            <w:r>
              <w:rPr>
                <w:rFonts w:ascii="宋体" w:hAnsi="宋体" w:cs="宋体" w:eastAsia="宋体" w:hint="default"/>
                <w:sz w:val="18"/>
                <w:szCs w:val="18"/>
              </w:rPr>
              <w:t>态，收集各个元组的性能数据。</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005" w:right="0"/>
              <w:jc w:val="left"/>
              <w:rPr>
                <w:rFonts w:ascii="宋体" w:hAnsi="宋体" w:cs="宋体" w:eastAsia="宋体" w:hint="default"/>
                <w:sz w:val="18"/>
                <w:szCs w:val="18"/>
              </w:rPr>
            </w:pPr>
            <w:r>
              <w:rPr>
                <w:rFonts w:ascii="宋体" w:hAnsi="宋体" w:cs="宋体" w:eastAsia="宋体" w:hint="default"/>
                <w:sz w:val="18"/>
                <w:szCs w:val="18"/>
              </w:rPr>
              <w:t>研发阶段</w:t>
            </w:r>
          </w:p>
        </w:tc>
      </w:tr>
      <w:tr>
        <w:trPr>
          <w:trHeight w:val="665"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16</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988" w:right="5" w:hanging="992"/>
              <w:jc w:val="left"/>
              <w:rPr>
                <w:rFonts w:ascii="宋体" w:hAnsi="宋体" w:cs="宋体" w:eastAsia="宋体" w:hint="default"/>
                <w:sz w:val="18"/>
                <w:szCs w:val="18"/>
              </w:rPr>
            </w:pPr>
            <w:r>
              <w:rPr>
                <w:rFonts w:ascii="宋体" w:hAnsi="宋体" w:cs="宋体" w:eastAsia="宋体" w:hint="default"/>
                <w:sz w:val="18"/>
                <w:szCs w:val="18"/>
              </w:rPr>
              <w:t>北信源电子文件密级标志管理 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left"/>
              <w:rPr>
                <w:rFonts w:ascii="宋体" w:hAnsi="宋体" w:cs="宋体" w:eastAsia="宋体" w:hint="default"/>
                <w:sz w:val="18"/>
                <w:szCs w:val="18"/>
              </w:rPr>
            </w:pPr>
            <w:r>
              <w:rPr>
                <w:rFonts w:ascii="宋体" w:hAnsi="宋体" w:cs="宋体" w:eastAsia="宋体" w:hint="default"/>
                <w:spacing w:val="14"/>
                <w:sz w:val="18"/>
                <w:szCs w:val="18"/>
              </w:rPr>
              <w:t>北信源电子文件密级标志</w:t>
            </w:r>
            <w:r>
              <w:rPr>
                <w:rFonts w:ascii="宋体" w:hAnsi="宋体" w:cs="宋体" w:eastAsia="宋体" w:hint="default"/>
                <w:spacing w:val="-74"/>
                <w:sz w:val="18"/>
                <w:szCs w:val="18"/>
              </w:rPr>
              <w:t> </w:t>
            </w:r>
            <w:r>
              <w:rPr>
                <w:rFonts w:ascii="宋体" w:hAnsi="宋体" w:cs="宋体" w:eastAsia="宋体" w:hint="default"/>
                <w:spacing w:val="14"/>
                <w:sz w:val="18"/>
                <w:szCs w:val="18"/>
              </w:rPr>
              <w:t>管理系统针对涉密文件管理制</w:t>
            </w:r>
            <w:r>
              <w:rPr>
                <w:rFonts w:ascii="宋体" w:hAnsi="宋体" w:cs="宋体" w:eastAsia="宋体" w:hint="default"/>
                <w:sz w:val="18"/>
                <w:szCs w:val="18"/>
              </w:rPr>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left="1005" w:right="0"/>
              <w:jc w:val="left"/>
              <w:rPr>
                <w:rFonts w:ascii="宋体" w:hAnsi="宋体" w:cs="宋体" w:eastAsia="宋体" w:hint="default"/>
                <w:sz w:val="18"/>
                <w:szCs w:val="18"/>
              </w:rPr>
            </w:pPr>
            <w:r>
              <w:rPr>
                <w:rFonts w:ascii="宋体" w:hAnsi="宋体" w:cs="宋体" w:eastAsia="宋体" w:hint="default"/>
                <w:sz w:val="18"/>
                <w:szCs w:val="18"/>
              </w:rPr>
              <w:t>研发阶段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79" w:type="dxa"/>
        <w:tblLayout w:type="fixed"/>
        <w:tblCellMar>
          <w:top w:w="0" w:type="dxa"/>
          <w:left w:w="0" w:type="dxa"/>
          <w:bottom w:w="0" w:type="dxa"/>
          <w:right w:w="0" w:type="dxa"/>
        </w:tblCellMar>
        <w:tblLook w:val="01E0"/>
      </w:tblPr>
      <w:tblGrid>
        <w:gridCol w:w="603"/>
        <w:gridCol w:w="2374"/>
        <w:gridCol w:w="2542"/>
        <w:gridCol w:w="2768"/>
      </w:tblGrid>
      <w:tr>
        <w:trPr>
          <w:trHeight w:val="5348" w:hRule="exact"/>
        </w:trPr>
        <w:tc>
          <w:tcPr>
            <w:tcW w:w="603" w:type="dxa"/>
            <w:tcBorders>
              <w:top w:val="single" w:sz="6" w:space="0" w:color="000000"/>
              <w:left w:val="single" w:sz="6" w:space="0" w:color="000000"/>
              <w:bottom w:val="single" w:sz="12" w:space="0" w:color="000000"/>
              <w:right w:val="single" w:sz="12" w:space="0" w:color="000000"/>
            </w:tcBorders>
          </w:tcPr>
          <w:p>
            <w:pPr/>
          </w:p>
        </w:tc>
        <w:tc>
          <w:tcPr>
            <w:tcW w:w="2374" w:type="dxa"/>
            <w:tcBorders>
              <w:top w:val="single" w:sz="6" w:space="0" w:color="000000"/>
              <w:left w:val="single" w:sz="12" w:space="0" w:color="000000"/>
              <w:bottom w:val="single" w:sz="12" w:space="0" w:color="000000"/>
              <w:right w:val="single" w:sz="12" w:space="0" w:color="000000"/>
            </w:tcBorders>
          </w:tcPr>
          <w:p>
            <w:pPr/>
          </w:p>
        </w:tc>
        <w:tc>
          <w:tcPr>
            <w:tcW w:w="2542" w:type="dxa"/>
            <w:tcBorders>
              <w:top w:val="single" w:sz="6" w:space="0" w:color="000000"/>
              <w:left w:val="single" w:sz="12" w:space="0" w:color="000000"/>
              <w:bottom w:val="single" w:sz="12" w:space="0" w:color="000000"/>
              <w:right w:val="single" w:sz="12" w:space="0" w:color="000000"/>
            </w:tcBorders>
          </w:tcPr>
          <w:p>
            <w:pPr>
              <w:pStyle w:val="TableParagraph"/>
              <w:spacing w:line="316" w:lineRule="auto" w:before="18"/>
              <w:ind w:left="-5" w:right="-10"/>
              <w:jc w:val="both"/>
              <w:rPr>
                <w:rFonts w:ascii="宋体" w:hAnsi="宋体" w:cs="宋体" w:eastAsia="宋体" w:hint="default"/>
                <w:sz w:val="18"/>
                <w:szCs w:val="18"/>
              </w:rPr>
            </w:pPr>
            <w:r>
              <w:rPr>
                <w:rFonts w:ascii="宋体" w:hAnsi="宋体" w:cs="宋体" w:eastAsia="宋体" w:hint="default"/>
                <w:sz w:val="18"/>
                <w:szCs w:val="18"/>
              </w:rPr>
              <w:t>度的特点，采用密级属性信息与 电子文档实体安全绑定技术，用 </w:t>
            </w:r>
            <w:r>
              <w:rPr>
                <w:rFonts w:ascii="宋体" w:hAnsi="宋体" w:cs="宋体" w:eastAsia="宋体" w:hint="default"/>
                <w:spacing w:val="14"/>
                <w:sz w:val="18"/>
                <w:szCs w:val="18"/>
              </w:rPr>
              <w:t>户可以自主选择需要预加密的</w:t>
            </w:r>
            <w:r>
              <w:rPr>
                <w:rFonts w:ascii="宋体" w:hAnsi="宋体" w:cs="宋体" w:eastAsia="宋体" w:hint="default"/>
                <w:spacing w:val="14"/>
                <w:sz w:val="18"/>
                <w:szCs w:val="18"/>
              </w:rPr>
              <w:t> </w:t>
            </w:r>
            <w:r>
              <w:rPr>
                <w:rFonts w:ascii="宋体" w:hAnsi="宋体" w:cs="宋体" w:eastAsia="宋体" w:hint="default"/>
                <w:sz w:val="18"/>
                <w:szCs w:val="18"/>
              </w:rPr>
              <w:t>文件并对其主动加密操作，从而</w:t>
            </w:r>
            <w:r>
              <w:rPr>
                <w:rFonts w:ascii="宋体" w:hAnsi="宋体" w:cs="宋体" w:eastAsia="宋体" w:hint="default"/>
                <w:sz w:val="18"/>
                <w:szCs w:val="18"/>
              </w:rPr>
              <w:t> 加密该文件，加密后的文件在使 用过程中加解密是自动完成的， 对用户是透明，实现密级属性权 </w:t>
            </w:r>
            <w:r>
              <w:rPr>
                <w:rFonts w:ascii="宋体" w:hAnsi="宋体" w:cs="宋体" w:eastAsia="宋体" w:hint="default"/>
                <w:spacing w:val="14"/>
                <w:sz w:val="18"/>
                <w:szCs w:val="18"/>
              </w:rPr>
              <w:t>限信息与电子文档不可被非授</w:t>
            </w:r>
            <w:r>
              <w:rPr>
                <w:rFonts w:ascii="宋体" w:hAnsi="宋体" w:cs="宋体" w:eastAsia="宋体" w:hint="default"/>
                <w:spacing w:val="14"/>
                <w:sz w:val="18"/>
                <w:szCs w:val="18"/>
              </w:rPr>
              <w:t> </w:t>
            </w:r>
            <w:r>
              <w:rPr>
                <w:rFonts w:ascii="宋体" w:hAnsi="宋体" w:cs="宋体" w:eastAsia="宋体" w:hint="default"/>
                <w:sz w:val="18"/>
                <w:szCs w:val="18"/>
              </w:rPr>
              <w:t>权分离，其自身不可被非授权篡</w:t>
            </w:r>
            <w:r>
              <w:rPr>
                <w:rFonts w:ascii="宋体" w:hAnsi="宋体" w:cs="宋体" w:eastAsia="宋体" w:hint="default"/>
                <w:sz w:val="18"/>
                <w:szCs w:val="18"/>
              </w:rPr>
              <w:t> 改；同时该系统采用电子文档安 全防护控制技术，保障密级标志 文档不可被非授权查阅、复制以 及编辑，实现对密级文档从预定 密、定密、签发、流转、使用、 审计、隐写溯源可以监控到密级 文件全生命周期管理，保障密级 文档的安全。</w:t>
            </w:r>
          </w:p>
        </w:tc>
        <w:tc>
          <w:tcPr>
            <w:tcW w:w="2768" w:type="dxa"/>
            <w:tcBorders>
              <w:top w:val="single" w:sz="6" w:space="0" w:color="000000"/>
              <w:left w:val="single" w:sz="12" w:space="0" w:color="000000"/>
              <w:bottom w:val="single" w:sz="12" w:space="0" w:color="000000"/>
              <w:right w:val="single" w:sz="12" w:space="0" w:color="000000"/>
            </w:tcBorders>
          </w:tcPr>
          <w:p>
            <w:pPr/>
          </w:p>
        </w:tc>
      </w:tr>
      <w:tr>
        <w:trPr>
          <w:trHeight w:val="3473" w:hRule="exact"/>
        </w:trPr>
        <w:tc>
          <w:tcPr>
            <w:tcW w:w="60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0"/>
              <w:ind w:left="10" w:right="0"/>
              <w:jc w:val="center"/>
              <w:rPr>
                <w:rFonts w:ascii="Times New Roman" w:hAnsi="Times New Roman" w:cs="Times New Roman" w:eastAsia="Times New Roman" w:hint="default"/>
                <w:sz w:val="18"/>
                <w:szCs w:val="18"/>
              </w:rPr>
            </w:pPr>
            <w:r>
              <w:rPr>
                <w:rFonts w:ascii="Times New Roman"/>
                <w:sz w:val="18"/>
              </w:rPr>
              <w:t>17</w:t>
            </w:r>
          </w:p>
        </w:tc>
        <w:tc>
          <w:tcPr>
            <w:tcW w:w="2374"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988" w:right="5" w:hanging="992"/>
              <w:jc w:val="left"/>
              <w:rPr>
                <w:rFonts w:ascii="宋体" w:hAnsi="宋体" w:cs="宋体" w:eastAsia="宋体" w:hint="default"/>
                <w:sz w:val="18"/>
                <w:szCs w:val="18"/>
              </w:rPr>
            </w:pPr>
            <w:r>
              <w:rPr>
                <w:rFonts w:ascii="宋体" w:hAnsi="宋体" w:cs="宋体" w:eastAsia="宋体" w:hint="default"/>
                <w:sz w:val="18"/>
                <w:szCs w:val="18"/>
              </w:rPr>
              <w:t>北信源文档发文信息隐写溯源 系统</w:t>
            </w:r>
          </w:p>
        </w:tc>
        <w:tc>
          <w:tcPr>
            <w:tcW w:w="2542" w:type="dxa"/>
            <w:tcBorders>
              <w:top w:val="single" w:sz="12" w:space="0" w:color="000000"/>
              <w:left w:val="single" w:sz="12" w:space="0" w:color="000000"/>
              <w:bottom w:val="single" w:sz="12" w:space="0" w:color="000000"/>
              <w:right w:val="single" w:sz="12" w:space="0" w:color="000000"/>
            </w:tcBorders>
          </w:tcPr>
          <w:p>
            <w:pPr>
              <w:pStyle w:val="TableParagraph"/>
              <w:spacing w:line="316" w:lineRule="auto" w:before="8"/>
              <w:ind w:left="-5" w:right="-10" w:firstLine="360"/>
              <w:jc w:val="both"/>
              <w:rPr>
                <w:rFonts w:ascii="宋体" w:hAnsi="宋体" w:cs="宋体" w:eastAsia="宋体" w:hint="default"/>
                <w:sz w:val="18"/>
                <w:szCs w:val="18"/>
              </w:rPr>
            </w:pPr>
            <w:r>
              <w:rPr>
                <w:rFonts w:ascii="宋体" w:hAnsi="宋体" w:cs="宋体" w:eastAsia="宋体" w:hint="default"/>
                <w:spacing w:val="14"/>
                <w:sz w:val="18"/>
                <w:szCs w:val="18"/>
              </w:rPr>
              <w:t>北信源文档发文信息隐写</w:t>
            </w:r>
            <w:r>
              <w:rPr>
                <w:rFonts w:ascii="宋体" w:hAnsi="宋体" w:cs="宋体" w:eastAsia="宋体" w:hint="default"/>
                <w:spacing w:val="-74"/>
                <w:sz w:val="18"/>
                <w:szCs w:val="18"/>
              </w:rPr>
              <w:t> </w:t>
            </w:r>
            <w:r>
              <w:rPr>
                <w:rFonts w:ascii="宋体" w:hAnsi="宋体" w:cs="宋体" w:eastAsia="宋体" w:hint="default"/>
                <w:spacing w:val="14"/>
                <w:sz w:val="18"/>
                <w:szCs w:val="18"/>
              </w:rPr>
              <w:t>溯源系统针对涉密文件管理制</w:t>
            </w:r>
            <w:r>
              <w:rPr>
                <w:rFonts w:ascii="宋体" w:hAnsi="宋体" w:cs="宋体" w:eastAsia="宋体" w:hint="default"/>
                <w:spacing w:val="14"/>
                <w:sz w:val="18"/>
                <w:szCs w:val="18"/>
              </w:rPr>
              <w:t> </w:t>
            </w:r>
            <w:r>
              <w:rPr>
                <w:rFonts w:ascii="宋体" w:hAnsi="宋体" w:cs="宋体" w:eastAsia="宋体" w:hint="default"/>
                <w:sz w:val="18"/>
                <w:szCs w:val="18"/>
              </w:rPr>
              <w:t>度的特点，监控审计文档打开流</w:t>
            </w:r>
            <w:r>
              <w:rPr>
                <w:rFonts w:ascii="宋体" w:hAnsi="宋体" w:cs="宋体" w:eastAsia="宋体" w:hint="default"/>
                <w:sz w:val="18"/>
                <w:szCs w:val="18"/>
              </w:rPr>
              <w:t> 程，记录详尽日志，并可在文件 </w:t>
            </w:r>
            <w:r>
              <w:rPr>
                <w:rFonts w:ascii="宋体" w:hAnsi="宋体" w:cs="宋体" w:eastAsia="宋体" w:hint="default"/>
                <w:spacing w:val="14"/>
                <w:sz w:val="18"/>
                <w:szCs w:val="18"/>
              </w:rPr>
              <w:t>中隐写不可见的信息有助于追</w:t>
            </w:r>
            <w:r>
              <w:rPr>
                <w:rFonts w:ascii="宋体" w:hAnsi="宋体" w:cs="宋体" w:eastAsia="宋体" w:hint="default"/>
                <w:spacing w:val="14"/>
                <w:sz w:val="18"/>
                <w:szCs w:val="18"/>
              </w:rPr>
              <w:t> </w:t>
            </w:r>
            <w:r>
              <w:rPr>
                <w:rFonts w:ascii="宋体" w:hAnsi="宋体" w:cs="宋体" w:eastAsia="宋体" w:hint="default"/>
                <w:sz w:val="18"/>
                <w:szCs w:val="18"/>
              </w:rPr>
              <w:t>溯明确文件保密责任、方便溯源</w:t>
            </w:r>
            <w:r>
              <w:rPr>
                <w:rFonts w:ascii="宋体" w:hAnsi="宋体" w:cs="宋体" w:eastAsia="宋体" w:hint="default"/>
                <w:sz w:val="18"/>
                <w:szCs w:val="18"/>
              </w:rPr>
              <w:t> 追踪的信息，该信息使得同样内 </w:t>
            </w:r>
            <w:r>
              <w:rPr>
                <w:rFonts w:ascii="宋体" w:hAnsi="宋体" w:cs="宋体" w:eastAsia="宋体" w:hint="default"/>
                <w:spacing w:val="14"/>
                <w:sz w:val="18"/>
                <w:szCs w:val="18"/>
              </w:rPr>
              <w:t>容的每一份打开都有具有独特</w:t>
            </w:r>
            <w:r>
              <w:rPr>
                <w:rFonts w:ascii="宋体" w:hAnsi="宋体" w:cs="宋体" w:eastAsia="宋体" w:hint="default"/>
                <w:spacing w:val="14"/>
                <w:sz w:val="18"/>
                <w:szCs w:val="18"/>
              </w:rPr>
              <w:t> </w:t>
            </w:r>
            <w:r>
              <w:rPr>
                <w:rFonts w:ascii="宋体" w:hAnsi="宋体" w:cs="宋体" w:eastAsia="宋体" w:hint="default"/>
                <w:sz w:val="18"/>
                <w:szCs w:val="18"/>
              </w:rPr>
              <w:t>的身份信息，也就使得每一份文</w:t>
            </w:r>
            <w:r>
              <w:rPr>
                <w:rFonts w:ascii="宋体" w:hAnsi="宋体" w:cs="宋体" w:eastAsia="宋体" w:hint="default"/>
                <w:sz w:val="18"/>
                <w:szCs w:val="18"/>
              </w:rPr>
              <w:t> </w:t>
            </w:r>
            <w:r>
              <w:rPr>
                <w:rFonts w:ascii="宋体" w:hAnsi="宋体" w:cs="宋体" w:eastAsia="宋体" w:hint="default"/>
                <w:spacing w:val="14"/>
                <w:sz w:val="18"/>
                <w:szCs w:val="18"/>
              </w:rPr>
              <w:t>件的每一页的每一部分内容具</w:t>
            </w:r>
            <w:r>
              <w:rPr>
                <w:rFonts w:ascii="宋体" w:hAnsi="宋体" w:cs="宋体" w:eastAsia="宋体" w:hint="default"/>
                <w:spacing w:val="14"/>
                <w:sz w:val="18"/>
                <w:szCs w:val="18"/>
              </w:rPr>
              <w:t> </w:t>
            </w:r>
            <w:r>
              <w:rPr>
                <w:rFonts w:ascii="宋体" w:hAnsi="宋体" w:cs="宋体" w:eastAsia="宋体" w:hint="default"/>
                <w:sz w:val="18"/>
                <w:szCs w:val="18"/>
              </w:rPr>
              <w:t>备了可追溯性。</w:t>
            </w:r>
          </w:p>
        </w:tc>
        <w:tc>
          <w:tcPr>
            <w:tcW w:w="276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研发阶段</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p>
      <w:pPr>
        <w:pStyle w:val="BodyText"/>
        <w:spacing w:line="360" w:lineRule="auto"/>
        <w:ind w:left="513" w:right="0"/>
        <w:jc w:val="left"/>
      </w:pPr>
      <w:r>
        <w:rPr/>
        <w:t>以上项目对公司未来发展的影响： </w:t>
      </w:r>
      <w:r>
        <w:rPr>
          <w:spacing w:val="-4"/>
        </w:rPr>
        <w:t>信源豆豆是新一代互联网安全聚合通道，采用服务端、通道、客户端三端加密，通信、存储、访问、使用模式四重防护，</w:t>
      </w:r>
    </w:p>
    <w:p>
      <w:pPr>
        <w:pStyle w:val="BodyText"/>
        <w:spacing w:line="223" w:lineRule="exact"/>
        <w:ind w:right="0"/>
        <w:jc w:val="left"/>
      </w:pPr>
      <w:r>
        <w:rPr/>
        <w:t>真正实现即时通信和移动办公的数据安全。信源豆豆不仅仅是安全的即时通信，也是一个应用支撑平台，可为企业办公自动</w:t>
      </w:r>
    </w:p>
    <w:p>
      <w:pPr>
        <w:pStyle w:val="BodyText"/>
        <w:spacing w:line="316" w:lineRule="auto" w:before="76"/>
        <w:ind w:right="0"/>
        <w:jc w:val="left"/>
      </w:pPr>
      <w:r>
        <w:rPr>
          <w:spacing w:val="-4"/>
        </w:rPr>
        <w:t>化、企业或组织的业务应用系统、互联网应用等提供统一的安全通信和办公平台。信源豆豆更是新一代互联网安全聚合通道，</w:t>
      </w:r>
      <w:r>
        <w:rPr>
          <w:spacing w:val="-44"/>
        </w:rPr>
        <w:t> </w:t>
      </w:r>
      <w:r>
        <w:rPr>
          <w:spacing w:val="-44"/>
        </w:rPr>
      </w:r>
      <w:r>
        <w:rPr>
          <w:spacing w:val="-2"/>
        </w:rPr>
        <w:t>可以与物联网融合，可以在网络通信中嵌入智能机器人，实现基于会话内容的对话助手，构建基于信源豆豆的基础社交网络</w:t>
      </w:r>
      <w:r>
        <w:rPr>
          <w:spacing w:val="-63"/>
        </w:rPr>
        <w:t> </w:t>
      </w:r>
      <w:r>
        <w:rPr>
          <w:spacing w:val="-63"/>
        </w:rPr>
      </w:r>
      <w:r>
        <w:rPr/>
        <w:t>的聚合应用平台，进一步拓展社交网络通信系统的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功能。</w:t>
      </w:r>
    </w:p>
    <w:p>
      <w:pPr>
        <w:pStyle w:val="BodyText"/>
        <w:spacing w:line="312" w:lineRule="auto" w:before="37"/>
        <w:ind w:right="1135" w:firstLine="372"/>
        <w:jc w:val="both"/>
      </w:pPr>
      <w:r>
        <w:rPr/>
        <w:t>网络安全应急协调联动平台由一个核心平台和两类支撑系统组成，以核心平台（三个子系统）为核心支撑，以安全事 件</w:t>
      </w:r>
      <w:r>
        <w:rPr>
          <w:rFonts w:ascii="Times New Roman" w:hAnsi="Times New Roman" w:cs="Times New Roman" w:eastAsia="Times New Roman" w:hint="default"/>
        </w:rPr>
        <w:t>/</w:t>
      </w:r>
      <w:r>
        <w:rPr/>
        <w:t>风险上报、研判、处置、督促、反馈、预案管理等为基本功能，形成多级应急联动处置体系，以监测预警类系统（监测</w:t>
      </w:r>
      <w:r>
        <w:rPr>
          <w:spacing w:val="-51"/>
        </w:rPr>
        <w:t> </w:t>
      </w:r>
      <w:r>
        <w:rPr>
          <w:spacing w:val="-51"/>
        </w:rPr>
      </w:r>
      <w:r>
        <w:rPr>
          <w:spacing w:val="-2"/>
        </w:rPr>
        <w:t>系统和资产发现系统）和现场应急处置类系统（应急工具和服务）为技术支撑，形成完整的应急联动处置机制。使各行业用</w:t>
      </w:r>
      <w:r>
        <w:rPr>
          <w:spacing w:val="-67"/>
        </w:rPr>
        <w:t> </w:t>
      </w:r>
      <w:r>
        <w:rPr>
          <w:spacing w:val="-67"/>
        </w:rPr>
      </w:r>
      <w:r>
        <w:rPr/>
        <w:t>户单位能够采用技术手段构建一套网络安全应急事件的联动处理工作平台，提高应急联动协同处置能力。</w:t>
      </w:r>
    </w:p>
    <w:p>
      <w:pPr>
        <w:pStyle w:val="BodyText"/>
        <w:spacing w:line="309" w:lineRule="auto" w:before="22"/>
        <w:ind w:right="1039" w:firstLine="360"/>
        <w:jc w:val="left"/>
      </w:pPr>
      <w:r>
        <w:rPr>
          <w:spacing w:val="-3"/>
          <w:w w:val="99"/>
        </w:rPr>
        <w:t>智慧终端一体化管理平台采用</w:t>
      </w:r>
      <w:r>
        <w:rPr>
          <w:rFonts w:ascii="Times New Roman" w:hAnsi="Times New Roman" w:cs="Times New Roman" w:eastAsia="Times New Roman" w:hint="default"/>
          <w:spacing w:val="-3"/>
          <w:w w:val="99"/>
        </w:rPr>
        <w:t>“</w:t>
      </w:r>
      <w:r>
        <w:rPr>
          <w:spacing w:val="-3"/>
          <w:w w:val="99"/>
        </w:rPr>
        <w:t>云管端</w:t>
      </w:r>
      <w:r>
        <w:rPr>
          <w:rFonts w:ascii="Times New Roman" w:hAnsi="Times New Roman" w:cs="Times New Roman" w:eastAsia="Times New Roman" w:hint="default"/>
          <w:spacing w:val="-3"/>
          <w:w w:val="99"/>
        </w:rPr>
        <w:t>”</w:t>
      </w:r>
      <w:r>
        <w:rPr>
          <w:spacing w:val="-3"/>
          <w:w w:val="99"/>
        </w:rPr>
        <w:t>的理念，应用面向服务的</w:t>
      </w:r>
      <w:r>
        <w:rPr>
          <w:rFonts w:ascii="Times New Roman" w:hAnsi="Times New Roman" w:cs="Times New Roman" w:eastAsia="Times New Roman" w:hint="default"/>
          <w:spacing w:val="-3"/>
          <w:w w:val="99"/>
        </w:rPr>
        <w:t>SQA</w:t>
      </w:r>
      <w:r>
        <w:rPr>
          <w:spacing w:val="-3"/>
          <w:w w:val="99"/>
        </w:rPr>
        <w:t>架构，构建具备水平扩展能力的云计算和存储平台，</w:t>
      </w:r>
      <w:r>
        <w:rPr/>
        <w:t> </w:t>
      </w:r>
      <w:r>
        <w:rPr>
          <w:spacing w:val="-2"/>
        </w:rPr>
        <w:t>实现数据、策略、展示一体化管理。同时，通过对各类型终端功能和逻辑的抽象，形成统一的轻量级泛终端框架，支持安全</w:t>
      </w:r>
      <w:r>
        <w:rPr>
          <w:spacing w:val="-68"/>
        </w:rPr>
        <w:t> </w:t>
      </w:r>
      <w:r>
        <w:rPr>
          <w:spacing w:val="-68"/>
        </w:rPr>
      </w:r>
      <w:r>
        <w:rPr/>
        <w:t>策略的按需弹性动态部署和执行，实现了终端的一体化管理。</w:t>
      </w:r>
    </w:p>
    <w:p>
      <w:pPr>
        <w:pStyle w:val="BodyText"/>
        <w:spacing w:line="316" w:lineRule="auto" w:before="24"/>
        <w:ind w:right="1115" w:firstLine="360"/>
        <w:jc w:val="left"/>
      </w:pPr>
      <w:r>
        <w:rPr>
          <w:spacing w:val="-2"/>
        </w:rPr>
        <w:t>智慧数据安全防护系统和智慧边界接入控制系统是基于智慧终端一体化管理平台产品。这两类产品使得业务信息系统安</w:t>
      </w:r>
      <w:r>
        <w:rPr/>
        <w:t> 全边界更加清晰，数据安全策略的定制、分发和执行变得更为简单，有效降低业务终端、网络、存储的载荷，</w:t>
      </w:r>
      <w:r>
        <w:rPr>
          <w:spacing w:val="9"/>
        </w:rPr>
        <w:t> </w:t>
      </w:r>
      <w:r>
        <w:rPr/>
        <w:t>从而为用户</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525" w:right="1122" w:hanging="373"/>
        <w:jc w:val="left"/>
      </w:pPr>
      <w:r>
        <w:rPr/>
        <w:t>提供更绿色、更快捷、更安全、更稳定的安全防护应用。 网络与终端安全和行为大数据分析系统采集系统基础数据、终端行为数据、终端通信数据、网络协议数据、用户使用</w:t>
      </w:r>
    </w:p>
    <w:p>
      <w:pPr>
        <w:pStyle w:val="BodyText"/>
        <w:spacing w:line="316" w:lineRule="auto" w:before="19"/>
        <w:ind w:right="1034"/>
        <w:jc w:val="left"/>
      </w:pPr>
      <w:r>
        <w:rPr>
          <w:spacing w:val="-4"/>
        </w:rPr>
        <w:t>行为等实时信息和历史数据，进行收集、转换和存储，进而进行数据挖掘和机器学习，实现未知攻击、僵尸网络、数据异常、</w:t>
      </w:r>
      <w:r>
        <w:rPr>
          <w:spacing w:val="-44"/>
        </w:rPr>
        <w:t> </w:t>
      </w:r>
      <w:r>
        <w:rPr>
          <w:spacing w:val="-44"/>
        </w:rPr>
      </w:r>
      <w:r>
        <w:rPr>
          <w:spacing w:val="-2"/>
        </w:rPr>
        <w:t>未知漏洞利用等风险识别及分析，达到安全数据取证功能和海量数据综合分析能力，为企业的战略决策，提供了可靠的数据</w:t>
      </w:r>
      <w:r>
        <w:rPr>
          <w:spacing w:val="-63"/>
        </w:rPr>
        <w:t> </w:t>
      </w:r>
      <w:r>
        <w:rPr>
          <w:spacing w:val="-63"/>
        </w:rPr>
      </w:r>
      <w:r>
        <w:rPr/>
        <w:t>支持。</w:t>
      </w:r>
    </w:p>
    <w:p>
      <w:pPr>
        <w:pStyle w:val="BodyText"/>
        <w:spacing w:line="300" w:lineRule="auto" w:before="19"/>
        <w:ind w:right="1129" w:firstLine="372"/>
        <w:jc w:val="both"/>
      </w:pPr>
      <w:r>
        <w:rPr/>
        <w:t>打印复印及刻录安全监控与审计系统针对涉密单位打印、复印、光盘刻录管控要求，实现四集中管控：</w:t>
      </w:r>
      <w:r>
        <w:rPr>
          <w:rFonts w:ascii="Times New Roman" w:hAnsi="Times New Roman" w:cs="Times New Roman" w:eastAsia="Times New Roman" w:hint="default"/>
        </w:rPr>
        <w:t>“</w:t>
      </w:r>
      <w:r>
        <w:rPr/>
        <w:t>集中管控打印 机、复印机</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集中涉密载体管理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集中管控刻录机</w:t>
      </w:r>
      <w:r>
        <w:rPr>
          <w:rFonts w:ascii="Times New Roman" w:hAnsi="Times New Roman" w:cs="Times New Roman" w:eastAsia="Times New Roman" w:hint="default"/>
        </w:rPr>
        <w:t>”</w:t>
      </w:r>
      <w:r>
        <w:rPr/>
        <w:t>，基于条码技术，从文件的产生、流转、归档、销毁的全生命周期</w:t>
      </w:r>
      <w:r>
        <w:rPr>
          <w:spacing w:val="-35"/>
        </w:rPr>
        <w:t> </w:t>
      </w:r>
      <w:r>
        <w:rPr>
          <w:spacing w:val="-35"/>
        </w:rPr>
      </w:r>
      <w:r>
        <w:rPr/>
        <w:t>的各环节进行安全处理和管控，同时建立全生命周期过程中的审计、日志系统，对文件的安全流转进行全程监控。</w:t>
      </w:r>
    </w:p>
    <w:p>
      <w:pPr>
        <w:pStyle w:val="BodyText"/>
        <w:spacing w:line="312" w:lineRule="auto" w:before="31"/>
        <w:ind w:right="1132" w:firstLine="360"/>
        <w:jc w:val="both"/>
      </w:pPr>
      <w:r>
        <w:rPr>
          <w:spacing w:val="-2"/>
        </w:rPr>
        <w:t>服务器配置检查系统是专门针对服务器系统开发的一款配置检查系统，可以帮助企业</w:t>
      </w:r>
      <w:r>
        <w:rPr>
          <w:rFonts w:ascii="Times New Roman" w:hAnsi="Times New Roman" w:cs="Times New Roman" w:eastAsia="Times New Roman" w:hint="default"/>
          <w:spacing w:val="-2"/>
        </w:rPr>
        <w:t>IT</w:t>
      </w:r>
      <w:r>
        <w:rPr>
          <w:spacing w:val="-2"/>
        </w:rPr>
        <w:t>管理员即时掌握所有服务器的最</w:t>
      </w:r>
      <w:r>
        <w:rPr/>
        <w:t> </w:t>
      </w:r>
      <w:r>
        <w:rPr>
          <w:spacing w:val="-2"/>
        </w:rPr>
        <w:t>新配置状态，针对不合规的配置项，采取有效措施，快速消除风险隐患，有效提高企业的服务器配置管理水平。配置检查服</w:t>
      </w:r>
      <w:r>
        <w:rPr>
          <w:spacing w:val="-67"/>
        </w:rPr>
        <w:t> </w:t>
      </w:r>
      <w:r>
        <w:rPr>
          <w:spacing w:val="-67"/>
        </w:rPr>
      </w:r>
      <w:r>
        <w:rPr>
          <w:spacing w:val="-2"/>
        </w:rPr>
        <w:t>务主要包括漏洞检查、端口扫描、配置基线、杀毒软件、安全合规检查、痕迹检查、用户账户和配置检查扩展接口等。通过</w:t>
      </w:r>
      <w:r>
        <w:rPr>
          <w:spacing w:val="-73"/>
        </w:rPr>
        <w:t> </w:t>
      </w:r>
      <w:r>
        <w:rPr>
          <w:spacing w:val="-73"/>
        </w:rPr>
      </w:r>
      <w:r>
        <w:rPr/>
        <w:t>服务器配置检查系统自动化的检查手段做保障，提升服务器配置检查效率，从而快速应对企业安全发展需要。</w:t>
      </w:r>
    </w:p>
    <w:p>
      <w:pPr>
        <w:pStyle w:val="BodyText"/>
        <w:spacing w:line="307" w:lineRule="auto" w:before="22"/>
        <w:ind w:right="1034" w:firstLine="360"/>
        <w:jc w:val="left"/>
      </w:pPr>
      <w:r>
        <w:rPr>
          <w:spacing w:val="-2"/>
        </w:rPr>
        <w:t>安全免疫移动硬盘是一种用于保护数据安全的</w:t>
      </w:r>
      <w:r>
        <w:rPr>
          <w:rFonts w:ascii="Times New Roman" w:hAnsi="Times New Roman" w:cs="Times New Roman" w:eastAsia="Times New Roman" w:hint="default"/>
          <w:spacing w:val="-2"/>
        </w:rPr>
        <w:t>USB</w:t>
      </w:r>
      <w:r>
        <w:rPr>
          <w:spacing w:val="-2"/>
        </w:rPr>
        <w:t>移动硬盘，除移动硬盘基本功能外还包括采集信息工具、信息录入工</w:t>
      </w:r>
      <w:r>
        <w:rPr/>
        <w:t> 具、系统授权工具等模块组成，具有两种使用模式：</w:t>
      </w:r>
      <w:r>
        <w:rPr>
          <w:rFonts w:ascii="Times New Roman" w:hAnsi="Times New Roman" w:cs="Times New Roman" w:eastAsia="Times New Roman" w:hint="default"/>
        </w:rPr>
        <w:t>“</w:t>
      </w:r>
      <w:r>
        <w:rPr/>
        <w:t>内网专用安全移动硬盘</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单向导入安全移动硬盘</w:t>
      </w:r>
      <w:r>
        <w:rPr>
          <w:rFonts w:ascii="Times New Roman" w:hAnsi="Times New Roman" w:cs="Times New Roman" w:eastAsia="Times New Roman" w:hint="default"/>
        </w:rPr>
        <w:t>”</w:t>
      </w:r>
      <w:r>
        <w:rPr/>
        <w:t>。内网专用安全移 动硬盘主要用于内网数据备份存储与内部流转场景，单向导入安全移动硬盘用于外部数据单向导入防止内部数据外泄场景。 安全免疫移动硬盘可有效解决由计算机病毒、系统漏洞、隐蔽访问通道、黑客攻击等造成敏感数据泄密等问题。</w:t>
      </w:r>
    </w:p>
    <w:p>
      <w:pPr>
        <w:pStyle w:val="BodyText"/>
        <w:spacing w:line="314" w:lineRule="auto" w:before="26"/>
        <w:ind w:right="1129" w:firstLine="360"/>
        <w:jc w:val="both"/>
      </w:pPr>
      <w:r>
        <w:rPr>
          <w:spacing w:val="-2"/>
        </w:rPr>
        <w:t>虚拟化终端安全管理系统针对虚拟化环境下的新型安全问题，以虚拟机为核心保护对象进行全面管控，从边界安全、主</w:t>
      </w:r>
      <w:r>
        <w:rPr/>
        <w:t> </w:t>
      </w:r>
      <w:r>
        <w:rPr>
          <w:spacing w:val="-2"/>
        </w:rPr>
        <w:t>机安全、数据安全、安全监控和安全审计多维度实现安全防护，保障虚拟桌面终端和企业信息资产的安全。该系统通过与虚</w:t>
      </w:r>
      <w:r>
        <w:rPr>
          <w:spacing w:val="-64"/>
        </w:rPr>
        <w:t> </w:t>
      </w:r>
      <w:r>
        <w:rPr>
          <w:spacing w:val="-64"/>
        </w:rPr>
      </w:r>
      <w:r>
        <w:rPr>
          <w:spacing w:val="-2"/>
        </w:rPr>
        <w:t>拟化平台深度结合，采用在虚拟化领用领先的</w:t>
      </w:r>
      <w:r>
        <w:rPr>
          <w:rFonts w:ascii="Times New Roman" w:hAnsi="Times New Roman" w:cs="Times New Roman" w:eastAsia="Times New Roman" w:hint="default"/>
          <w:spacing w:val="-2"/>
        </w:rPr>
        <w:t>“</w:t>
      </w:r>
      <w:r>
        <w:rPr>
          <w:spacing w:val="-2"/>
        </w:rPr>
        <w:t>无代理、轻代理</w:t>
      </w:r>
      <w:r>
        <w:rPr>
          <w:rFonts w:ascii="Times New Roman" w:hAnsi="Times New Roman" w:cs="Times New Roman" w:eastAsia="Times New Roman" w:hint="default"/>
          <w:spacing w:val="-2"/>
        </w:rPr>
        <w:t>”</w:t>
      </w:r>
      <w:r>
        <w:rPr>
          <w:spacing w:val="-2"/>
        </w:rPr>
        <w:t>的技术实现思路，确保虚拟主机安全的同时极大的降低了对</w:t>
      </w:r>
      <w:r>
        <w:rPr>
          <w:spacing w:val="-43"/>
        </w:rPr>
        <w:t> </w:t>
      </w:r>
      <w:r>
        <w:rPr>
          <w:spacing w:val="-43"/>
        </w:rPr>
      </w:r>
      <w:r>
        <w:rPr>
          <w:spacing w:val="-2"/>
        </w:rPr>
        <w:t>系统资源和网络带宽资源的消耗，该系统安全功能实现覆盖了虚拟化环境下的三种不同的虚拟主机类型（在线虚拟机、离线</w:t>
      </w:r>
      <w:r>
        <w:rPr>
          <w:spacing w:val="-65"/>
        </w:rPr>
        <w:t> </w:t>
      </w:r>
      <w:r>
        <w:rPr>
          <w:spacing w:val="-65"/>
        </w:rPr>
      </w:r>
      <w:r>
        <w:rPr>
          <w:spacing w:val="-2"/>
        </w:rPr>
        <w:t>虚拟机、虚拟机模板），为用户管理提供灵活选择。实现对异构虚拟化平台的支持，支持国内外主流虚拟化厂商产品，极大</w:t>
      </w:r>
      <w:r>
        <w:rPr>
          <w:spacing w:val="-70"/>
        </w:rPr>
        <w:t> </w:t>
      </w:r>
      <w:r>
        <w:rPr>
          <w:spacing w:val="-70"/>
        </w:rPr>
      </w:r>
      <w:r>
        <w:rPr/>
        <w:t>保护了用户信息化投资。</w:t>
      </w:r>
    </w:p>
    <w:p>
      <w:pPr>
        <w:pStyle w:val="BodyText"/>
        <w:spacing w:line="316" w:lineRule="auto" w:before="61"/>
        <w:ind w:right="0" w:firstLine="360"/>
        <w:jc w:val="left"/>
      </w:pPr>
      <w:r>
        <w:rPr>
          <w:spacing w:val="-2"/>
        </w:rPr>
        <w:t>服务器安全运营管理平台，针对传统的安全防护体系容易忽略主机自身安全防护的问题，以服务器加固为核心在服务器</w:t>
      </w:r>
      <w:r>
        <w:rPr/>
        <w:t> </w:t>
      </w:r>
      <w:r>
        <w:rPr>
          <w:spacing w:val="-2"/>
        </w:rPr>
        <w:t>操作系统的基础上，通过安装安全类软件或手动修改操作系统配置的形式，从安全管理、运行安全、数据安全等角度提升操</w:t>
      </w:r>
      <w:r>
        <w:rPr>
          <w:spacing w:val="-64"/>
        </w:rPr>
        <w:t> </w:t>
      </w:r>
      <w:r>
        <w:rPr>
          <w:spacing w:val="-64"/>
        </w:rPr>
      </w:r>
      <w:r>
        <w:rPr>
          <w:spacing w:val="-2"/>
        </w:rPr>
        <w:t>作系统安全防护强度，保障重要信息系统安全。通过对服务器的操作系统进行安全加固，从系统底层为出发点，以可信计算</w:t>
      </w:r>
      <w:r>
        <w:rPr>
          <w:spacing w:val="-65"/>
        </w:rPr>
        <w:t> </w:t>
      </w:r>
      <w:r>
        <w:rPr>
          <w:spacing w:val="-65"/>
        </w:rPr>
      </w:r>
      <w:r>
        <w:rPr>
          <w:spacing w:val="-2"/>
        </w:rPr>
        <w:t>技术为基础、访问控制为核心，保证服务器的安全，形成严密的安全保护环境，抵御病毒木马等恶意代码的入侵行为。通过</w:t>
      </w:r>
      <w:r>
        <w:rPr>
          <w:spacing w:val="-67"/>
        </w:rPr>
        <w:t> </w:t>
      </w:r>
      <w:r>
        <w:rPr>
          <w:spacing w:val="-67"/>
        </w:rPr>
      </w:r>
      <w:r>
        <w:rPr>
          <w:spacing w:val="-4"/>
        </w:rPr>
        <w:t>对用户行为的控制，有效的防止非授权用户访问和授权用户的越权访问行为的发生，确保信息和信息系统的机密性和完整性，</w:t>
      </w:r>
      <w:r>
        <w:rPr>
          <w:spacing w:val="-42"/>
        </w:rPr>
        <w:t> </w:t>
      </w:r>
      <w:r>
        <w:rPr>
          <w:spacing w:val="-42"/>
        </w:rPr>
      </w:r>
      <w:r>
        <w:rPr>
          <w:spacing w:val="-4"/>
        </w:rPr>
        <w:t>从而为应用系统的正常运行和免遭恶意破坏提供支撑和保障。通过对操作系统本身的安全加固，打造服务器本身的免疫系统。</w:t>
      </w:r>
      <w:r>
        <w:rPr>
          <w:spacing w:val="-44"/>
        </w:rPr>
        <w:t> </w:t>
      </w:r>
      <w:r>
        <w:rPr>
          <w:spacing w:val="-44"/>
        </w:rPr>
      </w:r>
      <w:r>
        <w:rPr>
          <w:spacing w:val="-2"/>
        </w:rPr>
        <w:t>可以有效的规避因打补丁给服务器带来的风险，切断黑客的攻击途径。同时，本方案通过主动防御和防网络攻击等功能弥补</w:t>
      </w:r>
      <w:r>
        <w:rPr>
          <w:spacing w:val="-66"/>
        </w:rPr>
        <w:t> </w:t>
      </w:r>
      <w:r>
        <w:rPr>
          <w:spacing w:val="-66"/>
        </w:rPr>
      </w:r>
      <w:r>
        <w:rPr>
          <w:spacing w:val="-2"/>
        </w:rPr>
        <w:t>了传统安全产品的不足，避免出现信息安全的短板效应，提高了系统的整体防御能力。通过构建统一安全管理平台（安全管</w:t>
      </w:r>
      <w:r>
        <w:rPr>
          <w:spacing w:val="-65"/>
        </w:rPr>
        <w:t> </w:t>
      </w:r>
      <w:r>
        <w:rPr>
          <w:spacing w:val="-65"/>
        </w:rPr>
      </w:r>
      <w:r>
        <w:rPr>
          <w:spacing w:val="-2"/>
        </w:rPr>
        <w:t>理中心），对整个网络系统的服务器统一管理、集中控制，保证各项安全机制的高度协调统一。消除各个服务器由于配置不</w:t>
      </w:r>
      <w:r>
        <w:rPr>
          <w:spacing w:val="-67"/>
        </w:rPr>
        <w:t> </w:t>
      </w:r>
      <w:r>
        <w:rPr>
          <w:spacing w:val="-67"/>
        </w:rPr>
      </w:r>
      <w:r>
        <w:rPr/>
        <w:t>同造成的安全隐患，最终构建一道针对整个服务器系统的整体安全防线，有效保护服务器系统中的信息安全。</w:t>
      </w:r>
    </w:p>
    <w:p>
      <w:pPr>
        <w:pStyle w:val="BodyText"/>
        <w:spacing w:line="316" w:lineRule="auto" w:before="57"/>
        <w:ind w:right="1130" w:firstLine="360"/>
        <w:jc w:val="both"/>
      </w:pPr>
      <w:r>
        <w:rPr>
          <w:spacing w:val="-2"/>
        </w:rPr>
        <w:t>特权账号生命周期管控系统提供了从账号发现、账号自动改密、密码安全存储、账号授权到账号回收的特权账号全生命</w:t>
      </w:r>
      <w:r>
        <w:rPr/>
        <w:t> </w:t>
      </w:r>
      <w:r>
        <w:rPr>
          <w:spacing w:val="-2"/>
        </w:rPr>
        <w:t>周期管控，产品作为运维的统一入口，提供单点登录功能，登录时自动回填用户名密码，通过对账号权限的配置，实现特权</w:t>
      </w:r>
      <w:r>
        <w:rPr>
          <w:spacing w:val="-67"/>
        </w:rPr>
        <w:t> </w:t>
      </w:r>
      <w:r>
        <w:rPr>
          <w:spacing w:val="-67"/>
        </w:rPr>
      </w:r>
      <w:r>
        <w:rPr>
          <w:spacing w:val="-2"/>
        </w:rPr>
        <w:t>账号最小权限，同时强化运维人员的身份认证，确保只有符合要求的运维用户才能够进行安全运维，从而加强对后端资产的</w:t>
      </w:r>
      <w:r>
        <w:rPr>
          <w:spacing w:val="-63"/>
        </w:rPr>
        <w:t> </w:t>
      </w:r>
      <w:r>
        <w:rPr>
          <w:spacing w:val="-63"/>
        </w:rPr>
      </w:r>
      <w:r>
        <w:rPr>
          <w:spacing w:val="-2"/>
        </w:rPr>
        <w:t>安全保护。同时，提供全程运维审计功能，通过审计功能可对运维用户的操作行为进行检索及全程回放，保障违规操作可溯</w:t>
      </w:r>
      <w:r>
        <w:rPr>
          <w:spacing w:val="-64"/>
        </w:rPr>
        <w:t> </w:t>
      </w:r>
      <w:r>
        <w:rPr>
          <w:spacing w:val="-64"/>
        </w:rPr>
      </w:r>
      <w:r>
        <w:rPr/>
        <w:t>源，构建账号可管理、权限可控制、身份可认证、行为可审计、事件可溯源、违规可举证、事故可追责的安全平台。</w:t>
      </w:r>
    </w:p>
    <w:p>
      <w:pPr>
        <w:pStyle w:val="BodyText"/>
        <w:spacing w:line="309" w:lineRule="auto" w:before="59"/>
        <w:ind w:right="1129" w:firstLine="360"/>
        <w:jc w:val="both"/>
      </w:pPr>
      <w:r>
        <w:rPr>
          <w:spacing w:val="-2"/>
        </w:rPr>
        <w:t>主机</w:t>
      </w:r>
      <w:r>
        <w:rPr>
          <w:rFonts w:ascii="Times New Roman" w:hAnsi="Times New Roman" w:cs="Times New Roman" w:eastAsia="Times New Roman" w:hint="default"/>
          <w:spacing w:val="-2"/>
        </w:rPr>
        <w:t>EDR</w:t>
      </w:r>
      <w:r>
        <w:rPr>
          <w:spacing w:val="-2"/>
        </w:rPr>
        <w:t>系统通过主机检测引擎和主机修复引擎采集主机系统中的文件、进程、配置、软件等相关信息，交由主机安全</w:t>
      </w:r>
      <w:r>
        <w:rPr/>
        <w:t> </w:t>
      </w:r>
      <w:r>
        <w:rPr>
          <w:spacing w:val="-2"/>
        </w:rPr>
        <w:t>管理平台进行集中管理和维护，从而能够资产管理、安全基线管理、弱口令管理、主机漏洞管理、网站漏洞管理等多方面及</w:t>
      </w:r>
      <w:r>
        <w:rPr>
          <w:spacing w:val="-67"/>
        </w:rPr>
        <w:t> </w:t>
      </w:r>
      <w:r>
        <w:rPr>
          <w:spacing w:val="-67"/>
        </w:rPr>
      </w:r>
      <w:r>
        <w:rPr>
          <w:spacing w:val="-2"/>
        </w:rPr>
        <w:t>时有效的发现主机系统存在的安全问题。主机</w:t>
      </w:r>
      <w:r>
        <w:rPr>
          <w:rFonts w:ascii="Times New Roman" w:hAnsi="Times New Roman" w:cs="Times New Roman" w:eastAsia="Times New Roman" w:hint="default"/>
          <w:spacing w:val="-2"/>
        </w:rPr>
        <w:t>EDR</w:t>
      </w:r>
      <w:r>
        <w:rPr>
          <w:spacing w:val="-2"/>
        </w:rPr>
        <w:t>系统能够从主机安全的多方面出发，全面监控系统的安全状态。不仅能够</w:t>
      </w:r>
      <w:r>
        <w:rPr>
          <w:spacing w:val="-60"/>
        </w:rPr>
        <w:t> </w:t>
      </w:r>
      <w:r>
        <w:rPr>
          <w:spacing w:val="-60"/>
        </w:rPr>
      </w:r>
      <w:r>
        <w:rPr>
          <w:spacing w:val="-2"/>
        </w:rPr>
        <w:t>针对主机进行某一方面的安全检测，还提供对整个主机安全状况的全面测评，生成专家级的主机安全统计分析报告，方便用</w:t>
      </w:r>
      <w:r>
        <w:rPr>
          <w:spacing w:val="-63"/>
        </w:rPr>
        <w:t> </w:t>
      </w:r>
      <w:r>
        <w:rPr>
          <w:spacing w:val="-63"/>
        </w:rPr>
      </w:r>
      <w:r>
        <w:rPr/>
        <w:t>户追踪和定位主机中存在的安全问题。</w:t>
      </w:r>
    </w:p>
    <w:p>
      <w:pPr>
        <w:pStyle w:val="BodyText"/>
        <w:spacing w:line="316" w:lineRule="auto" w:before="65"/>
        <w:ind w:right="1133" w:firstLine="360"/>
        <w:jc w:val="both"/>
      </w:pPr>
      <w:r>
        <w:rPr>
          <w:spacing w:val="-2"/>
        </w:rPr>
        <w:t>北信源电子文件密级标志管理系统是涉密信息系统的必备基础软件。从文件的预定密（起草）、到文件定密，签发，国</w:t>
      </w:r>
      <w:r>
        <w:rPr/>
        <w:t> </w:t>
      </w:r>
      <w:r>
        <w:rPr>
          <w:spacing w:val="-2"/>
        </w:rPr>
        <w:t>家秘密变更到文件解密脱密，系统中包括了详细的功能和流程。该产品自身与电子文档安全管理系统产品以及文档发文信息</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隐写溯源系统联系紧密，可绑定销售。与密级标志运管系统紧密相连（网络版部署在同一服务器上），与整个国产化生态中</w:t>
      </w:r>
      <w:r>
        <w:rPr>
          <w:spacing w:val="-67"/>
        </w:rPr>
        <w:t> </w:t>
      </w:r>
      <w:r>
        <w:rPr>
          <w:spacing w:val="-67"/>
        </w:rPr>
      </w:r>
      <w:r>
        <w:rPr>
          <w:spacing w:val="-2"/>
        </w:rPr>
        <w:t>各个安全产品都有所关联。给主审提供日志信息、给邮件和打印类软件提供标准接口。密级标志管理系统就是国产化涉密信</w:t>
      </w:r>
      <w:r>
        <w:rPr>
          <w:spacing w:val="-63"/>
        </w:rPr>
        <w:t> </w:t>
      </w:r>
      <w:r>
        <w:rPr>
          <w:spacing w:val="-63"/>
        </w:rPr>
      </w:r>
      <w:r>
        <w:rPr/>
        <w:t>息系统的核心，各产品销售项目都会带来和密级标志管理系统的商机。</w:t>
      </w:r>
    </w:p>
    <w:p>
      <w:pPr>
        <w:pStyle w:val="BodyText"/>
        <w:spacing w:line="316" w:lineRule="auto" w:before="59"/>
        <w:ind w:right="0" w:firstLine="360"/>
        <w:jc w:val="left"/>
      </w:pPr>
      <w:r>
        <w:rPr>
          <w:spacing w:val="-2"/>
        </w:rPr>
        <w:t>北信源文档发文信息隐写溯源系统是作为涉密信息系统的必备基础软件。文档在打开时就自动加入隐写信息，保护文档</w:t>
      </w:r>
      <w:r>
        <w:rPr/>
        <w:t> </w:t>
      </w:r>
      <w:r>
        <w:rPr>
          <w:spacing w:val="-2"/>
        </w:rPr>
        <w:t>在阅读过程中防截屏拍照以及打印的纸质文档溯源。将肉眼不可见的溯源信息通过隐写技术加入到文档中，文档在截屏拍照</w:t>
      </w:r>
      <w:r>
        <w:rPr>
          <w:spacing w:val="-64"/>
        </w:rPr>
        <w:t> </w:t>
      </w:r>
      <w:r>
        <w:rPr>
          <w:spacing w:val="-64"/>
        </w:rPr>
      </w:r>
      <w:r>
        <w:rPr>
          <w:spacing w:val="-2"/>
        </w:rPr>
        <w:t>时照片图片中会包括隐写信息。当保护隐写信息的文档被打印成纸质文档时，文档中仍然包括隐写信息。当涉密信息发生泄</w:t>
      </w:r>
      <w:r>
        <w:rPr>
          <w:spacing w:val="-63"/>
        </w:rPr>
        <w:t> </w:t>
      </w:r>
      <w:r>
        <w:rPr>
          <w:spacing w:val="-63"/>
        </w:rPr>
      </w:r>
      <w:r>
        <w:rPr>
          <w:spacing w:val="-4"/>
        </w:rPr>
        <w:t>密时可提取隐写信息进行溯源。隐写信息包括用户的信息和加入隐写的时间日期。因隐写溯源系统也要控制文件打开的动作，</w:t>
      </w:r>
      <w:r>
        <w:rPr>
          <w:spacing w:val="-44"/>
        </w:rPr>
        <w:t> </w:t>
      </w:r>
      <w:r>
        <w:rPr>
          <w:spacing w:val="-44"/>
        </w:rPr>
      </w:r>
      <w:r>
        <w:rPr>
          <w:spacing w:val="-2"/>
        </w:rPr>
        <w:t>所以在技术层面与密级标志管理系统有重合，一般项目中要使用统一厂商的隐写溯源系统和密级标志管理系统，因两个产品</w:t>
      </w:r>
      <w:r>
        <w:rPr>
          <w:spacing w:val="-62"/>
        </w:rPr>
        <w:t> </w:t>
      </w:r>
      <w:r>
        <w:rPr>
          <w:spacing w:val="-62"/>
        </w:rPr>
      </w:r>
      <w:r>
        <w:rPr/>
        <w:t>都是国产化基础软件，所以做密级标志管理系统也要做隐写溯源系统是为了更好的在项目中提升竞争力。</w:t>
      </w:r>
    </w:p>
    <w:p>
      <w:pPr>
        <w:pStyle w:val="BodyText"/>
        <w:spacing w:line="319" w:lineRule="auto" w:before="57"/>
        <w:ind w:right="1122" w:firstLine="360"/>
        <w:jc w:val="left"/>
      </w:pPr>
      <w:r>
        <w:rPr>
          <w:spacing w:val="-2"/>
        </w:rPr>
        <w:t>上述研发项目的研发将大大提升公司现有产品面的整体竞争力，为公司提供更为优质的销售资源，开拓业务增长点，提</w:t>
      </w:r>
      <w:r>
        <w:rPr/>
        <w:t> 升公司整体业绩和品牌形象。</w:t>
      </w:r>
    </w:p>
    <w:p>
      <w:pPr>
        <w:spacing w:line="240" w:lineRule="auto" w:before="0"/>
        <w:rPr>
          <w:rFonts w:ascii="宋体" w:hAnsi="宋体" w:cs="宋体" w:eastAsia="宋体" w:hint="default"/>
          <w:sz w:val="18"/>
          <w:szCs w:val="18"/>
        </w:rPr>
      </w:pPr>
    </w:p>
    <w:p>
      <w:pPr>
        <w:pStyle w:val="BodyText"/>
        <w:spacing w:line="240" w:lineRule="auto" w:before="134"/>
        <w:ind w:right="0"/>
        <w:jc w:val="both"/>
      </w:pPr>
      <w:r>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43.79%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117,265,282.34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119,995,094.78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101,050,908.99</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19.63%</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56,512,228.46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50,133,213.33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41,142,993.54</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40.72%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17"/>
        <w:jc w:val="left"/>
      </w:pPr>
      <w:r>
        <w:rPr/>
        <w:t>研发投入总额占营业收入的比重较上年发生显著变化的原因</w:t>
      </w:r>
    </w:p>
    <w:p>
      <w:pPr>
        <w:pStyle w:val="BodyText"/>
        <w:spacing w:line="340" w:lineRule="auto" w:before="115"/>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227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信源豆豆应用市场系统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9,993,950.00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信源豆豆应用市场系统，让第 三方应用开发商能够方便开 发、提交、展示、销售自己开 发的应用。购买过信源豆豆的 客户方便查找、试用、购买、 升级符合自己需求的第三方 应用。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研发阶段，截至期末研发进度</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35%</w:t>
            </w:r>
          </w:p>
        </w:tc>
      </w:tr>
      <w:tr>
        <w:trPr>
          <w:trHeight w:val="98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云文档安全集中管控系统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6,771,929.61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北信源的云文档集中管控安 全系统用于监控电子文档在 使用中、流转中、存储中的文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研发阶段，截至期末研发进度</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5.869995pt;margin-top:422.719971pt;width:119.1pt;height:334.25pt;mso-position-horizontal-relative:page;mso-position-vertical-relative:page;z-index:-1201384" coordorigin="8317,8454" coordsize="2382,6685">
            <v:group style="position:absolute;left:8317;top:8454;width:2382;height:3514" coordorigin="8317,8454" coordsize="2382,3514">
              <v:shape style="position:absolute;left:8317;top:8454;width:2382;height:3514" coordorigin="8317,8454" coordsize="2382,3514" path="m8317,11968l10699,11968,10699,8454,8317,8454,8317,11968xe" filled="true" fillcolor="#ffffff" stroked="false">
                <v:path arrowok="t"/>
                <v:fill type="solid"/>
              </v:shape>
            </v:group>
            <v:group style="position:absolute;left:8339;top:10014;width:2336;height:394" coordorigin="8339,10014" coordsize="2336,394">
              <v:shape style="position:absolute;left:8339;top:10014;width:2336;height:394" coordorigin="8339,10014" coordsize="2336,394" path="m8339,10408l10675,10408,10675,10014,8339,10014,8339,10408xe" filled="true" fillcolor="#ffffff" stroked="false">
                <v:path arrowok="t"/>
                <v:fill type="solid"/>
              </v:shape>
            </v:group>
            <v:group style="position:absolute;left:8317;top:11978;width:2382;height:3162" coordorigin="8317,11978" coordsize="2382,3162">
              <v:shape style="position:absolute;left:8317;top:11978;width:2382;height:3162" coordorigin="8317,11978" coordsize="2382,3162" path="m8317,15139l10699,15139,10699,11978,8317,11978,8317,15139xe" filled="true" fillcolor="#ffffff" stroked="false">
                <v:path arrowok="t"/>
                <v:fill type="solid"/>
              </v:shape>
            </v:group>
            <v:group style="position:absolute;left:8339;top:13363;width:2336;height:392" coordorigin="8339,13363" coordsize="2336,392">
              <v:shape style="position:absolute;left:8339;top:13363;width:2336;height:392" coordorigin="8339,13363" coordsize="2336,392" path="m8339,13754l10675,13754,10675,13363,8339,13363,8339,1375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2547"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z w:val="18"/>
                <w:szCs w:val="18"/>
              </w:rPr>
              <w:t>件安全，并且依照密级针对使 用人进行使用权限判别，从文 件的创建、修改、删除、授权 等追溯文件的全生命周期，并 对各环节进行安全处理和管 控，同时建立全生命周期过程 中的审计、日志系统，对文件 的安全流转进行全程监控。</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45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EDR </w:t>
            </w:r>
            <w:r>
              <w:rPr>
                <w:rFonts w:ascii="宋体" w:hAnsi="宋体" w:cs="宋体" w:eastAsia="宋体" w:hint="default"/>
                <w:sz w:val="18"/>
                <w:szCs w:val="18"/>
              </w:rPr>
              <w:t>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6,832,812.03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主机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HDR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系统，将主机系统 和业务软件上常见的安全问 题整合起来，集成了资产管 理、漏洞检查、安全配置等多 方面的安全检测于一体，对不 同主机系统上的安全状态进 行集中统一管理和控制，通过 特征检测及可视化展示等手 段，针对主机建立完善的安全 态势全面监控、安全威胁实时 预警、安全事故紧急响应的能 力，通过独立的自适应体系结 构协助安全管理员快速发现 和分析安全问题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研发阶段，截至期末研发进度</w:t>
            </w:r>
          </w:p>
          <w:p>
            <w:pPr>
              <w:pStyle w:val="TableParagraph"/>
              <w:spacing w:line="240" w:lineRule="auto" w:before="118"/>
              <w:ind w:left="23" w:right="0"/>
              <w:jc w:val="left"/>
              <w:rPr>
                <w:rFonts w:ascii="Times New Roman" w:hAnsi="Times New Roman" w:cs="Times New Roman" w:eastAsia="Times New Roman" w:hint="default"/>
                <w:sz w:val="18"/>
                <w:szCs w:val="18"/>
              </w:rPr>
            </w:pPr>
            <w:r>
              <w:rPr>
                <w:rFonts w:ascii="Times New Roman"/>
                <w:sz w:val="18"/>
              </w:rPr>
              <w:t>65%</w:t>
            </w:r>
          </w:p>
        </w:tc>
      </w:tr>
      <w:tr>
        <w:trPr>
          <w:trHeight w:val="35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信源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统一平台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1,458,425.50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CEMS </w:t>
            </w:r>
            <w:r>
              <w:rPr>
                <w:rFonts w:ascii="宋体" w:hAnsi="宋体" w:cs="宋体" w:eastAsia="宋体" w:hint="default"/>
                <w:sz w:val="18"/>
                <w:szCs w:val="18"/>
              </w:rPr>
              <w:t>统一平台依托泛终端一 体化安全管控体系架构设计 成果，分析各类终端可实现的 安全管控功能范围，对公司 </w:t>
            </w:r>
            <w:r>
              <w:rPr>
                <w:rFonts w:ascii="Times New Roman" w:hAnsi="Times New Roman" w:cs="Times New Roman" w:eastAsia="Times New Roman" w:hint="default"/>
                <w:spacing w:val="-4"/>
                <w:sz w:val="18"/>
                <w:szCs w:val="18"/>
              </w:rPr>
              <w:t>PC</w:t>
            </w:r>
            <w:r>
              <w:rPr>
                <w:rFonts w:ascii="宋体" w:hAnsi="宋体" w:cs="宋体" w:eastAsia="宋体" w:hint="default"/>
                <w:spacing w:val="-4"/>
                <w:sz w:val="18"/>
                <w:szCs w:val="18"/>
              </w:rPr>
              <w:t>、云终端、打印机、摄像头</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等各类办公终端统一管控。系</w:t>
            </w:r>
            <w:r>
              <w:rPr>
                <w:rFonts w:ascii="宋体" w:hAnsi="宋体" w:cs="宋体" w:eastAsia="宋体" w:hint="default"/>
                <w:sz w:val="18"/>
                <w:szCs w:val="18"/>
              </w:rPr>
              <w:t> </w:t>
            </w:r>
            <w:r>
              <w:rPr>
                <w:rFonts w:ascii="宋体" w:hAnsi="宋体" w:cs="宋体" w:eastAsia="宋体" w:hint="default"/>
                <w:spacing w:val="-6"/>
                <w:w w:val="100"/>
                <w:sz w:val="18"/>
                <w:szCs w:val="18"/>
              </w:rPr>
              <w:t>统架构遵循</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一平台、微服务</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39"/>
                <w:w w:val="100"/>
                <w:sz w:val="18"/>
                <w:szCs w:val="18"/>
              </w:rPr>
              <w:t> </w:t>
            </w:r>
            <w:r>
              <w:rPr>
                <w:rFonts w:ascii="宋体" w:hAnsi="宋体" w:cs="宋体" w:eastAsia="宋体" w:hint="default"/>
                <w:sz w:val="18"/>
                <w:szCs w:val="18"/>
              </w:rPr>
              <w:t>具备横向扩展能力，保证未来 系统的平滑升级，并增加对作 业类、采集类等终端的安全管 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before="76"/>
              <w:ind w:left="-12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应急协调指挥平台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17,138,175.42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2"/>
              <w:jc w:val="left"/>
              <w:rPr>
                <w:rFonts w:ascii="宋体" w:hAnsi="宋体" w:cs="宋体" w:eastAsia="宋体" w:hint="default"/>
                <w:sz w:val="18"/>
                <w:szCs w:val="18"/>
              </w:rPr>
            </w:pPr>
            <w:r>
              <w:rPr>
                <w:rFonts w:ascii="宋体" w:hAnsi="宋体" w:cs="宋体" w:eastAsia="宋体" w:hint="default"/>
                <w:sz w:val="18"/>
                <w:szCs w:val="18"/>
              </w:rPr>
              <w:t>网络安全应急协调指挥平台 由一个核心平台和两类支撑 系统组成。以核心平台（三个 子系统）为核心支撑，以安全 事件</w:t>
            </w:r>
            <w:r>
              <w:rPr>
                <w:rFonts w:ascii="Times New Roman" w:hAnsi="Times New Roman" w:cs="Times New Roman" w:eastAsia="Times New Roman" w:hint="default"/>
                <w:sz w:val="18"/>
                <w:szCs w:val="18"/>
              </w:rPr>
              <w:t>/</w:t>
            </w:r>
            <w:r>
              <w:rPr>
                <w:rFonts w:ascii="宋体" w:hAnsi="宋体" w:cs="宋体" w:eastAsia="宋体" w:hint="default"/>
                <w:sz w:val="18"/>
                <w:szCs w:val="18"/>
              </w:rPr>
              <w:t>风险上报、研判、处置、 督促、反馈、预案管理等为基 本功能，形成多级应急联动处 置体系。以监测预警类系统</w:t>
            </w:r>
          </w:p>
          <w:p>
            <w:pPr>
              <w:pStyle w:val="TableParagraph"/>
              <w:spacing w:line="316" w:lineRule="auto" w:before="21"/>
              <w:ind w:left="23" w:right="17"/>
              <w:jc w:val="left"/>
              <w:rPr>
                <w:rFonts w:ascii="宋体" w:hAnsi="宋体" w:cs="宋体" w:eastAsia="宋体" w:hint="default"/>
                <w:sz w:val="18"/>
                <w:szCs w:val="18"/>
              </w:rPr>
            </w:pPr>
            <w:r>
              <w:rPr>
                <w:rFonts w:ascii="宋体" w:hAnsi="宋体" w:cs="宋体" w:eastAsia="宋体" w:hint="default"/>
                <w:sz w:val="18"/>
                <w:szCs w:val="18"/>
              </w:rPr>
              <w:t>（监测系统和资产发现系统） 和现场应急处置类系统（应急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675"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7"/>
              <w:jc w:val="left"/>
              <w:rPr>
                <w:rFonts w:ascii="宋体" w:hAnsi="宋体" w:cs="宋体" w:eastAsia="宋体" w:hint="default"/>
                <w:sz w:val="18"/>
                <w:szCs w:val="18"/>
              </w:rPr>
            </w:pPr>
            <w:r>
              <w:rPr>
                <w:rFonts w:ascii="宋体" w:hAnsi="宋体" w:cs="宋体" w:eastAsia="宋体" w:hint="default"/>
                <w:sz w:val="18"/>
                <w:szCs w:val="18"/>
              </w:rPr>
              <w:t>工具和服务）为技术支撑，形 成完整的应急联动处置机制。</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北信源自主可控安全套件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14,297,935.90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北信源自主可控安全套件依 托北信源逾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年超千万终端 运行经验及架构设计成果，分 析各类终端可实现的安全管 控功能范围，对自主国产终端 终端统一管控。系统架构遵循 </w:t>
            </w:r>
            <w:r>
              <w:rPr>
                <w:rFonts w:ascii="Times New Roman" w:hAnsi="Times New Roman" w:cs="Times New Roman" w:eastAsia="Times New Roman" w:hint="default"/>
                <w:sz w:val="18"/>
                <w:szCs w:val="18"/>
              </w:rPr>
              <w:t>“</w:t>
            </w:r>
            <w:r>
              <w:rPr>
                <w:rFonts w:ascii="宋体" w:hAnsi="宋体" w:cs="宋体" w:eastAsia="宋体" w:hint="default"/>
                <w:sz w:val="18"/>
                <w:szCs w:val="18"/>
              </w:rPr>
              <w:t>一平台、微服务</w:t>
            </w:r>
            <w:r>
              <w:rPr>
                <w:rFonts w:ascii="Times New Roman" w:hAnsi="Times New Roman" w:cs="Times New Roman" w:eastAsia="Times New Roman" w:hint="default"/>
                <w:sz w:val="18"/>
                <w:szCs w:val="18"/>
              </w:rPr>
              <w:t>”</w:t>
            </w:r>
            <w:r>
              <w:rPr>
                <w:rFonts w:ascii="宋体" w:hAnsi="宋体" w:cs="宋体" w:eastAsia="宋体" w:hint="default"/>
                <w:sz w:val="18"/>
                <w:szCs w:val="18"/>
              </w:rPr>
              <w:t>，具备横向 扩展能力，保证未来系统的平 滑升级，并增加对作业类、采 集类等终端的安全管控。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2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97"/>
              <w:jc w:val="left"/>
              <w:rPr>
                <w:rFonts w:ascii="宋体" w:hAnsi="宋体" w:cs="宋体" w:eastAsia="宋体" w:hint="default"/>
                <w:sz w:val="18"/>
                <w:szCs w:val="18"/>
              </w:rPr>
            </w:pPr>
            <w:r>
              <w:rPr>
                <w:rFonts w:ascii="宋体" w:hAnsi="宋体" w:cs="宋体" w:eastAsia="宋体" w:hint="default"/>
                <w:sz w:val="18"/>
                <w:szCs w:val="18"/>
              </w:rPr>
              <w:t>软著人工智能联盟企业服务 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人工智能联盟企业服务平台 是一款企业办公服务管理的 平台，能够让操作者可全面的 掌控维护企业的办公信息和 运营数据的集合管理和处理， 智能化的办公界面和功能，让 企业的运行情况和内容信息 数据全面的掌控好企业的运 行状态。软件设计根据用户的 需求研发而得，功能强大，分 为不同的板块和信息。</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209"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软著人工智能联盟创新系统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人工智能联盟创新系统是基 于人工智能的提供联盟创新 服务的一个系统，用户进入系 统后可以点击显示的服务功 能模块，进入对应的页面进行 操作，包含有找服务、招商引 资等功能模块，用户在对应的 页面中完成操作即可，系统还 为用户提供了搜索功能，为用 户查询信息提供了方便。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pStyle w:val="BodyText"/>
        <w:spacing w:line="316" w:lineRule="auto" w:before="8"/>
        <w:ind w:left="513" w:right="1122"/>
        <w:jc w:val="left"/>
      </w:pPr>
      <w:r>
        <w:rPr/>
        <w:t>本集团将内部研究开发项目的支出，区分为研究阶段支出和开发阶段支出。 </w:t>
      </w:r>
      <w:r>
        <w:rPr>
          <w:spacing w:val="-2"/>
        </w:rPr>
        <w:t>在项目前期进行市场调研、走访客户，了解需求并撰写《项目研究立项书》，在该阶段，由于存在不确定性，将其划为</w:t>
      </w:r>
    </w:p>
    <w:p>
      <w:pPr>
        <w:pStyle w:val="BodyText"/>
        <w:spacing w:line="316" w:lineRule="auto" w:before="19"/>
        <w:ind w:left="513" w:right="1122" w:hanging="361"/>
        <w:jc w:val="left"/>
      </w:pPr>
      <w:r>
        <w:rPr/>
        <w:t>研究阶段。研究阶段的支出，于发生时计入当期损益。 </w:t>
      </w:r>
      <w:r>
        <w:rPr>
          <w:spacing w:val="-2"/>
        </w:rPr>
        <w:t>项目立项后，本集团对项目进行可行性分析，包括分析该项目完成形成无形资产后是否在技术上具有使用或出售的可行</w:t>
      </w:r>
    </w:p>
    <w:p>
      <w:pPr>
        <w:pStyle w:val="BodyText"/>
        <w:spacing w:line="316" w:lineRule="auto" w:before="19"/>
        <w:ind w:right="1130"/>
        <w:jc w:val="both"/>
      </w:pPr>
      <w:r>
        <w:rPr>
          <w:spacing w:val="-2"/>
        </w:rPr>
        <w:t>性和意图；分析无形资产产生利益的方式；分析本集团是否有足够的技术，财务资源和其他资源，有能力完成该项无形资产</w:t>
      </w:r>
      <w:r>
        <w:rPr>
          <w:spacing w:val="-65"/>
        </w:rPr>
        <w:t> </w:t>
      </w:r>
      <w:r>
        <w:rPr>
          <w:spacing w:val="-65"/>
        </w:rPr>
      </w:r>
      <w:r>
        <w:rPr>
          <w:spacing w:val="-2"/>
        </w:rPr>
        <w:t>的开发，分析归属于该项无形资产开发阶段的支出是否能够可靠计量。并将以上分析记录在项目可行性报告中，得出项目可</w:t>
      </w:r>
      <w:r>
        <w:rPr>
          <w:spacing w:val="-63"/>
        </w:rPr>
        <w:t> </w:t>
      </w:r>
      <w:r>
        <w:rPr>
          <w:spacing w:val="-63"/>
        </w:rPr>
      </w:r>
      <w:r>
        <w:rPr/>
        <w:t>行性结论的项目，开发阶段的支出给予在资本化否则，计入当期损益。</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696,047,629.42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440,915,751.78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57.86%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787,884,948.29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528,149,262.97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49.18%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-91,837,318.87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-87,233,511.19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1,912,136,818.86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2,903,846,255.88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-34.15%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2,252,468,863.13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3,204,834,795.42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-29.72%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-340,332,044.27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-300,988,539.54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-13.07%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100,514,512.81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16,287,814.21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58,408,846.21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-72.11%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84,226,698.60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-58,408,846.21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244.20%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-347,930,630.31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-446,602,444.57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22.09%</w:t>
            </w:r>
          </w:p>
        </w:tc>
      </w:tr>
    </w:tbl>
    <w:p>
      <w:pPr>
        <w:pStyle w:val="BodyText"/>
        <w:spacing w:line="240" w:lineRule="auto" w:before="49"/>
        <w:ind w:right="1122"/>
        <w:jc w:val="left"/>
      </w:pPr>
      <w:r>
        <w:rPr/>
        <w:t>相关数据同比发生重大变动的主要影响因素说明</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firstLine="360"/>
        <w:jc w:val="left"/>
      </w:pPr>
      <w:r>
        <w:rPr>
          <w:rFonts w:ascii="Times New Roman" w:hAnsi="Times New Roman" w:cs="Times New Roman" w:eastAsia="Times New Roman" w:hint="default"/>
        </w:rPr>
        <w:t>1</w:t>
      </w:r>
      <w:r>
        <w:rPr/>
        <w:t>、经营活动产生的现金流量净额：（</w:t>
      </w:r>
      <w:r>
        <w:rPr>
          <w:rFonts w:ascii="Times New Roman" w:hAnsi="Times New Roman" w:cs="Times New Roman" w:eastAsia="Times New Roman" w:hint="default"/>
        </w:rPr>
        <w:t>1</w:t>
      </w:r>
      <w:r>
        <w:rPr/>
        <w:t>）流入同比增长</w:t>
      </w:r>
      <w:r>
        <w:rPr>
          <w:rFonts w:ascii="Times New Roman" w:hAnsi="Times New Roman" w:cs="Times New Roman" w:eastAsia="Times New Roman" w:hint="default"/>
        </w:rPr>
        <w:t>57.86%</w:t>
      </w:r>
      <w:r>
        <w:rPr/>
        <w:t>，流出同比增加</w:t>
      </w:r>
      <w:r>
        <w:rPr>
          <w:rFonts w:ascii="Times New Roman" w:hAnsi="Times New Roman" w:cs="Times New Roman" w:eastAsia="Times New Roman" w:hint="default"/>
        </w:rPr>
        <w:t>49.18%</w:t>
      </w:r>
      <w:r>
        <w:rPr/>
        <w:t>，净额同比下降</w:t>
      </w:r>
      <w:r>
        <w:rPr>
          <w:rFonts w:ascii="Times New Roman" w:hAnsi="Times New Roman" w:cs="Times New Roman" w:eastAsia="Times New Roman" w:hint="default"/>
        </w:rPr>
        <w:t>5.28%</w:t>
      </w:r>
      <w:r>
        <w:rPr/>
        <w:t>，主要变动 </w:t>
      </w:r>
      <w:r>
        <w:rPr>
          <w:spacing w:val="-2"/>
        </w:rPr>
        <w:t>情况是：销售回款增长</w:t>
      </w:r>
      <w:r>
        <w:rPr>
          <w:rFonts w:ascii="Times New Roman" w:hAnsi="Times New Roman" w:cs="Times New Roman" w:eastAsia="Times New Roman" w:hint="default"/>
          <w:spacing w:val="-2"/>
        </w:rPr>
        <w:t>46%</w:t>
      </w:r>
      <w:r>
        <w:rPr>
          <w:spacing w:val="-2"/>
        </w:rPr>
        <w:t>，采购款项增长</w:t>
      </w:r>
      <w:r>
        <w:rPr>
          <w:rFonts w:ascii="Times New Roman" w:hAnsi="Times New Roman" w:cs="Times New Roman" w:eastAsia="Times New Roman" w:hint="default"/>
          <w:spacing w:val="-2"/>
        </w:rPr>
        <w:t>100.71%</w:t>
      </w:r>
      <w:r>
        <w:rPr>
          <w:spacing w:val="-2"/>
        </w:rPr>
        <w:t>，回款增长金额能够覆盖采购款项增长，三项费用的付现支出变动不大，</w:t>
      </w:r>
      <w:r>
        <w:rPr>
          <w:spacing w:val="-42"/>
        </w:rPr>
        <w:t> </w:t>
      </w:r>
      <w:r>
        <w:rPr>
          <w:spacing w:val="-42"/>
        </w:rPr>
      </w:r>
      <w:r>
        <w:rPr/>
        <w:t>因此经营活动产生的现金流量净额变动不大。</w:t>
      </w:r>
    </w:p>
    <w:p>
      <w:pPr>
        <w:pStyle w:val="BodyText"/>
        <w:spacing w:line="300" w:lineRule="auto" w:before="31"/>
        <w:ind w:right="1099" w:firstLine="360"/>
        <w:jc w:val="left"/>
      </w:pPr>
      <w:r>
        <w:rPr>
          <w:rFonts w:ascii="Times New Roman" w:hAnsi="Times New Roman" w:cs="Times New Roman" w:eastAsia="Times New Roman" w:hint="default"/>
        </w:rPr>
        <w:t>2</w:t>
      </w:r>
      <w:r>
        <w:rPr/>
        <w:t>、投资活动产生的现金流量：（</w:t>
      </w:r>
      <w:r>
        <w:rPr>
          <w:rFonts w:ascii="Times New Roman" w:hAnsi="Times New Roman" w:cs="Times New Roman" w:eastAsia="Times New Roman" w:hint="default"/>
        </w:rPr>
        <w:t>1</w:t>
      </w:r>
      <w:r>
        <w:rPr/>
        <w:t>）流入同比减少</w:t>
      </w:r>
      <w:r>
        <w:rPr>
          <w:rFonts w:ascii="Times New Roman" w:hAnsi="Times New Roman" w:cs="Times New Roman" w:eastAsia="Times New Roman" w:hint="default"/>
        </w:rPr>
        <w:t>34.15%</w:t>
      </w:r>
      <w:r>
        <w:rPr/>
        <w:t>，流出同比减少</w:t>
      </w:r>
      <w:r>
        <w:rPr>
          <w:rFonts w:ascii="Times New Roman" w:hAnsi="Times New Roman" w:cs="Times New Roman" w:eastAsia="Times New Roman" w:hint="default"/>
        </w:rPr>
        <w:t>29.72%</w:t>
      </w:r>
      <w:r>
        <w:rPr/>
        <w:t>，主要原因是：本年购买和收回的募 集资金现金管理产品累计金额降低所致；（</w:t>
      </w:r>
      <w:r>
        <w:rPr>
          <w:rFonts w:ascii="Times New Roman" w:hAnsi="Times New Roman" w:cs="Times New Roman" w:eastAsia="Times New Roman" w:hint="default"/>
        </w:rPr>
        <w:t>2</w:t>
      </w:r>
      <w:r>
        <w:rPr/>
        <w:t>）投资活动产生的现金流量净额同比减少</w:t>
      </w:r>
      <w:r>
        <w:rPr>
          <w:rFonts w:ascii="Times New Roman" w:hAnsi="Times New Roman" w:cs="Times New Roman" w:eastAsia="Times New Roman" w:hint="default"/>
        </w:rPr>
        <w:t>13.07%</w:t>
      </w:r>
      <w:r>
        <w:rPr/>
        <w:t>，主要变动情况是：本年度将 闲置募集资金购买理财产品的净支出</w:t>
      </w:r>
      <w:r>
        <w:rPr>
          <w:rFonts w:ascii="Times New Roman" w:hAnsi="Times New Roman" w:cs="Times New Roman" w:eastAsia="Times New Roman" w:hint="default"/>
        </w:rPr>
        <w:t>20,000</w:t>
      </w:r>
      <w:r>
        <w:rPr/>
        <w:t>万元，本年支付联营企业投资及</w:t>
      </w:r>
      <w:r>
        <w:rPr>
          <w:rFonts w:ascii="Times New Roman" w:hAnsi="Times New Roman" w:cs="Times New Roman" w:eastAsia="Times New Roman" w:hint="default"/>
        </w:rPr>
        <w:t>“</w:t>
      </w:r>
      <w:r>
        <w:rPr/>
        <w:t>北信源（南京）研发运营基地项目</w:t>
      </w:r>
      <w:r>
        <w:rPr>
          <w:rFonts w:ascii="Times New Roman" w:hAnsi="Times New Roman" w:cs="Times New Roman" w:eastAsia="Times New Roman" w:hint="default"/>
        </w:rPr>
        <w:t>”</w:t>
      </w:r>
      <w:r>
        <w:rPr/>
        <w:t>项目款项。</w:t>
      </w:r>
    </w:p>
    <w:p>
      <w:pPr>
        <w:pStyle w:val="BodyText"/>
        <w:spacing w:line="319" w:lineRule="auto" w:before="13"/>
        <w:ind w:right="1122" w:firstLine="360"/>
        <w:jc w:val="left"/>
      </w:pPr>
      <w:r>
        <w:rPr>
          <w:rFonts w:ascii="Times New Roman" w:hAnsi="Times New Roman" w:cs="Times New Roman" w:eastAsia="Times New Roman" w:hint="default"/>
          <w:spacing w:val="-2"/>
        </w:rPr>
        <w:t>3</w:t>
      </w:r>
      <w:r>
        <w:rPr>
          <w:spacing w:val="-2"/>
        </w:rPr>
        <w:t>、筹资活动产生的现金流量净额同比增加</w:t>
      </w:r>
      <w:r>
        <w:rPr>
          <w:rFonts w:ascii="Times New Roman" w:hAnsi="Times New Roman" w:cs="Times New Roman" w:eastAsia="Times New Roman" w:hint="default"/>
          <w:spacing w:val="-2"/>
        </w:rPr>
        <w:t>244.20%</w:t>
      </w:r>
      <w:r>
        <w:rPr>
          <w:spacing w:val="-2"/>
        </w:rPr>
        <w:t>，主要原因是：（</w:t>
      </w:r>
      <w:r>
        <w:rPr>
          <w:rFonts w:ascii="Times New Roman" w:hAnsi="Times New Roman" w:cs="Times New Roman" w:eastAsia="Times New Roman" w:hint="default"/>
          <w:spacing w:val="-2"/>
        </w:rPr>
        <w:t>1</w:t>
      </w:r>
      <w:r>
        <w:rPr>
          <w:spacing w:val="-2"/>
        </w:rPr>
        <w:t>）流入同比增加</w:t>
      </w:r>
      <w:r>
        <w:rPr>
          <w:rFonts w:ascii="Times New Roman" w:hAnsi="Times New Roman" w:cs="Times New Roman" w:eastAsia="Times New Roman" w:hint="default"/>
          <w:spacing w:val="-2"/>
        </w:rPr>
        <w:t>100%</w:t>
      </w:r>
      <w:r>
        <w:rPr>
          <w:spacing w:val="-2"/>
        </w:rPr>
        <w:t>，公司</w:t>
      </w:r>
      <w:r>
        <w:rPr>
          <w:rFonts w:ascii="Times New Roman" w:hAnsi="Times New Roman" w:cs="Times New Roman" w:eastAsia="Times New Roman" w:hint="default"/>
          <w:spacing w:val="-2"/>
        </w:rPr>
        <w:t>2019</w:t>
      </w:r>
      <w:r>
        <w:rPr>
          <w:spacing w:val="-2"/>
        </w:rPr>
        <w:t>年新增银行信用</w:t>
      </w:r>
      <w:r>
        <w:rPr/>
        <w:t> 贷款；（</w:t>
      </w:r>
      <w:r>
        <w:rPr>
          <w:rFonts w:ascii="Times New Roman" w:hAnsi="Times New Roman" w:cs="Times New Roman" w:eastAsia="Times New Roman" w:hint="default"/>
        </w:rPr>
        <w:t>2</w:t>
      </w:r>
      <w:r>
        <w:rPr/>
        <w:t>）流出同比减少</w:t>
      </w:r>
      <w:r>
        <w:rPr>
          <w:rFonts w:ascii="Times New Roman" w:hAnsi="Times New Roman" w:cs="Times New Roman" w:eastAsia="Times New Roman" w:hint="default"/>
        </w:rPr>
        <w:t>72.11%</w:t>
      </w:r>
      <w:r>
        <w:rPr/>
        <w:t>，主要是</w:t>
      </w:r>
      <w:r>
        <w:rPr>
          <w:rFonts w:ascii="Times New Roman" w:hAnsi="Times New Roman" w:cs="Times New Roman" w:eastAsia="Times New Roman" w:hint="default"/>
        </w:rPr>
        <w:t>2018</w:t>
      </w:r>
      <w:r>
        <w:rPr/>
        <w:t>年偿还银行借款</w:t>
      </w:r>
      <w:r>
        <w:rPr>
          <w:rFonts w:ascii="Times New Roman" w:hAnsi="Times New Roman" w:cs="Times New Roman" w:eastAsia="Times New Roman" w:hint="default"/>
        </w:rPr>
        <w:t>4,000</w:t>
      </w:r>
      <w:r>
        <w:rPr/>
        <w:t>万元，本年未发生。 报告期内公司经营活动产生的现金净流量与本年度净利润存在重大差异的原因说明</w:t>
      </w:r>
    </w:p>
    <w:p>
      <w:pPr>
        <w:pStyle w:val="BodyText"/>
        <w:spacing w:line="240" w:lineRule="auto" w:before="56"/>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1"/>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2"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244,694,696.0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595,222,418.63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1,064,230,680.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896,924,410.05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182,883,296.6</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87,813,241.31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159,159,770.0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101,568,366.20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91,194,849.69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122,330,229.5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71,724,078.50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100,666,863.3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6,535,856.39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4,391,819.00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其他权益工具投 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5,795,382.76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6,387,524.43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57,636,231.47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44,905,589.99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27,037,788.69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015"/>
        <w:gridCol w:w="1064"/>
        <w:gridCol w:w="1193"/>
        <w:gridCol w:w="932"/>
        <w:gridCol w:w="1195"/>
        <w:gridCol w:w="1063"/>
        <w:gridCol w:w="915"/>
        <w:gridCol w:w="1212"/>
      </w:tblGrid>
      <w:tr>
        <w:trPr>
          <w:trHeight w:val="102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9" w:right="99"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 融资产（不 含衍生金融 资产）</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465,127.00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465,127.00</w:t>
            </w: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250,465,127.00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250,465,127.00</w:t>
            </w:r>
          </w:p>
        </w:tc>
      </w:tr>
      <w:tr>
        <w:trPr>
          <w:trHeight w:val="401"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65"/>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6,387,524.43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-592,141.67</w:t>
            </w: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5,795,382.76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126.379997pt;margin-top:641.5pt;width:32.5500pt;height:126.9pt;mso-position-horizontal-relative:page;mso-position-vertical-relative:page;z-index:-1201360" coordorigin="2528,12830" coordsize="651,2538">
            <v:group style="position:absolute;left:2528;top:12830;width:651;height:2538" coordorigin="2528,12830" coordsize="651,2538">
              <v:shape style="position:absolute;left:2528;top:12830;width:651;height:2538" coordorigin="2528,12830" coordsize="651,2538" path="m2528,15367l3178,15367,3178,12830,2528,12830,2528,15367xe" filled="true" fillcolor="#ffffff" stroked="false">
                <v:path arrowok="t"/>
                <v:fill type="solid"/>
              </v:shape>
            </v:group>
            <v:group style="position:absolute;left:2549;top:13903;width:608;height:392" coordorigin="2549,13903" coordsize="608,392">
              <v:shape style="position:absolute;left:2549;top:13903;width:608;height:392" coordorigin="2549,13903" coordsize="608,392" path="m2549,14294l3156,14294,3156,13903,2549,13903,2549,14294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981"/>
        <w:gridCol w:w="1015"/>
        <w:gridCol w:w="1064"/>
        <w:gridCol w:w="1193"/>
        <w:gridCol w:w="932"/>
        <w:gridCol w:w="1195"/>
        <w:gridCol w:w="1063"/>
        <w:gridCol w:w="915"/>
        <w:gridCol w:w="1212"/>
      </w:tblGrid>
      <w:tr>
        <w:trPr>
          <w:trHeight w:val="36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工具投资</w:t>
            </w:r>
          </w:p>
        </w:tc>
        <w:tc>
          <w:tcPr>
            <w:tcW w:w="101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6,387,524.43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256,260,509.76</w:t>
            </w:r>
          </w:p>
        </w:tc>
      </w:tr>
      <w:tr>
        <w:trPr>
          <w:trHeight w:val="403" w:hRule="exact"/>
        </w:trPr>
        <w:tc>
          <w:tcPr>
            <w:tcW w:w="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15"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4" w:firstLine="36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日，公司的所有权或者使用权受到限制的资产共</w:t>
      </w:r>
      <w:r>
        <w:rPr>
          <w:rFonts w:ascii="Times New Roman" w:hAnsi="Times New Roman" w:cs="Times New Roman" w:eastAsia="Times New Roman" w:hint="default"/>
        </w:rPr>
        <w:t>1,806,145.74</w:t>
      </w:r>
      <w:r>
        <w:rPr/>
        <w:t>元，其中货币资金为人民币</w:t>
      </w:r>
      <w:r>
        <w:rPr>
          <w:rFonts w:ascii="Times New Roman" w:hAnsi="Times New Roman" w:cs="Times New Roman" w:eastAsia="Times New Roman" w:hint="default"/>
        </w:rPr>
        <w:t>1,806,145.74 </w:t>
      </w:r>
      <w:r>
        <w:rPr/>
        <w:t>元，为保函保证金、票据保证金；固定资产</w:t>
      </w:r>
      <w:r>
        <w:rPr>
          <w:rFonts w:ascii="Times New Roman" w:hAnsi="Times New Roman" w:cs="Times New Roman" w:eastAsia="Times New Roman" w:hint="default"/>
        </w:rPr>
        <w:t>0</w:t>
      </w:r>
      <w:r>
        <w:rPr/>
        <w:t>元。</w:t>
      </w:r>
    </w:p>
    <w:p>
      <w:pPr>
        <w:spacing w:line="240" w:lineRule="auto" w:before="3"/>
        <w:rPr>
          <w:rFonts w:ascii="宋体" w:hAnsi="宋体" w:cs="宋体" w:eastAsia="宋体" w:hint="default"/>
          <w:sz w:val="20"/>
          <w:szCs w:val="20"/>
        </w:rPr>
      </w:pPr>
    </w:p>
    <w:p>
      <w:pPr>
        <w:pStyle w:val="Heading2"/>
        <w:spacing w:line="240" w:lineRule="auto"/>
        <w:ind w:right="1122"/>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66,260,576.00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-18.28%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1027"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1" w:right="6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3"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7" w:right="50"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0"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5" w:right="53"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36"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5" w:right="9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1" w:right="89"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27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18"/>
              <w:jc w:val="both"/>
              <w:rPr>
                <w:rFonts w:ascii="宋体" w:hAnsi="宋体" w:cs="宋体" w:eastAsia="宋体" w:hint="default"/>
                <w:sz w:val="18"/>
                <w:szCs w:val="18"/>
              </w:rPr>
            </w:pPr>
            <w:r>
              <w:rPr>
                <w:rFonts w:ascii="宋体" w:hAnsi="宋体" w:cs="宋体" w:eastAsia="宋体" w:hint="default"/>
                <w:sz w:val="18"/>
                <w:szCs w:val="18"/>
              </w:rPr>
              <w:t>上海北 信源供 应链管 理有限 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17"/>
              <w:jc w:val="left"/>
              <w:rPr>
                <w:rFonts w:ascii="宋体" w:hAnsi="宋体" w:cs="宋体" w:eastAsia="宋体" w:hint="default"/>
                <w:sz w:val="18"/>
                <w:szCs w:val="18"/>
              </w:rPr>
            </w:pPr>
            <w:r>
              <w:rPr>
                <w:rFonts w:ascii="宋体" w:hAnsi="宋体" w:cs="宋体" w:eastAsia="宋体" w:hint="default"/>
                <w:sz w:val="18"/>
                <w:szCs w:val="18"/>
              </w:rPr>
              <w:t>供应链 管理等</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张翅等</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-564,220</w:t>
            </w:r>
          </w:p>
          <w:p>
            <w:pPr>
              <w:pStyle w:val="TableParagraph"/>
              <w:spacing w:line="240" w:lineRule="auto" w:before="105"/>
              <w:ind w:left="482" w:right="0"/>
              <w:jc w:val="left"/>
              <w:rPr>
                <w:rFonts w:ascii="Times New Roman" w:hAnsi="Times New Roman" w:cs="Times New Roman" w:eastAsia="Times New Roman" w:hint="default"/>
                <w:sz w:val="18"/>
                <w:szCs w:val="18"/>
              </w:rPr>
            </w:pPr>
            <w:r>
              <w:rPr>
                <w:rFonts w:ascii="Times New Roman"/>
                <w:sz w:val="18"/>
              </w:rPr>
              <w:t>.70</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2019-02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2547"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9" w:lineRule="auto"/>
              <w:ind w:left="24" w:right="119"/>
              <w:jc w:val="both"/>
              <w:rPr>
                <w:rFonts w:ascii="宋体" w:hAnsi="宋体" w:cs="宋体" w:eastAsia="宋体" w:hint="default"/>
                <w:sz w:val="18"/>
                <w:szCs w:val="18"/>
              </w:rPr>
            </w:pPr>
            <w:r>
              <w:rPr>
                <w:rFonts w:ascii="宋体" w:hAnsi="宋体" w:cs="宋体" w:eastAsia="宋体" w:hint="default"/>
                <w:sz w:val="18"/>
                <w:szCs w:val="18"/>
              </w:rPr>
              <w:t>北京美 络克思 科技有 限公司</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z w:val="18"/>
                <w:szCs w:val="18"/>
              </w:rPr>
              <w:t>电子政 务及企 业信息 </w:t>
            </w:r>
            <w:r>
              <w:rPr>
                <w:rFonts w:ascii="宋体" w:hAnsi="宋体" w:cs="宋体" w:eastAsia="宋体" w:hint="default"/>
                <w:spacing w:val="-22"/>
                <w:sz w:val="18"/>
                <w:szCs w:val="18"/>
              </w:rPr>
              <w:t>化、档案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信息化 和数字 </w:t>
            </w:r>
            <w:r>
              <w:rPr>
                <w:rFonts w:ascii="宋体" w:hAnsi="宋体" w:cs="宋体" w:eastAsia="宋体" w:hint="default"/>
                <w:spacing w:val="-22"/>
                <w:sz w:val="18"/>
                <w:szCs w:val="18"/>
              </w:rPr>
              <w:t>化、文档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一体化</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3" w:right="83"/>
              <w:jc w:val="left"/>
              <w:rPr>
                <w:rFonts w:ascii="宋体" w:hAnsi="宋体" w:cs="宋体" w:eastAsia="宋体" w:hint="default"/>
                <w:sz w:val="18"/>
                <w:szCs w:val="18"/>
              </w:rPr>
            </w:pPr>
            <w:r>
              <w:rPr>
                <w:rFonts w:ascii="宋体" w:hAnsi="宋体" w:cs="宋体" w:eastAsia="宋体" w:hint="default"/>
                <w:sz w:val="18"/>
                <w:szCs w:val="18"/>
              </w:rPr>
              <w:t>黄春鹏 等</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975,740.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6"/>
              <w:ind w:left="24" w:right="22"/>
              <w:jc w:val="left"/>
              <w:rPr>
                <w:rFonts w:ascii="宋体" w:hAnsi="宋体" w:cs="宋体" w:eastAsia="宋体" w:hint="default"/>
                <w:sz w:val="18"/>
                <w:szCs w:val="18"/>
              </w:rPr>
            </w:pPr>
            <w:hyperlink r:id="rId14">
              <w:r>
                <w:rPr>
                  <w:rFonts w:ascii="Times New Roman" w:hAnsi="Times New Roman" w:cs="Times New Roman" w:eastAsia="Times New Roman" w:hint="default"/>
                  <w:sz w:val="18"/>
                  <w:szCs w:val="18"/>
                </w:rPr>
                <w:t>http://w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ww.cninf</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o.com.cn</w:t>
            </w:r>
            <w:r>
              <w:rPr>
                <w:rFonts w:ascii="Times New Roman" w:hAnsi="Times New Roman" w:cs="Times New Roman" w:eastAsia="Times New Roman" w:hint="default"/>
                <w:sz w:val="18"/>
                <w:szCs w:val="18"/>
              </w:rPr>
              <w:t> </w:t>
            </w:r>
            <w:r>
              <w:rPr>
                <w:rFonts w:ascii="宋体" w:hAnsi="宋体" w:cs="宋体" w:eastAsia="宋体" w:hint="default"/>
                <w:sz w:val="18"/>
                <w:szCs w:val="18"/>
              </w:rPr>
              <w:t>公告编 号：</w:t>
            </w:r>
          </w:p>
          <w:p>
            <w:pPr>
              <w:pStyle w:val="TableParagraph"/>
              <w:spacing w:line="240" w:lineRule="auto" w:before="82"/>
              <w:ind w:left="24" w:right="0"/>
              <w:jc w:val="left"/>
              <w:rPr>
                <w:rFonts w:ascii="Times New Roman" w:hAnsi="Times New Roman" w:cs="Times New Roman" w:eastAsia="Times New Roman" w:hint="default"/>
                <w:sz w:val="18"/>
                <w:szCs w:val="18"/>
              </w:rPr>
            </w:pPr>
            <w:r>
              <w:rPr>
                <w:rFonts w:ascii="Times New Roman"/>
                <w:sz w:val="18"/>
              </w:rPr>
              <w:t>2019-10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4"/>
        <w:gridCol w:w="694"/>
        <w:gridCol w:w="662"/>
        <w:gridCol w:w="663"/>
        <w:gridCol w:w="660"/>
        <w:gridCol w:w="662"/>
        <w:gridCol w:w="658"/>
        <w:gridCol w:w="656"/>
        <w:gridCol w:w="660"/>
        <w:gridCol w:w="629"/>
        <w:gridCol w:w="739"/>
        <w:gridCol w:w="733"/>
        <w:gridCol w:w="734"/>
        <w:gridCol w:w="722"/>
      </w:tblGrid>
      <w:tr>
        <w:trPr>
          <w:trHeight w:val="2235" w:hRule="exact"/>
        </w:trPr>
        <w:tc>
          <w:tcPr>
            <w:tcW w:w="694"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17"/>
              <w:jc w:val="both"/>
              <w:rPr>
                <w:rFonts w:ascii="宋体" w:hAnsi="宋体" w:cs="宋体" w:eastAsia="宋体" w:hint="default"/>
                <w:sz w:val="18"/>
                <w:szCs w:val="18"/>
              </w:rPr>
            </w:pPr>
            <w:r>
              <w:rPr>
                <w:rFonts w:ascii="宋体" w:hAnsi="宋体" w:cs="宋体" w:eastAsia="宋体" w:hint="default"/>
                <w:sz w:val="18"/>
                <w:szCs w:val="18"/>
              </w:rPr>
              <w:t>人力资 源等应 用软件 的技术 开发和 系统集 成等</w:t>
            </w:r>
          </w:p>
        </w:tc>
        <w:tc>
          <w:tcPr>
            <w:tcW w:w="66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c>
          <w:tcPr>
            <w:tcW w:w="656"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3"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z w:val="18"/>
                <w:szCs w:val="18"/>
              </w:rPr>
              <w:t>嘉兴泽 阳股权 投资合 伙企业</w:t>
            </w:r>
          </w:p>
          <w:p>
            <w:pPr>
              <w:pStyle w:val="TableParagraph"/>
              <w:spacing w:line="316" w:lineRule="auto" w:before="17"/>
              <w:ind w:left="24" w:right="118"/>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股权投 资及相 关咨询 服务。</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其他</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99.80%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6" w:right="84"/>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83"/>
              <w:jc w:val="left"/>
              <w:rPr>
                <w:rFonts w:ascii="宋体" w:hAnsi="宋体" w:cs="宋体" w:eastAsia="宋体" w:hint="default"/>
                <w:sz w:val="18"/>
                <w:szCs w:val="18"/>
              </w:rPr>
            </w:pPr>
            <w:r>
              <w:rPr>
                <w:rFonts w:ascii="宋体" w:hAnsi="宋体" w:cs="宋体" w:eastAsia="宋体" w:hint="default"/>
                <w:sz w:val="18"/>
                <w:szCs w:val="18"/>
              </w:rPr>
              <w:t>上海相 德投资 管理中 心（有 限合 伙）</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84"/>
              <w:jc w:val="both"/>
              <w:rPr>
                <w:rFonts w:ascii="宋体" w:hAnsi="宋体" w:cs="宋体" w:eastAsia="宋体" w:hint="default"/>
                <w:sz w:val="18"/>
                <w:szCs w:val="18"/>
              </w:rPr>
            </w:pPr>
            <w:r>
              <w:rPr>
                <w:rFonts w:ascii="宋体" w:hAnsi="宋体" w:cs="宋体" w:eastAsia="宋体" w:hint="default"/>
                <w:sz w:val="18"/>
                <w:szCs w:val="18"/>
              </w:rPr>
              <w:t>合伙企 业财产 份额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-19,246.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hyperlink r:id="rId14">
              <w:r>
                <w:rPr>
                  <w:rFonts w:ascii="Times New Roman"/>
                  <w:sz w:val="18"/>
                </w:rPr>
                <w:t>http://w</w:t>
              </w:r>
            </w:hyperlink>
            <w:r>
              <w:rPr>
                <w:rFonts w:ascii="Times New Roman"/>
                <w:w w:val="99"/>
                <w:sz w:val="18"/>
              </w:rPr>
              <w:t> </w:t>
            </w:r>
            <w:r>
              <w:rPr>
                <w:rFonts w:ascii="Times New Roman"/>
                <w:spacing w:val="-2"/>
                <w:sz w:val="18"/>
              </w:rPr>
              <w:t>ww.cninf</w:t>
            </w:r>
            <w:r>
              <w:rPr>
                <w:rFonts w:ascii="Times New Roman"/>
                <w:spacing w:val="-43"/>
                <w:sz w:val="18"/>
              </w:rPr>
              <w:t> </w:t>
            </w:r>
            <w:r>
              <w:rPr>
                <w:rFonts w:ascii="Times New Roman"/>
                <w:spacing w:val="-43"/>
                <w:sz w:val="18"/>
              </w:rPr>
            </w:r>
            <w:r>
              <w:rPr>
                <w:rFonts w:ascii="Times New Roman"/>
                <w:sz w:val="18"/>
              </w:rPr>
              <w:t>o.com.cn</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pacing w:val="-3"/>
                <w:sz w:val="18"/>
              </w:rPr>
              <w:t>2019-11</w:t>
            </w:r>
            <w:r>
              <w:rPr>
                <w:rFonts w:ascii="Times New Roman"/>
                <w:sz w:val="18"/>
              </w:rPr>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4"/>
              <w:jc w:val="righ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121,000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392,273.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69"/>
        <w:gridCol w:w="871"/>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123,687.09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13,190.15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89,194.41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23,561.6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52,730.13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42.63%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41,594.17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both"/>
              <w:rPr>
                <w:rFonts w:ascii="宋体" w:hAnsi="宋体" w:cs="宋体" w:eastAsia="宋体" w:hint="default"/>
                <w:sz w:val="18"/>
                <w:szCs w:val="18"/>
              </w:rPr>
            </w:pPr>
            <w:r>
              <w:rPr>
                <w:rFonts w:ascii="宋体" w:hAnsi="宋体" w:cs="宋体" w:eastAsia="宋体" w:hint="default"/>
                <w:sz w:val="18"/>
                <w:szCs w:val="18"/>
              </w:rPr>
              <w:t>尚未使用 的募集资 金存放在 公司银行 募集资金 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871"/>
        <w:gridCol w:w="870"/>
        <w:gridCol w:w="869"/>
      </w:tblGrid>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123,687.09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left"/>
              <w:rPr>
                <w:rFonts w:ascii="Times New Roman" w:hAnsi="Times New Roman" w:cs="Times New Roman" w:eastAsia="Times New Roman" w:hint="default"/>
                <w:sz w:val="18"/>
                <w:szCs w:val="18"/>
              </w:rPr>
            </w:pPr>
            <w:r>
              <w:rPr>
                <w:rFonts w:ascii="Times New Roman"/>
                <w:sz w:val="18"/>
              </w:rPr>
              <w:t>13,190.15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89,194.41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23,561.6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52,730.13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Times New Roman" w:hAnsi="Times New Roman" w:cs="Times New Roman" w:eastAsia="Times New Roman" w:hint="default"/>
                <w:sz w:val="18"/>
                <w:szCs w:val="18"/>
              </w:rPr>
            </w:pPr>
            <w:r>
              <w:rPr>
                <w:rFonts w:ascii="Times New Roman"/>
                <w:sz w:val="18"/>
              </w:rPr>
              <w:t>42.63%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41,594.17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58" w:right="-15"/>
              <w:jc w:val="left"/>
              <w:rPr>
                <w:rFonts w:ascii="宋体" w:hAnsi="宋体" w:cs="宋体" w:eastAsia="宋体" w:hint="default"/>
                <w:sz w:val="18"/>
                <w:szCs w:val="18"/>
              </w:rPr>
            </w:pPr>
            <w:r>
              <w:rPr>
                <w:rFonts w:ascii="宋体" w:hAnsi="宋体" w:cs="宋体" w:eastAsia="宋体" w:hint="default"/>
                <w:sz w:val="18"/>
                <w:szCs w:val="18"/>
              </w:rPr>
              <w:t>经中国证券监督管理</w:t>
            </w:r>
            <w:r>
              <w:rPr>
                <w:rFonts w:ascii="宋体" w:hAnsi="宋体" w:cs="宋体" w:eastAsia="宋体" w:hint="default"/>
                <w:spacing w:val="-3"/>
                <w:sz w:val="18"/>
                <w:szCs w:val="18"/>
              </w:rPr>
              <w:t>委</w:t>
            </w:r>
            <w:r>
              <w:rPr>
                <w:rFonts w:ascii="宋体" w:hAnsi="宋体" w:cs="宋体" w:eastAsia="宋体" w:hint="default"/>
                <w:sz w:val="18"/>
                <w:szCs w:val="18"/>
              </w:rPr>
              <w:t>员会《关于核准北京北信源软件股份有限公司非公开发行股票的批复</w:t>
            </w:r>
            <w:r>
              <w:rPr>
                <w:rFonts w:ascii="宋体" w:hAnsi="宋体" w:cs="宋体" w:eastAsia="宋体" w:hint="default"/>
                <w:spacing w:val="-92"/>
                <w:sz w:val="18"/>
                <w:szCs w:val="18"/>
              </w:rPr>
              <w:t>》</w:t>
            </w:r>
            <w:r>
              <w:rPr>
                <w:rFonts w:ascii="宋体" w:hAnsi="宋体" w:cs="宋体" w:eastAsia="宋体" w:hint="default"/>
                <w:sz w:val="18"/>
                <w:szCs w:val="18"/>
              </w:rPr>
              <w:t>（证监许可</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2016</w:t>
            </w:r>
            <w:r>
              <w:rPr>
                <w:rFonts w:ascii="宋体" w:hAnsi="宋体" w:cs="宋体" w:eastAsia="宋体"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987 </w:t>
            </w:r>
            <w:r>
              <w:rPr>
                <w:rFonts w:ascii="宋体" w:hAnsi="宋体" w:cs="宋体" w:eastAsia="宋体" w:hint="default"/>
                <w:sz w:val="18"/>
                <w:szCs w:val="18"/>
              </w:rPr>
              <w:t>号）核准公司非公开发行普通股 </w:t>
            </w:r>
            <w:r>
              <w:rPr>
                <w:rFonts w:ascii="Times New Roman" w:hAnsi="Times New Roman" w:cs="Times New Roman" w:eastAsia="Times New Roman" w:hint="default"/>
                <w:sz w:val="18"/>
                <w:szCs w:val="18"/>
              </w:rPr>
              <w:t>66,500,000  </w:t>
            </w:r>
            <w:r>
              <w:rPr>
                <w:rFonts w:ascii="宋体" w:hAnsi="宋体" w:cs="宋体" w:eastAsia="宋体" w:hint="default"/>
                <w:sz w:val="18"/>
                <w:szCs w:val="18"/>
              </w:rPr>
              <w:t>股，每股发行价格为人民币 </w:t>
            </w:r>
            <w:r>
              <w:rPr>
                <w:rFonts w:ascii="Times New Roman" w:hAnsi="Times New Roman" w:cs="Times New Roman" w:eastAsia="Times New Roman" w:hint="default"/>
                <w:sz w:val="18"/>
                <w:szCs w:val="18"/>
              </w:rPr>
              <w:t>18.98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元，公司本次非公开募集资金总额</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1,262,170,000.00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元，扣除承销费、保荐费、验资费、律师费等发行费用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25,299,060.00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元后，实际募集资金净额为</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1,236,870,940.00 </w:t>
            </w:r>
            <w:r>
              <w:rPr>
                <w:rFonts w:ascii="宋体" w:hAnsi="宋体" w:cs="宋体" w:eastAsia="宋体" w:hint="default"/>
                <w:sz w:val="18"/>
                <w:szCs w:val="18"/>
              </w:rPr>
              <w:t>元，上述募集资金已于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日汇入公司募集资金专户，并经中喜会计师事务所（特殊普通合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伙）审验并于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日出具《验资报告</w:t>
            </w:r>
            <w:r>
              <w:rPr>
                <w:rFonts w:ascii="宋体" w:hAnsi="宋体" w:cs="宋体" w:eastAsia="宋体" w:hint="default"/>
                <w:spacing w:val="-92"/>
                <w:sz w:val="18"/>
                <w:szCs w:val="18"/>
              </w:rPr>
              <w:t>》</w:t>
            </w:r>
            <w:r>
              <w:rPr>
                <w:rFonts w:ascii="宋体" w:hAnsi="宋体" w:cs="宋体" w:eastAsia="宋体" w:hint="default"/>
                <w:sz w:val="18"/>
                <w:szCs w:val="18"/>
              </w:rPr>
              <w:t>（中喜验</w:t>
            </w:r>
            <w:r>
              <w:rPr>
                <w:rFonts w:ascii="宋体" w:hAnsi="宋体" w:cs="宋体" w:eastAsia="宋体" w:hint="default"/>
                <w:spacing w:val="2"/>
                <w:sz w:val="18"/>
                <w:szCs w:val="18"/>
              </w:rPr>
              <w:t>字</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658"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日，公司本年度使用募集资金人民币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131,901,399.59 </w:t>
            </w:r>
            <w:r>
              <w:rPr>
                <w:rFonts w:ascii="宋体" w:hAnsi="宋体" w:cs="宋体" w:eastAsia="宋体" w:hint="default"/>
                <w:sz w:val="18"/>
                <w:szCs w:val="18"/>
              </w:rPr>
              <w:t>元，累计使用募集资金总额人民币</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891,944,052.99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元，尚未使用的募集资金存放于募集资金专户和用于现金管理产品。</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23"/>
        <w:gridCol w:w="725"/>
        <w:gridCol w:w="898"/>
        <w:gridCol w:w="896"/>
        <w:gridCol w:w="727"/>
        <w:gridCol w:w="898"/>
        <w:gridCol w:w="898"/>
        <w:gridCol w:w="727"/>
        <w:gridCol w:w="727"/>
        <w:gridCol w:w="898"/>
        <w:gridCol w:w="727"/>
        <w:gridCol w:w="727"/>
      </w:tblGrid>
      <w:tr>
        <w:trPr>
          <w:trHeight w:val="1651"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承诺投 资项目 和超募 资金投 向</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5"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9" w:right="63"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26" w:lineRule="auto"/>
              <w:ind w:left="83" w:right="8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4" w:right="8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8" w:right="86"/>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651"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、新一 代互联 网安全 聚合通 道项目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63,481.16</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34,312.64</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37,526.53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5,510.81</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、北信 源（南 </w:t>
            </w:r>
            <w:r>
              <w:rPr>
                <w:rFonts w:ascii="宋体" w:hAnsi="宋体" w:cs="宋体" w:eastAsia="宋体" w:hint="default"/>
                <w:spacing w:val="-14"/>
                <w:sz w:val="18"/>
                <w:szCs w:val="18"/>
              </w:rPr>
              <w:t>京）研发</w:t>
            </w:r>
            <w:r>
              <w:rPr>
                <w:rFonts w:ascii="宋体" w:hAnsi="宋体" w:cs="宋体" w:eastAsia="宋体" w:hint="default"/>
                <w:sz w:val="18"/>
                <w:szCs w:val="18"/>
              </w:rPr>
              <w:t> 运营基 地项目</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60,205.93</w:t>
            </w:r>
            <w:r>
              <w:rPr>
                <w:rFonts w:ascii="Times New Roman"/>
                <w:sz w:val="18"/>
              </w:rPr>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36,805.93</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1,487.62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20,649.77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56.10%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、面向 国产化 计算机 的终端 安全管 理平台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9,762.23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9,909.56</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3,271.47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3,271.47</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、基于 可信终 端的安 全管理 平台</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1,777.07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1,777.07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80pt;height:689.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3"/>
                    <w:gridCol w:w="725"/>
                    <w:gridCol w:w="898"/>
                    <w:gridCol w:w="896"/>
                    <w:gridCol w:w="727"/>
                    <w:gridCol w:w="898"/>
                    <w:gridCol w:w="897"/>
                    <w:gridCol w:w="727"/>
                    <w:gridCol w:w="727"/>
                    <w:gridCol w:w="899"/>
                    <w:gridCol w:w="727"/>
                    <w:gridCol w:w="727"/>
                  </w:tblGrid>
                  <w:tr>
                    <w:trPr>
                      <w:trHeight w:val="361" w:hRule="exact"/>
                    </w:trPr>
                    <w:tc>
                      <w:tcPr>
                        <w:tcW w:w="7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w:t>
                        </w:r>
                      </w:p>
                    </w:tc>
                    <w:tc>
                      <w:tcPr>
                        <w:tcW w:w="725" w:type="dxa"/>
                        <w:tcBorders>
                          <w:top w:val="single" w:sz="4" w:space="0" w:color="000000"/>
                          <w:left w:val="single" w:sz="4" w:space="0" w:color="000000"/>
                          <w:bottom w:val="nil" w:sz="6" w:space="0" w:color="auto"/>
                          <w:right w:val="single" w:sz="4" w:space="0" w:color="000000"/>
                        </w:tcBorders>
                      </w:tcPr>
                      <w:p>
                        <w:pPr/>
                      </w:p>
                    </w:tc>
                    <w:tc>
                      <w:tcPr>
                        <w:tcW w:w="898" w:type="dxa"/>
                        <w:vMerge w:val="restart"/>
                        <w:tcBorders>
                          <w:top w:val="single" w:sz="4" w:space="0" w:color="000000"/>
                          <w:left w:val="single" w:sz="4" w:space="0" w:color="000000"/>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898" w:type="dxa"/>
                        <w:tcBorders>
                          <w:top w:val="single" w:sz="4" w:space="0" w:color="000000"/>
                          <w:left w:val="single" w:sz="4" w:space="0" w:color="000000"/>
                          <w:bottom w:val="nil" w:sz="6" w:space="0" w:color="auto"/>
                          <w:right w:val="single" w:sz="4" w:space="0" w:color="000000"/>
                        </w:tcBorders>
                      </w:tcPr>
                      <w:p>
                        <w:pPr/>
                      </w:p>
                    </w:tc>
                    <w:tc>
                      <w:tcPr>
                        <w:tcW w:w="89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
                    </w:tc>
                    <w:tc>
                      <w:tcPr>
                        <w:tcW w:w="899" w:type="dxa"/>
                        <w:vMerge w:val="restart"/>
                        <w:tcBorders>
                          <w:top w:val="single" w:sz="4" w:space="0" w:color="000000"/>
                          <w:left w:val="single" w:sz="4" w:space="0" w:color="000000"/>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补充流</w:t>
                        </w:r>
                      </w:p>
                    </w:tc>
                    <w:tc>
                      <w:tcPr>
                        <w:tcW w:w="7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98" w:type="dxa"/>
                        <w:vMerge/>
                        <w:tcBorders>
                          <w:left w:val="single" w:sz="4" w:space="0" w:color="000000"/>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122" w:right="0"/>
                          <w:jc w:val="center"/>
                          <w:rPr>
                            <w:rFonts w:ascii="Times New Roman" w:hAnsi="Times New Roman" w:cs="Times New Roman" w:eastAsia="Times New Roman" w:hint="default"/>
                            <w:sz w:val="18"/>
                            <w:szCs w:val="18"/>
                          </w:rPr>
                        </w:pPr>
                        <w:r>
                          <w:rPr>
                            <w:rFonts w:ascii="Times New Roman"/>
                            <w:sz w:val="18"/>
                          </w:rPr>
                          <w:t>19,168.52</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01" w:right="0"/>
                          <w:jc w:val="left"/>
                          <w:rPr>
                            <w:rFonts w:ascii="Times New Roman" w:hAnsi="Times New Roman" w:cs="Times New Roman" w:eastAsia="Times New Roman" w:hint="default"/>
                            <w:sz w:val="18"/>
                            <w:szCs w:val="18"/>
                          </w:rPr>
                        </w:pPr>
                        <w:r>
                          <w:rPr>
                            <w:rFonts w:ascii="Times New Roman"/>
                            <w:sz w:val="18"/>
                          </w:rPr>
                          <w:t>163.23</w:t>
                        </w:r>
                      </w:p>
                    </w:tc>
                    <w:tc>
                      <w:tcPr>
                        <w:tcW w:w="8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19"/>
                          <w:jc w:val="right"/>
                          <w:rPr>
                            <w:rFonts w:ascii="Times New Roman" w:hAnsi="Times New Roman" w:cs="Times New Roman" w:eastAsia="Times New Roman" w:hint="default"/>
                            <w:sz w:val="18"/>
                            <w:szCs w:val="18"/>
                          </w:rPr>
                        </w:pPr>
                        <w:r>
                          <w:rPr>
                            <w:rFonts w:ascii="Times New Roman"/>
                            <w:spacing w:val="-1"/>
                            <w:sz w:val="18"/>
                          </w:rPr>
                          <w:t>19,331.48</w:t>
                        </w:r>
                      </w:p>
                    </w:tc>
                    <w:tc>
                      <w:tcPr>
                        <w:tcW w:w="89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899" w:type="dxa"/>
                        <w:vMerge/>
                        <w:tcBorders>
                          <w:left w:val="single" w:sz="4" w:space="0" w:color="000000"/>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3" w:hRule="exact"/>
                    </w:trPr>
                    <w:tc>
                      <w:tcPr>
                        <w:tcW w:w="7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动资金</w:t>
                        </w:r>
                      </w:p>
                    </w:tc>
                    <w:tc>
                      <w:tcPr>
                        <w:tcW w:w="725" w:type="dxa"/>
                        <w:tcBorders>
                          <w:top w:val="nil" w:sz="6" w:space="0" w:color="auto"/>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898" w:type="dxa"/>
                        <w:tcBorders>
                          <w:top w:val="nil" w:sz="6" w:space="0" w:color="auto"/>
                          <w:left w:val="single" w:sz="4" w:space="0" w:color="000000"/>
                          <w:bottom w:val="single" w:sz="4" w:space="0" w:color="000000"/>
                          <w:right w:val="single" w:sz="4" w:space="0" w:color="000000"/>
                        </w:tcBorders>
                      </w:tcPr>
                      <w:p>
                        <w:pPr/>
                      </w:p>
                    </w:tc>
                    <w:tc>
                      <w:tcPr>
                        <w:tcW w:w="89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899" w:type="dxa"/>
                        <w:vMerge/>
                        <w:tcBorders>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r>
                  <w:tr>
                    <w:trPr>
                      <w:trHeight w:val="1032"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7"/>
                          <w:jc w:val="both"/>
                          <w:rPr>
                            <w:rFonts w:ascii="宋体" w:hAnsi="宋体" w:cs="宋体" w:eastAsia="宋体" w:hint="default"/>
                            <w:sz w:val="18"/>
                            <w:szCs w:val="18"/>
                          </w:rPr>
                        </w:pPr>
                        <w:r>
                          <w:rPr>
                            <w:rFonts w:ascii="宋体" w:hAnsi="宋体" w:cs="宋体" w:eastAsia="宋体" w:hint="default"/>
                            <w:sz w:val="18"/>
                            <w:szCs w:val="18"/>
                          </w:rPr>
                          <w:t>承诺投 资项目 小计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123,687.09</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123,687.09</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13,190.1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89,194.41</w:t>
                        </w:r>
                      </w:p>
                    </w:tc>
                    <w:tc>
                      <w:tcPr>
                        <w:tcW w:w="8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4,512.07</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8,782.28</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41"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5"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898"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123,687.09</w:t>
                        </w:r>
                      </w:p>
                    </w:tc>
                    <w:tc>
                      <w:tcPr>
                        <w:tcW w:w="896"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123,687.09</w:t>
                        </w:r>
                      </w:p>
                    </w:tc>
                    <w:tc>
                      <w:tcPr>
                        <w:tcW w:w="727"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13,190.1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98"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89,194.41</w:t>
                        </w:r>
                      </w:p>
                    </w:tc>
                    <w:tc>
                      <w:tcPr>
                        <w:tcW w:w="897"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4,512.07</w:t>
                        </w:r>
                      </w:p>
                    </w:tc>
                    <w:tc>
                      <w:tcPr>
                        <w:tcW w:w="899" w:type="dxa"/>
                        <w:tcBorders>
                          <w:top w:val="single" w:sz="4" w:space="0" w:color="000000"/>
                          <w:left w:val="single" w:sz="4" w:space="0" w:color="000000"/>
                          <w:bottom w:val="single" w:sz="21"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8,782.28</w:t>
                        </w:r>
                      </w:p>
                    </w:tc>
                    <w:tc>
                      <w:tcPr>
                        <w:tcW w:w="727"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21" w:space="0" w:color="FFFFFF"/>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34"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8" w:type="dxa"/>
                        <w:gridSpan w:val="11"/>
                        <w:tcBorders>
                          <w:top w:val="single" w:sz="21" w:space="0" w:color="FFFFFF"/>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、公司第三届董事会第十次临时会议、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年第二次临时股东大会审议通过《关于变更部分募集资金用途并永</w:t>
                        </w:r>
                      </w:p>
                    </w:tc>
                  </w:tr>
                  <w:tr>
                    <w:trPr>
                      <w:trHeight w:val="311"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
                    </w:tc>
                    <w:tc>
                      <w:tcPr>
                        <w:tcW w:w="884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久补充流动资金的议案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w:t>
                        </w:r>
                        <w:r>
                          <w:rPr>
                            <w:rFonts w:ascii="宋体" w:hAnsi="宋体" w:cs="宋体" w:eastAsia="宋体" w:hint="default"/>
                            <w:spacing w:val="2"/>
                            <w:sz w:val="18"/>
                            <w:szCs w:val="18"/>
                          </w:rPr>
                          <w:t>意</w:t>
                        </w:r>
                        <w:r>
                          <w:rPr>
                            <w:rFonts w:ascii="宋体" w:hAnsi="宋体" w:cs="宋体" w:eastAsia="宋体" w:hint="default"/>
                            <w:sz w:val="18"/>
                            <w:szCs w:val="18"/>
                          </w:rPr>
                          <w:t>将非公开发行募集资金投资项</w:t>
                        </w:r>
                        <w:r>
                          <w:rPr>
                            <w:rFonts w:ascii="宋体" w:hAnsi="宋体" w:cs="宋体" w:eastAsia="宋体" w:hint="default"/>
                            <w:spacing w:val="1"/>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新一代互联网安全聚合通道项目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结余募集资金</w:t>
                        </w:r>
                      </w:p>
                    </w:tc>
                  </w:tr>
                  <w:tr>
                    <w:trPr>
                      <w:trHeight w:val="327"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未达到</w:t>
                        </w:r>
                      </w:p>
                    </w:tc>
                    <w:tc>
                      <w:tcPr>
                        <w:tcW w:w="884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19,093.29 </w:t>
                        </w:r>
                        <w:r>
                          <w:rPr>
                            <w:rFonts w:ascii="宋体" w:hAnsi="宋体" w:cs="宋体" w:eastAsia="宋体" w:hint="default"/>
                            <w:sz w:val="18"/>
                            <w:szCs w:val="18"/>
                          </w:rPr>
                          <w:t>万元（含利</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计划进</w:t>
                        </w:r>
                      </w:p>
                    </w:tc>
                    <w:tc>
                      <w:tcPr>
                        <w:tcW w:w="8848" w:type="dxa"/>
                        <w:gridSpan w:val="11"/>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息等收益以及前次暂时补充流动资金的闲置募集资金）永久补充流动资金。该项目具体变更详见公司分别于</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2018</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度或预</w:t>
                        </w:r>
                      </w:p>
                    </w:tc>
                    <w:tc>
                      <w:tcPr>
                        <w:tcW w:w="8848" w:type="dxa"/>
                        <w:gridSpan w:val="11"/>
                        <w:tcBorders>
                          <w:top w:val="nil" w:sz="6" w:space="0" w:color="auto"/>
                          <w:left w:val="single" w:sz="4" w:space="0" w:color="000000"/>
                          <w:bottom w:val="nil" w:sz="6" w:space="0" w:color="auto"/>
                          <w:right w:val="single" w:sz="4" w:space="0" w:color="000000"/>
                        </w:tcBorders>
                      </w:tcPr>
                      <w:p>
                        <w:pPr>
                          <w:pStyle w:val="TableParagraph"/>
                          <w:spacing w:line="239"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日在巨潮资资讯</w:t>
                        </w:r>
                        <w:r>
                          <w:rPr>
                            <w:rFonts w:ascii="宋体" w:hAnsi="宋体" w:cs="宋体" w:eastAsia="宋体" w:hint="default"/>
                            <w:spacing w:val="-89"/>
                            <w:sz w:val="18"/>
                            <w:szCs w:val="18"/>
                          </w:rPr>
                          <w:t>网</w:t>
                        </w:r>
                        <w:r>
                          <w:rPr>
                            <w:rFonts w:ascii="宋体" w:hAnsi="宋体" w:cs="宋体" w:eastAsia="宋体" w:hint="default"/>
                            <w:spacing w:val="-1"/>
                            <w:sz w:val="18"/>
                            <w:szCs w:val="18"/>
                          </w:rPr>
                          <w:t>（</w:t>
                        </w:r>
                        <w:hyperlink r:id="rId9">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w:t>
                          </w:r>
                          <w:r>
                            <w:rPr>
                              <w:rFonts w:ascii="Times New Roman" w:hAnsi="Times New Roman" w:cs="Times New Roman" w:eastAsia="Times New Roman" w:hint="default"/>
                              <w:spacing w:val="-2"/>
                              <w:sz w:val="18"/>
                              <w:szCs w:val="18"/>
                            </w:rPr>
                            <w: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3"/>
                              <w:w w:val="99"/>
                              <w:sz w:val="18"/>
                              <w:szCs w:val="18"/>
                            </w:rPr>
                            <w:t>w</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6"/>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89"/>
                            <w:sz w:val="18"/>
                            <w:szCs w:val="18"/>
                          </w:rPr>
                          <w:t>）</w:t>
                        </w:r>
                        <w:r>
                          <w:rPr>
                            <w:rFonts w:ascii="宋体" w:hAnsi="宋体" w:cs="宋体" w:eastAsia="宋体" w:hint="default"/>
                            <w:sz w:val="18"/>
                            <w:szCs w:val="18"/>
                          </w:rPr>
                          <w:t>上披露的公</w:t>
                        </w:r>
                        <w:r>
                          <w:rPr>
                            <w:rFonts w:ascii="宋体" w:hAnsi="宋体" w:cs="宋体" w:eastAsia="宋体" w:hint="default"/>
                            <w:spacing w:val="-89"/>
                            <w:sz w:val="18"/>
                            <w:szCs w:val="18"/>
                          </w:rPr>
                          <w:t>告</w:t>
                        </w:r>
                        <w:r>
                          <w:rPr>
                            <w:rFonts w:ascii="宋体" w:hAnsi="宋体" w:cs="宋体" w:eastAsia="宋体" w:hint="default"/>
                            <w:sz w:val="18"/>
                            <w:szCs w:val="18"/>
                          </w:rPr>
                          <w:t>（公告编号</w:t>
                        </w:r>
                        <w:r>
                          <w:rPr>
                            <w:rFonts w:ascii="宋体" w:hAnsi="宋体" w:cs="宋体" w:eastAsia="宋体" w:hint="default"/>
                            <w:spacing w:val="-89"/>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7</w:t>
                        </w:r>
                      </w:p>
                    </w:tc>
                  </w:tr>
                  <w:tr>
                    <w:trPr>
                      <w:trHeight w:val="314"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计收益</w:t>
                        </w:r>
                      </w:p>
                    </w:tc>
                    <w:tc>
                      <w:tcPr>
                        <w:tcW w:w="8848" w:type="dxa"/>
                        <w:gridSpan w:val="11"/>
                        <w:tcBorders>
                          <w:top w:val="nil" w:sz="6" w:space="0" w:color="auto"/>
                          <w:left w:val="single" w:sz="4" w:space="0" w:color="000000"/>
                          <w:bottom w:val="single" w:sz="16" w:space="0" w:color="FFFFFF"/>
                          <w:right w:val="single" w:sz="4" w:space="0" w:color="000000"/>
                        </w:tcBorders>
                      </w:tcPr>
                      <w:p>
                        <w:pPr>
                          <w:pStyle w:val="TableParagraph"/>
                          <w:spacing w:line="239"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330"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24" w:right="0"/>
                          <w:jc w:val="left"/>
                          <w:rPr>
                            <w:rFonts w:ascii="宋体" w:hAnsi="宋体" w:cs="宋体" w:eastAsia="宋体" w:hint="default"/>
                            <w:sz w:val="18"/>
                            <w:szCs w:val="18"/>
                          </w:rPr>
                        </w:pPr>
                        <w:r>
                          <w:rPr>
                            <w:rFonts w:ascii="宋体" w:hAnsi="宋体" w:cs="宋体" w:eastAsia="宋体" w:hint="default"/>
                            <w:sz w:val="18"/>
                            <w:szCs w:val="18"/>
                          </w:rPr>
                          <w:t>的情况</w:t>
                        </w:r>
                      </w:p>
                    </w:tc>
                    <w:tc>
                      <w:tcPr>
                        <w:tcW w:w="8848" w:type="dxa"/>
                        <w:gridSpan w:val="11"/>
                        <w:vMerge w:val="restart"/>
                        <w:tcBorders>
                          <w:top w:val="single" w:sz="16" w:space="0" w:color="FFFFFF"/>
                          <w:left w:val="single" w:sz="10" w:space="0" w:color="FFFFFF"/>
                          <w:right w:val="single" w:sz="10" w:space="0" w:color="FFFFFF"/>
                        </w:tcBorders>
                      </w:tcPr>
                      <w:p>
                        <w:pPr>
                          <w:pStyle w:val="TableParagraph"/>
                          <w:spacing w:line="300" w:lineRule="auto" w:before="49"/>
                          <w:ind w:left="16" w:right="1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、公司第三届董事会第十七次临时会议、</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年第三次临时股东大会审议通过《关于部分募集资金投资项目延 </w:t>
                        </w:r>
                        <w:r>
                          <w:rPr>
                            <w:rFonts w:ascii="宋体" w:hAnsi="宋体" w:cs="宋体" w:eastAsia="宋体" w:hint="default"/>
                            <w:spacing w:val="-3"/>
                            <w:sz w:val="18"/>
                            <w:szCs w:val="18"/>
                          </w:rPr>
                          <w:t>期的议案》和《关于变更部分募集资金用途的议案》，同意将非公开发行募集资金投资项目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北信源（南京）研发</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运营基地</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达到预定可使用状态的时间从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日，并将该项目中的暂未投</w:t>
                        </w:r>
                      </w:p>
                      <w:p>
                        <w:pPr>
                          <w:pStyle w:val="TableParagraph"/>
                          <w:spacing w:line="240" w:lineRule="auto" w:before="13"/>
                          <w:ind w:left="16" w:right="0"/>
                          <w:jc w:val="both"/>
                          <w:rPr>
                            <w:rFonts w:ascii="宋体" w:hAnsi="宋体" w:cs="宋体" w:eastAsia="宋体" w:hint="default"/>
                            <w:sz w:val="18"/>
                            <w:szCs w:val="18"/>
                          </w:rPr>
                        </w:pPr>
                        <w:r>
                          <w:rPr>
                            <w:rFonts w:ascii="宋体" w:hAnsi="宋体" w:cs="宋体" w:eastAsia="宋体" w:hint="default"/>
                            <w:sz w:val="18"/>
                            <w:szCs w:val="18"/>
                          </w:rPr>
                          <w:t>入使用的募集资金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23,400.00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基于可信终端的安全管理平台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建设。该项目具体延期及变更详见公</w:t>
                        </w:r>
                      </w:p>
                      <w:p>
                        <w:pPr>
                          <w:pStyle w:val="TableParagraph"/>
                          <w:spacing w:line="300" w:lineRule="auto" w:before="63"/>
                          <w:ind w:left="16" w:right="12"/>
                          <w:jc w:val="both"/>
                          <w:rPr>
                            <w:rFonts w:ascii="宋体" w:hAnsi="宋体" w:cs="宋体" w:eastAsia="宋体" w:hint="default"/>
                            <w:sz w:val="18"/>
                            <w:szCs w:val="18"/>
                          </w:rPr>
                        </w:pPr>
                        <w:r>
                          <w:rPr>
                            <w:rFonts w:ascii="宋体" w:hAnsi="宋体" w:cs="宋体" w:eastAsia="宋体" w:hint="default"/>
                            <w:sz w:val="18"/>
                            <w:szCs w:val="18"/>
                          </w:rPr>
                          <w:t>司分别于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日在巨潮资资讯网（</w:t>
                        </w:r>
                        <w:hyperlink r:id="rId9">
                          <w:r>
                            <w:rPr>
                              <w:rFonts w:ascii="Times New Roman" w:hAnsi="Times New Roman" w:cs="Times New Roman" w:eastAsia="Times New Roman" w:hint="default"/>
                              <w:spacing w:val="-4"/>
                              <w:sz w:val="18"/>
                              <w:szCs w:val="18"/>
                            </w:rPr>
                            <w:t>http://www.cninfo.com.cn</w:t>
                          </w:r>
                        </w:hyperlink>
                        <w:r>
                          <w:rPr>
                            <w:rFonts w:ascii="宋体" w:hAnsi="宋体" w:cs="宋体" w:eastAsia="宋体" w:hint="default"/>
                            <w:spacing w:val="-4"/>
                            <w:sz w:val="18"/>
                            <w:szCs w:val="18"/>
                          </w:rPr>
                          <w:t>）上披露的公告（公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9"/>
                            <w:sz w:val="18"/>
                            <w:szCs w:val="18"/>
                          </w:rPr>
                          <w:t>告编号：</w:t>
                        </w:r>
                        <w:r>
                          <w:rPr>
                            <w:rFonts w:ascii="Times New Roman" w:hAnsi="Times New Roman" w:cs="Times New Roman" w:eastAsia="Times New Roman" w:hint="default"/>
                            <w:spacing w:val="-9"/>
                            <w:sz w:val="18"/>
                            <w:szCs w:val="18"/>
                          </w:rPr>
                          <w:t>2019-122</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2019-139</w:t>
                        </w:r>
                        <w:r>
                          <w:rPr>
                            <w:rFonts w:ascii="宋体" w:hAnsi="宋体" w:cs="宋体" w:eastAsia="宋体" w:hint="default"/>
                            <w:spacing w:val="-9"/>
                            <w:sz w:val="18"/>
                            <w:szCs w:val="18"/>
                          </w:rPr>
                          <w:t>）。</w:t>
                        </w:r>
                        <w:r>
                          <w:rPr>
                            <w:rFonts w:ascii="宋体" w:hAnsi="宋体" w:cs="宋体" w:eastAsia="宋体" w:hint="default"/>
                            <w:sz w:val="18"/>
                            <w:szCs w:val="18"/>
                          </w:rPr>
                        </w: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和原因</w:t>
                        </w:r>
                      </w:p>
                    </w:tc>
                    <w:tc>
                      <w:tcPr>
                        <w:tcW w:w="8848" w:type="dxa"/>
                        <w:gridSpan w:val="11"/>
                        <w:vMerge/>
                        <w:tcBorders>
                          <w:left w:val="single" w:sz="10" w:space="0" w:color="FFFFFF"/>
                          <w:right w:val="single" w:sz="10" w:space="0" w:color="FFFFFF"/>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（分具</w:t>
                        </w:r>
                      </w:p>
                    </w:tc>
                    <w:tc>
                      <w:tcPr>
                        <w:tcW w:w="8848" w:type="dxa"/>
                        <w:gridSpan w:val="11"/>
                        <w:vMerge/>
                        <w:tcBorders>
                          <w:left w:val="single" w:sz="10" w:space="0" w:color="FFFFFF"/>
                          <w:right w:val="single" w:sz="10" w:space="0" w:color="FFFFFF"/>
                        </w:tcBorders>
                      </w:tcPr>
                      <w:p>
                        <w:pPr/>
                      </w:p>
                    </w:tc>
                  </w:tr>
                  <w:tr>
                    <w:trPr>
                      <w:trHeight w:val="1022" w:hRule="exact"/>
                    </w:trPr>
                    <w:tc>
                      <w:tcPr>
                        <w:tcW w:w="723" w:type="dxa"/>
                        <w:tcBorders>
                          <w:top w:val="nil" w:sz="6" w:space="0" w:color="auto"/>
                          <w:left w:val="single" w:sz="4" w:space="0" w:color="000000"/>
                          <w:bottom w:val="single" w:sz="4" w:space="0" w:color="000000"/>
                          <w:right w:val="single" w:sz="13" w:space="0" w:color="FFFFFF"/>
                        </w:tcBorders>
                        <w:shd w:val="clear" w:color="auto" w:fill="D2D2D2"/>
                      </w:tcPr>
                      <w:p>
                        <w:pPr>
                          <w:pStyle w:val="TableParagraph"/>
                          <w:spacing w:line="240" w:lineRule="auto" w:before="10"/>
                          <w:ind w:left="24" w:right="-43"/>
                          <w:jc w:val="left"/>
                          <w:rPr>
                            <w:rFonts w:ascii="宋体" w:hAnsi="宋体" w:cs="宋体" w:eastAsia="宋体" w:hint="default"/>
                            <w:sz w:val="18"/>
                            <w:szCs w:val="18"/>
                          </w:rPr>
                        </w:pPr>
                        <w:r>
                          <w:rPr>
                            <w:rFonts w:ascii="宋体" w:hAnsi="宋体" w:cs="宋体" w:eastAsia="宋体" w:hint="default"/>
                            <w:sz w:val="18"/>
                            <w:szCs w:val="18"/>
                          </w:rPr>
                          <w:t>体项目）</w:t>
                        </w:r>
                      </w:p>
                    </w:tc>
                    <w:tc>
                      <w:tcPr>
                        <w:tcW w:w="8848" w:type="dxa"/>
                        <w:gridSpan w:val="11"/>
                        <w:vMerge/>
                        <w:tcBorders>
                          <w:left w:val="single" w:sz="10" w:space="0" w:color="FFFFFF"/>
                          <w:bottom w:val="single" w:sz="4" w:space="0" w:color="000000"/>
                          <w:right w:val="single" w:sz="10" w:space="0" w:color="FFFFFF"/>
                        </w:tcBorders>
                      </w:tcPr>
                      <w:p>
                        <w:pPr/>
                      </w:p>
                    </w:tc>
                  </w:tr>
                  <w:tr>
                    <w:trPr>
                      <w:trHeight w:val="355"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项目可</w:t>
                        </w:r>
                      </w:p>
                    </w:tc>
                    <w:tc>
                      <w:tcPr>
                        <w:tcW w:w="8848" w:type="dxa"/>
                        <w:gridSpan w:val="11"/>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行性发</w:t>
                        </w:r>
                      </w:p>
                    </w:tc>
                    <w:tc>
                      <w:tcPr>
                        <w:tcW w:w="8848" w:type="dxa"/>
                        <w:gridSpan w:val="11"/>
                        <w:tcBorders>
                          <w:top w:val="nil" w:sz="6" w:space="0" w:color="auto"/>
                          <w:left w:val="single" w:sz="4" w:space="0" w:color="000000"/>
                          <w:bottom w:val="nil" w:sz="6" w:space="0" w:color="auto"/>
                          <w:right w:val="single" w:sz="4" w:space="0" w:color="000000"/>
                        </w:tcBorders>
                      </w:tcPr>
                      <w:p>
                        <w:pPr/>
                      </w:p>
                    </w:tc>
                  </w:tr>
                  <w:tr>
                    <w:trPr>
                      <w:trHeight w:val="624"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24" w:right="147"/>
                          <w:jc w:val="left"/>
                          <w:rPr>
                            <w:rFonts w:ascii="宋体" w:hAnsi="宋体" w:cs="宋体" w:eastAsia="宋体" w:hint="default"/>
                            <w:sz w:val="18"/>
                            <w:szCs w:val="18"/>
                          </w:rPr>
                        </w:pPr>
                        <w:r>
                          <w:rPr>
                            <w:rFonts w:ascii="宋体" w:hAnsi="宋体" w:cs="宋体" w:eastAsia="宋体" w:hint="default"/>
                            <w:sz w:val="18"/>
                            <w:szCs w:val="18"/>
                          </w:rPr>
                          <w:t>生重大 变化的</w:t>
                        </w:r>
                      </w:p>
                    </w:tc>
                    <w:tc>
                      <w:tcPr>
                        <w:tcW w:w="8848" w:type="dxa"/>
                        <w:gridSpan w:val="11"/>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情况说</w:t>
                        </w:r>
                      </w:p>
                    </w:tc>
                    <w:tc>
                      <w:tcPr>
                        <w:tcW w:w="8848" w:type="dxa"/>
                        <w:gridSpan w:val="11"/>
                        <w:tcBorders>
                          <w:top w:val="nil" w:sz="6" w:space="0" w:color="auto"/>
                          <w:left w:val="single" w:sz="4" w:space="0" w:color="000000"/>
                          <w:bottom w:val="nil" w:sz="6" w:space="0" w:color="auto"/>
                          <w:right w:val="single" w:sz="4" w:space="0" w:color="000000"/>
                        </w:tcBorders>
                      </w:tcPr>
                      <w:p>
                        <w:pPr/>
                      </w:p>
                    </w:tc>
                  </w:tr>
                  <w:tr>
                    <w:trPr>
                      <w:trHeight w:val="360"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明</w:t>
                        </w:r>
                      </w:p>
                    </w:tc>
                    <w:tc>
                      <w:tcPr>
                        <w:tcW w:w="8848" w:type="dxa"/>
                        <w:gridSpan w:val="11"/>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7"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4" w:right="0"/>
                          <w:jc w:val="left"/>
                          <w:rPr>
                            <w:rFonts w:ascii="宋体" w:hAnsi="宋体" w:cs="宋体" w:eastAsia="宋体" w:hint="default"/>
                            <w:sz w:val="18"/>
                            <w:szCs w:val="18"/>
                          </w:rPr>
                        </w:pPr>
                        <w:r>
                          <w:rPr>
                            <w:rFonts w:ascii="宋体" w:hAnsi="宋体" w:cs="宋体" w:eastAsia="宋体" w:hint="default"/>
                            <w:sz w:val="18"/>
                            <w:szCs w:val="18"/>
                          </w:rPr>
                          <w:t>金的金</w:t>
                        </w:r>
                      </w:p>
                    </w:tc>
                    <w:tc>
                      <w:tcPr>
                        <w:tcW w:w="8848"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4"/>
                            <w:sz w:val="18"/>
                            <w:szCs w:val="18"/>
                          </w:rPr>
                          <w:t>额、用途</w:t>
                        </w:r>
                      </w:p>
                    </w:tc>
                    <w:tc>
                      <w:tcPr>
                        <w:tcW w:w="8848" w:type="dxa"/>
                        <w:gridSpan w:val="11"/>
                        <w:vMerge/>
                        <w:tcBorders>
                          <w:left w:val="single" w:sz="4" w:space="0" w:color="000000"/>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及使用</w:t>
                        </w:r>
                      </w:p>
                    </w:tc>
                    <w:tc>
                      <w:tcPr>
                        <w:tcW w:w="8848" w:type="dxa"/>
                        <w:gridSpan w:val="11"/>
                        <w:vMerge/>
                        <w:tcBorders>
                          <w:left w:val="single" w:sz="4" w:space="0" w:color="000000"/>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进展情</w:t>
                        </w:r>
                      </w:p>
                    </w:tc>
                    <w:tc>
                      <w:tcPr>
                        <w:tcW w:w="8848" w:type="dxa"/>
                        <w:gridSpan w:val="11"/>
                        <w:vMerge/>
                        <w:tcBorders>
                          <w:left w:val="single" w:sz="4" w:space="0" w:color="000000"/>
                          <w:right w:val="single" w:sz="4" w:space="0" w:color="000000"/>
                        </w:tcBorders>
                      </w:tcPr>
                      <w:p>
                        <w:pPr/>
                      </w:p>
                    </w:tc>
                  </w:tr>
                  <w:tr>
                    <w:trPr>
                      <w:trHeight w:val="357"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8" w:type="dxa"/>
                        <w:gridSpan w:val="11"/>
                        <w:vMerge/>
                        <w:tcBorders>
                          <w:left w:val="single" w:sz="4" w:space="0" w:color="000000"/>
                          <w:bottom w:val="single" w:sz="4" w:space="0" w:color="000000"/>
                          <w:right w:val="single" w:sz="4" w:space="0" w:color="000000"/>
                        </w:tcBorders>
                      </w:tcPr>
                      <w:p>
                        <w:pPr/>
                      </w:p>
                    </w:tc>
                  </w:tr>
                  <w:tr>
                    <w:trPr>
                      <w:trHeight w:val="403" w:hRule="exact"/>
                    </w:trPr>
                    <w:tc>
                      <w:tcPr>
                        <w:tcW w:w="72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64"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198" w:lineRule="exact"/>
                          <w:ind w:left="24" w:right="0"/>
                          <w:jc w:val="left"/>
                          <w:rPr>
                            <w:rFonts w:ascii="宋体" w:hAnsi="宋体" w:cs="宋体" w:eastAsia="宋体" w:hint="default"/>
                            <w:sz w:val="18"/>
                            <w:szCs w:val="18"/>
                          </w:rPr>
                        </w:pPr>
                        <w:r>
                          <w:rPr>
                            <w:rFonts w:ascii="宋体" w:hAnsi="宋体" w:cs="宋体" w:eastAsia="宋体" w:hint="default"/>
                            <w:sz w:val="18"/>
                            <w:szCs w:val="18"/>
                          </w:rPr>
                          <w:t>金投资</w:t>
                        </w:r>
                      </w:p>
                    </w:tc>
                    <w:tc>
                      <w:tcPr>
                        <w:tcW w:w="8848" w:type="dxa"/>
                        <w:gridSpan w:val="11"/>
                        <w:vMerge w:val="restart"/>
                        <w:tcBorders>
                          <w:top w:val="single" w:sz="4" w:space="0" w:color="000000"/>
                          <w:left w:val="single" w:sz="4" w:space="0" w:color="000000"/>
                          <w:right w:val="single" w:sz="4" w:space="0" w:color="000000"/>
                        </w:tcBorders>
                      </w:tcPr>
                      <w:p>
                        <w:pPr/>
                      </w:p>
                    </w:tc>
                  </w:tr>
                  <w:tr>
                    <w:trPr>
                      <w:trHeight w:val="137" w:hRule="exact"/>
                    </w:trPr>
                    <w:tc>
                      <w:tcPr>
                        <w:tcW w:w="7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项目实</w:t>
                        </w:r>
                      </w:p>
                    </w:tc>
                    <w:tc>
                      <w:tcPr>
                        <w:tcW w:w="8848" w:type="dxa"/>
                        <w:gridSpan w:val="11"/>
                        <w:vMerge/>
                        <w:tcBorders>
                          <w:left w:val="single" w:sz="4" w:space="0" w:color="000000"/>
                          <w:bottom w:val="single" w:sz="4" w:space="0" w:color="000000"/>
                          <w:right w:val="single" w:sz="4" w:space="0" w:color="000000"/>
                        </w:tcBorders>
                      </w:tcPr>
                      <w:p>
                        <w:pPr/>
                      </w:p>
                    </w:tc>
                  </w:tr>
                  <w:tr>
                    <w:trPr>
                      <w:trHeight w:val="175" w:hRule="exact"/>
                    </w:trPr>
                    <w:tc>
                      <w:tcPr>
                        <w:tcW w:w="723" w:type="dxa"/>
                        <w:vMerge/>
                        <w:tcBorders>
                          <w:left w:val="single" w:sz="4" w:space="0" w:color="000000"/>
                          <w:bottom w:val="nil" w:sz="6" w:space="0" w:color="auto"/>
                          <w:right w:val="single" w:sz="4" w:space="0" w:color="000000"/>
                        </w:tcBorders>
                        <w:shd w:val="clear" w:color="auto" w:fill="D2D2D2"/>
                      </w:tcPr>
                      <w:p>
                        <w:pPr/>
                      </w:p>
                    </w:tc>
                    <w:tc>
                      <w:tcPr>
                        <w:tcW w:w="8848" w:type="dxa"/>
                        <w:gridSpan w:val="11"/>
                        <w:vMerge w:val="restart"/>
                        <w:tcBorders>
                          <w:top w:val="single" w:sz="4" w:space="0" w:color="000000"/>
                          <w:left w:val="single" w:sz="4" w:space="0" w:color="000000"/>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施地点</w:t>
                        </w:r>
                      </w:p>
                    </w:tc>
                    <w:tc>
                      <w:tcPr>
                        <w:tcW w:w="8848" w:type="dxa"/>
                        <w:gridSpan w:val="11"/>
                        <w:vMerge/>
                        <w:tcBorders>
                          <w:left w:val="single" w:sz="4" w:space="0" w:color="000000"/>
                          <w:right w:val="single" w:sz="4" w:space="0" w:color="000000"/>
                        </w:tcBorders>
                      </w:tcPr>
                      <w:p>
                        <w:pPr/>
                      </w:p>
                    </w:tc>
                  </w:tr>
                  <w:tr>
                    <w:trPr>
                      <w:trHeight w:val="312" w:hRule="exact"/>
                    </w:trPr>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变更情</w:t>
                        </w:r>
                      </w:p>
                    </w:tc>
                    <w:tc>
                      <w:tcPr>
                        <w:tcW w:w="8848" w:type="dxa"/>
                        <w:gridSpan w:val="11"/>
                        <w:vMerge/>
                        <w:tcBorders>
                          <w:left w:val="single" w:sz="4" w:space="0" w:color="000000"/>
                          <w:right w:val="single" w:sz="4" w:space="0" w:color="000000"/>
                        </w:tcBorders>
                      </w:tcPr>
                      <w:p>
                        <w:pPr/>
                      </w:p>
                    </w:tc>
                  </w:tr>
                  <w:tr>
                    <w:trPr>
                      <w:trHeight w:val="360" w:hRule="exact"/>
                    </w:trPr>
                    <w:tc>
                      <w:tcPr>
                        <w:tcW w:w="723"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况</w:t>
                        </w:r>
                      </w:p>
                    </w:tc>
                    <w:tc>
                      <w:tcPr>
                        <w:tcW w:w="8848" w:type="dxa"/>
                        <w:gridSpan w:val="11"/>
                        <w:vMerge/>
                        <w:tcBorders>
                          <w:left w:val="single" w:sz="4" w:space="0" w:color="000000"/>
                          <w:bottom w:val="single" w:sz="4" w:space="0" w:color="000000"/>
                          <w:right w:val="single" w:sz="4" w:space="0" w:color="000000"/>
                        </w:tcBorders>
                      </w:tcPr>
                      <w:p>
                        <w:pPr/>
                      </w:p>
                    </w:tc>
                  </w:tr>
                  <w:tr>
                    <w:trPr>
                      <w:trHeight w:val="401" w:hRule="exact"/>
                    </w:trPr>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募集资</w:t>
                        </w:r>
                      </w:p>
                    </w:tc>
                    <w:tc>
                      <w:tcPr>
                        <w:tcW w:w="884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left="0" w:right="1136"/>
        <w:jc w:val="right"/>
      </w:pPr>
      <w:r>
        <w:rPr/>
        <w:t>、</w:t>
      </w:r>
    </w:p>
    <w:p>
      <w:pPr>
        <w:spacing w:after="0" w:line="240" w:lineRule="auto"/>
        <w:jc w:val="right"/>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4.7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2"/>
                    <w:gridCol w:w="8848"/>
                  </w:tblGrid>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
                          <w:ind w:left="22" w:right="147"/>
                          <w:jc w:val="both"/>
                          <w:rPr>
                            <w:rFonts w:ascii="宋体" w:hAnsi="宋体" w:cs="宋体" w:eastAsia="宋体" w:hint="default"/>
                            <w:sz w:val="18"/>
                            <w:szCs w:val="18"/>
                          </w:rPr>
                        </w:pPr>
                        <w:r>
                          <w:rPr>
                            <w:rFonts w:ascii="宋体" w:hAnsi="宋体" w:cs="宋体" w:eastAsia="宋体" w:hint="default"/>
                            <w:sz w:val="18"/>
                            <w:szCs w:val="18"/>
                          </w:rPr>
                          <w:t>金投资 项目实 施方式 调整情 况</w:t>
                        </w: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1210"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0"/>
                            <w:szCs w:val="20"/>
                          </w:rPr>
                        </w:pPr>
                      </w:p>
                      <w:p>
                        <w:pPr>
                          <w:pStyle w:val="TableParagraph"/>
                          <w:spacing w:line="319" w:lineRule="auto"/>
                          <w:ind w:left="22" w:right="147"/>
                          <w:jc w:val="both"/>
                          <w:rPr>
                            <w:rFonts w:ascii="宋体" w:hAnsi="宋体" w:cs="宋体" w:eastAsia="宋体" w:hint="default"/>
                            <w:sz w:val="18"/>
                            <w:szCs w:val="18"/>
                          </w:rPr>
                        </w:pPr>
                        <w:r>
                          <w:rPr>
                            <w:rFonts w:ascii="宋体" w:hAnsi="宋体" w:cs="宋体" w:eastAsia="宋体" w:hint="default"/>
                            <w:sz w:val="18"/>
                            <w:szCs w:val="18"/>
                          </w:rPr>
                          <w:t>募集资 金投资 项目先 期投入 及置换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02"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日本公司以自筹资金预先投入新一代互联网安全聚合通道项目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34,222,772.59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元，本期</w:t>
                        </w:r>
                        <w:r>
                          <w:rPr>
                            <w:rFonts w:ascii="宋体" w:hAnsi="宋体" w:cs="宋体" w:eastAsia="宋体" w:hint="default"/>
                            <w:sz w:val="18"/>
                            <w:szCs w:val="18"/>
                          </w:rPr>
                          <w:t> 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号《北京北信源软件股份有限公司以自筹资金预先投入募</w:t>
                        </w:r>
                        <w:r>
                          <w:rPr>
                            <w:rFonts w:ascii="宋体" w:hAnsi="宋体" w:cs="宋体" w:eastAsia="宋体" w:hint="default"/>
                            <w:sz w:val="18"/>
                            <w:szCs w:val="18"/>
                          </w:rPr>
                          <w:t> 集资金投资项目情况报告的鉴证报告》进行置换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34,222,772.59 </w:t>
                        </w:r>
                        <w:r>
                          <w:rPr>
                            <w:rFonts w:ascii="宋体" w:hAnsi="宋体" w:cs="宋体" w:eastAsia="宋体" w:hint="default"/>
                            <w:sz w:val="18"/>
                            <w:szCs w:val="18"/>
                          </w:rPr>
                          <w:t>元。</w:t>
                        </w:r>
                      </w:p>
                      <w:p>
                        <w:pPr>
                          <w:pStyle w:val="TableParagraph"/>
                          <w:spacing w:line="300" w:lineRule="auto" w:before="53"/>
                          <w:ind w:left="24"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日本公司以自筹资金预先投入北信源（南京）研发运营基地项目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1,728,647.73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 期根据瑞华会计师事务所出具的瑞华核字</w:t>
                        </w:r>
                        <w:r>
                          <w:rPr>
                            <w:rFonts w:ascii="Times New Roman" w:hAnsi="Times New Roman" w:cs="Times New Roman" w:eastAsia="Times New Roman" w:hint="default"/>
                            <w:sz w:val="18"/>
                            <w:szCs w:val="18"/>
                          </w:rPr>
                          <w:t>[2016]01660044</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号《北京北信源软件股份有限公司以自筹资金预先投入</w:t>
                        </w:r>
                        <w:r>
                          <w:rPr>
                            <w:rFonts w:ascii="宋体" w:hAnsi="宋体" w:cs="宋体" w:eastAsia="宋体" w:hint="default"/>
                            <w:sz w:val="18"/>
                            <w:szCs w:val="18"/>
                          </w:rPr>
                          <w:t> 募集资金投资项目情况报告的鉴证报告》进行置换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1,728,647.73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用闲置 募集资 金暂时 补充流 动资金 情况</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86"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日召开了第三届董事会第六次会议审议通过《关于使用非公开发行部分闲置募集资金暂时补充 </w:t>
                        </w:r>
                        <w:r>
                          <w:rPr>
                            <w:rFonts w:ascii="宋体" w:hAnsi="宋体" w:cs="宋体" w:eastAsia="宋体" w:hint="default"/>
                            <w:spacing w:val="-2"/>
                            <w:w w:val="100"/>
                            <w:sz w:val="18"/>
                            <w:szCs w:val="18"/>
                          </w:rPr>
                          <w:t>流动资金的议案》，同意公司在保证非公开发行募集资金（以下简称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募集资金</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）投资项目建设的资金需求以及</w:t>
                        </w:r>
                        <w:r>
                          <w:rPr>
                            <w:rFonts w:ascii="宋体" w:hAnsi="宋体" w:cs="宋体" w:eastAsia="宋体" w:hint="default"/>
                            <w:spacing w:val="-80"/>
                            <w:w w:val="100"/>
                            <w:sz w:val="18"/>
                            <w:szCs w:val="18"/>
                          </w:rPr>
                          <w:t> </w:t>
                        </w:r>
                        <w:r>
                          <w:rPr>
                            <w:rFonts w:ascii="宋体" w:hAnsi="宋体" w:cs="宋体" w:eastAsia="宋体" w:hint="default"/>
                            <w:spacing w:val="-80"/>
                            <w:w w:val="100"/>
                            <w:sz w:val="18"/>
                            <w:szCs w:val="18"/>
                          </w:rPr>
                        </w:r>
                        <w:r>
                          <w:rPr>
                            <w:rFonts w:ascii="宋体" w:hAnsi="宋体" w:cs="宋体" w:eastAsia="宋体" w:hint="default"/>
                            <w:sz w:val="18"/>
                            <w:szCs w:val="18"/>
                          </w:rPr>
                          <w:t>募集资金投资项目正常进行的前提下，使用部分闲置募集资金人民币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万元暂时补充流动资金，使用期限为</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自公司董事会审议通过之日起不超过</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个月。该部分资金为公司非公开发行募集资金投资项目的暂时闲置资金</w:t>
                        </w:r>
                      </w:p>
                      <w:p>
                        <w:pPr>
                          <w:pStyle w:val="TableParagraph"/>
                          <w:spacing w:line="300"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若募集资金投资项目因发展需要，公司将及时归还。</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日召开的第三届董事会第十次临时会议审议 </w:t>
                        </w:r>
                        <w:r>
                          <w:rPr>
                            <w:rFonts w:ascii="宋体" w:hAnsi="宋体" w:cs="宋体" w:eastAsia="宋体" w:hint="default"/>
                            <w:spacing w:val="-3"/>
                            <w:sz w:val="18"/>
                            <w:szCs w:val="18"/>
                          </w:rPr>
                          <w:t>通过《关于变更部分募集资金用途并永久补充流动资金的议案》，同意将非公开发行募集资金投资项目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新一代互</w:t>
                        </w:r>
                        <w:r>
                          <w:rPr>
                            <w:rFonts w:ascii="宋体" w:hAnsi="宋体" w:cs="宋体" w:eastAsia="宋体" w:hint="default"/>
                            <w:spacing w:val="-52"/>
                            <w:sz w:val="18"/>
                            <w:szCs w:val="18"/>
                          </w:rPr>
                          <w:t> </w:t>
                        </w:r>
                        <w:r>
                          <w:rPr>
                            <w:rFonts w:ascii="宋体" w:hAnsi="宋体" w:cs="宋体" w:eastAsia="宋体" w:hint="default"/>
                            <w:sz w:val="18"/>
                            <w:szCs w:val="18"/>
                          </w:rPr>
                          <w:t>联网安全聚合通道项目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结余募集资金中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面向国产化计算机的终端安全管理平台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将剩余募集资金</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19,093.29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万元（含利息等收益以及前次暂时补充流动资金的闲置募集资金）永久补充流动资金</w:t>
                        </w:r>
                      </w:p>
                      <w:p>
                        <w:pPr>
                          <w:pStyle w:val="TableParagraph"/>
                          <w:spacing w:line="304" w:lineRule="auto" w:before="101"/>
                          <w:ind w:left="24" w:right="2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日召开了第三届董事会第十八次临时会议审议通过《关于部分募集资金投资项目结项并将节余 </w:t>
                        </w:r>
                        <w:r>
                          <w:rPr>
                            <w:rFonts w:ascii="宋体" w:hAnsi="宋体" w:cs="宋体" w:eastAsia="宋体" w:hint="default"/>
                            <w:spacing w:val="-2"/>
                            <w:w w:val="100"/>
                            <w:sz w:val="18"/>
                            <w:szCs w:val="18"/>
                          </w:rPr>
                          <w:t>募集资金永久补充流动资金的议案》，鉴于公司募集资金投资项目中的</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面向国产化计算机的终端安全管理平台</w:t>
                        </w:r>
                        <w:r>
                          <w:rPr>
                            <w:rFonts w:ascii="Times New Roman" w:hAnsi="Times New Roman" w:cs="Times New Roman" w:eastAsia="Times New Roman" w:hint="default"/>
                            <w:spacing w:val="-2"/>
                            <w:w w:val="100"/>
                            <w:sz w:val="18"/>
                            <w:szCs w:val="18"/>
                          </w:rPr>
                          <w:t>”</w:t>
                        </w:r>
                        <w:r>
                          <w:rPr>
                            <w:rFonts w:ascii="Times New Roman" w:hAnsi="Times New Roman" w:cs="Times New Roman" w:eastAsia="Times New Roman" w:hint="default"/>
                            <w:spacing w:val="-36"/>
                            <w:w w:val="100"/>
                            <w:sz w:val="18"/>
                            <w:szCs w:val="18"/>
                          </w:rPr>
                          <w:t> </w:t>
                        </w:r>
                        <w:r>
                          <w:rPr>
                            <w:rFonts w:ascii="宋体" w:hAnsi="宋体" w:cs="宋体" w:eastAsia="宋体" w:hint="default"/>
                            <w:spacing w:val="-1"/>
                            <w:sz w:val="18"/>
                            <w:szCs w:val="18"/>
                          </w:rPr>
                          <w:t>已达到预定可使用状态，为满足公司业务发展需要，提高募集资金使用效率，结合公司实际经营情况，同意将上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述募集资金投资项目结项并将节余募集资金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161.60 </w:t>
                        </w:r>
                        <w:r>
                          <w:rPr>
                            <w:rFonts w:ascii="宋体" w:hAnsi="宋体" w:cs="宋体" w:eastAsia="宋体" w:hint="default"/>
                            <w:sz w:val="18"/>
                            <w:szCs w:val="18"/>
                          </w:rPr>
                          <w:t>万元（含利息收入，实际金额以资金转出当日专户余额为准 永久性补充流动资金，用于公司日常生产经营，同时注销对应的募集资金账户。</w:t>
                        </w:r>
                      </w:p>
                    </w:tc>
                  </w:tr>
                  <w:tr>
                    <w:trPr>
                      <w:trHeight w:val="403" w:hRule="exact"/>
                    </w:trPr>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2"/>
                            <w:szCs w:val="22"/>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项目实 施出现 募集资 金结余 的金额 及原因</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041" w:hRule="exact"/>
                    </w:trPr>
                    <w:tc>
                      <w:tcPr>
                        <w:tcW w:w="722" w:type="dxa"/>
                        <w:vMerge/>
                        <w:tcBorders>
                          <w:left w:val="single" w:sz="4" w:space="0" w:color="000000"/>
                          <w:bottom w:val="single" w:sz="4" w:space="0" w:color="000000"/>
                          <w:right w:val="single" w:sz="4" w:space="0" w:color="000000"/>
                        </w:tcBorders>
                        <w:shd w:val="clear" w:color="auto" w:fill="D2D2D2"/>
                      </w:tcPr>
                      <w:p>
                        <w:pP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新一代互联网安全聚合通道</w:t>
                        </w:r>
                        <w:r>
                          <w:rPr>
                            <w:rFonts w:ascii="Times New Roman" w:hAnsi="Times New Roman" w:cs="Times New Roman" w:eastAsia="Times New Roman" w:hint="default"/>
                            <w:sz w:val="18"/>
                            <w:szCs w:val="18"/>
                          </w:rPr>
                          <w:t>”</w:t>
                        </w:r>
                        <w:r>
                          <w:rPr>
                            <w:rFonts w:ascii="宋体" w:hAnsi="宋体" w:cs="宋体" w:eastAsia="宋体" w:hint="default"/>
                            <w:sz w:val="18"/>
                            <w:szCs w:val="18"/>
                          </w:rPr>
                          <w:t>项目已完成投入，经董事会、股东大会审议通过已结项并将结余募集资金中</w:t>
                        </w:r>
                      </w:p>
                      <w:p>
                        <w:pPr>
                          <w:pStyle w:val="TableParagraph"/>
                          <w:spacing w:line="300" w:lineRule="auto" w:before="60"/>
                          <w:ind w:left="24" w:right="19"/>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100,000,000.00</w:t>
                        </w:r>
                        <w:r>
                          <w:rPr>
                            <w:rFonts w:ascii="Times New Roman" w:hAnsi="Times New Roman" w:cs="Times New Roman" w:eastAsia="Times New Roman" w:hint="default"/>
                            <w:spacing w:val="-9"/>
                            <w:sz w:val="18"/>
                            <w:szCs w:val="18"/>
                          </w:rPr>
                          <w:t> </w:t>
                        </w:r>
                        <w:r>
                          <w:rPr>
                            <w:rFonts w:ascii="宋体" w:hAnsi="宋体" w:cs="宋体" w:eastAsia="宋体" w:hint="default"/>
                            <w:spacing w:val="-3"/>
                            <w:w w:val="100"/>
                            <w:sz w:val="18"/>
                            <w:szCs w:val="18"/>
                          </w:rPr>
                          <w:t>元变更用于</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面向国产化计算机的终端安全管理平台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建设，并将剩余募集资金</w:t>
                        </w:r>
                        <w:r>
                          <w:rPr>
                            <w:rFonts w:ascii="宋体" w:hAnsi="宋体" w:cs="宋体" w:eastAsia="宋体" w:hint="default"/>
                            <w:spacing w:val="-55"/>
                            <w:w w:val="100"/>
                            <w:sz w:val="18"/>
                            <w:szCs w:val="18"/>
                          </w:rPr>
                          <w:t> </w:t>
                        </w:r>
                        <w:r>
                          <w:rPr>
                            <w:rFonts w:ascii="Times New Roman" w:hAnsi="Times New Roman" w:cs="Times New Roman" w:eastAsia="Times New Roman" w:hint="default"/>
                            <w:spacing w:val="-1"/>
                            <w:sz w:val="18"/>
                            <w:szCs w:val="18"/>
                          </w:rPr>
                          <w:t>190,932,943.43</w:t>
                        </w:r>
                        <w:r>
                          <w:rPr>
                            <w:rFonts w:ascii="Times New Roman" w:hAnsi="Times New Roman" w:cs="Times New Roman" w:eastAsia="Times New Roman" w:hint="default"/>
                            <w:spacing w:val="-9"/>
                            <w:sz w:val="18"/>
                            <w:szCs w:val="18"/>
                          </w:rPr>
                          <w:t> </w:t>
                        </w:r>
                        <w:r>
                          <w:rPr>
                            <w:rFonts w:ascii="宋体" w:hAnsi="宋体" w:cs="宋体" w:eastAsia="宋体" w:hint="default"/>
                            <w:spacing w:val="-31"/>
                            <w:sz w:val="18"/>
                            <w:szCs w:val="18"/>
                          </w:rPr>
                          <w:t>元（含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利息等收益以及前次暂时补充流动资金的闲置募集资金）永久补充流动资金。</w:t>
                        </w:r>
                      </w:p>
                      <w:p>
                        <w:pPr>
                          <w:pStyle w:val="TableParagraph"/>
                          <w:spacing w:line="240" w:lineRule="auto" w:before="7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面向国产化计算机的终端安全管理平台</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项目已完成投入</w:t>
                        </w:r>
                        <w:r>
                          <w:rPr>
                            <w:rFonts w:ascii="宋体" w:hAnsi="宋体" w:cs="宋体" w:eastAsia="宋体" w:hint="default"/>
                            <w:spacing w:val="-92"/>
                            <w:sz w:val="18"/>
                            <w:szCs w:val="18"/>
                          </w:rPr>
                          <w:t>，</w:t>
                        </w:r>
                        <w:r>
                          <w:rPr>
                            <w:rFonts w:ascii="宋体" w:hAnsi="宋体" w:cs="宋体" w:eastAsia="宋体" w:hint="default"/>
                            <w:sz w:val="18"/>
                            <w:szCs w:val="18"/>
                          </w:rPr>
                          <w:t>经董事会审议通过已结项并将节余募集资金</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16</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万元（含利息收入，实际金额以资金转出当日专户余额为准）永久性补充流动资金。</w:t>
                        </w:r>
                      </w:p>
                    </w:tc>
                  </w:tr>
                  <w:tr>
                    <w:trPr>
                      <w:trHeight w:val="1651"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尚未使 用的募 集资金 用途及 去向</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日，募集资金余额人民币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415,941,723.66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元，其中存放招商银行股份有限公司南京新城科技</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园支行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125904801410809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29,644,582.09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元；存放南京银行股份有限公司江北新区分行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0160230000003164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户</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26,297,141.57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元；理财产品及定期存款人民币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360,000,000.00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987" w:hRule="exact"/>
                    </w:trPr>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47"/>
                          <w:jc w:val="both"/>
                          <w:rPr>
                            <w:rFonts w:ascii="宋体" w:hAnsi="宋体" w:cs="宋体" w:eastAsia="宋体" w:hint="default"/>
                            <w:sz w:val="18"/>
                            <w:szCs w:val="18"/>
                          </w:rPr>
                        </w:pPr>
                        <w:r>
                          <w:rPr>
                            <w:rFonts w:ascii="宋体" w:hAnsi="宋体" w:cs="宋体" w:eastAsia="宋体" w:hint="default"/>
                            <w:sz w:val="18"/>
                            <w:szCs w:val="18"/>
                          </w:rPr>
                          <w:t>募集资 金使用 及披露</w:t>
                        </w:r>
                      </w:p>
                    </w:tc>
                    <w:tc>
                      <w:tcPr>
                        <w:tcW w:w="8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公司已披露的相关信息不存在未及时、真实、准确、完整披露的情况。</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before="44"/>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240" w:lineRule="auto" w:before="44"/>
        <w:ind w:left="0" w:right="113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before="44"/>
        <w:ind w:left="0" w:right="1153"/>
        <w:jc w:val="right"/>
      </w:pPr>
      <w:r>
        <w:rPr/>
        <w:t>）</w:t>
      </w:r>
    </w:p>
    <w:p>
      <w:pPr>
        <w:spacing w:after="0" w:line="240" w:lineRule="auto"/>
        <w:jc w:val="right"/>
        <w:sectPr>
          <w:pgSz w:w="11910" w:h="16840"/>
          <w:pgMar w:header="745" w:footer="979" w:top="1060" w:bottom="1160" w:left="980" w:right="0"/>
        </w:sectPr>
      </w:pPr>
    </w:p>
    <w:p>
      <w:pPr>
        <w:spacing w:line="240" w:lineRule="auto" w:before="2"/>
        <w:rPr>
          <w:rFonts w:ascii="宋体" w:hAnsi="宋体" w:cs="宋体" w:eastAsia="宋体" w:hint="default"/>
          <w:sz w:val="28"/>
          <w:szCs w:val="28"/>
        </w:rPr>
      </w:pPr>
    </w:p>
    <w:p>
      <w:pPr>
        <w:spacing w:line="1318" w:lineRule="exact"/>
        <w:ind w:left="148"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79.05pt;height:65.9pt;mso-position-horizontal-relative:char;mso-position-vertical-relative:line" coordorigin="0,0" coordsize="9581,1318">
            <v:group style="position:absolute;left:12;top:14;width:711;height:1290" coordorigin="12,14" coordsize="711,1290">
              <v:shape style="position:absolute;left:12;top:14;width:711;height:1290" coordorigin="12,14" coordsize="711,1290" path="m12,1304l723,1304,723,14,12,14,12,1304xe" filled="true" fillcolor="#d2d2d2" stroked="false">
                <v:path arrowok="t"/>
                <v:fill type="solid"/>
              </v:shape>
            </v:group>
            <v:group style="position:absolute;left:34;top:14;width:668;height:313" coordorigin="34,14" coordsize="668,313">
              <v:shape style="position:absolute;left:34;top:14;width:668;height:313" coordorigin="34,14" coordsize="668,313" path="m34,327l701,327,701,14,34,14,34,327xe" filled="true" fillcolor="#d2d2d2" stroked="false">
                <v:path arrowok="t"/>
                <v:fill type="solid"/>
              </v:shape>
            </v:group>
            <v:group style="position:absolute;left:34;top:327;width:668;height:312" coordorigin="34,327" coordsize="668,312">
              <v:shape style="position:absolute;left:34;top:327;width:668;height:312" coordorigin="34,327" coordsize="668,312" path="m34,639l701,639,701,327,34,327,34,639xe" filled="true" fillcolor="#d2d2d2" stroked="false">
                <v:path arrowok="t"/>
                <v:fill type="solid"/>
              </v:shape>
            </v:group>
            <v:group style="position:absolute;left:34;top:639;width:668;height:312" coordorigin="34,639" coordsize="668,312">
              <v:shape style="position:absolute;left:34;top:639;width:668;height:312" coordorigin="34,639" coordsize="668,312" path="m34,951l701,951,701,639,34,639,34,951xe" filled="true" fillcolor="#d2d2d2" stroked="false">
                <v:path arrowok="t"/>
                <v:fill type="solid"/>
              </v:shape>
            </v:group>
            <v:group style="position:absolute;left:34;top:951;width:668;height:353" coordorigin="34,951" coordsize="668,353">
              <v:shape style="position:absolute;left:34;top:951;width:668;height:353" coordorigin="34,951" coordsize="668,353" path="m34,1304l701,1304,701,951,34,951,34,1304xe" filled="true" fillcolor="#d2d2d2" stroked="false">
                <v:path arrowok="t"/>
                <v:fill type="solid"/>
              </v:shape>
            </v:group>
            <v:group style="position:absolute;left:10;top:10;width:714;height:2" coordorigin="10,10" coordsize="714,2">
              <v:shape style="position:absolute;left:10;top:10;width:714;height:2" coordorigin="10,10" coordsize="714,0" path="m10,10l723,10e" filled="false" stroked="true" strokeweight=".48pt" strokecolor="#000000">
                <v:path arrowok="t"/>
              </v:shape>
            </v:group>
            <v:group style="position:absolute;left:732;top:10;width:8839;height:2" coordorigin="732,10" coordsize="8839,2">
              <v:shape style="position:absolute;left:732;top:10;width:8839;height:2" coordorigin="732,10" coordsize="8839,0" path="m732,10l9571,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714;height:2" coordorigin="10,1308" coordsize="714,2">
              <v:shape style="position:absolute;left:10;top:1308;width:714;height:2" coordorigin="10,1308" coordsize="714,0" path="m10,1308l723,1308e" filled="false" stroked="true" strokeweight=".48pt" strokecolor="#000000">
                <v:path arrowok="t"/>
              </v:shape>
            </v:group>
            <v:group style="position:absolute;left:728;top:5;width:2;height:1309" coordorigin="728,5" coordsize="2,1309">
              <v:shape style="position:absolute;left:728;top:5;width:2;height:1309" coordorigin="728,5" coordsize="0,1309" path="m728,5l728,1313e" filled="false" stroked="true" strokeweight=".48pt" strokecolor="#000000">
                <v:path arrowok="t"/>
              </v:shape>
            </v:group>
            <v:group style="position:absolute;left:732;top:1308;width:8839;height:2" coordorigin="732,1308" coordsize="8839,2">
              <v:shape style="position:absolute;left:732;top:1308;width:8839;height:2" coordorigin="732,1308" coordsize="8839,0" path="m732,1308l9571,1308e" filled="false" stroked="true" strokeweight=".48pt" strokecolor="#000000">
                <v:path arrowok="t"/>
              </v:shape>
            </v:group>
            <v:group style="position:absolute;left:9576;top:5;width:2;height:1309" coordorigin="9576,5" coordsize="2,1309">
              <v:shape style="position:absolute;left:9576;top:5;width:2;height:1309" coordorigin="9576,5" coordsize="0,1309" path="m9576,5l9576,1313e" filled="false" stroked="true" strokeweight=".47998pt" strokecolor="#000000">
                <v:path arrowok="t"/>
              </v:shape>
              <v:shape style="position:absolute;left:6;top:10;width:722;height:1299" type="#_x0000_t202" filled="false" stroked="false">
                <v:textbox inset="0,0,0,0">
                  <w:txbxContent>
                    <w:p>
                      <w:pPr>
                        <w:spacing w:line="316" w:lineRule="auto" w:before="13"/>
                        <w:ind w:left="27" w:right="152" w:firstLine="0"/>
                        <w:jc w:val="both"/>
                        <w:rPr>
                          <w:rFonts w:ascii="宋体" w:hAnsi="宋体" w:cs="宋体" w:eastAsia="宋体" w:hint="default"/>
                          <w:sz w:val="18"/>
                          <w:szCs w:val="18"/>
                        </w:rPr>
                      </w:pPr>
                      <w:r>
                        <w:rPr>
                          <w:rFonts w:ascii="宋体" w:hAnsi="宋体" w:cs="宋体" w:eastAsia="宋体" w:hint="default"/>
                          <w:sz w:val="18"/>
                          <w:szCs w:val="18"/>
                        </w:rPr>
                        <w:t>中存在 的问题 或其他 情况</w:t>
                      </w:r>
                    </w:p>
                  </w:txbxContent>
                </v:textbox>
                <w10:wrap type="none"/>
              </v:shape>
            </v:group>
          </v:group>
        </w:pict>
      </w:r>
      <w:r>
        <w:rPr>
          <w:rFonts w:ascii="宋体" w:hAnsi="宋体" w:cs="宋体" w:eastAsia="宋体" w:hint="default"/>
          <w:position w:val="-25"/>
          <w:sz w:val="20"/>
          <w:szCs w:val="20"/>
        </w:rPr>
      </w:r>
    </w:p>
    <w:p>
      <w:pPr>
        <w:spacing w:line="240" w:lineRule="auto" w:before="11"/>
        <w:rPr>
          <w:rFonts w:ascii="宋体" w:hAnsi="宋体" w:cs="宋体" w:eastAsia="宋体" w:hint="default"/>
          <w:sz w:val="18"/>
          <w:szCs w:val="18"/>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59"/>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40"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34,312.64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37,526.53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109.37%</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北信源（南 京）研发运 营基地项目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北信源（南 京）研发运 营基地项目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36,805.93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1,487.62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20,649.77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56.10%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基于可信终 端的安全管 理平台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北信源（南 京）研发运 营基地项目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1,777.07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1,777.07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面向国产化 计算机的终 端安全管理 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3"/>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9,762.23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9,909.56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3,271.47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新一代互联 网安全聚合 通道项目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19,006.92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19,168.25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面向国产化 计算机的终 端安全管理 平台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163.23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101.01%</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123,687.09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13,190.15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89,194.41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4,512.07</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785" w:hRule="exact"/>
        </w:trPr>
        <w:tc>
          <w:tcPr>
            <w:tcW w:w="2874"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699"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、公司第三届董事会第十次临时会议、</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年第二次临时股东大会审议通过《关于 </w:t>
            </w:r>
            <w:r>
              <w:rPr>
                <w:rFonts w:ascii="宋体" w:hAnsi="宋体" w:cs="宋体" w:eastAsia="宋体" w:hint="default"/>
                <w:spacing w:val="-3"/>
                <w:sz w:val="18"/>
                <w:szCs w:val="18"/>
              </w:rPr>
              <w:t>变更部分募集资金用途并永久补充流动资金的议案》，同意将非公开发行募集资金投</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新一代互联网安全聚合通道项目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结余募集资金中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万元变更用于</w:t>
            </w:r>
            <w:r>
              <w:rPr>
                <w:rFonts w:ascii="Times New Roman" w:hAnsi="Times New Roman" w:cs="Times New Roman" w:eastAsia="Times New Roman" w:hint="default"/>
                <w:sz w:val="18"/>
                <w:szCs w:val="18"/>
              </w:rPr>
              <w:t>“</w:t>
            </w:r>
            <w:r>
              <w:rPr>
                <w:rFonts w:ascii="宋体" w:hAnsi="宋体" w:cs="宋体" w:eastAsia="宋体" w:hint="default"/>
                <w:sz w:val="18"/>
                <w:szCs w:val="18"/>
              </w:rPr>
              <w:t>面向</w:t>
            </w:r>
          </w:p>
          <w:p>
            <w:pPr>
              <w:pStyle w:val="TableParagraph"/>
              <w:spacing w:line="309" w:lineRule="auto" w:before="5"/>
              <w:ind w:left="23" w:right="17"/>
              <w:jc w:val="both"/>
              <w:rPr>
                <w:rFonts w:ascii="宋体" w:hAnsi="宋体" w:cs="宋体" w:eastAsia="宋体" w:hint="default"/>
                <w:sz w:val="18"/>
                <w:szCs w:val="18"/>
              </w:rPr>
            </w:pPr>
            <w:r>
              <w:rPr>
                <w:rFonts w:ascii="宋体" w:hAnsi="宋体" w:cs="宋体" w:eastAsia="宋体" w:hint="default"/>
                <w:sz w:val="18"/>
                <w:szCs w:val="18"/>
              </w:rPr>
              <w:t>国产化计算机的终端安全管理平台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建设，并将剩余募集资金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19,093.29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万元（含利息 </w:t>
            </w:r>
            <w:r>
              <w:rPr>
                <w:rFonts w:ascii="宋体" w:hAnsi="宋体" w:cs="宋体" w:eastAsia="宋体" w:hint="default"/>
                <w:spacing w:val="-1"/>
                <w:sz w:val="18"/>
                <w:szCs w:val="18"/>
              </w:rPr>
              <w:t>等收益以及前次暂时补充流动资金的闲置募集资金）永久补充流动资金。该项目具体</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变更详见公司分别于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日在巨潮资资讯网</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w:t>
            </w:r>
            <w:hyperlink r:id="rId9">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5"/>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2"/>
                  <w:sz w:val="18"/>
                  <w:szCs w:val="18"/>
                </w:rPr>
                <w:t>n</w:t>
              </w:r>
            </w:hyperlink>
            <w:r>
              <w:rPr>
                <w:rFonts w:ascii="宋体" w:hAnsi="宋体" w:cs="宋体" w:eastAsia="宋体" w:hint="default"/>
                <w:sz w:val="18"/>
                <w:szCs w:val="18"/>
              </w:rPr>
              <w:t>）</w:t>
            </w:r>
            <w:r>
              <w:rPr>
                <w:rFonts w:ascii="宋体" w:hAnsi="宋体" w:cs="宋体" w:eastAsia="宋体" w:hint="default"/>
                <w:spacing w:val="2"/>
                <w:sz w:val="18"/>
                <w:szCs w:val="18"/>
              </w:rPr>
              <w:t>上</w:t>
            </w:r>
            <w:r>
              <w:rPr>
                <w:rFonts w:ascii="宋体" w:hAnsi="宋体" w:cs="宋体" w:eastAsia="宋体" w:hint="default"/>
                <w:sz w:val="18"/>
                <w:szCs w:val="18"/>
              </w:rPr>
              <w:t>披露的公告（公告编号：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107</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r>
          </w:p>
        </w:tc>
      </w:tr>
      <w:tr>
        <w:trPr>
          <w:trHeight w:val="703" w:hRule="exact"/>
        </w:trPr>
        <w:tc>
          <w:tcPr>
            <w:tcW w:w="2874"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vMerge/>
            <w:tcBorders>
              <w:left w:val="single" w:sz="4" w:space="0" w:color="000000"/>
              <w:right w:val="single" w:sz="4" w:space="0" w:color="000000"/>
            </w:tcBorders>
          </w:tcPr>
          <w:p>
            <w:pPr/>
          </w:p>
        </w:tc>
      </w:tr>
      <w:tr>
        <w:trPr>
          <w:trHeight w:val="785" w:hRule="exact"/>
        </w:trPr>
        <w:tc>
          <w:tcPr>
            <w:tcW w:w="2874"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699" w:type="dxa"/>
            <w:gridSpan w:val="7"/>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3"/>
        <w:gridCol w:w="6699"/>
      </w:tblGrid>
      <w:tr>
        <w:trPr>
          <w:trHeight w:val="2273"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、公司第三届董事会第十七次临时会议、</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年第三次临时股东大会审议通过《关 </w:t>
            </w:r>
            <w:r>
              <w:rPr>
                <w:rFonts w:ascii="宋体" w:hAnsi="宋体" w:cs="宋体" w:eastAsia="宋体" w:hint="default"/>
                <w:spacing w:val="-3"/>
                <w:sz w:val="18"/>
                <w:szCs w:val="18"/>
              </w:rPr>
              <w:t>于部分募集资金投资项目延期的议案》和《关于变更部分募集资金用途的议案》，同</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意将非公开发行募集资金投资项目</w:t>
            </w:r>
            <w:r>
              <w:rPr>
                <w:rFonts w:ascii="Times New Roman" w:hAnsi="Times New Roman" w:cs="Times New Roman" w:eastAsia="Times New Roman" w:hint="default"/>
                <w:sz w:val="18"/>
                <w:szCs w:val="18"/>
              </w:rPr>
              <w:t>“</w:t>
            </w:r>
            <w:r>
              <w:rPr>
                <w:rFonts w:ascii="宋体" w:hAnsi="宋体" w:cs="宋体" w:eastAsia="宋体" w:hint="default"/>
                <w:sz w:val="18"/>
                <w:szCs w:val="18"/>
              </w:rPr>
              <w:t>北信源（南京）研发运营基地</w:t>
            </w:r>
            <w:r>
              <w:rPr>
                <w:rFonts w:ascii="Times New Roman" w:hAnsi="Times New Roman" w:cs="Times New Roman" w:eastAsia="Times New Roman" w:hint="default"/>
                <w:sz w:val="18"/>
                <w:szCs w:val="18"/>
              </w:rPr>
              <w:t>”</w:t>
            </w:r>
            <w:r>
              <w:rPr>
                <w:rFonts w:ascii="宋体" w:hAnsi="宋体" w:cs="宋体" w:eastAsia="宋体" w:hint="default"/>
                <w:sz w:val="18"/>
                <w:szCs w:val="18"/>
              </w:rPr>
              <w:t>达到预定可使用状 态的时间从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日，并将该项目中的暂未投入</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使用的募集资金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变更用于</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基于可信终端的安全管理平台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建设</w:t>
            </w:r>
            <w:r>
              <w:rPr>
                <w:rFonts w:ascii="宋体" w:hAnsi="宋体" w:cs="宋体" w:eastAsia="宋体" w:hint="default"/>
                <w:spacing w:val="-89"/>
                <w:sz w:val="18"/>
                <w:szCs w:val="18"/>
              </w:rPr>
              <w:t>。</w:t>
            </w:r>
            <w:r>
              <w:rPr>
                <w:rFonts w:ascii="宋体" w:hAnsi="宋体" w:cs="宋体" w:eastAsia="宋体" w:hint="default"/>
                <w:sz w:val="18"/>
                <w:szCs w:val="18"/>
              </w:rPr>
              <w:t>该项目</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具体延期及变更详见公司分别于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日在巨潮资资 </w:t>
            </w:r>
            <w:r>
              <w:rPr>
                <w:rFonts w:ascii="宋体" w:hAnsi="宋体" w:cs="宋体" w:eastAsia="宋体" w:hint="default"/>
                <w:spacing w:val="-4"/>
                <w:w w:val="99"/>
                <w:sz w:val="18"/>
                <w:szCs w:val="18"/>
              </w:rPr>
              <w:t>讯网（</w:t>
            </w:r>
            <w:hyperlink r:id="rId9">
              <w:r>
                <w:rPr>
                  <w:rFonts w:ascii="Times New Roman" w:hAnsi="Times New Roman" w:cs="Times New Roman" w:eastAsia="Times New Roman" w:hint="default"/>
                  <w:spacing w:val="-4"/>
                  <w:w w:val="99"/>
                  <w:sz w:val="18"/>
                  <w:szCs w:val="18"/>
                </w:rPr>
                <w:t>http://www.cninfo.com.cn</w:t>
              </w:r>
            </w:hyperlink>
            <w:r>
              <w:rPr>
                <w:rFonts w:ascii="宋体" w:hAnsi="宋体" w:cs="宋体" w:eastAsia="宋体" w:hint="default"/>
                <w:spacing w:val="-4"/>
                <w:w w:val="99"/>
                <w:sz w:val="18"/>
                <w:szCs w:val="18"/>
              </w:rPr>
              <w:t>）上披露的公告（公告编号：</w:t>
            </w:r>
            <w:r>
              <w:rPr>
                <w:rFonts w:ascii="Times New Roman" w:hAnsi="Times New Roman" w:cs="Times New Roman" w:eastAsia="Times New Roman" w:hint="default"/>
                <w:spacing w:val="-4"/>
                <w:w w:val="99"/>
                <w:sz w:val="18"/>
                <w:szCs w:val="18"/>
              </w:rPr>
              <w:t>2019-122</w:t>
            </w:r>
            <w:r>
              <w:rPr>
                <w:rFonts w:ascii="宋体" w:hAnsi="宋体" w:cs="宋体" w:eastAsia="宋体" w:hint="default"/>
                <w:spacing w:val="-4"/>
                <w:w w:val="99"/>
                <w:sz w:val="18"/>
                <w:szCs w:val="18"/>
              </w:rPr>
              <w:t>、</w:t>
            </w:r>
            <w:r>
              <w:rPr>
                <w:rFonts w:ascii="Times New Roman" w:hAnsi="Times New Roman" w:cs="Times New Roman" w:eastAsia="Times New Roman" w:hint="default"/>
                <w:spacing w:val="-4"/>
                <w:w w:val="99"/>
                <w:sz w:val="18"/>
                <w:szCs w:val="18"/>
              </w:rPr>
              <w:t>2019-139</w:t>
            </w:r>
            <w:r>
              <w:rPr>
                <w:rFonts w:ascii="宋体" w:hAnsi="宋体" w:cs="宋体" w:eastAsia="宋体" w:hint="default"/>
                <w:spacing w:val="-4"/>
                <w:w w:val="99"/>
                <w:sz w:val="18"/>
                <w:szCs w:val="18"/>
              </w:rPr>
              <w:t>）。</w:t>
            </w:r>
            <w:r>
              <w:rPr>
                <w:rFonts w:ascii="宋体" w:hAnsi="宋体" w:cs="宋体" w:eastAsia="宋体" w:hint="default"/>
                <w:w w:val="99"/>
                <w:sz w:val="18"/>
                <w:szCs w:val="18"/>
              </w:rPr>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七、主要控股参股公司分析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北京中软华 泰信息技术 有限责任公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服务器加固 和咨询服务 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15,865,384.7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93,973,631.3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69,189,573.2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30,516,153.0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7,443,757.96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6,792,671.84</w:t>
            </w:r>
          </w:p>
        </w:tc>
      </w:tr>
    </w:tbl>
    <w:p>
      <w:pPr>
        <w:pStyle w:val="BodyText"/>
        <w:spacing w:line="240" w:lineRule="auto" w:before="49"/>
        <w:ind w:right="1122"/>
        <w:jc w:val="left"/>
      </w:pPr>
      <w:r>
        <w:rPr/>
        <w:t>报告期内取得和处置子公司的情况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65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上海北信源供应链管理有限公司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新设控股子公司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新设公司将利用北信源已有产品信源豆 豆打通供应链上下游中各层之间的交易 关系，促进商业信用、信息流、资金流 等信息及数据的安全传递，实现供应链 公司更高效、便利地进行管理。</w:t>
            </w:r>
          </w:p>
        </w:tc>
      </w:tr>
    </w:tbl>
    <w:p>
      <w:pPr>
        <w:spacing w:after="0" w:line="319"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left="513" w:right="1122" w:hanging="361"/>
        <w:jc w:val="left"/>
      </w:pPr>
      <w:r>
        <w:rPr/>
        <w:t>主要控股参股公司情况说明 </w:t>
      </w:r>
      <w:r>
        <w:rPr>
          <w:color w:val="242424"/>
          <w:spacing w:val="-2"/>
        </w:rPr>
        <w:t>根据公司战略规划，为进一步开拓业务领域，</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日，公司召开第三届董事会第十三次临时会议审议通过《关于</w:t>
      </w:r>
    </w:p>
    <w:p>
      <w:pPr>
        <w:pStyle w:val="BodyText"/>
        <w:spacing w:line="212" w:lineRule="exact"/>
        <w:ind w:right="0"/>
        <w:jc w:val="both"/>
      </w:pPr>
      <w:r>
        <w:rPr/>
        <w:t>对外投资的议案》，</w:t>
      </w:r>
      <w:r>
        <w:rPr>
          <w:color w:val="242424"/>
        </w:rPr>
        <w:t>拟使用自有资金</w:t>
      </w:r>
      <w:r>
        <w:rPr>
          <w:rFonts w:ascii="Times New Roman" w:hAnsi="Times New Roman" w:cs="Times New Roman" w:eastAsia="Times New Roman" w:hint="default"/>
          <w:color w:val="242424"/>
        </w:rPr>
        <w:t>5,100</w:t>
      </w:r>
      <w:r>
        <w:rPr>
          <w:color w:val="242424"/>
        </w:rPr>
        <w:t>万元人民币</w:t>
      </w:r>
      <w:r>
        <w:rPr/>
        <w:t>与张翅等共同投资设立上海北信源供应链管理有限公司，完成出资后</w:t>
      </w:r>
    </w:p>
    <w:p>
      <w:pPr>
        <w:pStyle w:val="BodyText"/>
        <w:spacing w:line="240" w:lineRule="auto" w:before="63"/>
        <w:ind w:right="0"/>
        <w:jc w:val="both"/>
      </w:pPr>
      <w:r>
        <w:rPr/>
        <w:t>持股比例</w:t>
      </w:r>
      <w:r>
        <w:rPr>
          <w:rFonts w:ascii="Times New Roman" w:hAnsi="Times New Roman" w:cs="Times New Roman" w:eastAsia="Times New Roman" w:hint="default"/>
        </w:rPr>
        <w:t>51%</w:t>
      </w:r>
      <w:r>
        <w:rPr/>
        <w:t>，截至报告期末，公司实际支付投资款</w:t>
      </w:r>
      <w:r>
        <w:rPr>
          <w:rFonts w:ascii="Times New Roman" w:hAnsi="Times New Roman" w:cs="Times New Roman" w:eastAsia="Times New Roman" w:hint="default"/>
        </w:rPr>
        <w:t>500</w:t>
      </w:r>
      <w:r>
        <w:rPr/>
        <w:t>万元人民币。</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360"/>
        <w:jc w:val="both"/>
      </w:pPr>
      <w:r>
        <w:rPr>
          <w:spacing w:val="-2"/>
        </w:rPr>
        <w:t>作为国内网络安全行业领军企业之一，公司继续扩大和巩固在行业内的领先优势，持续地完善和优化公司的市场战略布</w:t>
      </w:r>
      <w:r>
        <w:rPr/>
        <w:t> </w:t>
      </w:r>
      <w:r>
        <w:rPr>
          <w:spacing w:val="-2"/>
        </w:rPr>
        <w:t>局、技术研发体系、产品生产体系、服务支撑体系和运营管理，稳步提升公司在国内网络安全行业的市场份额；同时积极开</w:t>
      </w:r>
      <w:r>
        <w:rPr>
          <w:spacing w:val="-67"/>
        </w:rPr>
        <w:t> </w:t>
      </w:r>
      <w:r>
        <w:rPr>
          <w:spacing w:val="-67"/>
        </w:rPr>
      </w:r>
      <w:r>
        <w:rPr/>
        <w:t>拓国际市场，致力于将公司打造成为在全球范围内具有影响力的信息安全企业。</w:t>
      </w:r>
    </w:p>
    <w:p>
      <w:pPr>
        <w:pStyle w:val="BodyText"/>
        <w:spacing w:line="316" w:lineRule="auto" w:before="19"/>
        <w:ind w:left="513" w:right="1122"/>
        <w:jc w:val="left"/>
      </w:pPr>
      <w:r>
        <w:rPr>
          <w:rFonts w:ascii="宋体" w:hAnsi="宋体" w:cs="宋体" w:eastAsia="宋体" w:hint="default"/>
          <w:b/>
          <w:bCs/>
        </w:rPr>
        <w:t>（一）公司发展战略</w:t>
      </w:r>
      <w:r>
        <w:rPr>
          <w:rFonts w:ascii="宋体" w:hAnsi="宋体" w:cs="宋体" w:eastAsia="宋体" w:hint="default"/>
          <w:b/>
          <w:bCs/>
          <w:w w:val="99"/>
        </w:rPr>
        <w:t> </w:t>
      </w:r>
      <w:r>
        <w:rPr>
          <w:spacing w:val="-2"/>
        </w:rPr>
        <w:t>公司始终秉承</w:t>
      </w:r>
      <w:r>
        <w:rPr>
          <w:rFonts w:ascii="Times New Roman" w:hAnsi="Times New Roman" w:cs="Times New Roman" w:eastAsia="Times New Roman" w:hint="default"/>
          <w:spacing w:val="-2"/>
        </w:rPr>
        <w:t>“</w:t>
      </w:r>
      <w:r>
        <w:rPr>
          <w:spacing w:val="-2"/>
        </w:rPr>
        <w:t>信息之源、信誉之源、信心之源</w:t>
      </w:r>
      <w:r>
        <w:rPr>
          <w:rFonts w:ascii="Times New Roman" w:hAnsi="Times New Roman" w:cs="Times New Roman" w:eastAsia="Times New Roman" w:hint="default"/>
          <w:spacing w:val="-2"/>
        </w:rPr>
        <w:t>”</w:t>
      </w:r>
      <w:r>
        <w:rPr>
          <w:spacing w:val="-2"/>
        </w:rPr>
        <w:t>的核心理念，长期专注于网络安全领域，坚持技术创新，力求为客户提</w:t>
      </w:r>
    </w:p>
    <w:p>
      <w:pPr>
        <w:pStyle w:val="BodyText"/>
        <w:spacing w:line="300" w:lineRule="auto"/>
        <w:ind w:right="1122"/>
        <w:jc w:val="left"/>
      </w:pPr>
      <w:r>
        <w:rPr/>
        <w:t>供优质的产品及服务。未来，公司将继续紧跟国家政策方向，顺应技术发展和市场趋势，围绕</w:t>
      </w:r>
      <w:r>
        <w:rPr>
          <w:rFonts w:ascii="Times New Roman" w:hAnsi="Times New Roman" w:cs="Times New Roman" w:eastAsia="Times New Roman" w:hint="default"/>
        </w:rPr>
        <w:t>“</w:t>
      </w:r>
      <w:r>
        <w:rPr/>
        <w:t>信息安全、大数据安全、安</w:t>
      </w:r>
      <w:r>
        <w:rPr>
          <w:spacing w:val="-74"/>
        </w:rPr>
        <w:t> </w:t>
      </w:r>
      <w:r>
        <w:rPr>
          <w:spacing w:val="-74"/>
        </w:rPr>
      </w:r>
      <w:r>
        <w:rPr/>
        <w:t>全通信应用</w:t>
      </w:r>
      <w:r>
        <w:rPr>
          <w:rFonts w:ascii="Times New Roman" w:hAnsi="Times New Roman" w:cs="Times New Roman" w:eastAsia="Times New Roman" w:hint="default"/>
        </w:rPr>
        <w:t>”</w:t>
      </w:r>
      <w:r>
        <w:rPr/>
        <w:t>三大方向开展业务，三大业务相辅相成、相互推进。</w:t>
      </w:r>
    </w:p>
    <w:p>
      <w:pPr>
        <w:pStyle w:val="BodyText"/>
        <w:spacing w:line="300" w:lineRule="auto" w:before="13"/>
        <w:ind w:right="1129" w:firstLine="360"/>
        <w:jc w:val="both"/>
      </w:pPr>
      <w:r>
        <w:rPr>
          <w:spacing w:val="-2"/>
        </w:rPr>
        <w:t>公司将以网络安全为基础，依循</w:t>
      </w:r>
      <w:r>
        <w:rPr>
          <w:rFonts w:ascii="Times New Roman" w:hAnsi="Times New Roman" w:cs="Times New Roman" w:eastAsia="Times New Roman" w:hint="default"/>
          <w:spacing w:val="-2"/>
        </w:rPr>
        <w:t>“</w:t>
      </w:r>
      <w:r>
        <w:rPr>
          <w:spacing w:val="-2"/>
        </w:rPr>
        <w:t>信息技术应用创新</w:t>
      </w:r>
      <w:r>
        <w:rPr>
          <w:rFonts w:ascii="Times New Roman" w:hAnsi="Times New Roman" w:cs="Times New Roman" w:eastAsia="Times New Roman" w:hint="default"/>
          <w:spacing w:val="-2"/>
        </w:rPr>
        <w:t>”</w:t>
      </w:r>
      <w:r>
        <w:rPr>
          <w:spacing w:val="-2"/>
        </w:rPr>
        <w:t>这一国家安全的核心发展方向，充分借力大数据平台和区块链等核</w:t>
      </w:r>
      <w:r>
        <w:rPr/>
        <w:t> </w:t>
      </w:r>
      <w:r>
        <w:rPr>
          <w:spacing w:val="-2"/>
        </w:rPr>
        <w:t>心技术，进一步完善和提升终端安全体系防护能力，提高信息系统的</w:t>
      </w:r>
      <w:r>
        <w:rPr>
          <w:rFonts w:ascii="Times New Roman" w:hAnsi="Times New Roman" w:cs="Times New Roman" w:eastAsia="Times New Roman" w:hint="default"/>
          <w:spacing w:val="-2"/>
        </w:rPr>
        <w:t>IT</w:t>
      </w:r>
      <w:r>
        <w:rPr>
          <w:spacing w:val="-2"/>
        </w:rPr>
        <w:t>运维水平；以安全即时通信为基础，打造移动安全互</w:t>
      </w:r>
      <w:r>
        <w:rPr>
          <w:spacing w:val="-49"/>
        </w:rPr>
        <w:t> </w:t>
      </w:r>
      <w:r>
        <w:rPr>
          <w:spacing w:val="-49"/>
        </w:rPr>
      </w:r>
      <w:r>
        <w:rPr/>
        <w:t>联平台，实现对网络应用和媒体等内容的聚合，通过人工智能相关技术的支撑，多维度助力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，打造</w:t>
      </w:r>
      <w:r>
        <w:rPr>
          <w:rFonts w:ascii="Times New Roman" w:hAnsi="Times New Roman" w:cs="Times New Roman" w:eastAsia="Times New Roman" w:hint="default"/>
        </w:rPr>
        <w:t>“</w:t>
      </w:r>
      <w:r>
        <w:rPr/>
        <w:t>安全的智能</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和</w:t>
      </w:r>
      <w:r>
        <w:rPr>
          <w:rFonts w:ascii="Times New Roman" w:hAnsi="Times New Roman" w:cs="Times New Roman" w:eastAsia="Times New Roman" w:hint="default"/>
        </w:rPr>
        <w:t>“</w:t>
      </w:r>
      <w:r>
        <w:rPr/>
        <w:t>智能的安全</w:t>
      </w:r>
      <w:r>
        <w:rPr>
          <w:rFonts w:ascii="Times New Roman" w:hAnsi="Times New Roman" w:cs="Times New Roman" w:eastAsia="Times New Roman" w:hint="default"/>
        </w:rPr>
        <w:t>”</w:t>
      </w:r>
      <w:r>
        <w:rPr/>
        <w:t>创新产品和服务。</w:t>
      </w:r>
    </w:p>
    <w:p>
      <w:pPr>
        <w:pStyle w:val="BodyText"/>
        <w:spacing w:line="316" w:lineRule="auto" w:before="13"/>
        <w:ind w:right="1131" w:firstLine="360"/>
        <w:jc w:val="both"/>
      </w:pPr>
      <w:r>
        <w:rPr>
          <w:spacing w:val="-2"/>
        </w:rPr>
        <w:t>公司的战略目标是抓住网络安全行业良好的发展机遇和扩张空间，巩固公司在技术门槛、行业资源以及市场基础方面建</w:t>
      </w:r>
      <w:r>
        <w:rPr/>
        <w:t> </w:t>
      </w:r>
      <w:r>
        <w:rPr>
          <w:spacing w:val="-2"/>
        </w:rPr>
        <w:t>立起来的优势，同时持续完善和优化公司的技术研发体系、产品生产体系、服务支撑体系和运营管理流程，进一步提升公司</w:t>
      </w:r>
      <w:r>
        <w:rPr>
          <w:spacing w:val="-65"/>
        </w:rPr>
        <w:t> </w:t>
      </w:r>
      <w:r>
        <w:rPr>
          <w:spacing w:val="-65"/>
        </w:rPr>
      </w:r>
      <w:r>
        <w:rPr/>
        <w:t>在国内网络安全行业的市场地位和市场份额。</w:t>
      </w:r>
    </w:p>
    <w:p>
      <w:pPr>
        <w:pStyle w:val="BodyText"/>
        <w:spacing w:line="309" w:lineRule="auto" w:before="19"/>
        <w:ind w:right="1036" w:firstLine="360"/>
        <w:jc w:val="left"/>
      </w:pPr>
      <w:r>
        <w:rPr>
          <w:spacing w:val="-3"/>
          <w:w w:val="100"/>
        </w:rPr>
        <w:t>公司将继续积极践行国家</w:t>
      </w:r>
      <w:r>
        <w:rPr>
          <w:rFonts w:ascii="Times New Roman" w:hAnsi="Times New Roman" w:cs="Times New Roman" w:eastAsia="Times New Roman" w:hint="default"/>
          <w:spacing w:val="-3"/>
          <w:w w:val="100"/>
        </w:rPr>
        <w:t>“</w:t>
      </w:r>
      <w:r>
        <w:rPr>
          <w:spacing w:val="-3"/>
          <w:w w:val="100"/>
        </w:rPr>
        <w:t>一带一路</w:t>
      </w:r>
      <w:r>
        <w:rPr>
          <w:rFonts w:ascii="Times New Roman" w:hAnsi="Times New Roman" w:cs="Times New Roman" w:eastAsia="Times New Roman" w:hint="default"/>
          <w:spacing w:val="-3"/>
          <w:w w:val="100"/>
        </w:rPr>
        <w:t>”</w:t>
      </w:r>
      <w:r>
        <w:rPr>
          <w:spacing w:val="-3"/>
          <w:w w:val="100"/>
        </w:rPr>
        <w:t>战略，进一步开拓国际市场，致力于成为在全球范围内具有影响力的信息安全企业。</w:t>
      </w:r>
      <w:r>
        <w:rPr/>
        <w:t> </w:t>
      </w:r>
      <w:r>
        <w:rPr>
          <w:spacing w:val="-2"/>
        </w:rPr>
        <w:t>同时，公司将充分借力资本市场，围绕核心业务完善布局，努力实现跨越式发展，为我国的网络安全建设与信息技术应用创</w:t>
      </w:r>
      <w:r>
        <w:rPr>
          <w:spacing w:val="-63"/>
        </w:rPr>
        <w:t> </w:t>
      </w:r>
      <w:r>
        <w:rPr>
          <w:spacing w:val="-63"/>
        </w:rPr>
      </w:r>
      <w:r>
        <w:rPr/>
        <w:t>新战略发展积极贡献力量。</w:t>
      </w:r>
    </w:p>
    <w:p>
      <w:pPr>
        <w:spacing w:line="240" w:lineRule="auto" w:before="9"/>
        <w:rPr>
          <w:rFonts w:ascii="宋体" w:hAnsi="宋体" w:cs="宋体" w:eastAsia="宋体" w:hint="default"/>
          <w:sz w:val="25"/>
          <w:szCs w:val="25"/>
        </w:rPr>
      </w:pPr>
    </w:p>
    <w:p>
      <w:pPr>
        <w:pStyle w:val="Heading5"/>
        <w:spacing w:line="240" w:lineRule="auto"/>
        <w:ind w:right="1122"/>
        <w:jc w:val="left"/>
        <w:rPr>
          <w:b w:val="0"/>
          <w:bCs w:val="0"/>
        </w:rPr>
      </w:pPr>
      <w:r>
        <w:rPr/>
        <w:t>（二）经营规划</w:t>
      </w:r>
      <w:r>
        <w:rPr>
          <w:b w:val="0"/>
          <w:bCs w:val="0"/>
        </w:rPr>
      </w:r>
    </w:p>
    <w:p>
      <w:pPr>
        <w:pStyle w:val="BodyText"/>
        <w:spacing w:line="240" w:lineRule="auto" w:before="76"/>
        <w:ind w:left="513" w:right="1122"/>
        <w:jc w:val="left"/>
      </w:pPr>
      <w:r>
        <w:rPr>
          <w:rFonts w:ascii="Times New Roman" w:hAnsi="Times New Roman" w:cs="Times New Roman" w:eastAsia="Times New Roman" w:hint="default"/>
        </w:rPr>
        <w:t>2020</w:t>
      </w:r>
      <w:r>
        <w:rPr/>
        <w:t>年，公司将紧随国家产业政策和行业发展趋势。为实现经营目标，公司将重点从以下方面开展工作：</w:t>
      </w:r>
    </w:p>
    <w:p>
      <w:pPr>
        <w:pStyle w:val="BodyText"/>
        <w:spacing w:line="300" w:lineRule="auto" w:before="63"/>
        <w:ind w:left="513" w:right="1122"/>
        <w:jc w:val="left"/>
      </w:pPr>
      <w:r>
        <w:rPr>
          <w:rFonts w:ascii="Times New Roman" w:hAnsi="Times New Roman" w:cs="Times New Roman" w:eastAsia="Times New Roman" w:hint="default"/>
        </w:rPr>
        <w:t>1</w:t>
      </w:r>
      <w:r>
        <w:rPr/>
        <w:t>、坚持技术创新，增强核心竞争力 </w:t>
      </w:r>
      <w:r>
        <w:rPr>
          <w:spacing w:val="-1"/>
        </w:rPr>
        <w:t>公司持续围绕</w:t>
      </w:r>
      <w:r>
        <w:rPr>
          <w:rFonts w:ascii="Times New Roman" w:hAnsi="Times New Roman" w:cs="Times New Roman" w:eastAsia="Times New Roman" w:hint="default"/>
          <w:spacing w:val="-1"/>
        </w:rPr>
        <w:t>“</w:t>
      </w:r>
      <w:r>
        <w:rPr>
          <w:spacing w:val="-1"/>
        </w:rPr>
        <w:t>信息安全、大数据安全、安全通信应用</w:t>
      </w:r>
      <w:r>
        <w:rPr>
          <w:rFonts w:ascii="Times New Roman" w:hAnsi="Times New Roman" w:cs="Times New Roman" w:eastAsia="Times New Roman" w:hint="default"/>
          <w:spacing w:val="-1"/>
        </w:rPr>
        <w:t>”</w:t>
      </w:r>
      <w:r>
        <w:rPr>
          <w:spacing w:val="-1"/>
        </w:rPr>
        <w:t>三大发展战略，对于已有产品继续贯彻</w:t>
      </w:r>
      <w:r>
        <w:rPr>
          <w:rFonts w:ascii="Times New Roman" w:hAnsi="Times New Roman" w:cs="Times New Roman" w:eastAsia="Times New Roman" w:hint="default"/>
          <w:spacing w:val="-1"/>
        </w:rPr>
        <w:t>“</w:t>
      </w:r>
      <w:r>
        <w:rPr>
          <w:spacing w:val="-1"/>
        </w:rPr>
        <w:t>一体化</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标准化</w:t>
      </w:r>
      <w:r>
        <w:rPr>
          <w:rFonts w:ascii="Times New Roman" w:hAnsi="Times New Roman" w:cs="Times New Roman" w:eastAsia="Times New Roman" w:hint="default"/>
          <w:spacing w:val="-1"/>
        </w:rPr>
        <w:t>”</w:t>
      </w:r>
      <w:r>
        <w:rPr>
          <w:spacing w:val="-1"/>
        </w:rPr>
        <w:t>的理</w:t>
      </w:r>
    </w:p>
    <w:p>
      <w:pPr>
        <w:pStyle w:val="BodyText"/>
        <w:spacing w:line="316" w:lineRule="auto" w:before="13"/>
        <w:ind w:right="1129"/>
        <w:jc w:val="both"/>
      </w:pPr>
      <w:r>
        <w:rPr>
          <w:spacing w:val="-2"/>
        </w:rPr>
        <w:t>念，不断迭代升级。公司坚持自主创新与吸收引进相结合，在优化已有优势产品的基础上，继续加大研发投入，积极推动技</w:t>
      </w:r>
      <w:r>
        <w:rPr>
          <w:spacing w:val="-67"/>
        </w:rPr>
        <w:t> </w:t>
      </w:r>
      <w:r>
        <w:rPr>
          <w:spacing w:val="-67"/>
        </w:rPr>
      </w:r>
      <w:r>
        <w:rPr>
          <w:spacing w:val="-2"/>
        </w:rPr>
        <w:t>术和产品的不断升级，致力于成为物联网时代下智慧安全的全面解决方案提供商。面对信息化新领域、新应用和新技术，公</w:t>
      </w:r>
      <w:r>
        <w:rPr>
          <w:spacing w:val="-63"/>
        </w:rPr>
        <w:t> </w:t>
      </w:r>
      <w:r>
        <w:rPr>
          <w:spacing w:val="-63"/>
        </w:rPr>
      </w:r>
      <w:r>
        <w:rPr>
          <w:spacing w:val="-2"/>
        </w:rPr>
        <w:t>司持续关注并加大对相关新兴应用领域的安全研究，开展与控股及参股公司和战略伙伴的技术合作，积极参加国家与行业规</w:t>
      </w:r>
      <w:r>
        <w:rPr>
          <w:spacing w:val="-64"/>
        </w:rPr>
        <w:t> </w:t>
      </w:r>
      <w:r>
        <w:rPr>
          <w:spacing w:val="-64"/>
        </w:rPr>
      </w:r>
      <w:r>
        <w:rPr/>
        <w:t>划与标准制定工作，参与国家和行业重大工程和项目，将最新的研究成果通过产品和解决方案落地应用。</w:t>
      </w:r>
    </w:p>
    <w:p>
      <w:pPr>
        <w:pStyle w:val="BodyText"/>
        <w:spacing w:line="300" w:lineRule="auto" w:before="19"/>
        <w:ind w:left="513" w:right="1035"/>
        <w:jc w:val="left"/>
      </w:pPr>
      <w:r>
        <w:rPr>
          <w:rFonts w:ascii="Times New Roman" w:hAnsi="Times New Roman" w:cs="Times New Roman" w:eastAsia="Times New Roman" w:hint="default"/>
        </w:rPr>
        <w:t>2</w:t>
      </w:r>
      <w:r>
        <w:rPr/>
        <w:t>、积极响应政策，加速行业深度布局 </w:t>
      </w:r>
      <w:r>
        <w:rPr>
          <w:spacing w:val="-3"/>
        </w:rPr>
        <w:t>近年来，我国颁布的《网络安全法》、《</w:t>
      </w:r>
      <w:r>
        <w:rPr>
          <w:rFonts w:ascii="Times New Roman" w:hAnsi="Times New Roman" w:cs="Times New Roman" w:eastAsia="Times New Roman" w:hint="default"/>
          <w:spacing w:val="-3"/>
        </w:rPr>
        <w:t>“</w:t>
      </w:r>
      <w:r>
        <w:rPr>
          <w:spacing w:val="-3"/>
        </w:rPr>
        <w:t>十三五</w:t>
      </w:r>
      <w:r>
        <w:rPr>
          <w:rFonts w:ascii="Times New Roman" w:hAnsi="Times New Roman" w:cs="Times New Roman" w:eastAsia="Times New Roman" w:hint="default"/>
          <w:spacing w:val="-3"/>
        </w:rPr>
        <w:t>”</w:t>
      </w:r>
      <w:r>
        <w:rPr>
          <w:spacing w:val="-3"/>
        </w:rPr>
        <w:t>国家信息化规划》、《信息安全技术网络信息安全等级保护基本要求》</w:t>
      </w:r>
    </w:p>
    <w:p>
      <w:pPr>
        <w:pStyle w:val="BodyText"/>
        <w:spacing w:line="316" w:lineRule="auto" w:before="13"/>
        <w:ind w:right="1122"/>
        <w:jc w:val="left"/>
      </w:pPr>
      <w:r>
        <w:rPr>
          <w:spacing w:val="-2"/>
        </w:rPr>
        <w:t>等法律、政策、法规从多个层面促进国内网络安全产业的发展，提高了对全社会网络信息安全的合规要求。随着政府、企业</w:t>
      </w:r>
      <w:r>
        <w:rPr>
          <w:spacing w:val="-67"/>
        </w:rPr>
        <w:t> </w:t>
      </w:r>
      <w:r>
        <w:rPr>
          <w:spacing w:val="-67"/>
        </w:rPr>
      </w:r>
      <w:r>
        <w:rPr/>
        <w:t>在网络安全方面的持续投入，行业有望保持较快的增长。</w:t>
      </w:r>
    </w:p>
    <w:p>
      <w:pPr>
        <w:pStyle w:val="BodyText"/>
        <w:spacing w:line="300" w:lineRule="auto" w:before="19"/>
        <w:ind w:right="1032" w:firstLine="360"/>
        <w:jc w:val="left"/>
      </w:pPr>
      <w:r>
        <w:rPr/>
        <w:t>在良好的政策红利下，公司将持续深化</w:t>
      </w:r>
      <w:r>
        <w:rPr>
          <w:rFonts w:ascii="Times New Roman" w:hAnsi="Times New Roman" w:cs="Times New Roman" w:eastAsia="Times New Roman" w:hint="default"/>
        </w:rPr>
        <w:t>“</w:t>
      </w:r>
      <w:r>
        <w:rPr/>
        <w:t>信息安全、大数据安全、安全通信应用</w:t>
      </w:r>
      <w:r>
        <w:rPr>
          <w:rFonts w:ascii="Times New Roman" w:hAnsi="Times New Roman" w:cs="Times New Roman" w:eastAsia="Times New Roman" w:hint="default"/>
        </w:rPr>
        <w:t>”</w:t>
      </w:r>
      <w:r>
        <w:rPr/>
        <w:t>三大发展战略，继续深耕终端安全、工 </w:t>
      </w:r>
      <w:r>
        <w:rPr>
          <w:spacing w:val="-3"/>
        </w:rPr>
        <w:t>控安全、物联网安全、</w:t>
      </w:r>
      <w:r>
        <w:rPr>
          <w:rFonts w:ascii="Times New Roman" w:hAnsi="Times New Roman" w:cs="Times New Roman" w:eastAsia="Times New Roman" w:hint="default"/>
          <w:spacing w:val="-3"/>
        </w:rPr>
        <w:t>IT</w:t>
      </w:r>
      <w:r>
        <w:rPr>
          <w:spacing w:val="-3"/>
        </w:rPr>
        <w:t>基础设施等新兴高成长市场。在巩固现有客户与行业的基础上，优化销售布局，加强营销渠道建设，</w:t>
      </w:r>
      <w:r>
        <w:rPr>
          <w:spacing w:val="-86"/>
        </w:rPr>
        <w:t> </w:t>
      </w:r>
      <w:r>
        <w:rPr>
          <w:spacing w:val="-86"/>
        </w:rPr>
      </w:r>
      <w:r>
        <w:rPr>
          <w:spacing w:val="-2"/>
        </w:rPr>
        <w:t>提升客户服务能力，积极拓展新行业、新领域，丰富业务范围。</w:t>
      </w:r>
      <w:r>
        <w:rPr>
          <w:rFonts w:ascii="Times New Roman" w:hAnsi="Times New Roman" w:cs="Times New Roman" w:eastAsia="Times New Roman" w:hint="default"/>
          <w:spacing w:val="-2"/>
        </w:rPr>
        <w:t>2020</w:t>
      </w:r>
      <w:r>
        <w:rPr>
          <w:spacing w:val="-2"/>
        </w:rPr>
        <w:t>年，公司将持续推进安全产品的国产化，对全线安全产</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left="513" w:right="1122" w:hanging="361"/>
        <w:jc w:val="left"/>
      </w:pPr>
      <w:r>
        <w:rPr/>
        <w:t>品进行国产硬件和软件环境的适配，实现真正意义上的国产、安全、可控，有效保护用户的信息安全。 </w:t>
      </w:r>
      <w:r>
        <w:rPr>
          <w:rFonts w:ascii="Times New Roman" w:hAnsi="Times New Roman" w:cs="Times New Roman" w:eastAsia="Times New Roman" w:hint="default"/>
        </w:rPr>
        <w:t>3</w:t>
      </w:r>
      <w:r>
        <w:rPr/>
        <w:t>、借力资本市场，完善战略布局 </w:t>
      </w:r>
      <w:r>
        <w:rPr>
          <w:spacing w:val="-2"/>
        </w:rPr>
        <w:t>公司会充分利用上市公司的平台，围绕企业核心业务，适时的通过实施并购重组将企业做大、做优、做强，实现跨越式</w:t>
      </w:r>
    </w:p>
    <w:p>
      <w:pPr>
        <w:pStyle w:val="BodyText"/>
        <w:spacing w:line="316" w:lineRule="auto" w:before="24"/>
        <w:ind w:right="1131"/>
        <w:jc w:val="both"/>
      </w:pPr>
      <w:r>
        <w:rPr>
          <w:spacing w:val="-2"/>
        </w:rPr>
        <w:t>发展。公司将围绕发展战略，积极挖掘各种潜在的投资机会，不断完善和优化业务和产品布局以及技术布局，提升市场覆盖</w:t>
      </w:r>
      <w:r>
        <w:rPr>
          <w:spacing w:val="-64"/>
        </w:rPr>
        <w:t> </w:t>
      </w:r>
      <w:r>
        <w:rPr>
          <w:spacing w:val="-64"/>
        </w:rPr>
      </w:r>
      <w:r>
        <w:rPr>
          <w:spacing w:val="-2"/>
        </w:rPr>
        <w:t>广度和深度。在合理控制风险的前提下，积极寻找优秀的行业合作伙伴，实现合作共赢和持续发展，进一步完善公司产业链</w:t>
      </w:r>
      <w:r>
        <w:rPr>
          <w:spacing w:val="-65"/>
        </w:rPr>
        <w:t> </w:t>
      </w:r>
      <w:r>
        <w:rPr>
          <w:spacing w:val="-65"/>
        </w:rPr>
      </w:r>
      <w:r>
        <w:rPr/>
        <w:t>布局，提高公司的行业地位和综合竞争力。</w:t>
      </w:r>
    </w:p>
    <w:p>
      <w:pPr>
        <w:pStyle w:val="BodyText"/>
        <w:spacing w:line="300" w:lineRule="auto" w:before="19"/>
        <w:ind w:left="513" w:right="1122"/>
        <w:jc w:val="left"/>
      </w:pPr>
      <w:r>
        <w:rPr>
          <w:rFonts w:ascii="Times New Roman" w:hAnsi="Times New Roman" w:cs="Times New Roman" w:eastAsia="Times New Roman" w:hint="default"/>
        </w:rPr>
        <w:t>4</w:t>
      </w:r>
      <w:r>
        <w:rPr/>
        <w:t>、提升公司品牌管理，扩大市场营销网络 </w:t>
      </w:r>
      <w:r>
        <w:rPr>
          <w:spacing w:val="-2"/>
        </w:rPr>
        <w:t>品牌整合营销是推动企业发展的无形力量。</w:t>
      </w:r>
      <w:r>
        <w:rPr>
          <w:rFonts w:ascii="Times New Roman" w:hAnsi="Times New Roman" w:cs="Times New Roman" w:eastAsia="Times New Roman" w:hint="default"/>
          <w:spacing w:val="-2"/>
        </w:rPr>
        <w:t>2020</w:t>
      </w:r>
      <w:r>
        <w:rPr>
          <w:spacing w:val="-2"/>
        </w:rPr>
        <w:t>年，公司将持续进行市场营销和品牌推广工作，聚焦在细分领域和重点</w:t>
      </w:r>
    </w:p>
    <w:p>
      <w:pPr>
        <w:pStyle w:val="BodyText"/>
        <w:spacing w:line="316" w:lineRule="auto" w:before="13"/>
        <w:ind w:right="1045"/>
        <w:jc w:val="both"/>
      </w:pPr>
      <w:r>
        <w:rPr>
          <w:spacing w:val="-4"/>
        </w:rPr>
        <w:t>行业，提升企业和产品的影响力。公司以多种方式扩大产品的市场营销网络，进一步提升公司的品牌影响力和产品的知名度，</w:t>
      </w:r>
      <w:r>
        <w:rPr>
          <w:spacing w:val="-44"/>
        </w:rPr>
        <w:t> </w:t>
      </w:r>
      <w:r>
        <w:rPr>
          <w:spacing w:val="-44"/>
        </w:rPr>
      </w:r>
      <w:r>
        <w:rPr/>
        <w:t>树立公司网络安全行业领导者的品牌形象。</w:t>
      </w:r>
    </w:p>
    <w:p>
      <w:pPr>
        <w:pStyle w:val="BodyText"/>
        <w:spacing w:line="300" w:lineRule="auto" w:before="19"/>
        <w:ind w:left="513" w:right="1122"/>
        <w:jc w:val="left"/>
      </w:pPr>
      <w:r>
        <w:rPr>
          <w:rFonts w:ascii="Times New Roman" w:hAnsi="Times New Roman" w:cs="Times New Roman" w:eastAsia="Times New Roman" w:hint="default"/>
        </w:rPr>
        <w:t>5</w:t>
      </w:r>
      <w:r>
        <w:rPr/>
        <w:t>、优化人才结构，提升公司治理水平 </w:t>
      </w:r>
      <w:r>
        <w:rPr>
          <w:spacing w:val="-2"/>
        </w:rPr>
        <w:t>人才是企业发展重要的战略性资源，人才队伍的建设是一直公司的核心工作之一。为适应发展需要，公司将加强对人员</w:t>
      </w:r>
    </w:p>
    <w:p>
      <w:pPr>
        <w:pStyle w:val="BodyText"/>
        <w:spacing w:line="316" w:lineRule="auto" w:before="31"/>
        <w:ind w:right="1131"/>
        <w:jc w:val="both"/>
      </w:pPr>
      <w:r>
        <w:rPr>
          <w:spacing w:val="-2"/>
        </w:rPr>
        <w:t>结构的优化调整，统筹推进各类人才队伍建设，加强人员培训及考核力度，加强人才培养及储备，更合理更科学地满足公司</w:t>
      </w:r>
      <w:r>
        <w:rPr>
          <w:spacing w:val="-65"/>
        </w:rPr>
        <w:t> </w:t>
      </w:r>
      <w:r>
        <w:rPr>
          <w:spacing w:val="-65"/>
        </w:rPr>
      </w:r>
      <w:r>
        <w:rPr/>
        <w:t>发展需要，同时为员工提供广阔平台，拓宽员工成长空间，为企业创造价值的同时实现员工自身价值的不断提升。</w:t>
      </w:r>
    </w:p>
    <w:p>
      <w:pPr>
        <w:pStyle w:val="BodyText"/>
        <w:spacing w:line="309" w:lineRule="auto" w:before="19"/>
        <w:ind w:right="1132" w:firstLine="360"/>
        <w:jc w:val="both"/>
      </w:pPr>
      <w:r>
        <w:rPr>
          <w:rFonts w:ascii="Times New Roman" w:hAnsi="Times New Roman" w:cs="Times New Roman" w:eastAsia="Times New Roman" w:hint="default"/>
          <w:spacing w:val="-2"/>
        </w:rPr>
        <w:t>2020</w:t>
      </w:r>
      <w:r>
        <w:rPr>
          <w:spacing w:val="-2"/>
        </w:rPr>
        <w:t>年，公司将继续提升公司治理水平，进一步规范各环节的内部控制制度，完善信息化管理系统，杜绝各类不规范行</w:t>
      </w:r>
      <w:r>
        <w:rPr/>
        <w:t> </w:t>
      </w:r>
      <w:r>
        <w:rPr>
          <w:spacing w:val="-2"/>
        </w:rPr>
        <w:t>为的发生，在产品线、销售线、人力资源、技术资源等方面实现资源共享和协同发展，增强公司风险控制和防范能力，保证</w:t>
      </w:r>
      <w:r>
        <w:rPr>
          <w:spacing w:val="-68"/>
        </w:rPr>
        <w:t> </w:t>
      </w:r>
      <w:r>
        <w:rPr>
          <w:spacing w:val="-68"/>
        </w:rPr>
      </w:r>
      <w:r>
        <w:rPr/>
        <w:t>公司各项业务活动的规范运行，保护全体股东合法权益。</w:t>
      </w:r>
    </w:p>
    <w:p>
      <w:pPr>
        <w:pStyle w:val="BodyText"/>
        <w:spacing w:line="240" w:lineRule="auto" w:before="24"/>
        <w:ind w:left="513" w:right="1122"/>
        <w:jc w:val="left"/>
      </w:pPr>
      <w:r>
        <w:rPr>
          <w:rFonts w:ascii="Times New Roman" w:hAnsi="Times New Roman" w:cs="Times New Roman" w:eastAsia="Times New Roman" w:hint="default"/>
        </w:rPr>
        <w:t>6</w:t>
      </w:r>
      <w:r>
        <w:rPr/>
        <w:t>、提高公司运行效率，加强预算管理</w:t>
      </w:r>
    </w:p>
    <w:p>
      <w:pPr>
        <w:pStyle w:val="BodyText"/>
        <w:spacing w:line="309" w:lineRule="auto" w:before="103"/>
        <w:ind w:right="1034" w:firstLine="360"/>
        <w:jc w:val="left"/>
      </w:pPr>
      <w:r>
        <w:rPr>
          <w:rFonts w:ascii="Times New Roman" w:hAnsi="Times New Roman" w:cs="Times New Roman" w:eastAsia="Times New Roman" w:hint="default"/>
          <w:spacing w:val="-2"/>
        </w:rPr>
        <w:t>2020</w:t>
      </w:r>
      <w:r>
        <w:rPr>
          <w:spacing w:val="-2"/>
        </w:rPr>
        <w:t>年，公司将不断健全经营管理和运行体系，强化执行和监督，全面提高管理水平、效率和计划，同时加强企业的风</w:t>
      </w:r>
      <w:r>
        <w:rPr/>
        <w:t> 险防控能力。公司将进一步加强预算管理，切实强化对预算的执行跟踪、预警、管控，降本增效。加大全员成本控制意识， 合理规划资源投入，坚持结果导向，做好投入产出分析，体现管理价值。</w:t>
      </w:r>
    </w:p>
    <w:p>
      <w:pPr>
        <w:pStyle w:val="BodyText"/>
        <w:spacing w:line="300" w:lineRule="auto" w:before="63"/>
        <w:ind w:left="513" w:right="1122"/>
        <w:jc w:val="left"/>
      </w:pPr>
      <w:r>
        <w:rPr>
          <w:rFonts w:ascii="Times New Roman" w:hAnsi="Times New Roman" w:cs="Times New Roman" w:eastAsia="Times New Roman" w:hint="default"/>
        </w:rPr>
        <w:t>7</w:t>
      </w:r>
      <w:r>
        <w:rPr/>
        <w:t>、强化市值管理，加强投资者沟通 </w:t>
      </w:r>
      <w:r>
        <w:rPr>
          <w:spacing w:val="-2"/>
        </w:rPr>
        <w:t>公司将继续积极探索适合公司的市值管理模式，提升投资者关系管理水平。通过搭建多样化的沟通平台，进一步加强与</w:t>
      </w:r>
    </w:p>
    <w:p>
      <w:pPr>
        <w:pStyle w:val="BodyText"/>
        <w:spacing w:line="316" w:lineRule="auto" w:before="31"/>
        <w:ind w:right="1131"/>
        <w:jc w:val="both"/>
      </w:pPr>
      <w:r>
        <w:rPr>
          <w:spacing w:val="-2"/>
        </w:rPr>
        <w:t>投资者之间的互动与沟通，加深投资者对公司的了解与认同，促进公司与投资者之间形成长期、稳定的良好互动关系，提升</w:t>
      </w:r>
      <w:r>
        <w:rPr>
          <w:spacing w:val="-64"/>
        </w:rPr>
        <w:t> </w:t>
      </w:r>
      <w:r>
        <w:rPr>
          <w:spacing w:val="-64"/>
        </w:rPr>
      </w:r>
      <w:r>
        <w:rPr/>
        <w:t>公司的诚信度，树立良好的资本市场形象，最终实现公司价值最大化和投资者利益最大化。</w:t>
      </w:r>
    </w:p>
    <w:p>
      <w:pPr>
        <w:spacing w:line="240" w:lineRule="auto" w:before="4"/>
        <w:rPr>
          <w:rFonts w:ascii="宋体" w:hAnsi="宋体" w:cs="宋体" w:eastAsia="宋体" w:hint="default"/>
          <w:sz w:val="25"/>
          <w:szCs w:val="25"/>
        </w:rPr>
      </w:pPr>
    </w:p>
    <w:p>
      <w:pPr>
        <w:pStyle w:val="Heading5"/>
        <w:spacing w:line="240" w:lineRule="auto"/>
        <w:ind w:right="1122"/>
        <w:jc w:val="left"/>
        <w:rPr>
          <w:b w:val="0"/>
          <w:bCs w:val="0"/>
        </w:rPr>
      </w:pPr>
      <w:r>
        <w:rPr/>
        <w:t>上述计划并不代表公司对</w:t>
      </w:r>
      <w:r>
        <w:rPr>
          <w:rFonts w:ascii="Times New Roman" w:hAnsi="Times New Roman" w:cs="Times New Roman" w:eastAsia="Times New Roman" w:hint="default"/>
        </w:rPr>
        <w:t>2020</w:t>
      </w:r>
      <w:r>
        <w:rPr/>
        <w:t>年度的盈利预测，不构成公司对投资者的实质承诺，请投资者注意投资风险。</w:t>
      </w:r>
      <w:r>
        <w:rPr>
          <w:b w:val="0"/>
          <w:bCs w:val="0"/>
        </w:rPr>
      </w:r>
    </w:p>
    <w:p>
      <w:pPr>
        <w:spacing w:line="240" w:lineRule="auto" w:before="0"/>
        <w:rPr>
          <w:rFonts w:ascii="宋体" w:hAnsi="宋体" w:cs="宋体" w:eastAsia="宋体" w:hint="default"/>
          <w:b/>
          <w:bCs/>
          <w:sz w:val="18"/>
          <w:szCs w:val="18"/>
        </w:rPr>
      </w:pPr>
    </w:p>
    <w:p>
      <w:pPr>
        <w:pStyle w:val="Heading5"/>
        <w:spacing w:line="240" w:lineRule="auto" w:before="139"/>
        <w:ind w:right="1122"/>
        <w:jc w:val="left"/>
        <w:rPr>
          <w:b w:val="0"/>
          <w:bCs w:val="0"/>
        </w:rPr>
      </w:pPr>
      <w:r>
        <w:rPr/>
        <w:t>（三）可能面临的风险</w:t>
      </w:r>
      <w:r>
        <w:rPr>
          <w:b w:val="0"/>
          <w:bCs w:val="0"/>
        </w:rPr>
      </w:r>
    </w:p>
    <w:p>
      <w:pPr>
        <w:pStyle w:val="BodyText"/>
        <w:spacing w:line="300" w:lineRule="auto" w:before="76"/>
        <w:ind w:left="513" w:right="1033"/>
        <w:jc w:val="left"/>
      </w:pPr>
      <w:r>
        <w:rPr>
          <w:rFonts w:ascii="Times New Roman" w:hAnsi="Times New Roman" w:cs="Times New Roman" w:eastAsia="Times New Roman" w:hint="default"/>
        </w:rPr>
        <w:t>1</w:t>
      </w:r>
      <w:r>
        <w:rPr/>
        <w:t>、应收账款风险 随着公司业务规模扩大，且公司部分合同实施及结算周期较长，应收账款数额增加，同时公司客户主要是政府、军队、</w:t>
      </w:r>
    </w:p>
    <w:p>
      <w:pPr>
        <w:pStyle w:val="BodyText"/>
        <w:spacing w:line="316" w:lineRule="auto" w:before="32"/>
        <w:ind w:right="1034"/>
        <w:jc w:val="left"/>
      </w:pPr>
      <w:r>
        <w:rPr/>
        <w:t>军工、能源、金融等行业的大中型用户，资金实力和信用较好，被给予一定的信用政策，致使公司整体应收账款金额较大。 </w:t>
      </w:r>
      <w:r>
        <w:rPr>
          <w:spacing w:val="-2"/>
        </w:rPr>
        <w:t>如果应收账款不能及时收回，将对公司财务状况产生不利影响，同时会降低公司资金周转速度与运营效率，从而限制公司经</w:t>
      </w:r>
      <w:r>
        <w:rPr>
          <w:spacing w:val="-63"/>
        </w:rPr>
        <w:t> </w:t>
      </w:r>
      <w:r>
        <w:rPr>
          <w:spacing w:val="-63"/>
        </w:rPr>
      </w:r>
      <w:r>
        <w:rPr>
          <w:spacing w:val="-2"/>
        </w:rPr>
        <w:t>营活动的正常开展，影响经营业绩。对此，公司将采取下列应对措施：加强重大项目的预评估，谨慎选择项目；主管领导加</w:t>
      </w:r>
      <w:r>
        <w:rPr>
          <w:spacing w:val="-68"/>
        </w:rPr>
        <w:t> </w:t>
      </w:r>
      <w:r>
        <w:rPr>
          <w:spacing w:val="-68"/>
        </w:rPr>
      </w:r>
      <w:r>
        <w:rPr>
          <w:spacing w:val="-2"/>
        </w:rPr>
        <w:t>强对业务部门的应收款工作管理，加大应收账款责任制实施力度，加强对销售人员销售回款的考核，积极推进项目实施及验</w:t>
      </w:r>
      <w:r>
        <w:rPr>
          <w:spacing w:val="-61"/>
        </w:rPr>
        <w:t> </w:t>
      </w:r>
      <w:r>
        <w:rPr>
          <w:spacing w:val="-61"/>
        </w:rPr>
      </w:r>
      <w:r>
        <w:rPr>
          <w:spacing w:val="-2"/>
        </w:rPr>
        <w:t>收等措施，促进应收账款的回款，有效控制应收账款占比，降低对公司经营资金周转的影响；同时出于谨慎考虑，对应收账</w:t>
      </w:r>
      <w:r>
        <w:rPr>
          <w:spacing w:val="-67"/>
        </w:rPr>
        <w:t> </w:t>
      </w:r>
      <w:r>
        <w:rPr>
          <w:spacing w:val="-67"/>
        </w:rPr>
      </w:r>
      <w:r>
        <w:rPr/>
        <w:t>款实施合理的坏账计提，以有效防范坏账可能给公司带来的风险。</w:t>
      </w:r>
    </w:p>
    <w:p>
      <w:pPr>
        <w:pStyle w:val="BodyText"/>
        <w:spacing w:line="300" w:lineRule="auto" w:before="19"/>
        <w:ind w:left="513" w:right="1122"/>
        <w:jc w:val="left"/>
      </w:pPr>
      <w:r>
        <w:rPr>
          <w:rFonts w:ascii="Times New Roman" w:hAnsi="Times New Roman" w:cs="Times New Roman" w:eastAsia="Times New Roman" w:hint="default"/>
        </w:rPr>
        <w:t>2</w:t>
      </w:r>
      <w:r>
        <w:rPr/>
        <w:t>、产品销售季节不均衡风险 </w:t>
      </w:r>
      <w:r>
        <w:rPr>
          <w:spacing w:val="-2"/>
        </w:rPr>
        <w:t>公司主要客户为政府、军队、军工、能源、金融等重要领域的大型国有企业和事业单位，这些客户通常采取预算管理制</w:t>
      </w:r>
    </w:p>
    <w:p>
      <w:pPr>
        <w:pStyle w:val="BodyText"/>
        <w:spacing w:line="319" w:lineRule="auto" w:before="31"/>
        <w:ind w:right="1129"/>
        <w:jc w:val="both"/>
      </w:pPr>
      <w:r>
        <w:rPr>
          <w:spacing w:val="-2"/>
        </w:rPr>
        <w:t>度和产品集中采购制度，一般下半年制定次年年度预算和投资计划，审批通常集中在次年的上半年，采购招标则安排在次年</w:t>
      </w:r>
      <w:r>
        <w:rPr>
          <w:spacing w:val="-63"/>
        </w:rPr>
        <w:t> </w:t>
      </w:r>
      <w:r>
        <w:rPr>
          <w:spacing w:val="-63"/>
        </w:rPr>
      </w:r>
      <w:r>
        <w:rPr>
          <w:spacing w:val="-2"/>
        </w:rPr>
        <w:t>年中或下半年。因此，公司每年上半年存在销售较少的可能性，销售主要集中在下半年尤其是第四季度。公司的销售收入呈</w:t>
      </w:r>
      <w:r>
        <w:rPr>
          <w:spacing w:val="-63"/>
        </w:rPr>
        <w:t> </w:t>
      </w:r>
      <w:r>
        <w:rPr>
          <w:spacing w:val="-63"/>
        </w:rPr>
      </w:r>
      <w:r>
        <w:rPr>
          <w:spacing w:val="-2"/>
        </w:rPr>
        <w:t>现显著的季节性特征，且主要在第四季度实现，而费用在年度内较为均衡地发生，因而可能会造成公司第一季度、半年度或</w:t>
      </w:r>
      <w:r>
        <w:rPr>
          <w:spacing w:val="-65"/>
        </w:rPr>
        <w:t> </w:t>
      </w:r>
      <w:r>
        <w:rPr>
          <w:spacing w:val="-65"/>
        </w:rPr>
      </w:r>
      <w:r>
        <w:rPr>
          <w:spacing w:val="-2"/>
        </w:rPr>
        <w:t>第三季度出现季节性波动或亏损。对此，公司将进一步加强业务拓展领域，积极开发不同领域的优质客户，同时加大售前的</w:t>
      </w:r>
      <w:r>
        <w:rPr>
          <w:spacing w:val="-64"/>
        </w:rPr>
        <w:t> </w:t>
      </w:r>
      <w:r>
        <w:rPr>
          <w:spacing w:val="-64"/>
        </w:rPr>
      </w:r>
      <w:r>
        <w:rPr/>
        <w:t>进度引导以及阶段验收等方式，尽量降低第四季度集中和不确定性的影响。</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513" w:right="1122"/>
        <w:jc w:val="left"/>
      </w:pPr>
      <w:r>
        <w:rPr>
          <w:rFonts w:ascii="Times New Roman" w:hAnsi="Times New Roman" w:cs="Times New Roman" w:eastAsia="Times New Roman" w:hint="default"/>
        </w:rPr>
        <w:t>3</w:t>
      </w:r>
      <w:r>
        <w:rPr/>
        <w:t>、管理风险 </w:t>
      </w:r>
      <w:r>
        <w:rPr>
          <w:spacing w:val="-2"/>
        </w:rPr>
        <w:t>随着公司业务规模的扩大，在市场营销、技术研发、人力资源等方面对公司提出了更高的要求，公司营运管理、财务管</w:t>
      </w:r>
    </w:p>
    <w:p>
      <w:pPr>
        <w:pStyle w:val="BodyText"/>
        <w:spacing w:line="316" w:lineRule="auto" w:before="31"/>
        <w:ind w:right="1034"/>
        <w:jc w:val="left"/>
      </w:pPr>
      <w:r>
        <w:rPr>
          <w:spacing w:val="-2"/>
        </w:rPr>
        <w:t>理和内部控制等管理风险逐渐增加。若不能及时调整和优化管理体系，提高管理能力以及培养以适应未来的成长需要和市场</w:t>
      </w:r>
      <w:r>
        <w:rPr>
          <w:spacing w:val="-63"/>
        </w:rPr>
        <w:t> </w:t>
      </w:r>
      <w:r>
        <w:rPr>
          <w:spacing w:val="-63"/>
        </w:rPr>
      </w:r>
      <w:r>
        <w:rPr/>
        <w:t>环境的变化，将会给公司带来相应的管理风险。公司将根据业务发展需要，持续优化组织架构和管理流程，通过业务培训、 </w:t>
      </w:r>
      <w:r>
        <w:rPr>
          <w:spacing w:val="-2"/>
        </w:rPr>
        <w:t>管理培训、岗位轮换等各种措施培养、选拔和任用管理人才，以及锻炼和提升与其管理岗位相适应的管理能力；公司还将积</w:t>
      </w:r>
      <w:r>
        <w:rPr>
          <w:spacing w:val="-65"/>
        </w:rPr>
        <w:t> </w:t>
      </w:r>
      <w:r>
        <w:rPr>
          <w:spacing w:val="-65"/>
        </w:rPr>
      </w:r>
      <w:r>
        <w:rPr>
          <w:spacing w:val="-2"/>
        </w:rPr>
        <w:t>极引进管理人才，以满足公司发展过程中的管理需求。公司董事会、管理层一直高度关注公司内部规范治理工作，不断完善</w:t>
      </w:r>
      <w:r>
        <w:rPr>
          <w:spacing w:val="-65"/>
        </w:rPr>
        <w:t> </w:t>
      </w:r>
      <w:r>
        <w:rPr>
          <w:spacing w:val="-65"/>
        </w:rPr>
      </w:r>
      <w:r>
        <w:rPr>
          <w:spacing w:val="-2"/>
        </w:rPr>
        <w:t>各环节的内部控制制度，杜绝各类不规范行为的发生，保证公司各项业务活动的规范运行，以期以最好的业绩回报广大投资</w:t>
      </w:r>
      <w:r>
        <w:rPr>
          <w:spacing w:val="-63"/>
        </w:rPr>
        <w:t> </w:t>
      </w:r>
      <w:r>
        <w:rPr>
          <w:spacing w:val="-63"/>
        </w:rPr>
      </w:r>
      <w:r>
        <w:rPr/>
        <w:t>者。</w:t>
      </w:r>
    </w:p>
    <w:p>
      <w:pPr>
        <w:pStyle w:val="BodyText"/>
        <w:spacing w:line="300" w:lineRule="auto" w:before="19"/>
        <w:ind w:left="513" w:right="1122"/>
        <w:jc w:val="left"/>
      </w:pPr>
      <w:r>
        <w:rPr>
          <w:rFonts w:ascii="Times New Roman" w:hAnsi="Times New Roman" w:cs="Times New Roman" w:eastAsia="Times New Roman" w:hint="default"/>
        </w:rPr>
        <w:t>4</w:t>
      </w:r>
      <w:r>
        <w:rPr/>
        <w:t>、研发技术风险 </w:t>
      </w:r>
      <w:r>
        <w:rPr>
          <w:spacing w:val="-2"/>
        </w:rPr>
        <w:t>经过多年的技术积累和创新，公司目前拥有众多核心软件产品和行业应用解决方案，公司依托自主研发的构建平台，形</w:t>
      </w:r>
    </w:p>
    <w:p>
      <w:pPr>
        <w:pStyle w:val="BodyText"/>
        <w:spacing w:line="319" w:lineRule="auto" w:before="31"/>
        <w:ind w:right="1131"/>
        <w:jc w:val="both"/>
      </w:pPr>
      <w:r>
        <w:rPr>
          <w:spacing w:val="-2"/>
        </w:rPr>
        <w:t>成了多项核心软件和行业应用解决方案，技术优势明显。然而随着互联网在各领域、各行业的渗透，网络安全也在不断扩大</w:t>
      </w:r>
      <w:r>
        <w:rPr>
          <w:spacing w:val="-64"/>
        </w:rPr>
        <w:t> </w:t>
      </w:r>
      <w:r>
        <w:rPr>
          <w:spacing w:val="-64"/>
        </w:rPr>
      </w:r>
      <w:r>
        <w:rPr>
          <w:spacing w:val="-2"/>
        </w:rPr>
        <w:t>应用领域，物联网、云计算、大数据、人工智能等领域对网络安全提出了更多、更高的要求，公司在新技术、新产品研发上</w:t>
      </w:r>
      <w:r>
        <w:rPr>
          <w:spacing w:val="-73"/>
        </w:rPr>
        <w:t> </w:t>
      </w:r>
      <w:r>
        <w:rPr>
          <w:spacing w:val="-73"/>
        </w:rPr>
      </w:r>
      <w:r>
        <w:rPr>
          <w:spacing w:val="-2"/>
        </w:rPr>
        <w:t>面临着一定程度的投入高、更新换代快的风险。为了保持竞争优势，公司需要准确预测行业技术发展趋势。公司将把创新作</w:t>
      </w:r>
      <w:r>
        <w:rPr>
          <w:spacing w:val="-65"/>
        </w:rPr>
        <w:t> </w:t>
      </w:r>
      <w:r>
        <w:rPr>
          <w:spacing w:val="-65"/>
        </w:rPr>
      </w:r>
      <w:r>
        <w:rPr>
          <w:spacing w:val="-2"/>
        </w:rPr>
        <w:t>为发展的核心理念和长期性要求，及时根据市场变化和客户需求，将成熟、实用、先进的技术用于自身产品的设计开发和技</w:t>
      </w:r>
      <w:r>
        <w:rPr>
          <w:spacing w:val="-66"/>
        </w:rPr>
        <w:t> </w:t>
      </w:r>
      <w:r>
        <w:rPr>
          <w:spacing w:val="-66"/>
        </w:rPr>
      </w:r>
      <w:r>
        <w:rPr/>
        <w:t>术升级。</w:t>
      </w:r>
    </w:p>
    <w:p>
      <w:pPr>
        <w:pStyle w:val="BodyText"/>
        <w:spacing w:line="316" w:lineRule="auto" w:before="17"/>
        <w:ind w:right="1130" w:firstLine="360"/>
        <w:jc w:val="both"/>
      </w:pPr>
      <w:r>
        <w:rPr>
          <w:spacing w:val="-2"/>
        </w:rPr>
        <w:t>技术优势是公司在行业中保持竞争优势的最主要因素之一，目前，公司拥有的计算机软件著作权、专利、产品、在研技</w:t>
      </w:r>
      <w:r>
        <w:rPr/>
        <w:t> </w:t>
      </w:r>
      <w:r>
        <w:rPr>
          <w:spacing w:val="-2"/>
        </w:rPr>
        <w:t>术等均属于公司的核心技术，上述核心技术是公司平稳快速发展的基础，如果公司核心技术泄密，则会对公司生产经营造成</w:t>
      </w:r>
      <w:r>
        <w:rPr>
          <w:spacing w:val="-63"/>
        </w:rPr>
        <w:t> </w:t>
      </w:r>
      <w:r>
        <w:rPr>
          <w:spacing w:val="-63"/>
        </w:rPr>
      </w:r>
      <w:r>
        <w:rPr>
          <w:spacing w:val="-2"/>
        </w:rPr>
        <w:t>较大负面影响。为控制核心技术泄密，公司在与员工签订劳动合同的同时签订保密协议书，要求员工严格遵守公司制定的保</w:t>
      </w:r>
      <w:r>
        <w:rPr>
          <w:spacing w:val="-63"/>
        </w:rPr>
        <w:t> </w:t>
      </w:r>
      <w:r>
        <w:rPr>
          <w:spacing w:val="-63"/>
        </w:rPr>
      </w:r>
      <w:r>
        <w:rPr>
          <w:spacing w:val="-2"/>
        </w:rPr>
        <w:t>密制度；为防范技术被侵权，公司及时将已开发的技术或产品在国家知识产权管理机构登记，通过法律手段保护公司的知识</w:t>
      </w:r>
      <w:r>
        <w:rPr>
          <w:spacing w:val="-65"/>
        </w:rPr>
        <w:t> </w:t>
      </w:r>
      <w:r>
        <w:rPr>
          <w:spacing w:val="-65"/>
        </w:rPr>
      </w:r>
      <w:r>
        <w:rPr/>
        <w:t>产权。</w:t>
      </w:r>
    </w:p>
    <w:p>
      <w:pPr>
        <w:pStyle w:val="BodyText"/>
        <w:spacing w:line="300" w:lineRule="auto" w:before="19"/>
        <w:ind w:left="513" w:right="4093"/>
        <w:jc w:val="left"/>
      </w:pPr>
      <w:r>
        <w:rPr>
          <w:rFonts w:ascii="Times New Roman" w:hAnsi="Times New Roman" w:cs="Times New Roman" w:eastAsia="Times New Roman" w:hint="default"/>
        </w:rPr>
        <w:t>5</w:t>
      </w:r>
      <w:r>
        <w:rPr/>
        <w:t>、其他风险 公司不排除因政治、经济、自然灾害等其他不可控因素带来不利影响的可能性。</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shape style="position:absolute;margin-left:218.649002pt;margin-top:646.419983pt;width:316.3pt;height:19.6pt;mso-position-horizontal-relative:page;mso-position-vertical-relative:page;z-index:-1201240"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6"/>
        <w:jc w:val="center"/>
        <w:rPr>
          <w:b w:val="0"/>
          <w:bCs w:val="0"/>
        </w:rPr>
      </w:pPr>
      <w:bookmarkStart w:name="_TOC_250008" w:id="5"/>
      <w:r>
        <w:rPr/>
        <w:t>第五节重要事项</w:t>
      </w:r>
      <w:bookmarkEnd w:id="5"/>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报告期内普通股利润分配政策，特别是现金分红政策的制定、执行或调整情况</w:t>
      </w:r>
    </w:p>
    <w:p>
      <w:pPr>
        <w:pStyle w:val="BodyText"/>
        <w:spacing w:line="338" w:lineRule="auto" w:before="117"/>
        <w:ind w:left="513" w:right="1034"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报告期内，公司严格按照《公司章程》相关利润分配政策和审议程序实施利润分配方案，分红标准和分红比例明确清晰，</w:t>
      </w:r>
    </w:p>
    <w:p>
      <w:pPr>
        <w:pStyle w:val="BodyText"/>
        <w:spacing w:line="319" w:lineRule="auto" w:before="2"/>
        <w:ind w:right="1122"/>
        <w:jc w:val="left"/>
      </w:pPr>
      <w:r>
        <w:rPr>
          <w:spacing w:val="-2"/>
        </w:rPr>
        <w:t>相关的决策程序和机制完备。公司利润分配方案经由董事会、监事会审议过后提交股东大会审议，并由独立董事发表独立意</w:t>
      </w:r>
      <w:r>
        <w:rPr>
          <w:spacing w:val="-63"/>
        </w:rPr>
        <w:t> </w:t>
      </w:r>
      <w:r>
        <w:rPr>
          <w:spacing w:val="-63"/>
        </w:rPr>
      </w:r>
      <w:r>
        <w:rPr/>
        <w:t>见，审议通过后在规定时间内进行实施，切实保证了全体股东的利益。</w:t>
      </w:r>
    </w:p>
    <w:p>
      <w:pPr>
        <w:pStyle w:val="BodyText"/>
        <w:spacing w:line="300" w:lineRule="auto" w:before="17"/>
        <w:ind w:right="1124"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w:t>
      </w:r>
      <w:r>
        <w:rPr>
          <w:rFonts w:ascii="Times New Roman" w:hAnsi="Times New Roman" w:cs="Times New Roman" w:eastAsia="Times New Roman" w:hint="default"/>
        </w:rPr>
        <w:t>2018</w:t>
      </w:r>
      <w:r>
        <w:rPr/>
        <w:t>年度股东大会审议通过了《关于</w:t>
      </w:r>
      <w:r>
        <w:rPr>
          <w:rFonts w:ascii="Times New Roman" w:hAnsi="Times New Roman" w:cs="Times New Roman" w:eastAsia="Times New Roman" w:hint="default"/>
        </w:rPr>
        <w:t>2018</w:t>
      </w:r>
      <w:r>
        <w:rPr/>
        <w:t>年度利润分配预案的议案》，以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 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0.10</w:t>
      </w:r>
      <w:r>
        <w:rPr/>
        <w:t>元（含税）现金</w:t>
      </w:r>
      <w:r>
        <w:rPr>
          <w:rFonts w:ascii="Times New Roman" w:hAnsi="Times New Roman" w:cs="Times New Roman" w:eastAsia="Times New Roman" w:hint="default"/>
        </w:rPr>
        <w:t>,</w:t>
      </w:r>
      <w:r>
        <w:rPr>
          <w:rFonts w:ascii="Times New Roman" w:hAnsi="Times New Roman" w:cs="Times New Roman" w:eastAsia="Times New Roman" w:hint="default"/>
          <w:spacing w:val="22"/>
        </w:rPr>
        <w:t> </w:t>
      </w:r>
      <w:r>
        <w:rPr/>
        <w:t>不进行资本公积金转增股本，不送红股。本 次权益分派股权登记日为：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日，除权除息日为：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5"/>
        <w:ind w:right="1122"/>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4,349,472.26</w:t>
            </w:r>
          </w:p>
        </w:tc>
      </w:tr>
      <w:tr>
        <w:trPr>
          <w:trHeight w:val="402"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4,349,472.26</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425,072,690.16</w:t>
            </w:r>
          </w:p>
        </w:tc>
      </w:tr>
      <w:tr>
        <w:trPr>
          <w:trHeight w:val="71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5"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公司利润分配预案，以截至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1,449,824,087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pacing w:val="2"/>
                <w:sz w:val="18"/>
                <w:szCs w:val="18"/>
              </w:rPr>
              <w:t> </w:t>
            </w:r>
            <w:r>
              <w:rPr>
                <w:rFonts w:ascii="宋体" w:hAnsi="宋体" w:cs="宋体" w:eastAsia="宋体" w:hint="default"/>
                <w:spacing w:val="-14"/>
                <w:sz w:val="18"/>
                <w:szCs w:val="18"/>
              </w:rPr>
              <w:t>元（含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税）现金</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72</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；本年度不进行资本公积金转增股本，不送红股。</w:t>
            </w:r>
          </w:p>
        </w:tc>
      </w:tr>
    </w:tbl>
    <w:p>
      <w:pPr>
        <w:pStyle w:val="BodyText"/>
        <w:spacing w:line="240" w:lineRule="auto" w:before="49"/>
        <w:ind w:right="1122"/>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24" w:firstLine="360"/>
        <w:jc w:val="left"/>
      </w:pPr>
      <w:r>
        <w:rPr>
          <w:rFonts w:ascii="Times New Roman" w:hAnsi="Times New Roman" w:cs="Times New Roman" w:eastAsia="Times New Roman" w:hint="default"/>
        </w:rPr>
        <w:t>2017</w:t>
      </w:r>
      <w:r>
        <w:rPr/>
        <w:t>年度利润分配方案：以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0.12</w:t>
      </w:r>
      <w:r>
        <w:rPr/>
        <w:t>元（含 税），本年度不进行资本公积金转增股本，不送红股。</w:t>
      </w:r>
    </w:p>
    <w:p>
      <w:pPr>
        <w:pStyle w:val="BodyText"/>
        <w:spacing w:line="300" w:lineRule="auto" w:before="31"/>
        <w:ind w:right="1124" w:firstLine="360"/>
        <w:jc w:val="left"/>
      </w:pPr>
      <w:r>
        <w:rPr>
          <w:rFonts w:ascii="Times New Roman" w:hAnsi="Times New Roman" w:cs="Times New Roman" w:eastAsia="Times New Roman" w:hint="default"/>
        </w:rPr>
        <w:t>2018</w:t>
      </w:r>
      <w:r>
        <w:rPr/>
        <w:t>年度利润分配预案：以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0.10</w:t>
      </w:r>
      <w:r>
        <w:rPr/>
        <w:t>元（含 税），本年度不进行资本公积金转增股本，不送红股。</w:t>
      </w:r>
    </w:p>
    <w:p>
      <w:pPr>
        <w:pStyle w:val="BodyText"/>
        <w:spacing w:line="300" w:lineRule="auto" w:before="32"/>
        <w:ind w:right="1124" w:firstLine="360"/>
        <w:jc w:val="left"/>
      </w:pPr>
      <w:r>
        <w:rPr>
          <w:rFonts w:ascii="Times New Roman" w:hAnsi="Times New Roman" w:cs="Times New Roman" w:eastAsia="Times New Roman" w:hint="default"/>
        </w:rPr>
        <w:t>2019</w:t>
      </w:r>
      <w:r>
        <w:rPr/>
        <w:t>年度利润分配预案：以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0.03</w:t>
      </w:r>
      <w:r>
        <w:rPr/>
        <w:t>元（含 税），本年度不进行资本公积金转增股本，不送红股。</w:t>
      </w:r>
    </w:p>
    <w:p>
      <w:pPr>
        <w:pStyle w:val="BodyText"/>
        <w:spacing w:line="240" w:lineRule="auto" w:before="72"/>
        <w:ind w:right="1122"/>
        <w:jc w:val="left"/>
      </w:pPr>
      <w:r>
        <w:rPr/>
        <w:t>公司近三年（包括本报告期）普通股现金分红情况表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4,349,472.26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22,384,186.81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4,349,472.26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19.43%</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85,940,336.52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16.87%</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17,397,889.04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91,451,980.39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17,397,889.04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19.02%</w:t>
            </w:r>
          </w:p>
        </w:tc>
      </w:tr>
    </w:tbl>
    <w:p>
      <w:pPr>
        <w:pStyle w:val="BodyText"/>
        <w:spacing w:line="240" w:lineRule="auto" w:before="49"/>
        <w:ind w:right="1122"/>
        <w:jc w:val="left"/>
      </w:pPr>
      <w:r>
        <w:rPr/>
        <w:t>公司报告期内盈利且母公司可供普通股股东分配利润为正但未提出普通股现金红利分配预案</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right="1122"/>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1"/>
        </w:rPr>
        <w:t> </w:t>
      </w:r>
      <w:r>
        <w:rPr>
          <w:spacing w:val="-61"/>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1"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5"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tcBorders>
              <w:top w:val="single" w:sz="4" w:space="0" w:color="000000"/>
              <w:left w:val="single" w:sz="13" w:space="0" w:color="D2D2D2"/>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个月届满之 日和本人在</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314" w:lineRule="auto" w:before="49"/>
              <w:ind w:left="23" w:right="137"/>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个月届满之 日和本人在</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610"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878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
              <w:jc w:val="left"/>
              <w:rPr>
                <w:rFonts w:ascii="宋体" w:hAnsi="宋体" w:cs="宋体" w:eastAsia="宋体" w:hint="default"/>
                <w:sz w:val="18"/>
                <w:szCs w:val="18"/>
              </w:rPr>
            </w:pPr>
            <w:r>
              <w:rPr>
                <w:rFonts w:ascii="宋体" w:hAnsi="宋体" w:cs="宋体" w:eastAsia="宋体" w:hint="default"/>
                <w:sz w:val="18"/>
                <w:szCs w:val="18"/>
              </w:rPr>
              <w:t>《业绩补偿 协议》中利润 补偿义务履 行完毕之日 中的较晚日 之前，不转让 本人持有的 本次发行取 得的上市公 司新增股份， 但按照《业绩 补偿协议》进 行回购的股 份除外；上述 锁定期满后， 如本人在中 软华泰或者 上市公司担 任董事、监事 或高级管理 人员的，任职 期间内，本人 每年转让的 上市公司股 份不超过本 人持有上市 公司股份总 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0"/>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3"/>
                <w:sz w:val="18"/>
                <w:szCs w:val="18"/>
              </w:rPr>
              <w:t>协议》中利润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补偿义务履 行完毕之日 中的较晚日 之前。</w:t>
            </w: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04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田秋桂</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4"/>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20"/>
              <w:ind w:left="23" w:right="10"/>
              <w:jc w:val="left"/>
              <w:rPr>
                <w:rFonts w:ascii="宋体" w:hAnsi="宋体" w:cs="宋体" w:eastAsia="宋体" w:hint="default"/>
                <w:sz w:val="18"/>
                <w:szCs w:val="18"/>
              </w:rPr>
            </w:pPr>
            <w:r>
              <w:rPr>
                <w:rFonts w:ascii="宋体" w:hAnsi="宋体" w:cs="宋体" w:eastAsia="宋体" w:hint="default"/>
                <w:sz w:val="18"/>
                <w:szCs w:val="18"/>
              </w:rPr>
              <w:t>《业绩补偿 协议》中利润 补偿义务履 行完毕之日 中的较晚日 之前，不转让 本人持有的 本次发行取 得的上市公 司新增股份， 但按照《业绩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2" w:lineRule="auto"/>
              <w:ind w:left="23" w:right="137"/>
              <w:jc w:val="both"/>
              <w:rPr>
                <w:rFonts w:ascii="宋体" w:hAnsi="宋体" w:cs="宋体" w:eastAsia="宋体" w:hint="default"/>
                <w:sz w:val="18"/>
                <w:szCs w:val="18"/>
              </w:rPr>
            </w:pPr>
            <w:r>
              <w:rPr>
                <w:rFonts w:ascii="宋体" w:hAnsi="宋体" w:cs="宋体" w:eastAsia="宋体" w:hint="default"/>
                <w:sz w:val="18"/>
                <w:szCs w:val="18"/>
              </w:rPr>
              <w:t>自本次新增 股份上市之 日起，至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个月届满之 日和本人在</w:t>
            </w:r>
          </w:p>
          <w:p>
            <w:pPr>
              <w:pStyle w:val="TableParagraph"/>
              <w:spacing w:line="316" w:lineRule="auto" w:before="22"/>
              <w:ind w:left="23" w:right="20"/>
              <w:jc w:val="left"/>
              <w:rPr>
                <w:rFonts w:ascii="宋体" w:hAnsi="宋体" w:cs="宋体" w:eastAsia="宋体" w:hint="default"/>
                <w:sz w:val="18"/>
                <w:szCs w:val="18"/>
              </w:rPr>
            </w:pPr>
            <w:r>
              <w:rPr>
                <w:rFonts w:ascii="宋体" w:hAnsi="宋体" w:cs="宋体" w:eastAsia="宋体" w:hint="default"/>
                <w:sz w:val="18"/>
                <w:szCs w:val="18"/>
              </w:rPr>
              <w:t>《业绩补偿 </w:t>
            </w:r>
            <w:r>
              <w:rPr>
                <w:rFonts w:ascii="宋体" w:hAnsi="宋体" w:cs="宋体" w:eastAsia="宋体" w:hint="default"/>
                <w:spacing w:val="-3"/>
                <w:sz w:val="18"/>
                <w:szCs w:val="18"/>
              </w:rPr>
              <w:t>协议》中利润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补偿义务履 行完毕之日 中的较晚日 之前。</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097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5"/>
              <w:jc w:val="left"/>
              <w:rPr>
                <w:rFonts w:ascii="宋体" w:hAnsi="宋体" w:cs="宋体" w:eastAsia="宋体" w:hint="default"/>
                <w:sz w:val="18"/>
                <w:szCs w:val="18"/>
              </w:rPr>
            </w:pPr>
            <w:r>
              <w:rPr>
                <w:rFonts w:ascii="宋体" w:hAnsi="宋体" w:cs="宋体" w:eastAsia="宋体" w:hint="default"/>
                <w:sz w:val="18"/>
                <w:szCs w:val="18"/>
              </w:rPr>
              <w:t>补偿协议》进 行回购的股 份除外；鉴于 本人与中软 华泰另一股 东马永清系 一致行动人， 共同控制中 软华泰，在马 永清于中软 华泰或者上 市公司担任 董事、监事或 高级管理人 员期间内，本 人每年转让 的上市公司 股份不超过 本人持有上 市公司股份 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同时，在陈青 松（系本人之 子）于中软华 泰或者上市 公司担任董 事、监事或高 级管理人员 期间内，本人 每年转让的 上市公司股 份亦不超过 本人持有上 市公司股份 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3" w:right="7"/>
              <w:jc w:val="left"/>
              <w:rPr>
                <w:rFonts w:ascii="宋体" w:hAnsi="宋体" w:cs="宋体" w:eastAsia="宋体" w:hint="default"/>
                <w:sz w:val="18"/>
                <w:szCs w:val="18"/>
              </w:rPr>
            </w:pPr>
            <w:r>
              <w:rPr>
                <w:rFonts w:ascii="宋体" w:hAnsi="宋体" w:cs="宋体" w:eastAsia="宋体" w:hint="default"/>
                <w:sz w:val="18"/>
                <w:szCs w:val="18"/>
              </w:rPr>
              <w:t>林皓、杨杰、 高曦、杨维</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其在任职期 间，每年转让 的公司股份 不超过其持 有公司股份 总数的百分 之二十五；离 职后半年内， 不转让其持</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8"/>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67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0"/>
              <w:jc w:val="left"/>
              <w:rPr>
                <w:rFonts w:ascii="宋体" w:hAnsi="宋体" w:cs="宋体" w:eastAsia="宋体" w:hint="default"/>
                <w:sz w:val="18"/>
                <w:szCs w:val="18"/>
              </w:rPr>
            </w:pPr>
            <w:r>
              <w:rPr>
                <w:rFonts w:ascii="宋体" w:hAnsi="宋体" w:cs="宋体" w:eastAsia="宋体" w:hint="default"/>
                <w:sz w:val="18"/>
                <w:szCs w:val="18"/>
              </w:rPr>
              <w:t>有的公司股 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76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在王晓娜女 士任职期间， 其每年转让 的股份公司 股份不超过 其所持有股 份公司股份 总数的百分 之二十五；在 王晓娜女士 离职后半年 内，其不转让 直接或者间 接持有的公 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9" w:lineRule="auto"/>
              <w:ind w:left="23" w:right="-8"/>
              <w:jc w:val="left"/>
              <w:rPr>
                <w:rFonts w:ascii="宋体" w:hAnsi="宋体" w:cs="宋体" w:eastAsia="宋体" w:hint="default"/>
                <w:sz w:val="18"/>
                <w:szCs w:val="18"/>
              </w:rPr>
            </w:pPr>
            <w:r>
              <w:rPr>
                <w:rFonts w:ascii="宋体" w:hAnsi="宋体" w:cs="宋体" w:eastAsia="宋体" w:hint="default"/>
                <w:sz w:val="18"/>
                <w:szCs w:val="18"/>
              </w:rPr>
              <w:t>严格履行中， 无违反承诺 的情形。</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6"/>
        <w:ind w:right="1122"/>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22"/>
        <w:jc w:val="left"/>
        <w:rPr>
          <w:rFonts w:ascii="Times New Roman" w:hAnsi="Times New Roman" w:cs="Times New Roman" w:eastAsia="Times New Roman" w:hint="default"/>
        </w:rPr>
      </w:pPr>
      <w:r>
        <w:rPr/>
        <w:t>财政部于 </w:t>
      </w:r>
      <w:r>
        <w:rPr>
          <w:rFonts w:ascii="Times New Roman" w:hAnsi="Times New Roman" w:cs="Times New Roman" w:eastAsia="Times New Roman" w:hint="default"/>
        </w:rPr>
        <w:t>2017 </w:t>
      </w:r>
      <w:r>
        <w:rPr/>
        <w:t>年颁布了《企业会计准则第 </w:t>
      </w:r>
      <w:r>
        <w:rPr>
          <w:rFonts w:ascii="Times New Roman" w:hAnsi="Times New Roman" w:cs="Times New Roman" w:eastAsia="Times New Roman" w:hint="default"/>
        </w:rPr>
        <w:t>22 </w:t>
      </w:r>
      <w:r>
        <w:rPr/>
        <w:t>号</w:t>
      </w:r>
      <w:r>
        <w:rPr>
          <w:rFonts w:ascii="Times New Roman" w:hAnsi="Times New Roman" w:cs="Times New Roman" w:eastAsia="Times New Roman" w:hint="default"/>
        </w:rPr>
        <w:t>——</w:t>
      </w:r>
      <w:r>
        <w:rPr/>
        <w:t>金融工具确认和计量（修订）》、《企业会计准则第 </w:t>
      </w:r>
      <w:r>
        <w:rPr>
          <w:rFonts w:ascii="Times New Roman" w:hAnsi="Times New Roman" w:cs="Times New Roman" w:eastAsia="Times New Roman" w:hint="default"/>
        </w:rPr>
        <w:t>23</w:t>
      </w:r>
      <w:r>
        <w:rPr>
          <w:rFonts w:ascii="Times New Roman" w:hAnsi="Times New Roman" w:cs="Times New Roman" w:eastAsia="Times New Roman" w:hint="default"/>
          <w:spacing w:val="25"/>
        </w:rPr>
        <w:t> </w:t>
      </w:r>
      <w:r>
        <w:rPr/>
        <w:t>号</w:t>
      </w:r>
      <w:r>
        <w:rPr>
          <w:rFonts w:ascii="Times New Roman" w:hAnsi="Times New Roman" w:cs="Times New Roman" w:eastAsia="Times New Roman" w:hint="default"/>
        </w:rPr>
        <w:t>——</w:t>
      </w:r>
    </w:p>
    <w:p>
      <w:pPr>
        <w:pStyle w:val="BodyText"/>
        <w:spacing w:line="240" w:lineRule="auto" w:before="63"/>
        <w:ind w:right="0"/>
        <w:jc w:val="left"/>
      </w:pPr>
      <w:r>
        <w:rPr/>
        <w:t>金融资产转移（修订）》、《企业会计准则第 </w:t>
      </w:r>
      <w:r>
        <w:rPr>
          <w:rFonts w:ascii="Times New Roman" w:hAnsi="Times New Roman" w:cs="Times New Roman" w:eastAsia="Times New Roman" w:hint="default"/>
        </w:rPr>
        <w:t>24 </w:t>
      </w:r>
      <w:r>
        <w:rPr/>
        <w:t>号</w:t>
      </w:r>
      <w:r>
        <w:rPr>
          <w:rFonts w:ascii="Times New Roman" w:hAnsi="Times New Roman" w:cs="Times New Roman" w:eastAsia="Times New Roman" w:hint="default"/>
        </w:rPr>
        <w:t>——</w:t>
      </w:r>
      <w:r>
        <w:rPr/>
        <w:t>套期会计（修订）》及《企业会计准则第 </w:t>
      </w:r>
      <w:r>
        <w:rPr>
          <w:rFonts w:ascii="Times New Roman" w:hAnsi="Times New Roman" w:cs="Times New Roman" w:eastAsia="Times New Roman" w:hint="default"/>
        </w:rPr>
        <w:t>37</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金融工具列报</w:t>
      </w:r>
    </w:p>
    <w:p>
      <w:pPr>
        <w:pStyle w:val="BodyText"/>
        <w:spacing w:line="300" w:lineRule="auto" w:before="63"/>
        <w:ind w:right="1030"/>
        <w:jc w:val="left"/>
      </w:pPr>
      <w:r>
        <w:rPr/>
        <w:t>（修订）》（统称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），公司自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日起执行新金融工具准则，对会计政策相关内容进行调整。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日分别召开了第三届董事会第十次会议和第三届监事会第十次会议，审议通过了《关于会计政策变更的 议案》，公司独立董事对此发表了同意的独立意见。</w:t>
      </w:r>
    </w:p>
    <w:p>
      <w:pPr>
        <w:pStyle w:val="BodyText"/>
        <w:spacing w:line="307" w:lineRule="auto" w:before="31"/>
        <w:ind w:right="0" w:firstLine="360"/>
        <w:jc w:val="left"/>
      </w:pPr>
      <w:r>
        <w:rPr/>
        <w:t>财政部于</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30 </w:t>
      </w:r>
      <w:r>
        <w:rPr/>
        <w:t>日印发了《关于修订印发 </w:t>
      </w:r>
      <w:r>
        <w:rPr>
          <w:rFonts w:ascii="Times New Roman" w:hAnsi="Times New Roman" w:cs="Times New Roman" w:eastAsia="Times New Roman" w:hint="default"/>
        </w:rPr>
        <w:t>2019 </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spacing w:val="-3"/>
        </w:rPr>
        <w:t>号），</w:t>
      </w:r>
      <w:r>
        <w:rPr/>
        <w:t> 要求执行企业会计准则的非金融企业按照企业会计准则和财会﹝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rFonts w:ascii="Times New Roman" w:hAnsi="Times New Roman" w:cs="Times New Roman" w:eastAsia="Times New Roman" w:hint="default"/>
          <w:spacing w:val="25"/>
        </w:rPr>
        <w:t> </w:t>
      </w:r>
      <w:r>
        <w:rPr/>
        <w:t>号的规定编制财务报表。公司于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27</w:t>
      </w:r>
      <w:r>
        <w:rPr/>
        <w:t>日分</w:t>
      </w:r>
      <w:r>
        <w:rPr>
          <w:spacing w:val="-3"/>
        </w:rPr>
        <w:t> </w:t>
      </w:r>
      <w:r>
        <w:rPr>
          <w:spacing w:val="-2"/>
        </w:rPr>
        <w:t>别召开了第三届董事会第十一次会议和第三届监事会第十一次会议，审议通过了《关于会计政策变更的议案》，公司独立董</w:t>
      </w:r>
      <w:r>
        <w:rPr>
          <w:spacing w:val="-64"/>
        </w:rPr>
        <w:t> </w:t>
      </w:r>
      <w:r>
        <w:rPr>
          <w:spacing w:val="-64"/>
        </w:rPr>
      </w:r>
      <w:r>
        <w:rPr/>
        <w:t>事对此发表了同意的独立意见，公司按照财政部的要求开始执行前述通知。</w:t>
      </w:r>
    </w:p>
    <w:p>
      <w:pPr>
        <w:pStyle w:val="BodyText"/>
        <w:spacing w:line="307" w:lineRule="auto" w:before="26"/>
        <w:ind w:right="1034" w:firstLine="360"/>
        <w:jc w:val="left"/>
      </w:pPr>
      <w:r>
        <w:rPr/>
        <w:t>财政部于</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19 </w:t>
      </w:r>
      <w:r>
        <w:rPr/>
        <w:t>日发布了《关于修订印发合并财务报表格式（</w:t>
      </w:r>
      <w:r>
        <w:rPr>
          <w:rFonts w:ascii="Times New Roman" w:hAnsi="Times New Roman" w:cs="Times New Roman" w:eastAsia="Times New Roman" w:hint="default"/>
        </w:rPr>
        <w:t>2019 </w:t>
      </w:r>
      <w:r>
        <w:rPr>
          <w:spacing w:val="-3"/>
        </w:rPr>
        <w:t>版）的通知》（财会</w:t>
      </w:r>
      <w:r>
        <w:rPr>
          <w:rFonts w:ascii="Times New Roman" w:hAnsi="Times New Roman" w:cs="Times New Roman" w:eastAsia="Times New Roman" w:hint="default"/>
          <w:spacing w:val="-3"/>
        </w:rPr>
        <w:t>[2019]16</w:t>
      </w:r>
      <w:r>
        <w:rPr>
          <w:rFonts w:ascii="Times New Roman" w:hAnsi="Times New Roman" w:cs="Times New Roman" w:eastAsia="Times New Roman" w:hint="default"/>
          <w:spacing w:val="6"/>
        </w:rPr>
        <w:t> </w:t>
      </w:r>
      <w:r>
        <w:rPr>
          <w:spacing w:val="-6"/>
        </w:rPr>
        <w:t>号），对合</w:t>
      </w:r>
      <w:r>
        <w:rPr/>
        <w:t> 并财务报表格式进行了修订。公司于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日分别召开了第三届董事会第十二次会议和第三届监事会第十二次会议， </w:t>
      </w:r>
      <w:r>
        <w:rPr>
          <w:spacing w:val="-2"/>
        </w:rPr>
        <w:t>审议通过了《关于会计政策变更的议案》，公司独立董事对此发表了同意的独立意见，公司按照财政部的要求开始执行前述</w:t>
      </w:r>
      <w:r>
        <w:rPr>
          <w:spacing w:val="-64"/>
        </w:rPr>
        <w:t> </w:t>
      </w:r>
      <w:r>
        <w:rPr>
          <w:spacing w:val="-64"/>
        </w:rPr>
      </w:r>
      <w:r>
        <w:rPr/>
        <w:t>通知。</w:t>
      </w:r>
    </w:p>
    <w:p>
      <w:pPr>
        <w:pStyle w:val="BodyText"/>
        <w:spacing w:line="304" w:lineRule="auto" w:before="26"/>
        <w:ind w:right="1130" w:firstLine="360"/>
        <w:jc w:val="both"/>
      </w:pPr>
      <w:r>
        <w:rPr/>
        <w:t>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日召开了第四届董事会第二次会议和第四届监事会第二次会议，审议通过了《关于前期会计差错更 </w:t>
      </w:r>
      <w:r>
        <w:rPr>
          <w:spacing w:val="-2"/>
        </w:rPr>
        <w:t>正的议案》，公司独立董事对此发表了同意的独立意见。本次会计差错更正符合《企业会计准则第</w:t>
      </w:r>
      <w:r>
        <w:rPr>
          <w:rFonts w:ascii="Times New Roman" w:hAnsi="Times New Roman" w:cs="Times New Roman" w:eastAsia="Times New Roman" w:hint="default"/>
          <w:spacing w:val="-2"/>
        </w:rPr>
        <w:t>28</w:t>
      </w:r>
      <w:r>
        <w:rPr>
          <w:spacing w:val="-2"/>
        </w:rPr>
        <w:t>号</w:t>
      </w:r>
      <w:r>
        <w:rPr>
          <w:rFonts w:ascii="Times New Roman" w:hAnsi="Times New Roman" w:cs="Times New Roman" w:eastAsia="Times New Roman" w:hint="default"/>
          <w:spacing w:val="-2"/>
        </w:rPr>
        <w:t>——</w:t>
      </w:r>
      <w:r>
        <w:rPr>
          <w:spacing w:val="-2"/>
        </w:rPr>
        <w:t>会计政策、会计</w:t>
      </w:r>
      <w:r>
        <w:rPr>
          <w:spacing w:val="-65"/>
        </w:rPr>
        <w:t> </w:t>
      </w:r>
      <w:r>
        <w:rPr>
          <w:spacing w:val="-65"/>
        </w:rPr>
      </w:r>
      <w:r>
        <w:rPr>
          <w:spacing w:val="-2"/>
        </w:rPr>
        <w:t>估计变更或差错更正》及《公开发行证券的公司信息披露编报规则第</w:t>
      </w:r>
      <w:r>
        <w:rPr>
          <w:rFonts w:ascii="Times New Roman" w:hAnsi="Times New Roman" w:cs="Times New Roman" w:eastAsia="Times New Roman" w:hint="default"/>
          <w:spacing w:val="-2"/>
        </w:rPr>
        <w:t>19</w:t>
      </w:r>
      <w:r>
        <w:rPr>
          <w:spacing w:val="-2"/>
        </w:rPr>
        <w:t>号</w:t>
      </w:r>
      <w:r>
        <w:rPr>
          <w:rFonts w:ascii="Times New Roman" w:hAnsi="Times New Roman" w:cs="Times New Roman" w:eastAsia="Times New Roman" w:hint="default"/>
          <w:spacing w:val="-2"/>
        </w:rPr>
        <w:t>——</w:t>
      </w:r>
      <w:r>
        <w:rPr>
          <w:spacing w:val="-2"/>
        </w:rPr>
        <w:t>财务信息的更正及相关披露》的有关规定，是</w:t>
      </w:r>
      <w:r>
        <w:rPr>
          <w:spacing w:val="-64"/>
        </w:rPr>
        <w:t> </w:t>
      </w:r>
      <w:r>
        <w:rPr>
          <w:spacing w:val="-64"/>
        </w:rPr>
      </w:r>
      <w:r>
        <w:rPr>
          <w:spacing w:val="-2"/>
        </w:rPr>
        <w:t>对公司实际经营状况的客观反映，更正后的财务数据及财务报表能够更加客观、准确地反映公司财务状况，有利于提高公司</w:t>
      </w:r>
      <w:r>
        <w:rPr>
          <w:spacing w:val="-63"/>
        </w:rPr>
        <w:t> </w:t>
      </w:r>
      <w:r>
        <w:rPr>
          <w:spacing w:val="-63"/>
        </w:rPr>
      </w:r>
      <w:r>
        <w:rPr/>
        <w:t>财务信息质量。</w:t>
      </w:r>
    </w:p>
    <w:p>
      <w:pPr>
        <w:spacing w:line="240" w:lineRule="auto" w:before="7"/>
        <w:rPr>
          <w:rFonts w:ascii="宋体" w:hAnsi="宋体" w:cs="宋体" w:eastAsia="宋体" w:hint="default"/>
          <w:sz w:val="21"/>
          <w:szCs w:val="21"/>
        </w:rPr>
      </w:pPr>
    </w:p>
    <w:p>
      <w:pPr>
        <w:pStyle w:val="Heading2"/>
        <w:spacing w:line="240" w:lineRule="auto"/>
        <w:ind w:right="1122"/>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19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报告期内，公司新增上海北信源供应链管理有限公司、嘉兴泽阳股权投资合伙企业（有限合伙）纳入合并范围。</w:t>
      </w:r>
    </w:p>
    <w:p>
      <w:pPr>
        <w:spacing w:line="240" w:lineRule="auto" w:before="8"/>
        <w:rPr>
          <w:rFonts w:ascii="宋体" w:hAnsi="宋体" w:cs="宋体" w:eastAsia="宋体" w:hint="default"/>
          <w:sz w:val="19"/>
          <w:szCs w:val="19"/>
        </w:rPr>
      </w:pPr>
    </w:p>
    <w:p>
      <w:pPr>
        <w:pStyle w:val="Heading2"/>
        <w:spacing w:line="240" w:lineRule="auto"/>
        <w:ind w:right="1122"/>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孙宁</w:t>
            </w:r>
            <w:r>
              <w:rPr>
                <w:rFonts w:ascii="宋体" w:hAnsi="宋体" w:cs="宋体" w:eastAsia="宋体" w:hint="default"/>
                <w:spacing w:val="1"/>
                <w:sz w:val="18"/>
                <w:szCs w:val="18"/>
              </w:rPr>
              <w:t> </w:t>
            </w:r>
            <w:r>
              <w:rPr>
                <w:rFonts w:ascii="宋体" w:hAnsi="宋体" w:cs="宋体" w:eastAsia="宋体" w:hint="default"/>
                <w:sz w:val="18"/>
                <w:szCs w:val="18"/>
              </w:rPr>
              <w:t>李杨</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1122"/>
        <w:jc w:val="left"/>
      </w:pPr>
      <w:r>
        <w:rPr/>
        <w:t>是否改聘会计师事务所</w:t>
      </w:r>
    </w:p>
    <w:p>
      <w:pPr>
        <w:pStyle w:val="BodyText"/>
        <w:spacing w:line="338" w:lineRule="auto" w:before="117"/>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43"/>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39"/>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2" w:firstLine="36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14</w:t>
      </w:r>
      <w:r>
        <w:rPr>
          <w:spacing w:val="-2"/>
        </w:rPr>
        <w:t>日分别召开第三届董事会第十七次临时会议和第三届监事会第十一次临时会议，审议通过《关于聘</w:t>
      </w:r>
      <w:r>
        <w:rPr/>
        <w:t> 任 </w:t>
      </w:r>
      <w:r>
        <w:rPr>
          <w:rFonts w:ascii="Times New Roman" w:hAnsi="Times New Roman" w:cs="Times New Roman" w:eastAsia="Times New Roman" w:hint="default"/>
        </w:rPr>
        <w:t>2019 </w:t>
      </w:r>
      <w:r>
        <w:rPr/>
        <w:t>年度审计机构的议案》，同意聘任致同会计师事务所（特殊普通合伙）（以下简称</w:t>
      </w:r>
      <w:r>
        <w:rPr>
          <w:rFonts w:ascii="Times New Roman" w:hAnsi="Times New Roman" w:cs="Times New Roman" w:eastAsia="Times New Roman" w:hint="default"/>
        </w:rPr>
        <w:t>“</w:t>
      </w:r>
      <w:r>
        <w:rPr/>
        <w:t>致同</w:t>
      </w:r>
      <w:r>
        <w:rPr>
          <w:rFonts w:ascii="Times New Roman" w:hAnsi="Times New Roman" w:cs="Times New Roman" w:eastAsia="Times New Roman" w:hint="default"/>
        </w:rPr>
        <w:t>”</w:t>
      </w:r>
      <w:r>
        <w:rPr/>
        <w:t>）作为公司 </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年度财 务审计机构。公司于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日召开</w:t>
      </w:r>
      <w:r>
        <w:rPr>
          <w:rFonts w:ascii="Times New Roman" w:hAnsi="Times New Roman" w:cs="Times New Roman" w:eastAsia="Times New Roman" w:hint="default"/>
        </w:rPr>
        <w:t>2019</w:t>
      </w:r>
      <w:r>
        <w:rPr/>
        <w:t>年第三次临时股东大会，审议通过上述议案。</w:t>
      </w:r>
    </w:p>
    <w:p>
      <w:pPr>
        <w:pStyle w:val="BodyText"/>
        <w:spacing w:line="240" w:lineRule="auto" w:before="53"/>
        <w:ind w:right="1122"/>
        <w:jc w:val="left"/>
      </w:pPr>
      <w:r>
        <w:rPr/>
        <w:t>聘请内部控制审计会计师事务所、财务顾问或保荐人情况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十、破产重整相关事项</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5"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9" w:right="84"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公司诉湖北金久 阳机电有限公司 建设工程施工合 同纠纷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未判决</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9"/>
              <w:jc w:val="left"/>
              <w:rPr>
                <w:rFonts w:ascii="宋体" w:hAnsi="宋体" w:cs="宋体" w:eastAsia="宋体" w:hint="default"/>
                <w:sz w:val="18"/>
                <w:szCs w:val="18"/>
              </w:rPr>
            </w:pPr>
            <w:r>
              <w:rPr>
                <w:rFonts w:ascii="宋体" w:hAnsi="宋体" w:cs="宋体" w:eastAsia="宋体" w:hint="default"/>
                <w:sz w:val="18"/>
                <w:szCs w:val="18"/>
              </w:rPr>
              <w:t>报告期末尚未判 决</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尚未执行</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4460"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z w:val="18"/>
                <w:szCs w:val="18"/>
              </w:rPr>
              <w:t>江苏通州基础工 程有限公司诉南 京神州信源工程 施工债务纠纷</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97.1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一审判决， 提起上诉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319" w:lineRule="auto" w:before="63"/>
              <w:ind w:left="23"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日，南京市浦口 区人民法院就此 案作出一审判 决，判决被告江 苏神州信源败 诉，应付原告工 程款</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970,978.31</w:t>
            </w:r>
          </w:p>
          <w:p>
            <w:pPr>
              <w:pStyle w:val="TableParagraph"/>
              <w:spacing w:line="314" w:lineRule="auto"/>
              <w:ind w:left="23" w:right="99"/>
              <w:jc w:val="left"/>
              <w:rPr>
                <w:rFonts w:ascii="宋体" w:hAnsi="宋体" w:cs="宋体" w:eastAsia="宋体" w:hint="default"/>
                <w:sz w:val="18"/>
                <w:szCs w:val="18"/>
              </w:rPr>
            </w:pPr>
            <w:r>
              <w:rPr>
                <w:rFonts w:ascii="宋体" w:hAnsi="宋体" w:cs="宋体" w:eastAsia="宋体" w:hint="default"/>
                <w:spacing w:val="-10"/>
                <w:sz w:val="18"/>
                <w:szCs w:val="18"/>
              </w:rPr>
              <w:t>元。</w:t>
            </w:r>
            <w:r>
              <w:rPr>
                <w:rFonts w:ascii="Times New Roman" w:hAnsi="Times New Roman" w:cs="Times New Roman" w:eastAsia="Times New Roman" w:hint="default"/>
                <w:spacing w:val="-10"/>
                <w:sz w:val="18"/>
                <w:szCs w:val="18"/>
              </w:rPr>
              <w:t>2020</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江苏神州信源向 江苏省南京市人 民法院提起上 诉，</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等待开庭。</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尚未执行</w:t>
            </w:r>
          </w:p>
          <w:p>
            <w:pPr>
              <w:pStyle w:val="TableParagraph"/>
              <w:spacing w:line="4450" w:lineRule="exact"/>
              <w:ind w:right="-51"/>
              <w:jc w:val="left"/>
              <w:rPr>
                <w:rFonts w:ascii="宋体" w:hAnsi="宋体" w:cs="宋体" w:eastAsia="宋体" w:hint="default"/>
                <w:sz w:val="20"/>
                <w:szCs w:val="20"/>
              </w:rPr>
            </w:pPr>
            <w:r>
              <w:rPr>
                <w:rFonts w:ascii="宋体" w:hAnsi="宋体" w:cs="宋体" w:eastAsia="宋体" w:hint="default"/>
                <w:position w:val="-88"/>
                <w:sz w:val="20"/>
                <w:szCs w:val="20"/>
              </w:rPr>
              <w:pict>
                <v:group style="width:62.8pt;height:222.5pt;mso-position-horizontal-relative:char;mso-position-vertical-relative:line" coordorigin="0,0" coordsize="1256,4450">
                  <v:group style="position:absolute;left:0;top:0;width:1256;height:4450" coordorigin="0,0" coordsize="1256,4450">
                    <v:shape style="position:absolute;left:0;top:0;width:1256;height:4450" coordorigin="0,0" coordsize="1256,4450" path="m0,4450l1255,4450,1255,0,0,0,0,4450xe" filled="true" fillcolor="#ffffff" stroked="false">
                      <v:path arrowok="t"/>
                      <v:fill type="solid"/>
                    </v:shape>
                  </v:group>
                  <v:group style="position:absolute;left:24;top:2028;width:1210;height:395" coordorigin="24,2028" coordsize="1210,395">
                    <v:shape style="position:absolute;left:24;top:2028;width:1210;height:395" coordorigin="24,2028" coordsize="1210,395" path="m24,2422l1234,2422,1234,2028,24,2028,24,2422xe" filled="true" fillcolor="#ffffff" stroked="false">
                      <v:path arrowok="t"/>
                      <v:fill type="solid"/>
                    </v:shape>
                  </v:group>
                </v:group>
              </w:pict>
            </w:r>
            <w:r>
              <w:rPr>
                <w:rFonts w:ascii="宋体" w:hAnsi="宋体" w:cs="宋体" w:eastAsia="宋体" w:hint="default"/>
                <w:position w:val="-88"/>
                <w:sz w:val="20"/>
                <w:szCs w:val="20"/>
              </w:rPr>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pict>
          <v:shape style="position:absolute;margin-left:313.247009pt;margin-top:-234.784378pt;width:113.95pt;height:222.5pt;mso-position-horizontal-relative:page;mso-position-vertical-relative:paragraph;z-index:-12011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0" w:right="0" w:firstLine="902"/>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ind w:left="0" w:right="0"/>
                    <w:jc w:val="left"/>
                  </w:pPr>
                  <w:r>
                    <w:rPr/>
                    <w:t>法院已受理，</w:t>
                  </w:r>
                </w:p>
              </w:txbxContent>
            </v:textbox>
            <w10:wrap type="none"/>
          </v:shape>
        </w:pict>
      </w:r>
      <w:r>
        <w:rPr/>
        <w:t>十二、处罚及整改情况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after="0" w:line="3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7"/>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6"/>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2"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日召开第三届董事会第十四次临时会议，审议通过《关于对参股公司增资暨关联交易的公告》，具体</w:t>
      </w:r>
    </w:p>
    <w:p>
      <w:pPr>
        <w:pStyle w:val="BodyText"/>
        <w:spacing w:line="217" w:lineRule="exact"/>
        <w:ind w:right="1122"/>
        <w:jc w:val="left"/>
      </w:pPr>
      <w:r>
        <w:rPr/>
        <w:t>内容详见巨潮资讯网刊载的相关公告。</w:t>
      </w:r>
    </w:p>
    <w:p>
      <w:pPr>
        <w:pStyle w:val="BodyText"/>
        <w:spacing w:line="300" w:lineRule="auto" w:before="76"/>
        <w:ind w:right="1124"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日召开第三届董事会第十次会议，审议通过《关于</w:t>
      </w:r>
      <w:r>
        <w:rPr>
          <w:rFonts w:ascii="Times New Roman" w:hAnsi="Times New Roman" w:cs="Times New Roman" w:eastAsia="Times New Roman" w:hint="default"/>
        </w:rPr>
        <w:t>2019</w:t>
      </w:r>
      <w:r>
        <w:rPr/>
        <w:t>年度日常关联交易预计的议案》，具体内容 详见巨潮资讯网刊载的相关公告。</w:t>
      </w:r>
    </w:p>
    <w:p>
      <w:pPr>
        <w:spacing w:line="240" w:lineRule="auto" w:before="0"/>
        <w:rPr>
          <w:rFonts w:ascii="宋体" w:hAnsi="宋体" w:cs="宋体" w:eastAsia="宋体" w:hint="default"/>
          <w:sz w:val="18"/>
          <w:szCs w:val="18"/>
        </w:rPr>
      </w:pPr>
    </w:p>
    <w:p>
      <w:pPr>
        <w:pStyle w:val="BodyText"/>
        <w:spacing w:line="240" w:lineRule="auto" w:before="148"/>
        <w:ind w:right="1122"/>
        <w:jc w:val="left"/>
      </w:pPr>
      <w:r>
        <w:rPr/>
        <w:t>重大关联交易临时报告披露网站相关查询</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before="44"/>
        <w:ind w:left="0" w:right="1135"/>
        <w:jc w:val="right"/>
      </w:pPr>
      <w:r>
        <w:rPr/>
        <w:pict>
          <v:shape style="position:absolute;margin-left:56.400002pt;margin-top:-20.788317pt;width:479.3pt;height:56.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《关于对参股公司增资暨关联交易的公告》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pacing w:val="-5"/>
                            <w:sz w:val="18"/>
                            <w:szCs w:val="18"/>
                          </w:rPr>
                          <w:t>巨潮资讯网（</w:t>
                        </w:r>
                        <w:hyperlink r:id="rId9">
                          <w:r>
                            <w:rPr>
                              <w:rFonts w:ascii="Times New Roman" w:hAnsi="Times New Roman" w:cs="Times New Roman" w:eastAsia="Times New Roman" w:hint="default"/>
                              <w:spacing w:val="-5"/>
                              <w:sz w:val="18"/>
                              <w:szCs w:val="18"/>
                            </w:rPr>
                            <w:t>www.cninfo.com.cn</w:t>
                          </w:r>
                        </w:hyperlink>
                        <w:r>
                          <w:rPr>
                            <w:rFonts w:ascii="宋体" w:hAnsi="宋体" w:cs="宋体" w:eastAsia="宋体" w:hint="default"/>
                            <w:spacing w:val="-5"/>
                            <w:sz w:val="18"/>
                            <w:szCs w:val="18"/>
                          </w:rPr>
                          <w:t>）公告编号</w:t>
                        </w:r>
                      </w:p>
                      <w:p>
                        <w:pPr>
                          <w:pStyle w:val="TableParagraph"/>
                          <w:spacing w:line="240" w:lineRule="auto" w:before="105"/>
                          <w:ind w:left="26" w:right="0"/>
                          <w:jc w:val="left"/>
                          <w:rPr>
                            <w:rFonts w:ascii="Times New Roman" w:hAnsi="Times New Roman" w:cs="Times New Roman" w:eastAsia="Times New Roman" w:hint="default"/>
                            <w:sz w:val="18"/>
                            <w:szCs w:val="18"/>
                          </w:rPr>
                        </w:pPr>
                        <w:r>
                          <w:rPr>
                            <w:rFonts w:ascii="Times New Roman"/>
                            <w:sz w:val="18"/>
                          </w:rPr>
                          <w:t>2019-031</w:t>
                        </w:r>
                      </w:p>
                    </w:tc>
                  </w:tr>
                </w:tbl>
                <w:p>
                  <w:pPr/>
                </w:p>
              </w:txbxContent>
            </v:textbox>
            <w10:wrap type="none"/>
          </v:shape>
        </w:pict>
      </w:r>
      <w:r>
        <w:rPr/>
        <w:t>：</w:t>
      </w:r>
    </w:p>
    <w:p>
      <w:pPr>
        <w:spacing w:after="0" w:line="240" w:lineRule="auto"/>
        <w:jc w:val="right"/>
        <w:sectPr>
          <w:pgSz w:w="11910" w:h="16840"/>
          <w:pgMar w:header="745" w:footer="979" w:top="1060" w:bottom="1160" w:left="980" w:right="0"/>
        </w:sectPr>
      </w:pPr>
    </w:p>
    <w:p>
      <w:pPr>
        <w:spacing w:line="240" w:lineRule="auto" w:before="8"/>
        <w:rPr>
          <w:rFonts w:ascii="宋体" w:hAnsi="宋体" w:cs="宋体" w:eastAsia="宋体" w:hint="default"/>
          <w:sz w:val="29"/>
          <w:szCs w:val="29"/>
        </w:rPr>
      </w:pPr>
    </w:p>
    <w:p>
      <w:pPr>
        <w:pStyle w:val="BodyText"/>
        <w:spacing w:line="240" w:lineRule="auto" w:before="44"/>
        <w:ind w:left="0" w:right="1135"/>
        <w:jc w:val="right"/>
      </w:pPr>
      <w:r>
        <w:rPr/>
        <w:pict>
          <v:shape style="position:absolute;margin-left:178.703003pt;margin-top:-.272259pt;width:183.3pt;height:35.2pt;mso-position-horizontal-relative:page;mso-position-vertical-relative:paragraph;z-index:-1201120"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预计的公告》</w:t>
                  </w:r>
                </w:p>
              </w:txbxContent>
            </v:textbox>
            <w10:wrap type="none"/>
          </v:shape>
        </w:pict>
      </w:r>
      <w:r>
        <w:rPr/>
        <w:pict>
          <v:group style="position:absolute;margin-left:229.970001pt;margin-top:-.272259pt;width:132.050pt;height:7.85pt;mso-position-horizontal-relative:page;mso-position-vertical-relative:paragraph;z-index:1456" coordorigin="4599,-5" coordsize="2641,157">
            <v:shape style="position:absolute;left:4599;top:-5;width:2641;height:157" coordorigin="4599,-5" coordsize="2641,157" path="m4599,151l7240,151,7240,-5,4599,-5,4599,151xe" filled="true" fillcolor="#ffffff" stroked="false">
              <v:path arrowok="t"/>
              <v:fill type="solid"/>
            </v:shape>
            <w10:wrap type="none"/>
          </v:group>
        </w:pict>
      </w:r>
      <w:r>
        <w:rPr/>
        <w:pict>
          <v:shape style="position:absolute;margin-left:56.400002pt;margin-top:-.748259pt;width:479.3pt;height:36.3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9"/>
                    <w:gridCol w:w="2650"/>
                    <w:gridCol w:w="3461"/>
                  </w:tblGrid>
                  <w:tr>
                    <w:trPr>
                      <w:trHeight w:val="716"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年度日常关联交易</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6" w:right="108"/>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巨潮资讯网（</w:t>
                        </w:r>
                        <w:hyperlink r:id="rId9">
                          <w:r>
                            <w:rPr>
                              <w:rFonts w:ascii="Times New Roman" w:hAnsi="Times New Roman" w:cs="Times New Roman" w:eastAsia="Times New Roman" w:hint="default"/>
                              <w:spacing w:val="-5"/>
                              <w:sz w:val="18"/>
                              <w:szCs w:val="18"/>
                            </w:rPr>
                            <w:t>www.cninfo.com.cn</w:t>
                          </w:r>
                        </w:hyperlink>
                        <w:r>
                          <w:rPr>
                            <w:rFonts w:ascii="宋体" w:hAnsi="宋体" w:cs="宋体" w:eastAsia="宋体" w:hint="default"/>
                            <w:spacing w:val="-5"/>
                            <w:sz w:val="18"/>
                            <w:szCs w:val="18"/>
                          </w:rPr>
                          <w:t>）公告编号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2019-041</w:t>
                        </w:r>
                      </w:p>
                    </w:tc>
                  </w:tr>
                </w:tbl>
                <w:p>
                  <w:pPr/>
                </w:p>
              </w:txbxContent>
            </v:textbox>
            <w10:wrap type="none"/>
          </v:shape>
        </w:pict>
      </w:r>
      <w:r>
        <w:rPr/>
        <w:t>：</w:t>
      </w:r>
    </w:p>
    <w:p>
      <w:pPr>
        <w:spacing w:line="240" w:lineRule="auto" w:before="1"/>
        <w:rPr>
          <w:rFonts w:ascii="宋体" w:hAnsi="宋体" w:cs="宋体" w:eastAsia="宋体" w:hint="default"/>
          <w:sz w:val="20"/>
          <w:szCs w:val="20"/>
        </w:rPr>
      </w:pPr>
    </w:p>
    <w:p>
      <w:pPr>
        <w:spacing w:line="156" w:lineRule="exact"/>
        <w:ind w:left="3619"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32.050pt;height:7.8pt;mso-position-horizontal-relative:char;mso-position-vertical-relative:line" coordorigin="0,0" coordsize="2641,156">
            <v:group style="position:absolute;left:0;top:0;width:2641;height:156" coordorigin="0,0" coordsize="2641,156">
              <v:shape style="position:absolute;left:0;top:0;width:2641;height:156" coordorigin="0,0" coordsize="2641,156" path="m0,156l2640,156,2640,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13"/>
        <w:rPr>
          <w:rFonts w:ascii="宋体" w:hAnsi="宋体" w:cs="宋体" w:eastAsia="宋体" w:hint="default"/>
          <w:sz w:val="18"/>
          <w:szCs w:val="18"/>
        </w:rPr>
      </w:pPr>
    </w:p>
    <w:p>
      <w:pPr>
        <w:pStyle w:val="Heading2"/>
        <w:spacing w:line="240" w:lineRule="auto" w:before="26"/>
        <w:ind w:right="1122"/>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8"/>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2"/>
        <w:gridCol w:w="780"/>
      </w:tblGrid>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5"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49"/>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0"/>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5"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53"/>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0"/>
              <w:jc w:val="center"/>
              <w:rPr>
                <w:rFonts w:ascii="宋体" w:hAnsi="宋体" w:cs="宋体" w:eastAsia="宋体" w:hint="default"/>
                <w:sz w:val="18"/>
                <w:szCs w:val="18"/>
              </w:rPr>
            </w:pPr>
            <w:r>
              <w:rPr>
                <w:rFonts w:ascii="宋体" w:hAnsi="宋体" w:cs="宋体" w:eastAsia="宋体" w:hint="default"/>
                <w:sz w:val="18"/>
                <w:szCs w:val="18"/>
              </w:rPr>
              <w:t>江苏神州信源系统工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98"/>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24"/>
        <w:gridCol w:w="1304"/>
        <w:gridCol w:w="1054"/>
        <w:gridCol w:w="1044"/>
        <w:gridCol w:w="1047"/>
        <w:gridCol w:w="790"/>
        <w:gridCol w:w="785"/>
      </w:tblGrid>
      <w:tr>
        <w:trPr>
          <w:trHeight w:val="36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程有限公司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10,000</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3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9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2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8"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8"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4.44%</w:t>
            </w:r>
          </w:p>
        </w:tc>
      </w:tr>
      <w:tr>
        <w:trPr>
          <w:trHeight w:val="394"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22"/>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after="0" w:line="3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单项金额重大或安全性较低、流动性较差、不保本的高风险委托理财具体情况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6273" w:space="2467"/>
            <w:col w:w="219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275"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98"/>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6" w:lineRule="auto" w:before="19"/>
              <w:ind w:left="101" w:right="98"/>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10" w:right="108"/>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20"/>
              <w:ind w:left="24" w:right="21"/>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3"/>
                <w:sz w:val="18"/>
                <w:szCs w:val="18"/>
              </w:rPr>
              <w:t>人）类</w:t>
            </w:r>
            <w:r>
              <w:rPr>
                <w:rFonts w:ascii="宋体" w:hAnsi="宋体" w:cs="宋体" w:eastAsia="宋体" w:hint="default"/>
                <w:sz w:val="18"/>
                <w:szCs w:val="18"/>
              </w:rPr>
              <w:t> 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208"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96" w:right="94"/>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95" w:right="91"/>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95"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95"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95" w:right="94"/>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96" w:right="91"/>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95"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6" w:lineRule="auto" w:before="20"/>
              <w:ind w:left="184" w:right="95" w:hanging="89"/>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96"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5"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7"/>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6" w:lineRule="auto" w:before="19"/>
              <w:ind w:left="88" w:right="87"/>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8"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hanging="3"/>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352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15.07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09" w:lineRule="auto" w:before="21"/>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公号</w:t>
            </w:r>
            <w:r>
              <w:rPr>
                <w:rFonts w:ascii="宋体" w:hAnsi="宋体" w:cs="宋体" w:eastAsia="宋体" w:hint="default"/>
                <w:w w:val="99"/>
                <w:sz w:val="18"/>
                <w:szCs w:val="18"/>
              </w:rPr>
              <w:t> </w:t>
            </w:r>
            <w:r>
              <w:rPr>
                <w:rFonts w:ascii="宋体" w:hAnsi="宋体" w:cs="宋体" w:eastAsia="宋体" w:hint="default"/>
                <w:sz w:val="18"/>
                <w:szCs w:val="18"/>
              </w:rPr>
              <w:t>编号：</w:t>
            </w:r>
          </w:p>
          <w:p>
            <w:pPr>
              <w:pStyle w:val="TableParagraph"/>
              <w:spacing w:line="240" w:lineRule="auto" w:before="6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014</w:t>
            </w:r>
          </w:p>
        </w:tc>
      </w:tr>
      <w:tr>
        <w:trPr>
          <w:trHeight w:val="352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31"/>
              <w:jc w:val="both"/>
              <w:rPr>
                <w:rFonts w:ascii="宋体" w:hAnsi="宋体" w:cs="宋体" w:eastAsia="宋体" w:hint="default"/>
                <w:sz w:val="18"/>
                <w:szCs w:val="18"/>
              </w:rPr>
            </w:pPr>
            <w:r>
              <w:rPr>
                <w:rFonts w:ascii="宋体" w:hAnsi="宋体" w:cs="宋体" w:eastAsia="宋体" w:hint="default"/>
                <w:sz w:val="18"/>
                <w:szCs w:val="18"/>
              </w:rPr>
              <w:t>本金保 障型收 益凭证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46.55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09" w:lineRule="auto" w:before="21"/>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公号</w:t>
            </w:r>
            <w:r>
              <w:rPr>
                <w:rFonts w:ascii="宋体" w:hAnsi="宋体" w:cs="宋体" w:eastAsia="宋体" w:hint="default"/>
                <w:w w:val="99"/>
                <w:sz w:val="18"/>
                <w:szCs w:val="18"/>
              </w:rPr>
              <w:t> </w:t>
            </w:r>
            <w:r>
              <w:rPr>
                <w:rFonts w:ascii="宋体" w:hAnsi="宋体" w:cs="宋体" w:eastAsia="宋体" w:hint="default"/>
                <w:sz w:val="18"/>
                <w:szCs w:val="18"/>
              </w:rPr>
              <w:t>编号：</w:t>
            </w:r>
          </w:p>
          <w:p>
            <w:pPr>
              <w:pStyle w:val="TableParagraph"/>
              <w:spacing w:line="240" w:lineRule="auto" w:before="6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014</w:t>
            </w:r>
          </w:p>
        </w:tc>
      </w:tr>
      <w:tr>
        <w:trPr>
          <w:trHeight w:val="134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8"/>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17"/>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p>
        </w:tc>
      </w:tr>
    </w:tbl>
    <w:p>
      <w:pPr>
        <w:spacing w:after="0" w:line="240" w:lineRule="auto"/>
        <w:jc w:val="both"/>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67"/>
              <w:jc w:val="left"/>
              <w:rPr>
                <w:rFonts w:ascii="宋体" w:hAnsi="宋体" w:cs="宋体" w:eastAsia="宋体" w:hint="default"/>
                <w:sz w:val="18"/>
                <w:szCs w:val="18"/>
              </w:rPr>
            </w:pPr>
            <w:r>
              <w:rPr>
                <w:rFonts w:ascii="宋体" w:hAnsi="宋体" w:cs="宋体" w:eastAsia="宋体" w:hint="default"/>
                <w:sz w:val="18"/>
                <w:szCs w:val="18"/>
              </w:rPr>
              <w:t>合预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29"/>
              <w:jc w:val="left"/>
              <w:rPr>
                <w:rFonts w:ascii="Times New Roman" w:hAnsi="Times New Roman" w:cs="Times New Roman" w:eastAsia="Times New Roman" w:hint="default"/>
                <w:sz w:val="18"/>
                <w:szCs w:val="18"/>
              </w:rPr>
            </w:pPr>
            <w:r>
              <w:rPr>
                <w:rFonts w:ascii="Times New Roman"/>
                <w:spacing w:val="-3"/>
                <w:sz w:val="18"/>
              </w:rPr>
              <w:t>w.cnin</w:t>
            </w:r>
            <w:r>
              <w:rPr>
                <w:rFonts w:ascii="Times New Roman"/>
                <w:spacing w:val="-43"/>
                <w:sz w:val="18"/>
              </w:rPr>
              <w:t> </w:t>
            </w:r>
            <w:r>
              <w:rPr>
                <w:rFonts w:ascii="Times New Roman"/>
                <w:spacing w:val="-43"/>
                <w:sz w:val="18"/>
              </w:rPr>
            </w:r>
            <w:r>
              <w:rPr>
                <w:rFonts w:ascii="Times New Roman"/>
                <w:sz w:val="18"/>
              </w:rPr>
              <w:t>fo.co</w:t>
            </w:r>
          </w:p>
          <w:p>
            <w:pPr>
              <w:pStyle w:val="TableParagraph"/>
              <w:spacing w:line="210" w:lineRule="exact"/>
              <w:ind w:left="23"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020</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建投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本金保 障收益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2"/>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021</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023</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025</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本金保 障型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035</w:t>
            </w:r>
          </w:p>
        </w:tc>
      </w:tr>
      <w:tr>
        <w:trPr>
          <w:trHeight w:val="71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left"/>
              <w:rPr>
                <w:rFonts w:ascii="宋体" w:hAnsi="宋体" w:cs="宋体" w:eastAsia="宋体" w:hint="default"/>
                <w:sz w:val="18"/>
                <w:szCs w:val="18"/>
              </w:rPr>
            </w:pPr>
            <w:r>
              <w:rPr>
                <w:rFonts w:ascii="宋体" w:hAnsi="宋体" w:cs="宋体" w:eastAsia="宋体" w:hint="default"/>
                <w:sz w:val="18"/>
                <w:szCs w:val="18"/>
              </w:rPr>
              <w:t>国海 证券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本金保 障型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left"/>
              <w:rPr>
                <w:rFonts w:ascii="宋体" w:hAnsi="宋体" w:cs="宋体" w:eastAsia="宋体" w:hint="default"/>
                <w:sz w:val="18"/>
                <w:szCs w:val="18"/>
              </w:rPr>
            </w:pPr>
            <w:r>
              <w:rPr>
                <w:rFonts w:ascii="宋体" w:hAnsi="宋体" w:cs="宋体" w:eastAsia="宋体" w:hint="default"/>
                <w:sz w:val="18"/>
                <w:szCs w:val="18"/>
              </w:rPr>
              <w:t>较低 风险</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6"/>
              <w:jc w:val="left"/>
              <w:rPr>
                <w:rFonts w:ascii="宋体" w:hAnsi="宋体" w:cs="宋体" w:eastAsia="宋体" w:hint="default"/>
                <w:sz w:val="18"/>
                <w:szCs w:val="18"/>
              </w:rPr>
            </w:pPr>
            <w:r>
              <w:rPr>
                <w:rFonts w:ascii="宋体" w:hAnsi="宋体" w:cs="宋体" w:eastAsia="宋体" w:hint="default"/>
                <w:sz w:val="18"/>
                <w:szCs w:val="18"/>
              </w:rPr>
              <w:t>赎回 时确</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117.04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left"/>
              <w:rPr>
                <w:rFonts w:ascii="宋体" w:hAnsi="宋体" w:cs="宋体" w:eastAsia="宋体" w:hint="default"/>
                <w:sz w:val="18"/>
                <w:szCs w:val="18"/>
              </w:rPr>
            </w:pPr>
            <w:r>
              <w:rPr>
                <w:rFonts w:ascii="宋体" w:hAnsi="宋体" w:cs="宋体" w:eastAsia="宋体" w:hint="default"/>
                <w:sz w:val="18"/>
                <w:szCs w:val="18"/>
              </w:rPr>
              <w:t>已到 期收</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43"/>
              <w:jc w:val="left"/>
              <w:rPr>
                <w:rFonts w:ascii="宋体" w:hAnsi="宋体" w:cs="宋体" w:eastAsia="宋体" w:hint="default"/>
                <w:sz w:val="18"/>
                <w:szCs w:val="18"/>
              </w:rPr>
            </w:pPr>
            <w:r>
              <w:rPr>
                <w:rFonts w:ascii="宋体" w:hAnsi="宋体" w:cs="宋体" w:eastAsia="宋体" w:hint="default"/>
                <w:sz w:val="18"/>
                <w:szCs w:val="18"/>
              </w:rPr>
              <w:t>巨潮 资讯</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股份 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认</w:t>
            </w: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310" w:lineRule="atLeast" w:before="15"/>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 </w:t>
            </w:r>
            <w:r>
              <w:rPr>
                <w:rFonts w:ascii="Times New Roman" w:hAnsi="Times New Roman" w:cs="Times New Roman" w:eastAsia="Times New Roman" w:hint="default"/>
                <w:sz w:val="18"/>
                <w:szCs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023</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051</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31"/>
              <w:jc w:val="both"/>
              <w:rPr>
                <w:rFonts w:ascii="宋体" w:hAnsi="宋体" w:cs="宋体" w:eastAsia="宋体" w:hint="default"/>
                <w:sz w:val="18"/>
                <w:szCs w:val="18"/>
              </w:rPr>
            </w:pPr>
            <w:r>
              <w:rPr>
                <w:rFonts w:ascii="宋体" w:hAnsi="宋体" w:cs="宋体" w:eastAsia="宋体" w:hint="default"/>
                <w:sz w:val="18"/>
                <w:szCs w:val="18"/>
              </w:rPr>
              <w:t>本金保 障型收 益凭证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45.37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1"/>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053</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058</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070</w:t>
            </w:r>
          </w:p>
        </w:tc>
      </w:tr>
    </w:tbl>
    <w:p>
      <w:pPr>
        <w:spacing w:after="0" w:line="240" w:lineRule="auto"/>
        <w:jc w:val="both"/>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076</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76"/>
              <w:jc w:val="both"/>
              <w:rPr>
                <w:rFonts w:ascii="宋体" w:hAnsi="宋体" w:cs="宋体" w:eastAsia="宋体" w:hint="default"/>
                <w:sz w:val="18"/>
                <w:szCs w:val="18"/>
              </w:rPr>
            </w:pPr>
            <w:r>
              <w:rPr>
                <w:rFonts w:ascii="宋体" w:hAnsi="宋体" w:cs="宋体" w:eastAsia="宋体" w:hint="default"/>
                <w:sz w:val="18"/>
                <w:szCs w:val="18"/>
              </w:rPr>
              <w:t>中信 建投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31"/>
              <w:jc w:val="both"/>
              <w:rPr>
                <w:rFonts w:ascii="宋体" w:hAnsi="宋体" w:cs="宋体" w:eastAsia="宋体" w:hint="default"/>
                <w:sz w:val="18"/>
                <w:szCs w:val="18"/>
              </w:rPr>
            </w:pPr>
            <w:r>
              <w:rPr>
                <w:rFonts w:ascii="宋体" w:hAnsi="宋体" w:cs="宋体" w:eastAsia="宋体" w:hint="default"/>
                <w:sz w:val="18"/>
                <w:szCs w:val="18"/>
              </w:rPr>
              <w:t>本金保 障浮动 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62.38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62.38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072</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76"/>
              <w:jc w:val="both"/>
              <w:rPr>
                <w:rFonts w:ascii="宋体" w:hAnsi="宋体" w:cs="宋体" w:eastAsia="宋体" w:hint="default"/>
                <w:sz w:val="18"/>
                <w:szCs w:val="18"/>
              </w:rPr>
            </w:pPr>
            <w:r>
              <w:rPr>
                <w:rFonts w:ascii="宋体" w:hAnsi="宋体" w:cs="宋体" w:eastAsia="宋体" w:hint="default"/>
                <w:sz w:val="18"/>
                <w:szCs w:val="18"/>
              </w:rPr>
              <w:t>宁波 银行 股份 有限 公司 南京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保本浮 动型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7"/>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1"/>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080</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9"/>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083</w:t>
            </w:r>
          </w:p>
        </w:tc>
      </w:tr>
      <w:tr>
        <w:trPr>
          <w:trHeight w:val="223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建投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本金保 障浮动 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14.03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2"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1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tc>
      </w:tr>
    </w:tbl>
    <w:p>
      <w:pPr>
        <w:spacing w:after="0" w:line="218" w:lineRule="exact"/>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675"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090</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093</w:t>
            </w:r>
          </w:p>
        </w:tc>
      </w:tr>
      <w:tr>
        <w:trPr>
          <w:trHeight w:val="28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本金保 障型浮 动收益 凭证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0.10%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79" w:right="0"/>
              <w:jc w:val="center"/>
              <w:rPr>
                <w:rFonts w:ascii="Times New Roman" w:hAnsi="Times New Roman" w:cs="Times New Roman" w:eastAsia="Times New Roman" w:hint="default"/>
                <w:sz w:val="18"/>
                <w:szCs w:val="18"/>
              </w:rPr>
            </w:pPr>
            <w:r>
              <w:rPr>
                <w:rFonts w:ascii="Times New Roman"/>
                <w:sz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79" w:right="0"/>
              <w:jc w:val="center"/>
              <w:rPr>
                <w:rFonts w:ascii="Times New Roman" w:hAnsi="Times New Roman" w:cs="Times New Roman" w:eastAsia="Times New Roman" w:hint="default"/>
                <w:sz w:val="18"/>
                <w:szCs w:val="18"/>
              </w:rPr>
            </w:pPr>
            <w:r>
              <w:rPr>
                <w:rFonts w:ascii="Times New Roman"/>
                <w:sz w:val="18"/>
              </w:rPr>
              <w:t>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1"/>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094</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33.06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33.06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099</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176"/>
              <w:jc w:val="both"/>
              <w:rPr>
                <w:rFonts w:ascii="宋体" w:hAnsi="宋体" w:cs="宋体" w:eastAsia="宋体" w:hint="default"/>
                <w:sz w:val="18"/>
                <w:szCs w:val="18"/>
              </w:rPr>
            </w:pPr>
            <w:r>
              <w:rPr>
                <w:rFonts w:ascii="宋体" w:hAnsi="宋体" w:cs="宋体" w:eastAsia="宋体" w:hint="default"/>
                <w:sz w:val="18"/>
                <w:szCs w:val="18"/>
              </w:rPr>
              <w:t>中信 建投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both"/>
              <w:rPr>
                <w:rFonts w:ascii="宋体" w:hAnsi="宋体" w:cs="宋体" w:eastAsia="宋体" w:hint="default"/>
                <w:sz w:val="18"/>
                <w:szCs w:val="18"/>
              </w:rPr>
            </w:pPr>
            <w:r>
              <w:rPr>
                <w:rFonts w:ascii="宋体" w:hAnsi="宋体" w:cs="宋体" w:eastAsia="宋体" w:hint="default"/>
                <w:sz w:val="18"/>
                <w:szCs w:val="18"/>
              </w:rPr>
              <w:t>本金保 障浮动 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0.16%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1.14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7"/>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102</w:t>
            </w: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3.30%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12.83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tc>
      </w:tr>
    </w:tbl>
    <w:p>
      <w:pPr>
        <w:spacing w:after="0" w:line="3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2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both"/>
              <w:rPr>
                <w:rFonts w:ascii="宋体" w:hAnsi="宋体" w:cs="宋体" w:eastAsia="宋体" w:hint="default"/>
                <w:sz w:val="18"/>
                <w:szCs w:val="18"/>
              </w:rPr>
            </w:pPr>
            <w:r>
              <w:rPr>
                <w:rFonts w:ascii="宋体" w:hAnsi="宋体" w:cs="宋体" w:eastAsia="宋体" w:hint="default"/>
                <w:sz w:val="18"/>
                <w:szCs w:val="18"/>
              </w:rPr>
              <w:t>江北 新区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0"/>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102</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1"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114</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利率挂 钩型</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52.5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116</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建投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31"/>
              <w:jc w:val="both"/>
              <w:rPr>
                <w:rFonts w:ascii="宋体" w:hAnsi="宋体" w:cs="宋体" w:eastAsia="宋体" w:hint="default"/>
                <w:sz w:val="18"/>
                <w:szCs w:val="18"/>
              </w:rPr>
            </w:pPr>
            <w:r>
              <w:rPr>
                <w:rFonts w:ascii="宋体" w:hAnsi="宋体" w:cs="宋体" w:eastAsia="宋体" w:hint="default"/>
                <w:sz w:val="18"/>
                <w:szCs w:val="18"/>
              </w:rPr>
              <w:t>本金保 障浮动 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26.85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116</w:t>
            </w:r>
          </w:p>
        </w:tc>
      </w:tr>
      <w:tr>
        <w:trPr>
          <w:trHeight w:val="289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中信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31"/>
              <w:jc w:val="both"/>
              <w:rPr>
                <w:rFonts w:ascii="宋体" w:hAnsi="宋体" w:cs="宋体" w:eastAsia="宋体" w:hint="default"/>
                <w:sz w:val="18"/>
                <w:szCs w:val="18"/>
              </w:rPr>
            </w:pPr>
            <w:r>
              <w:rPr>
                <w:rFonts w:ascii="宋体" w:hAnsi="宋体" w:cs="宋体" w:eastAsia="宋体" w:hint="default"/>
                <w:sz w:val="18"/>
                <w:szCs w:val="18"/>
              </w:rPr>
              <w:t>本金保 障型固 定收益 凭证</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15.37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已到 期收 </w:t>
            </w:r>
            <w:r>
              <w:rPr>
                <w:rFonts w:ascii="宋体" w:hAnsi="宋体" w:cs="宋体" w:eastAsia="宋体" w:hint="default"/>
                <w:spacing w:val="-12"/>
                <w:sz w:val="18"/>
                <w:szCs w:val="18"/>
              </w:rPr>
              <w:t>回，收</w:t>
            </w:r>
            <w:r>
              <w:rPr>
                <w:rFonts w:ascii="宋体" w:hAnsi="宋体" w:cs="宋体" w:eastAsia="宋体" w:hint="default"/>
                <w:sz w:val="18"/>
                <w:szCs w:val="18"/>
              </w:rPr>
              <w:t> 益符 合预 期</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0"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117</w:t>
            </w:r>
          </w:p>
        </w:tc>
      </w:tr>
      <w:tr>
        <w:trPr>
          <w:trHeight w:val="102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76"/>
              <w:jc w:val="both"/>
              <w:rPr>
                <w:rFonts w:ascii="宋体" w:hAnsi="宋体" w:cs="宋体" w:eastAsia="宋体" w:hint="default"/>
                <w:sz w:val="18"/>
                <w:szCs w:val="18"/>
              </w:rPr>
            </w:pPr>
            <w:r>
              <w:rPr>
                <w:rFonts w:ascii="宋体" w:hAnsi="宋体" w:cs="宋体" w:eastAsia="宋体" w:hint="default"/>
                <w:sz w:val="18"/>
                <w:szCs w:val="18"/>
              </w:rPr>
              <w:t>中信 证券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94"/>
              <w:jc w:val="left"/>
              <w:rPr>
                <w:rFonts w:ascii="宋体" w:hAnsi="宋体" w:cs="宋体" w:eastAsia="宋体" w:hint="default"/>
                <w:sz w:val="18"/>
                <w:szCs w:val="18"/>
              </w:rPr>
            </w:pPr>
            <w:r>
              <w:rPr>
                <w:rFonts w:ascii="宋体" w:hAnsi="宋体" w:cs="宋体" w:eastAsia="宋体" w:hint="default"/>
                <w:sz w:val="18"/>
                <w:szCs w:val="18"/>
              </w:rPr>
              <w:t>证券 公司</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1"/>
              <w:jc w:val="both"/>
              <w:rPr>
                <w:rFonts w:ascii="宋体" w:hAnsi="宋体" w:cs="宋体" w:eastAsia="宋体" w:hint="default"/>
                <w:sz w:val="18"/>
                <w:szCs w:val="18"/>
              </w:rPr>
            </w:pPr>
            <w:r>
              <w:rPr>
                <w:rFonts w:ascii="宋体" w:hAnsi="宋体" w:cs="宋体" w:eastAsia="宋体" w:hint="default"/>
                <w:sz w:val="18"/>
                <w:szCs w:val="18"/>
              </w:rPr>
              <w:t>本金保 障固定 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9" w:right="0"/>
              <w:jc w:val="center"/>
              <w:rPr>
                <w:rFonts w:ascii="Times New Roman" w:hAnsi="Times New Roman" w:cs="Times New Roman" w:eastAsia="Times New Roman" w:hint="default"/>
                <w:sz w:val="18"/>
                <w:szCs w:val="18"/>
              </w:rPr>
            </w:pPr>
            <w:r>
              <w:rPr>
                <w:rFonts w:ascii="Times New Roman"/>
                <w:sz w:val="18"/>
              </w:rPr>
              <w:t>70.71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67"/>
              <w:jc w:val="both"/>
              <w:rPr>
                <w:rFonts w:ascii="宋体" w:hAnsi="宋体" w:cs="宋体" w:eastAsia="宋体" w:hint="default"/>
                <w:sz w:val="18"/>
                <w:szCs w:val="18"/>
              </w:rPr>
            </w:pPr>
            <w:r>
              <w:rPr>
                <w:rFonts w:ascii="宋体" w:hAnsi="宋体" w:cs="宋体" w:eastAsia="宋体" w:hint="default"/>
                <w:sz w:val="18"/>
                <w:szCs w:val="18"/>
              </w:rPr>
              <w:t>报告 期内 产品</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tc>
      </w:tr>
    </w:tbl>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572"/>
        <w:gridCol w:w="590"/>
        <w:gridCol w:w="607"/>
        <w:gridCol w:w="574"/>
        <w:gridCol w:w="562"/>
        <w:gridCol w:w="559"/>
        <w:gridCol w:w="562"/>
        <w:gridCol w:w="562"/>
        <w:gridCol w:w="562"/>
        <w:gridCol w:w="559"/>
        <w:gridCol w:w="562"/>
        <w:gridCol w:w="562"/>
        <w:gridCol w:w="562"/>
        <w:gridCol w:w="548"/>
        <w:gridCol w:w="547"/>
        <w:gridCol w:w="547"/>
        <w:gridCol w:w="538"/>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76"/>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59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3"/>
              <w:jc w:val="left"/>
              <w:rPr>
                <w:rFonts w:ascii="宋体" w:hAnsi="宋体" w:cs="宋体" w:eastAsia="宋体" w:hint="default"/>
                <w:sz w:val="18"/>
                <w:szCs w:val="18"/>
              </w:rPr>
            </w:pPr>
            <w:r>
              <w:rPr>
                <w:rFonts w:ascii="宋体" w:hAnsi="宋体" w:cs="宋体" w:eastAsia="宋体" w:hint="default"/>
                <w:sz w:val="18"/>
                <w:szCs w:val="18"/>
              </w:rPr>
              <w:t>未到 </w:t>
            </w:r>
            <w:r>
              <w:rPr>
                <w:rFonts w:ascii="宋体" w:hAnsi="宋体" w:cs="宋体" w:eastAsia="宋体" w:hint="default"/>
                <w:spacing w:val="-12"/>
                <w:sz w:val="18"/>
                <w:szCs w:val="18"/>
              </w:rPr>
              <w:t>期，未</w:t>
            </w:r>
            <w:r>
              <w:rPr>
                <w:rFonts w:ascii="宋体" w:hAnsi="宋体" w:cs="宋体" w:eastAsia="宋体" w:hint="default"/>
                <w:sz w:val="18"/>
                <w:szCs w:val="18"/>
              </w:rPr>
              <w:t> 收回</w:t>
            </w:r>
          </w:p>
        </w:tc>
        <w:tc>
          <w:tcPr>
            <w:tcW w:w="548"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50" w:lineRule="auto" w:before="8"/>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20"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142</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3.79%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报告 期内 产品 未到 </w:t>
            </w:r>
            <w:r>
              <w:rPr>
                <w:rFonts w:ascii="宋体" w:hAnsi="宋体" w:cs="宋体" w:eastAsia="宋体" w:hint="default"/>
                <w:spacing w:val="-12"/>
                <w:sz w:val="18"/>
                <w:szCs w:val="18"/>
              </w:rPr>
              <w:t>期，未</w:t>
            </w:r>
            <w:r>
              <w:rPr>
                <w:rFonts w:ascii="宋体" w:hAnsi="宋体" w:cs="宋体" w:eastAsia="宋体" w:hint="default"/>
                <w:sz w:val="18"/>
                <w:szCs w:val="18"/>
              </w:rPr>
              <w:t>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1"/>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142</w:t>
            </w:r>
          </w:p>
        </w:tc>
      </w:tr>
      <w:tr>
        <w:trPr>
          <w:trHeight w:val="290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3.50%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报告 期内 产品 未到 </w:t>
            </w:r>
            <w:r>
              <w:rPr>
                <w:rFonts w:ascii="宋体" w:hAnsi="宋体" w:cs="宋体" w:eastAsia="宋体" w:hint="default"/>
                <w:spacing w:val="-12"/>
                <w:sz w:val="18"/>
                <w:szCs w:val="18"/>
              </w:rPr>
              <w:t>期，未</w:t>
            </w:r>
            <w:r>
              <w:rPr>
                <w:rFonts w:ascii="宋体" w:hAnsi="宋体" w:cs="宋体" w:eastAsia="宋体" w:hint="default"/>
                <w:sz w:val="18"/>
                <w:szCs w:val="18"/>
              </w:rPr>
              <w:t>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52" w:lineRule="auto" w:before="1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fo.co</w:t>
            </w:r>
          </w:p>
          <w:p>
            <w:pPr>
              <w:pStyle w:val="TableParagraph"/>
              <w:spacing w:line="21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宋体" w:hAnsi="宋体" w:cs="宋体" w:eastAsia="宋体" w:hint="default"/>
                <w:sz w:val="18"/>
                <w:szCs w:val="18"/>
              </w:rPr>
              <w:t>）</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105"/>
              <w:ind w:left="23" w:right="0"/>
              <w:jc w:val="both"/>
              <w:rPr>
                <w:rFonts w:ascii="Times New Roman" w:hAnsi="Times New Roman" w:cs="Times New Roman" w:eastAsia="Times New Roman" w:hint="default"/>
                <w:sz w:val="18"/>
                <w:szCs w:val="18"/>
              </w:rPr>
            </w:pPr>
            <w:r>
              <w:rPr>
                <w:rFonts w:ascii="Times New Roman"/>
                <w:sz w:val="18"/>
              </w:rPr>
              <w:t>156</w:t>
            </w:r>
          </w:p>
        </w:tc>
      </w:tr>
      <w:tr>
        <w:trPr>
          <w:trHeight w:val="2897"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76"/>
              <w:jc w:val="both"/>
              <w:rPr>
                <w:rFonts w:ascii="宋体" w:hAnsi="宋体" w:cs="宋体" w:eastAsia="宋体" w:hint="default"/>
                <w:sz w:val="18"/>
                <w:szCs w:val="18"/>
              </w:rPr>
            </w:pPr>
            <w:r>
              <w:rPr>
                <w:rFonts w:ascii="宋体" w:hAnsi="宋体" w:cs="宋体" w:eastAsia="宋体" w:hint="default"/>
                <w:sz w:val="18"/>
                <w:szCs w:val="18"/>
              </w:rPr>
              <w:t>南京 银行 股份 有限 公司 江北 新区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94"/>
              <w:jc w:val="left"/>
              <w:rPr>
                <w:rFonts w:ascii="宋体" w:hAnsi="宋体" w:cs="宋体" w:eastAsia="宋体" w:hint="default"/>
                <w:sz w:val="18"/>
                <w:szCs w:val="18"/>
              </w:rPr>
            </w:pPr>
            <w:r>
              <w:rPr>
                <w:rFonts w:ascii="宋体" w:hAnsi="宋体" w:cs="宋体" w:eastAsia="宋体" w:hint="default"/>
                <w:sz w:val="18"/>
                <w:szCs w:val="18"/>
              </w:rPr>
              <w:t>商业 银行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31"/>
              <w:jc w:val="left"/>
              <w:rPr>
                <w:rFonts w:ascii="宋体" w:hAnsi="宋体" w:cs="宋体" w:eastAsia="宋体" w:hint="default"/>
                <w:sz w:val="18"/>
                <w:szCs w:val="18"/>
              </w:rPr>
            </w:pPr>
            <w:r>
              <w:rPr>
                <w:rFonts w:ascii="宋体" w:hAnsi="宋体" w:cs="宋体" w:eastAsia="宋体" w:hint="default"/>
                <w:sz w:val="18"/>
                <w:szCs w:val="18"/>
              </w:rPr>
              <w:t>保本浮 动收益</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66"/>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7"/>
              <w:jc w:val="both"/>
              <w:rPr>
                <w:rFonts w:ascii="宋体" w:hAnsi="宋体" w:cs="宋体" w:eastAsia="宋体" w:hint="default"/>
                <w:sz w:val="18"/>
                <w:szCs w:val="18"/>
              </w:rPr>
            </w:pPr>
            <w:r>
              <w:rPr>
                <w:rFonts w:ascii="宋体" w:hAnsi="宋体" w:cs="宋体" w:eastAsia="宋体" w:hint="default"/>
                <w:sz w:val="18"/>
                <w:szCs w:val="18"/>
              </w:rPr>
              <w:t>较低 风险 资产</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166"/>
              <w:jc w:val="both"/>
              <w:rPr>
                <w:rFonts w:ascii="宋体" w:hAnsi="宋体" w:cs="宋体" w:eastAsia="宋体" w:hint="default"/>
                <w:sz w:val="18"/>
                <w:szCs w:val="18"/>
              </w:rPr>
            </w:pPr>
            <w:r>
              <w:rPr>
                <w:rFonts w:ascii="宋体" w:hAnsi="宋体" w:cs="宋体" w:eastAsia="宋体" w:hint="default"/>
                <w:sz w:val="18"/>
                <w:szCs w:val="18"/>
              </w:rPr>
              <w:t>赎回 时确 认</w:t>
            </w:r>
          </w:p>
        </w:tc>
        <w:tc>
          <w:tcPr>
            <w:tcW w:w="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3.80%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报告 期内 产品 未到 </w:t>
            </w:r>
            <w:r>
              <w:rPr>
                <w:rFonts w:ascii="宋体" w:hAnsi="宋体" w:cs="宋体" w:eastAsia="宋体" w:hint="default"/>
                <w:spacing w:val="-12"/>
                <w:sz w:val="18"/>
                <w:szCs w:val="18"/>
              </w:rPr>
              <w:t>期，未</w:t>
            </w:r>
            <w:r>
              <w:rPr>
                <w:rFonts w:ascii="宋体" w:hAnsi="宋体" w:cs="宋体" w:eastAsia="宋体" w:hint="default"/>
                <w:sz w:val="18"/>
                <w:szCs w:val="18"/>
              </w:rPr>
              <w:t> 收回</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43"/>
              <w:jc w:val="both"/>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340" w:lineRule="auto" w:before="19"/>
              <w:ind w:left="23"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t>
            </w:r>
            <w:r>
              <w:rPr>
                <w:rFonts w:ascii="Times New Roman" w:hAnsi="Times New Roman" w:cs="Times New Roman" w:eastAsia="Times New Roman" w:hint="default"/>
                <w:spacing w:val="-1"/>
                <w:w w:val="99"/>
                <w:sz w:val="18"/>
                <w:szCs w:val="18"/>
              </w:rPr>
              <w:t> </w:t>
            </w:r>
            <w:r>
              <w:rPr>
                <w:rFonts w:ascii="Times New Roman" w:hAnsi="Times New Roman" w:cs="Times New Roman" w:eastAsia="Times New Roman" w:hint="default"/>
                <w:spacing w:val="-3"/>
                <w:sz w:val="18"/>
                <w:szCs w:val="18"/>
              </w:rPr>
              <w:t>w.cnin</w:t>
            </w:r>
          </w:p>
          <w:p>
            <w:pPr>
              <w:pStyle w:val="TableParagraph"/>
              <w:spacing w:line="326" w:lineRule="auto" w:before="21"/>
              <w:ind w:left="23" w:right="-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fo.co</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2019-</w:t>
            </w:r>
          </w:p>
          <w:p>
            <w:pPr>
              <w:pStyle w:val="TableParagraph"/>
              <w:spacing w:line="240" w:lineRule="auto" w:before="33"/>
              <w:ind w:left="23" w:right="0"/>
              <w:jc w:val="left"/>
              <w:rPr>
                <w:rFonts w:ascii="Times New Roman" w:hAnsi="Times New Roman" w:cs="Times New Roman" w:eastAsia="Times New Roman" w:hint="default"/>
                <w:sz w:val="18"/>
                <w:szCs w:val="18"/>
              </w:rPr>
            </w:pPr>
            <w:r>
              <w:rPr>
                <w:rFonts w:ascii="Times New Roman"/>
                <w:sz w:val="18"/>
              </w:rPr>
              <w:t>156</w:t>
            </w:r>
          </w:p>
        </w:tc>
      </w:tr>
      <w:tr>
        <w:trPr>
          <w:trHeight w:val="715" w:hRule="exact"/>
        </w:trPr>
        <w:tc>
          <w:tcPr>
            <w:tcW w:w="17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1,021.</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13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717.93</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委托理财出现预期无法收回本金或存在其他可能导致减值的情形</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38"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22"/>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16" w:lineRule="auto" w:before="0"/>
        <w:ind w:left="513" w:right="1122" w:firstLine="0"/>
        <w:jc w:val="left"/>
        <w:rPr>
          <w:rFonts w:ascii="宋体" w:hAnsi="宋体" w:cs="宋体" w:eastAsia="宋体" w:hint="default"/>
          <w:sz w:val="18"/>
          <w:szCs w:val="18"/>
        </w:rPr>
      </w:pPr>
      <w:r>
        <w:rPr>
          <w:rFonts w:ascii="宋体" w:hAnsi="宋体" w:cs="宋体" w:eastAsia="宋体" w:hint="default"/>
          <w:b/>
          <w:bCs/>
          <w:sz w:val="18"/>
          <w:szCs w:val="18"/>
        </w:rPr>
        <w:t>（一）股东及债权人权益保护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公司严格按照《公司法》、《股票上市规则》以及《公司章程》等法律法规文件，依法召开股东大会，积极主动采用网</w:t>
      </w:r>
    </w:p>
    <w:p>
      <w:pPr>
        <w:pStyle w:val="BodyText"/>
        <w:spacing w:line="316" w:lineRule="auto" w:before="19"/>
        <w:ind w:right="1034"/>
        <w:jc w:val="left"/>
      </w:pPr>
      <w:r>
        <w:rPr>
          <w:spacing w:val="-2"/>
        </w:rPr>
        <w:t>络投票等方式扩大股东参与股东大会的比例。报告期内，公司不断完善法人治理结构，保障股东知情权、参与权及分红权的</w:t>
      </w:r>
      <w:r>
        <w:rPr>
          <w:spacing w:val="-64"/>
        </w:rPr>
        <w:t> </w:t>
      </w:r>
      <w:r>
        <w:rPr>
          <w:spacing w:val="-64"/>
        </w:rPr>
      </w:r>
      <w:r>
        <w:rPr/>
        <w:t>实现，积极实施现金分红政策，确保股东投资回报；不断完善内控体系及治理结构，严格履行信息披露义务，真实、准确、 </w:t>
      </w:r>
      <w:r>
        <w:rPr>
          <w:spacing w:val="-2"/>
        </w:rPr>
        <w:t>完整、及时、公平地向所有股东披露信息；通过网上业绩说明会、投资者电话、传真、电子邮箱和投资者关系互动平台、接</w:t>
      </w:r>
      <w:r>
        <w:rPr>
          <w:spacing w:val="-73"/>
        </w:rPr>
        <w:t> </w:t>
      </w:r>
      <w:r>
        <w:rPr>
          <w:spacing w:val="-73"/>
        </w:rPr>
      </w:r>
      <w:r>
        <w:rPr>
          <w:spacing w:val="-4"/>
        </w:rPr>
        <w:t>待投资者现场调研等多种方式与投资者进行沟通交流，建立良好的互动平台。同时，公司的财务政策稳健，资产、资金安全，</w:t>
      </w:r>
      <w:r>
        <w:rPr>
          <w:spacing w:val="-47"/>
        </w:rPr>
        <w:t> </w:t>
      </w:r>
      <w:r>
        <w:rPr>
          <w:spacing w:val="-47"/>
        </w:rPr>
      </w:r>
      <w:r>
        <w:rPr/>
        <w:t>在维护股东利益的同时兼顾债权人的利益。</w:t>
      </w:r>
    </w:p>
    <w:p>
      <w:pPr>
        <w:spacing w:line="240" w:lineRule="auto" w:before="4"/>
        <w:rPr>
          <w:rFonts w:ascii="宋体" w:hAnsi="宋体" w:cs="宋体" w:eastAsia="宋体" w:hint="default"/>
          <w:sz w:val="25"/>
          <w:szCs w:val="25"/>
        </w:rPr>
      </w:pPr>
    </w:p>
    <w:p>
      <w:pPr>
        <w:pStyle w:val="BodyText"/>
        <w:spacing w:line="316" w:lineRule="auto"/>
        <w:ind w:left="513" w:right="1122"/>
        <w:jc w:val="left"/>
      </w:pPr>
      <w:r>
        <w:rPr>
          <w:rFonts w:ascii="宋体" w:hAnsi="宋体" w:cs="宋体" w:eastAsia="宋体" w:hint="default"/>
          <w:b/>
          <w:bCs/>
        </w:rPr>
        <w:t>（二）职工权益保护</w:t>
      </w:r>
      <w:r>
        <w:rPr>
          <w:rFonts w:ascii="宋体" w:hAnsi="宋体" w:cs="宋体" w:eastAsia="宋体" w:hint="default"/>
          <w:b/>
          <w:bCs/>
          <w:w w:val="99"/>
        </w:rPr>
        <w:t> </w:t>
      </w:r>
      <w:r>
        <w:rPr>
          <w:spacing w:val="-2"/>
        </w:rPr>
        <w:t>公司始终坚持</w:t>
      </w:r>
      <w:r>
        <w:rPr>
          <w:rFonts w:ascii="Times New Roman" w:hAnsi="Times New Roman" w:cs="Times New Roman" w:eastAsia="Times New Roman" w:hint="default"/>
          <w:spacing w:val="-2"/>
        </w:rPr>
        <w:t>“</w:t>
      </w:r>
      <w:r>
        <w:rPr>
          <w:spacing w:val="-2"/>
        </w:rPr>
        <w:t>以人为本</w:t>
      </w:r>
      <w:r>
        <w:rPr>
          <w:rFonts w:ascii="Times New Roman" w:hAnsi="Times New Roman" w:cs="Times New Roman" w:eastAsia="Times New Roman" w:hint="default"/>
          <w:spacing w:val="-2"/>
        </w:rPr>
        <w:t>”</w:t>
      </w:r>
      <w:r>
        <w:rPr>
          <w:spacing w:val="-2"/>
        </w:rPr>
        <w:t>的核心价值观，保障员工合法权益，致力于培育员工的认同感和归属感，实现员工与企业共同</w:t>
      </w:r>
    </w:p>
    <w:p>
      <w:pPr>
        <w:pStyle w:val="BodyText"/>
        <w:spacing w:line="319" w:lineRule="auto"/>
        <w:ind w:right="1045"/>
        <w:jc w:val="both"/>
      </w:pPr>
      <w:r>
        <w:rPr>
          <w:spacing w:val="-2"/>
        </w:rPr>
        <w:t>成长。为员工提供健康、安全的工作环境；尊重和保护员工权益，严格贯彻执行《劳动合同法》等各项法律法规；不断完善</w:t>
      </w:r>
      <w:r>
        <w:rPr>
          <w:spacing w:val="-73"/>
        </w:rPr>
        <w:t> </w:t>
      </w:r>
      <w:r>
        <w:rPr>
          <w:spacing w:val="-73"/>
        </w:rPr>
      </w:r>
      <w:r>
        <w:rPr>
          <w:spacing w:val="-2"/>
        </w:rPr>
        <w:t>具有吸引力和竞争性的福利体系；改善员工办公环境，定期发放节日礼品；持续优化员工关怀体系，努力为员工提供更好的</w:t>
      </w:r>
      <w:r>
        <w:rPr>
          <w:spacing w:val="-64"/>
        </w:rPr>
        <w:t> </w:t>
      </w:r>
      <w:r>
        <w:rPr>
          <w:spacing w:val="-64"/>
        </w:rPr>
      </w:r>
      <w:r>
        <w:rPr>
          <w:spacing w:val="-2"/>
        </w:rPr>
        <w:t>工作环境及更多的人文关怀；公司定期举办技术交流活动，定期评选优秀员工并给予奖励；注重员工培训与职业规划，积极</w:t>
      </w:r>
      <w:r>
        <w:rPr>
          <w:spacing w:val="-64"/>
        </w:rPr>
        <w:t> </w:t>
      </w:r>
      <w:r>
        <w:rPr>
          <w:spacing w:val="-64"/>
        </w:rPr>
      </w:r>
      <w:r>
        <w:rPr>
          <w:spacing w:val="-4"/>
        </w:rPr>
        <w:t>开展职工内外部培训，公司建立内部讲师培训体系，提升自身素质和综合能力，并为员工发展提供更多的机会和广阔的舞台。</w:t>
      </w:r>
    </w:p>
    <w:p>
      <w:pPr>
        <w:spacing w:line="240" w:lineRule="auto" w:before="2"/>
        <w:rPr>
          <w:rFonts w:ascii="宋体" w:hAnsi="宋体" w:cs="宋体" w:eastAsia="宋体" w:hint="default"/>
          <w:sz w:val="25"/>
          <w:szCs w:val="25"/>
        </w:rPr>
      </w:pPr>
    </w:p>
    <w:p>
      <w:pPr>
        <w:spacing w:line="316" w:lineRule="auto" w:before="0"/>
        <w:ind w:left="513" w:right="1163" w:firstLine="0"/>
        <w:jc w:val="left"/>
        <w:rPr>
          <w:rFonts w:ascii="宋体" w:hAnsi="宋体" w:cs="宋体" w:eastAsia="宋体" w:hint="default"/>
          <w:sz w:val="18"/>
          <w:szCs w:val="18"/>
        </w:rPr>
      </w:pPr>
      <w:r>
        <w:rPr>
          <w:rFonts w:ascii="宋体" w:hAnsi="宋体" w:cs="宋体" w:eastAsia="宋体" w:hint="default"/>
          <w:b/>
          <w:bCs/>
          <w:sz w:val="18"/>
          <w:szCs w:val="18"/>
        </w:rPr>
        <w:t>（三）供应商、客户权益保护</w:t>
      </w:r>
      <w:r>
        <w:rPr>
          <w:rFonts w:ascii="宋体" w:hAnsi="宋体" w:cs="宋体" w:eastAsia="宋体" w:hint="default"/>
          <w:b/>
          <w:bCs/>
          <w:w w:val="99"/>
          <w:sz w:val="18"/>
          <w:szCs w:val="18"/>
        </w:rPr>
        <w:t> </w:t>
      </w:r>
      <w:r>
        <w:rPr>
          <w:rFonts w:ascii="宋体" w:hAnsi="宋体" w:cs="宋体" w:eastAsia="宋体" w:hint="default"/>
          <w:sz w:val="18"/>
          <w:szCs w:val="18"/>
        </w:rPr>
        <w:t>依托现有供应商、客户，采用市场</w:t>
      </w:r>
      <w:r>
        <w:rPr>
          <w:rFonts w:ascii="Times New Roman" w:hAnsi="Times New Roman" w:cs="Times New Roman" w:eastAsia="Times New Roman" w:hint="default"/>
          <w:sz w:val="18"/>
          <w:szCs w:val="18"/>
        </w:rPr>
        <w:t>/</w:t>
      </w:r>
      <w:r>
        <w:rPr>
          <w:rFonts w:ascii="宋体" w:hAnsi="宋体" w:cs="宋体" w:eastAsia="宋体" w:hint="default"/>
          <w:sz w:val="18"/>
          <w:szCs w:val="18"/>
        </w:rPr>
        <w:t>客户延伸策略，采用有所为，有所不为的营销策略，开展与其长期、紧密合作，形</w:t>
      </w:r>
    </w:p>
    <w:p>
      <w:pPr>
        <w:pStyle w:val="BodyText"/>
        <w:spacing w:line="316" w:lineRule="auto"/>
        <w:ind w:right="1034"/>
        <w:jc w:val="left"/>
      </w:pPr>
      <w:r>
        <w:rPr/>
        <w:t>成资源共享、资金互补、共同市场、紧密型客户关系，与供应商、客户实现双赢策略，保持同供应商、客户良好合作关系， </w:t>
      </w:r>
      <w:r>
        <w:rPr>
          <w:spacing w:val="-2"/>
        </w:rPr>
        <w:t>不断拓展、延伸业务。并通过自身的规范运作积极带动供应商及外协厂商不断规范经营，引导上下游合作伙伴企业相关经营</w:t>
      </w:r>
      <w:r>
        <w:rPr>
          <w:spacing w:val="-66"/>
        </w:rPr>
        <w:t> </w:t>
      </w:r>
      <w:r>
        <w:rPr>
          <w:spacing w:val="-66"/>
        </w:rPr>
      </w:r>
      <w:r>
        <w:rPr/>
        <w:t>决策者理解社会责任经营的重要性。</w:t>
      </w:r>
    </w:p>
    <w:p>
      <w:pPr>
        <w:spacing w:line="240" w:lineRule="auto" w:before="10"/>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2"/>
        <w:jc w:val="left"/>
      </w:pPr>
      <w:r>
        <w:rPr/>
        <w:t>报告期内，暂未开展精准扶贫工作，也暂无后续精准扶贫计划。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t>报告期内，暂未开展精准扶贫工作，也暂无后续精准扶贫计划。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93"/>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4"/>
        <w:rPr>
          <w:rFonts w:ascii="宋体" w:hAnsi="宋体" w:cs="宋体" w:eastAsia="宋体" w:hint="default"/>
          <w:b/>
          <w:bCs/>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1122"/>
        <w:jc w:val="left"/>
      </w:pPr>
      <w:r>
        <w:rPr/>
        <w:t>目前暂无后续精准扶贫计划。</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316" w:lineRule="auto" w:before="29"/>
        <w:ind w:right="1122" w:firstLine="360"/>
        <w:jc w:val="left"/>
      </w:pPr>
      <w:r>
        <w:rPr>
          <w:spacing w:val="-2"/>
        </w:rPr>
        <w:t>公司及子公司在日常生产经营中认真执行国家有关环境保护方面的法律法规，报告期内未出现因违反环境保护相关法律</w:t>
      </w:r>
      <w:r>
        <w:rPr/>
        <w:t> 法规而受到处罚的情况。</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9"/>
        <w:rPr>
          <w:rFonts w:ascii="宋体" w:hAnsi="宋体" w:cs="宋体" w:eastAsia="宋体" w:hint="default"/>
          <w:sz w:val="19"/>
          <w:szCs w:val="19"/>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441" w:right="1105"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神州信源与湖南长城科技信息有限公司签订了《战略合作协议》，经友好协商，双方本着平等互利、诚信合作的原则，</w:t>
      </w:r>
    </w:p>
    <w:p>
      <w:pPr>
        <w:pStyle w:val="BodyText"/>
        <w:spacing w:line="312" w:lineRule="auto" w:before="2"/>
        <w:ind w:right="1130"/>
        <w:jc w:val="both"/>
      </w:pPr>
      <w:r>
        <w:rPr>
          <w:spacing w:val="-2"/>
        </w:rPr>
        <w:t>整合双方优势资源，实现产品融合及方案捆绑，结成长期战略合作伙伴关系。本次合作是公司切实贯彻落实国家对于软件和</w:t>
      </w:r>
      <w:r>
        <w:rPr>
          <w:spacing w:val="-63"/>
        </w:rPr>
        <w:t> </w:t>
      </w:r>
      <w:r>
        <w:rPr>
          <w:spacing w:val="-63"/>
        </w:rPr>
      </w:r>
      <w:r>
        <w:rPr>
          <w:spacing w:val="-2"/>
        </w:rPr>
        <w:t>信息技术服务业及信息安全行业的发展规划并顺应行业发展趋势，整合双方优势资源，为行业及客户提供安全可靠的产品及</w:t>
      </w:r>
      <w:r>
        <w:rPr>
          <w:spacing w:val="-64"/>
        </w:rPr>
        <w:t> </w:t>
      </w:r>
      <w:r>
        <w:rPr>
          <w:spacing w:val="-64"/>
        </w:rPr>
      </w:r>
      <w:r>
        <w:rPr>
          <w:spacing w:val="-2"/>
        </w:rPr>
        <w:t>解决方案，形成行业标杆。双方开展合作，通过相互产品融合、相互销售、相互支持，打造国产化时代下创新</w:t>
      </w:r>
      <w:r>
        <w:rPr>
          <w:rFonts w:ascii="Times New Roman" w:hAnsi="Times New Roman" w:cs="Times New Roman" w:eastAsia="Times New Roman" w:hint="default"/>
          <w:spacing w:val="-2"/>
        </w:rPr>
        <w:t>IT</w:t>
      </w:r>
      <w:r>
        <w:rPr>
          <w:spacing w:val="-2"/>
        </w:rPr>
        <w:t>解决方案提</w:t>
      </w:r>
      <w:r>
        <w:rPr>
          <w:spacing w:val="-56"/>
        </w:rPr>
        <w:t> </w:t>
      </w:r>
      <w:r>
        <w:rPr>
          <w:spacing w:val="-56"/>
        </w:rPr>
      </w:r>
      <w:r>
        <w:rPr/>
        <w:t>供商。详见巨潮资讯网（</w:t>
      </w:r>
      <w:hyperlink r:id="rId9">
        <w:r>
          <w:rPr>
            <w:rFonts w:ascii="Times New Roman" w:hAnsi="Times New Roman" w:cs="Times New Roman" w:eastAsia="Times New Roman" w:hint="default"/>
          </w:rPr>
          <w:t>www.cninfo.com.cn</w:t>
        </w:r>
      </w:hyperlink>
      <w:r>
        <w:rPr/>
        <w:t>）关于签署战略合作协议的公告（公告编号</w:t>
      </w:r>
      <w:r>
        <w:rPr>
          <w:rFonts w:ascii="Times New Roman" w:hAnsi="Times New Roman" w:cs="Times New Roman" w:eastAsia="Times New Roman" w:hint="default"/>
        </w:rPr>
        <w:t>2020-010</w:t>
      </w:r>
      <w:r>
        <w:rPr/>
        <w:t>）</w:t>
      </w:r>
    </w:p>
    <w:p>
      <w:pPr>
        <w:spacing w:after="0" w:line="312"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22"/>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22"/>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356,258,7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24.57%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-3,899,10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-3,899,10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352,359,6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356,258,7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24.57%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-3,899,10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-3,899,10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352,359,6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356,258,7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24.57%</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352,359,6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24.30%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1,093,565,</w:t>
            </w:r>
          </w:p>
          <w:p>
            <w:pPr>
              <w:pStyle w:val="TableParagraph"/>
              <w:spacing w:line="240" w:lineRule="auto" w:before="102"/>
              <w:ind w:left="521" w:right="0"/>
              <w:jc w:val="left"/>
              <w:rPr>
                <w:rFonts w:ascii="Times New Roman" w:hAnsi="Times New Roman" w:cs="Times New Roman" w:eastAsia="Times New Roman" w:hint="default"/>
                <w:sz w:val="18"/>
                <w:szCs w:val="18"/>
              </w:rPr>
            </w:pPr>
            <w:r>
              <w:rPr>
                <w:rFonts w:ascii="Times New Roman"/>
                <w:sz w:val="18"/>
              </w:rPr>
              <w:t>300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75.43%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3,899,100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3,899,100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1,097,464</w:t>
            </w:r>
          </w:p>
          <w:p>
            <w:pPr>
              <w:pStyle w:val="TableParagraph"/>
              <w:spacing w:line="240" w:lineRule="auto" w:before="102"/>
              <w:ind w:left="446" w:right="0"/>
              <w:jc w:val="left"/>
              <w:rPr>
                <w:rFonts w:ascii="Times New Roman" w:hAnsi="Times New Roman" w:cs="Times New Roman" w:eastAsia="Times New Roman" w:hint="default"/>
                <w:sz w:val="18"/>
                <w:szCs w:val="18"/>
              </w:rPr>
            </w:pPr>
            <w:r>
              <w:rPr>
                <w:rFonts w:ascii="Times New Roman"/>
                <w:sz w:val="18"/>
              </w:rPr>
              <w:t>,400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75.70%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1,093,565,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300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75.43%</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3,899,100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3,899,100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1,097,464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75.70%</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1,449,824,</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087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1,449,824</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,087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75.70%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股份变动的原因</w:t>
      </w:r>
    </w:p>
    <w:p>
      <w:pPr>
        <w:pStyle w:val="BodyText"/>
        <w:spacing w:line="340" w:lineRule="auto" w:before="115"/>
        <w:ind w:left="441" w:right="1122"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根据《深圳证券交易所上市公司董事、监事和高级管理人员所持本公司股份及其变动管理业务指引》等规定，每年的第</w:t>
      </w:r>
    </w:p>
    <w:p>
      <w:pPr>
        <w:pStyle w:val="BodyText"/>
        <w:spacing w:line="316" w:lineRule="auto" w:before="1"/>
        <w:ind w:right="1114"/>
        <w:jc w:val="left"/>
      </w:pPr>
      <w:r>
        <w:rPr>
          <w:spacing w:val="-2"/>
        </w:rPr>
        <w:t>一个交易日，中国证券登记结算有限公司深圳分公司以公司董事、监事和高级管理人员在上年最后一个交易日登记在其名下</w:t>
      </w:r>
      <w:r>
        <w:rPr>
          <w:spacing w:val="-64"/>
        </w:rPr>
        <w:t> </w:t>
      </w:r>
      <w:r>
        <w:rPr>
          <w:spacing w:val="-64"/>
        </w:rPr>
      </w:r>
      <w:r>
        <w:rPr/>
        <w:t>的在深交所上市的</w:t>
      </w:r>
      <w:r>
        <w:rPr>
          <w:rFonts w:ascii="Times New Roman" w:hAnsi="Times New Roman" w:cs="Times New Roman" w:eastAsia="Times New Roman" w:hint="default"/>
        </w:rPr>
        <w:t>A</w:t>
      </w:r>
      <w:r>
        <w:rPr/>
        <w:t>股为基数，按</w:t>
      </w:r>
      <w:r>
        <w:rPr>
          <w:rFonts w:ascii="Times New Roman" w:hAnsi="Times New Roman" w:cs="Times New Roman" w:eastAsia="Times New Roman" w:hint="default"/>
        </w:rPr>
        <w:t>25%</w:t>
      </w:r>
      <w:r>
        <w:rPr/>
        <w:t>计算其本年度可转让股份法定额度；同时，对该人员所持的在本年度可转让股份额度</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7874"/>
        <w:jc w:val="left"/>
      </w:pPr>
      <w:r>
        <w:rPr/>
        <w:t>内的无限售条件的流通股进行解锁。 股份变动的批准情况</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38" w:lineRule="auto" w:before="41"/>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43"/>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40" w:lineRule="auto" w:before="39"/>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38" w:lineRule="auto" w:before="41"/>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4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258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338,535,300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3,899,100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334,636,200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按高管股份解 除限售的相关 规定，在任职 期间每年转让 的公司股份不 超过其持有公 司股份总数的</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25%</w:t>
            </w:r>
          </w:p>
        </w:tc>
      </w:tr>
      <w:tr>
        <w:trPr>
          <w:trHeight w:val="258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2,137,500</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2,137,500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按高管股份解 除限售的相关 规定，在任职 期间每年转让 的公司股份不 超过其持有公 司股份总数的</w:t>
            </w:r>
          </w:p>
          <w:p>
            <w:pPr>
              <w:pStyle w:val="TableParagraph"/>
              <w:spacing w:line="240" w:lineRule="auto" w:before="59"/>
              <w:ind w:left="24" w:right="0"/>
              <w:jc w:val="both"/>
              <w:rPr>
                <w:rFonts w:ascii="Times New Roman" w:hAnsi="Times New Roman" w:cs="Times New Roman" w:eastAsia="Times New Roman" w:hint="default"/>
                <w:sz w:val="18"/>
                <w:szCs w:val="18"/>
              </w:rPr>
            </w:pPr>
            <w:r>
              <w:rPr>
                <w:rFonts w:ascii="Times New Roman"/>
                <w:sz w:val="18"/>
              </w:rPr>
              <w:t>25%</w:t>
            </w:r>
          </w:p>
        </w:tc>
      </w:tr>
      <w:tr>
        <w:trPr>
          <w:trHeight w:val="161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1,900,237</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1,900,237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67"/>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按高管股份解 除限售的相关 规定，在任职 期间每年转让 的公司股份不</w:t>
            </w:r>
          </w:p>
        </w:tc>
      </w:tr>
    </w:tbl>
    <w:p>
      <w:pPr>
        <w:spacing w:after="0" w:line="31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987" w:hRule="exact"/>
        </w:trPr>
        <w:tc>
          <w:tcPr>
            <w:tcW w:w="120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4"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超过其持有公 司股份总数的 </w:t>
            </w:r>
            <w:r>
              <w:rPr>
                <w:rFonts w:ascii="Times New Roman" w:hAnsi="Times New Roman" w:cs="Times New Roman" w:eastAsia="Times New Roman" w:hint="default"/>
                <w:sz w:val="18"/>
                <w:szCs w:val="18"/>
              </w:rPr>
              <w:t>25%</w:t>
            </w:r>
          </w:p>
        </w:tc>
      </w:tr>
      <w:tr>
        <w:trPr>
          <w:trHeight w:val="258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1,781,346</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1,781,346</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按高管股份解 除限售的相关 规定，在任职 期间每年转让 的公司股份不 超过其持有公 司股份总数的</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25%</w:t>
            </w:r>
          </w:p>
        </w:tc>
      </w:tr>
      <w:tr>
        <w:trPr>
          <w:trHeight w:val="258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3,443,512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3,443,512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按高管股份解 除限售的相关 规定，在任职 期间每年转让 的公司股份不 超过其持有公 司股份总数的 </w:t>
            </w:r>
            <w:r>
              <w:rPr>
                <w:rFonts w:ascii="Times New Roman" w:hAnsi="Times New Roman" w:cs="Times New Roman" w:eastAsia="Times New Roman" w:hint="default"/>
                <w:sz w:val="18"/>
                <w:szCs w:val="18"/>
              </w:rPr>
              <w:t>25%</w:t>
            </w:r>
          </w:p>
        </w:tc>
      </w:tr>
      <w:tr>
        <w:trPr>
          <w:trHeight w:val="258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8,460,892</w:t>
            </w: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8,460,892</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类高管锁定股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9"/>
              <w:jc w:val="both"/>
              <w:rPr>
                <w:rFonts w:ascii="宋体" w:hAnsi="宋体" w:cs="宋体" w:eastAsia="宋体" w:hint="default"/>
                <w:sz w:val="18"/>
                <w:szCs w:val="18"/>
              </w:rPr>
            </w:pPr>
            <w:r>
              <w:rPr>
                <w:rFonts w:ascii="宋体" w:hAnsi="宋体" w:cs="宋体" w:eastAsia="宋体" w:hint="default"/>
                <w:sz w:val="18"/>
                <w:szCs w:val="18"/>
              </w:rPr>
              <w:t>按高管股份解 除限售的相关 规定，在任职 期间每年转让 的公司股份不 超过其持有公 司股份总数的</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356,258,787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6" w:right="0"/>
              <w:jc w:val="left"/>
              <w:rPr>
                <w:rFonts w:ascii="Times New Roman" w:hAnsi="Times New Roman" w:cs="Times New Roman" w:eastAsia="Times New Roman" w:hint="default"/>
                <w:sz w:val="18"/>
                <w:szCs w:val="18"/>
              </w:rPr>
            </w:pPr>
            <w:r>
              <w:rPr>
                <w:rFonts w:ascii="Times New Roman"/>
                <w:sz w:val="18"/>
              </w:rPr>
              <w:t>3,899,100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352,359,687</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29.709991pt;margin-top:19.911692pt;width:52.6pt;height:82pt;mso-position-horizontal-relative:page;mso-position-vertical-relative:paragraph;z-index:-1201048" coordorigin="6594,398" coordsize="1052,1640">
            <v:group style="position:absolute;left:6594;top:398;width:1052;height:1640" coordorigin="6594,398" coordsize="1052,1640">
              <v:shape style="position:absolute;left:6594;top:398;width:1052;height:1640" coordorigin="6594,398" coordsize="1052,1640" path="m6594,2037l7645,2037,7645,398,6594,398,6594,2037xe" filled="true" fillcolor="#ffffff" stroked="false">
                <v:path arrowok="t"/>
                <v:fill type="solid"/>
              </v:shape>
            </v:group>
            <v:group style="position:absolute;left:6616;top:1022;width:1008;height:392" coordorigin="6616,1022" coordsize="1008,392">
              <v:shape style="position:absolute;left:6616;top:1022;width:1008;height:392" coordorigin="6616,1022" coordsize="1008,392" path="m6616,1413l7624,1413,7624,1022,6616,1022,6616,1413xe" filled="true" fillcolor="#ffffff" stroked="false">
                <v:path arrowok="t"/>
                <v:fill type="solid"/>
              </v:shape>
            </v:group>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165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86,392</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100,345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9"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341,609,596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-104,572,004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334,636,200</w:t>
            </w:r>
          </w:p>
        </w:tc>
        <w:tc>
          <w:tcPr>
            <w:tcW w:w="92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246,160,900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谢征昊</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22,970,900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22,970,900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华夏基金管理 有限公司－社 保基金四二二 组合</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21,858,999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21,858,999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中信证券股份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15,673,626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15,673,626</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境外自然人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中国银行股份 有限公司－华 夏行业精选混 合型证券投资 基金</w:t>
            </w:r>
            <w:r>
              <w:rPr>
                <w:rFonts w:ascii="Times New Roman" w:hAnsi="Times New Roman" w:cs="Times New Roman" w:eastAsia="Times New Roman" w:hint="default"/>
                <w:sz w:val="18"/>
                <w:szCs w:val="18"/>
              </w:rPr>
              <w:t>(LOF)</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11,549,400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11,549,400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北信瑞丰基金</w:t>
            </w:r>
          </w:p>
          <w:p>
            <w:pPr>
              <w:pStyle w:val="TableParagraph"/>
              <w:spacing w:line="316" w:lineRule="auto" w:before="77"/>
              <w:ind w:left="24" w:right="84"/>
              <w:jc w:val="both"/>
              <w:rPr>
                <w:rFonts w:ascii="宋体" w:hAnsi="宋体" w:cs="宋体" w:eastAsia="宋体" w:hint="default"/>
                <w:sz w:val="18"/>
                <w:szCs w:val="18"/>
              </w:rPr>
            </w:pPr>
            <w:r>
              <w:rPr>
                <w:rFonts w:ascii="宋体" w:hAnsi="宋体" w:cs="宋体" w:eastAsia="宋体" w:hint="default"/>
                <w:sz w:val="18"/>
                <w:szCs w:val="18"/>
              </w:rPr>
              <w:t>－南京银行－ 中航信托－中 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p>
          <w:p>
            <w:pPr>
              <w:pStyle w:val="TableParagraph"/>
              <w:spacing w:line="248" w:lineRule="exact"/>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163</w:t>
            </w:r>
          </w:p>
          <w:p>
            <w:pPr>
              <w:pStyle w:val="TableParagraph"/>
              <w:spacing w:line="316" w:lineRule="auto" w:before="63"/>
              <w:ind w:left="24" w:right="84"/>
              <w:jc w:val="both"/>
              <w:rPr>
                <w:rFonts w:ascii="宋体" w:hAnsi="宋体" w:cs="宋体" w:eastAsia="宋体" w:hint="default"/>
                <w:sz w:val="18"/>
                <w:szCs w:val="18"/>
              </w:rPr>
            </w:pPr>
            <w:r>
              <w:rPr>
                <w:rFonts w:ascii="宋体" w:hAnsi="宋体" w:cs="宋体" w:eastAsia="宋体" w:hint="default"/>
                <w:sz w:val="18"/>
                <w:szCs w:val="18"/>
              </w:rPr>
              <w:t>号南京高科华 睿集合资金信 托计划</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9,888,095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-23,891,853</w:t>
            </w: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9,888,095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任思琦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9,518,303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9,518,303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8,460,892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-2,820,298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8,460,892</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98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－嘉实主题新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0.54%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7,875,454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7,875,454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67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动力混合型证 券投资基金</w:t>
            </w:r>
          </w:p>
        </w:tc>
        <w:tc>
          <w:tcPr>
            <w:tcW w:w="1198"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2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名股东中，公司第一大股东林皓先生与上述其他股东之间不存在关联关系或一致行动 </w:t>
            </w:r>
            <w:r>
              <w:rPr>
                <w:rFonts w:ascii="宋体" w:hAnsi="宋体" w:cs="宋体" w:eastAsia="宋体" w:hint="default"/>
                <w:spacing w:val="-3"/>
                <w:sz w:val="18"/>
                <w:szCs w:val="18"/>
              </w:rPr>
              <w:t>关系，未知其他股东间是否存在关联关系，也未知其他股东是否属于《上市公司持股变动信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息披露管理办法》中规定的一致行动人。</w:t>
            </w:r>
          </w:p>
        </w:tc>
      </w:tr>
      <w:tr>
        <w:trPr>
          <w:trHeight w:val="706"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4" w:space="0" w:color="000000"/>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4" w:space="0" w:color="000000"/>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谢征昊</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22,970,900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22,970,900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华夏基金管理有限公司－社保 基金四二二组合</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21,858,999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21,858,999</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15,673,626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15,673,626</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王武</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15,350,000</w:t>
            </w: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中国银行股份有限公司－华夏 行业精选混合型证券投资基金 </w:t>
            </w:r>
            <w:r>
              <w:rPr>
                <w:rFonts w:ascii="Times New Roman" w:hAnsi="Times New Roman" w:cs="Times New Roman" w:eastAsia="Times New Roman" w:hint="default"/>
                <w:sz w:val="18"/>
                <w:szCs w:val="18"/>
              </w:rPr>
              <w:t>(LOF)</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11,549,400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11,549,400</w:t>
            </w:r>
          </w:p>
        </w:tc>
      </w:tr>
      <w:tr>
        <w:trPr>
          <w:trHeight w:val="1337"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北信瑞丰基金－南京银行－中 航信托－中航信托</w:t>
            </w:r>
            <w:r>
              <w:rPr>
                <w:rFonts w:ascii="Times New Roman" w:hAnsi="Times New Roman" w:cs="Times New Roman" w:eastAsia="Times New Roman" w:hint="default"/>
                <w:sz w:val="18"/>
                <w:szCs w:val="18"/>
              </w:rPr>
              <w:t>·</w:t>
            </w:r>
            <w:r>
              <w:rPr>
                <w:rFonts w:ascii="宋体" w:hAnsi="宋体" w:cs="宋体" w:eastAsia="宋体" w:hint="default"/>
                <w:sz w:val="18"/>
                <w:szCs w:val="18"/>
              </w:rPr>
              <w:t>天启</w:t>
            </w:r>
          </w:p>
          <w:p>
            <w:pPr>
              <w:pStyle w:val="TableParagraph"/>
              <w:spacing w:line="300" w:lineRule="auto"/>
              <w:ind w:left="24"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号南京高科华睿 集合资金信托计划</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9,888,095</w:t>
            </w:r>
            <w:r>
              <w:rPr>
                <w:rFonts w:ascii="Times New Roman"/>
                <w:sz w:val="18"/>
              </w:rPr>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9,888,095</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任思琦</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9,518,303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9,518,303</w:t>
            </w: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中国工商银行股份有限公司－ 嘉实主题新动力混合型证券投 资基金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7,875,454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7,875,454</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中国银行股份有限公司－嘉实 逆向策略股票型证券投资基金</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7,678,175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7,678,175</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谢湘菊</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7,238,000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7,238,000</w:t>
            </w:r>
          </w:p>
        </w:tc>
      </w:tr>
      <w:tr>
        <w:trPr>
          <w:trHeight w:val="1340"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23" w:right="23"/>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名股东中，公司第一大股东林皓先生与上述其他股东之间不存在关联关系或一致行动 </w:t>
            </w:r>
            <w:r>
              <w:rPr>
                <w:rFonts w:ascii="宋体" w:hAnsi="宋体" w:cs="宋体" w:eastAsia="宋体" w:hint="default"/>
                <w:spacing w:val="-3"/>
                <w:sz w:val="18"/>
                <w:szCs w:val="18"/>
              </w:rPr>
              <w:t>关系，未知上述股东间是否存在关联关系，也未知上述股东是否属于《上市公司持股变动信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息披露管理办法》中规定的一致行动人。</w:t>
            </w:r>
          </w:p>
        </w:tc>
      </w:tr>
    </w:tbl>
    <w:p>
      <w:pPr>
        <w:spacing w:after="0" w:line="309"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7"/>
        <w:gridCol w:w="7173"/>
      </w:tblGrid>
      <w:tr>
        <w:trPr>
          <w:trHeight w:val="1028"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上述股东中，谢征昊通过财富证券有限责任公司客户信用交易担保证券账户持有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8,281,100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股，任思琦通过兴业证券股份有限公司客户信用交易担保证券账户持有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9,409,603 </w:t>
            </w:r>
            <w:r>
              <w:rPr>
                <w:rFonts w:ascii="宋体" w:hAnsi="宋体" w:cs="宋体" w:eastAsia="宋体" w:hint="default"/>
                <w:sz w:val="18"/>
                <w:szCs w:val="18"/>
              </w:rPr>
              <w:t>股，谢湘</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菊通过兴业证券股份有限公司客户信用交易担保证券账户持有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5,038,500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49"/>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1122"/>
        <w:jc w:val="left"/>
      </w:pPr>
      <w:r>
        <w:rPr/>
        <w:t>控股股东报告期内变更</w:t>
      </w:r>
    </w:p>
    <w:p>
      <w:pPr>
        <w:pStyle w:val="BodyText"/>
        <w:spacing w:line="340" w:lineRule="auto" w:before="115"/>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公司董事长、总经理</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1122"/>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after="0" w:line="34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p>
      <w:pPr>
        <w:spacing w:line="4590" w:lineRule="exact"/>
        <w:ind w:left="1355" w:right="0" w:firstLine="0"/>
        <w:rPr>
          <w:rFonts w:ascii="宋体" w:hAnsi="宋体" w:cs="宋体" w:eastAsia="宋体" w:hint="default"/>
          <w:sz w:val="20"/>
          <w:szCs w:val="20"/>
        </w:rPr>
      </w:pPr>
      <w:r>
        <w:rPr>
          <w:rFonts w:ascii="宋体" w:hAnsi="宋体" w:cs="宋体" w:eastAsia="宋体" w:hint="default"/>
          <w:position w:val="-91"/>
          <w:sz w:val="20"/>
          <w:szCs w:val="20"/>
        </w:rPr>
        <w:drawing>
          <wp:inline distT="0" distB="0" distL="0" distR="0">
            <wp:extent cx="4592589" cy="2914650"/>
            <wp:effectExtent l="0" t="0" r="0" b="0"/>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5" cstate="print"/>
                    <a:stretch>
                      <a:fillRect/>
                    </a:stretch>
                  </pic:blipFill>
                  <pic:spPr>
                    <a:xfrm>
                      <a:off x="0" y="0"/>
                      <a:ext cx="4592589" cy="2914650"/>
                    </a:xfrm>
                    <a:prstGeom prst="rect">
                      <a:avLst/>
                    </a:prstGeom>
                  </pic:spPr>
                </pic:pic>
              </a:graphicData>
            </a:graphic>
          </wp:inline>
        </w:drawing>
      </w:r>
      <w:r>
        <w:rPr>
          <w:rFonts w:ascii="宋体" w:hAnsi="宋体" w:cs="宋体" w:eastAsia="宋体" w:hint="default"/>
          <w:position w:val="-91"/>
          <w:sz w:val="20"/>
          <w:szCs w:val="20"/>
        </w:rPr>
      </w:r>
    </w:p>
    <w:p>
      <w:pPr>
        <w:spacing w:line="240" w:lineRule="auto" w:before="0"/>
        <w:rPr>
          <w:rFonts w:ascii="宋体" w:hAnsi="宋体" w:cs="宋体" w:eastAsia="宋体" w:hint="default"/>
          <w:sz w:val="14"/>
          <w:szCs w:val="14"/>
        </w:rPr>
      </w:pPr>
    </w:p>
    <w:p>
      <w:pPr>
        <w:pStyle w:val="Heading3"/>
        <w:spacing w:line="240" w:lineRule="auto"/>
        <w:ind w:right="1122"/>
        <w:jc w:val="left"/>
      </w:pPr>
      <w:r>
        <w:rPr/>
        <w:t>实际控制人通过信托或其他资产管理方式控制公司</w:t>
      </w:r>
    </w:p>
    <w:p>
      <w:pPr>
        <w:spacing w:line="240" w:lineRule="auto" w:before="10"/>
        <w:rPr>
          <w:rFonts w:ascii="宋体" w:hAnsi="宋体" w:cs="宋体" w:eastAsia="宋体" w:hint="default"/>
          <w:sz w:val="18"/>
          <w:szCs w:val="18"/>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22"/>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22"/>
        <w:jc w:val="left"/>
        <w:rPr>
          <w:b w:val="0"/>
          <w:bCs w:val="0"/>
        </w:rPr>
      </w:pPr>
      <w:bookmarkStart w:name="_TOC_250005" w:id="8"/>
      <w:r>
        <w:rPr/>
        <w:t>第八节可转换公司债券相关情况</w:t>
      </w:r>
      <w:bookmarkEnd w:id="8"/>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22"/>
        <w:jc w:val="left"/>
        <w:rPr>
          <w:b w:val="0"/>
          <w:bCs w:val="0"/>
        </w:rPr>
      </w:pPr>
      <w:bookmarkStart w:name="_TOC_250004" w:id="9"/>
      <w:r>
        <w:rPr/>
        <w:t>第九节董事、监事、高级管理人员和员工情况</w:t>
      </w:r>
      <w:bookmarkEnd w:id="9"/>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22"/>
        <w:jc w:val="left"/>
        <w:rPr>
          <w:b w:val="0"/>
          <w:bCs w:val="0"/>
        </w:rPr>
      </w:pPr>
      <w:r>
        <w:rPr/>
        <w:pict>
          <v:shape style="position:absolute;margin-left:471.583008pt;margin-top:32.975597pt;width:63.6pt;height:50.9pt;mso-position-horizontal-relative:page;mso-position-vertical-relative:paragraph;z-index:-120102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446,181,6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104,572,0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341,609,5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2,533,650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1,900,237</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712,500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2,137,500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2,375,128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593,782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1,781,346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郭巍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4,591,350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1,147,838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3,443,512</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458,531,7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107,659,5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350,872,1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bl>
    <w:p>
      <w:pPr>
        <w:spacing w:line="240" w:lineRule="auto" w:before="1"/>
        <w:rPr>
          <w:rFonts w:ascii="宋体" w:hAnsi="宋体" w:cs="宋体" w:eastAsia="宋体" w:hint="default"/>
          <w:b/>
          <w:bCs/>
          <w:sz w:val="18"/>
          <w:szCs w:val="18"/>
        </w:rPr>
      </w:pPr>
    </w:p>
    <w:p>
      <w:pPr>
        <w:pStyle w:val="Heading2"/>
        <w:spacing w:line="240" w:lineRule="auto" w:before="26"/>
        <w:ind w:right="1122"/>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日召开第三届董事会第十二次临时会 </w:t>
            </w:r>
            <w:r>
              <w:rPr>
                <w:rFonts w:ascii="宋体" w:hAnsi="宋体" w:cs="宋体" w:eastAsia="宋体" w:hint="default"/>
                <w:spacing w:val="-6"/>
                <w:sz w:val="18"/>
                <w:szCs w:val="18"/>
              </w:rPr>
              <w:t>议，审议通过《关于聘任高级管理人员的议案》，聘任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徐文峰为公司副总经理。</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日召开第三届董事会第十次会议，审议</w:t>
            </w:r>
            <w:r>
              <w:rPr>
                <w:rFonts w:ascii="宋体" w:hAnsi="宋体" w:cs="宋体" w:eastAsia="宋体" w:hint="default"/>
                <w:sz w:val="18"/>
                <w:szCs w:val="18"/>
              </w:rPr>
              <w:t> </w:t>
            </w:r>
            <w:r>
              <w:rPr>
                <w:rFonts w:ascii="宋体" w:hAnsi="宋体" w:cs="宋体" w:eastAsia="宋体" w:hint="default"/>
                <w:spacing w:val="-6"/>
                <w:sz w:val="18"/>
                <w:szCs w:val="18"/>
              </w:rPr>
              <w:t>通过《关于聘任董事会秘书的议案》，聘任公司副总经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理徐文峰为公司董事会秘书。</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日召开第三</w:t>
            </w:r>
            <w:r>
              <w:rPr>
                <w:rFonts w:ascii="宋体" w:hAnsi="宋体" w:cs="宋体" w:eastAsia="宋体" w:hint="default"/>
                <w:spacing w:val="-3"/>
                <w:sz w:val="18"/>
                <w:szCs w:val="18"/>
              </w:rPr>
              <w:t>届</w:t>
            </w:r>
            <w:r>
              <w:rPr>
                <w:rFonts w:ascii="宋体" w:hAnsi="宋体" w:cs="宋体" w:eastAsia="宋体" w:hint="default"/>
                <w:sz w:val="18"/>
                <w:szCs w:val="18"/>
              </w:rPr>
              <w:t>董事会第十一次会议</w:t>
            </w:r>
            <w:r>
              <w:rPr>
                <w:rFonts w:ascii="宋体" w:hAnsi="宋体" w:cs="宋体" w:eastAsia="宋体" w:hint="default"/>
                <w:spacing w:val="-85"/>
                <w:sz w:val="18"/>
                <w:szCs w:val="18"/>
              </w:rPr>
              <w:t>，</w:t>
            </w:r>
            <w:r>
              <w:rPr>
                <w:rFonts w:ascii="宋体" w:hAnsi="宋体" w:cs="宋体" w:eastAsia="宋体" w:hint="default"/>
                <w:sz w:val="18"/>
                <w:szCs w:val="18"/>
              </w:rPr>
              <w:t>审</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675"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22"/>
              <w:jc w:val="left"/>
              <w:rPr>
                <w:rFonts w:ascii="宋体" w:hAnsi="宋体" w:cs="宋体" w:eastAsia="宋体" w:hint="default"/>
                <w:sz w:val="18"/>
                <w:szCs w:val="18"/>
              </w:rPr>
            </w:pPr>
            <w:r>
              <w:rPr>
                <w:rFonts w:ascii="宋体" w:hAnsi="宋体" w:cs="宋体" w:eastAsia="宋体" w:hint="default"/>
                <w:spacing w:val="-6"/>
                <w:sz w:val="18"/>
                <w:szCs w:val="18"/>
              </w:rPr>
              <w:t>议通过《关于聘任高级管理人员的议案》，聘任徐扬为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公司副总经理。</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因工作调整原因，申请辞去公司第三届监事会非职工 代表监事职务。</w:t>
            </w:r>
          </w:p>
        </w:tc>
      </w:tr>
      <w:tr>
        <w:trPr>
          <w:trHeight w:val="1339"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日，公司召开</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 大会，审议通过《关于补选公司第三届监事会监事的 </w:t>
            </w:r>
            <w:r>
              <w:rPr>
                <w:rFonts w:ascii="宋体" w:hAnsi="宋体" w:cs="宋体" w:eastAsia="宋体" w:hint="default"/>
                <w:spacing w:val="-4"/>
                <w:sz w:val="18"/>
                <w:szCs w:val="18"/>
              </w:rPr>
              <w:t>议案》，选举郭巍为公司第三届监事会非职工代表监</w:t>
            </w:r>
            <w:r>
              <w:rPr>
                <w:rFonts w:ascii="宋体" w:hAnsi="宋体" w:cs="宋体" w:eastAsia="宋体" w:hint="default"/>
                <w:sz w:val="18"/>
                <w:szCs w:val="18"/>
              </w:rPr>
              <w:t> 事。</w:t>
            </w:r>
          </w:p>
        </w:tc>
      </w:tr>
    </w:tbl>
    <w:p>
      <w:pPr>
        <w:spacing w:line="240" w:lineRule="auto" w:before="1"/>
        <w:rPr>
          <w:rFonts w:ascii="宋体" w:hAnsi="宋体" w:cs="宋体" w:eastAsia="宋体" w:hint="default"/>
          <w:sz w:val="18"/>
          <w:szCs w:val="18"/>
        </w:rPr>
      </w:pPr>
    </w:p>
    <w:p>
      <w:pPr>
        <w:pStyle w:val="Heading2"/>
        <w:spacing w:line="240" w:lineRule="auto" w:before="26"/>
        <w:ind w:right="1122"/>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公司现任董事、监事、高级管理人员专业背景、主要工作经历以及目前在公司的主要职责</w:t>
      </w:r>
    </w:p>
    <w:p>
      <w:pPr>
        <w:pStyle w:val="BodyText"/>
        <w:spacing w:line="300" w:lineRule="auto" w:before="115"/>
        <w:ind w:left="513" w:right="1122"/>
        <w:jc w:val="left"/>
      </w:pPr>
      <w:r>
        <w:rPr>
          <w:rFonts w:ascii="Times New Roman" w:hAnsi="Times New Roman" w:cs="Times New Roman" w:eastAsia="Times New Roman" w:hint="default"/>
          <w:b/>
          <w:bCs/>
        </w:rPr>
        <w:t>1</w:t>
      </w:r>
      <w:r>
        <w:rPr>
          <w:rFonts w:ascii="宋体" w:hAnsi="宋体" w:cs="宋体" w:eastAsia="宋体" w:hint="default"/>
          <w:b/>
          <w:bCs/>
        </w:rPr>
        <w:t>、现任董事情况</w:t>
      </w:r>
      <w:r>
        <w:rPr>
          <w:rFonts w:ascii="宋体" w:hAnsi="宋体" w:cs="宋体" w:eastAsia="宋体" w:hint="default"/>
          <w:b/>
          <w:bCs/>
          <w:w w:val="99"/>
        </w:rPr>
        <w:t> </w:t>
      </w:r>
      <w:r>
        <w:rPr>
          <w:spacing w:val="-2"/>
        </w:rPr>
        <w:t>林皓，中国国籍，无境外永久居留权，</w:t>
      </w:r>
      <w:r>
        <w:rPr>
          <w:rFonts w:ascii="Times New Roman" w:hAnsi="Times New Roman" w:cs="Times New Roman" w:eastAsia="Times New Roman" w:hint="default"/>
          <w:spacing w:val="-2"/>
        </w:rPr>
        <w:t>1966</w:t>
      </w:r>
      <w:r>
        <w:rPr>
          <w:spacing w:val="-2"/>
        </w:rPr>
        <w:t>年生，本科。</w:t>
      </w:r>
      <w:r>
        <w:rPr>
          <w:rFonts w:ascii="Times New Roman" w:hAnsi="Times New Roman" w:cs="Times New Roman" w:eastAsia="Times New Roman" w:hint="default"/>
          <w:spacing w:val="-2"/>
        </w:rPr>
        <w:t>1996</w:t>
      </w:r>
      <w:r>
        <w:rPr>
          <w:spacing w:val="-2"/>
        </w:rPr>
        <w:t>年创建北信源有限以来，历任董事长兼总经理。现任公司</w:t>
      </w:r>
    </w:p>
    <w:p>
      <w:pPr>
        <w:pStyle w:val="BodyText"/>
        <w:spacing w:line="316" w:lineRule="auto" w:before="13"/>
        <w:ind w:right="1122"/>
        <w:jc w:val="left"/>
      </w:pPr>
      <w:r>
        <w:rPr>
          <w:spacing w:val="-2"/>
        </w:rPr>
        <w:t>董事长兼总经理及神州信源、上海北信源执行董事，北信源（马来西亚）董事，香港子公司董事，北京辰信领创信息技术有</w:t>
      </w:r>
      <w:r>
        <w:rPr>
          <w:spacing w:val="-70"/>
        </w:rPr>
        <w:t> </w:t>
      </w:r>
      <w:r>
        <w:rPr>
          <w:spacing w:val="-70"/>
        </w:rPr>
      </w:r>
      <w:r>
        <w:rPr/>
        <w:t>限公司董事长，中国卫生信息与健康医疗大数据学会信息及应用安全防护分会秘书长。</w:t>
      </w:r>
    </w:p>
    <w:p>
      <w:pPr>
        <w:pStyle w:val="BodyText"/>
        <w:spacing w:line="300" w:lineRule="auto" w:before="19"/>
        <w:ind w:right="1132" w:firstLine="360"/>
        <w:jc w:val="both"/>
      </w:pPr>
      <w:r>
        <w:rPr>
          <w:spacing w:val="-2"/>
        </w:rPr>
        <w:t>杨杰，中国国籍，无境外永久居留权，</w:t>
      </w:r>
      <w:r>
        <w:rPr>
          <w:rFonts w:ascii="Times New Roman" w:hAnsi="Times New Roman" w:cs="Times New Roman" w:eastAsia="Times New Roman" w:hint="default"/>
          <w:spacing w:val="-2"/>
        </w:rPr>
        <w:t>1964</w:t>
      </w:r>
      <w:r>
        <w:rPr>
          <w:spacing w:val="-2"/>
        </w:rPr>
        <w:t>年生，硕士。曾任南京中山工贸总公司驻俄罗斯莫斯科办事处负责人、恒生</w:t>
      </w:r>
      <w:r>
        <w:rPr/>
        <w:t> 电子股份有限公司深圳分公司总经理，城商</w:t>
      </w:r>
      <w:r>
        <w:rPr>
          <w:rFonts w:ascii="Times New Roman" w:hAnsi="Times New Roman" w:cs="Times New Roman" w:eastAsia="Times New Roman" w:hint="default"/>
        </w:rPr>
        <w:t>/</w:t>
      </w:r>
      <w:r>
        <w:rPr/>
        <w:t>农信部总经理，深圳奥尊金融信息技术有限公司副总经理，北信源有限董事、</w:t>
      </w:r>
      <w:r>
        <w:rPr>
          <w:spacing w:val="-49"/>
        </w:rPr>
        <w:t> </w:t>
      </w:r>
      <w:r>
        <w:rPr>
          <w:spacing w:val="-49"/>
        </w:rPr>
      </w:r>
      <w:r>
        <w:rPr/>
        <w:t>副总经理；现任公司董事、副总经理，深圳市金城保密技术有限公司董事，北京信源匡恩工控安全科技有限公司董事长。</w:t>
      </w:r>
    </w:p>
    <w:p>
      <w:pPr>
        <w:pStyle w:val="BodyText"/>
        <w:spacing w:line="300" w:lineRule="auto" w:before="31"/>
        <w:ind w:right="1131" w:firstLine="360"/>
        <w:jc w:val="both"/>
      </w:pPr>
      <w:r>
        <w:rPr>
          <w:spacing w:val="-2"/>
        </w:rPr>
        <w:t>高曦，中国国籍，无境外永久居留权，</w:t>
      </w:r>
      <w:r>
        <w:rPr>
          <w:rFonts w:ascii="Times New Roman" w:hAnsi="Times New Roman" w:cs="Times New Roman" w:eastAsia="Times New Roman" w:hint="default"/>
          <w:spacing w:val="-2"/>
        </w:rPr>
        <w:t>1977</w:t>
      </w:r>
      <w:r>
        <w:rPr>
          <w:spacing w:val="-2"/>
        </w:rPr>
        <w:t>年生，硕士。</w:t>
      </w:r>
      <w:r>
        <w:rPr>
          <w:rFonts w:ascii="Times New Roman" w:hAnsi="Times New Roman" w:cs="Times New Roman" w:eastAsia="Times New Roman" w:hint="default"/>
          <w:spacing w:val="-2"/>
        </w:rPr>
        <w:t>2000</w:t>
      </w:r>
      <w:r>
        <w:rPr>
          <w:spacing w:val="-2"/>
        </w:rPr>
        <w:t>年加入公司曾任董事长研发助理；现任公司董事、副总经</w:t>
      </w:r>
      <w:r>
        <w:rPr/>
        <w:t> 理、研发总监，北信源（马来西亚）董事，北京信源匡恩工控安全科技有限公司董事。</w:t>
      </w:r>
    </w:p>
    <w:p>
      <w:pPr>
        <w:pStyle w:val="BodyText"/>
        <w:spacing w:line="300" w:lineRule="auto" w:before="31"/>
        <w:ind w:right="1132" w:firstLine="360"/>
        <w:jc w:val="both"/>
      </w:pPr>
      <w:r>
        <w:rPr>
          <w:spacing w:val="-2"/>
        </w:rPr>
        <w:t>胡建斌，中国国籍，无境外永久居留权，</w:t>
      </w:r>
      <w:r>
        <w:rPr>
          <w:rFonts w:ascii="Times New Roman" w:hAnsi="Times New Roman" w:cs="Times New Roman" w:eastAsia="Times New Roman" w:hint="default"/>
          <w:spacing w:val="-2"/>
        </w:rPr>
        <w:t>1971</w:t>
      </w:r>
      <w:r>
        <w:rPr>
          <w:spacing w:val="-2"/>
        </w:rPr>
        <w:t>年生，计算机软件与理论博士。先后主持国家自然科学基金、科技部国际</w:t>
      </w:r>
      <w:r>
        <w:rPr/>
        <w:t> 合作重大专项、军口</w:t>
      </w:r>
      <w:r>
        <w:rPr>
          <w:rFonts w:ascii="Times New Roman" w:hAnsi="Times New Roman" w:cs="Times New Roman" w:eastAsia="Times New Roman" w:hint="default"/>
        </w:rPr>
        <w:t>863</w:t>
      </w:r>
      <w:r>
        <w:rPr/>
        <w:t>、总装预研等</w:t>
      </w:r>
      <w:r>
        <w:rPr>
          <w:rFonts w:ascii="Times New Roman" w:hAnsi="Times New Roman" w:cs="Times New Roman" w:eastAsia="Times New Roman" w:hint="default"/>
        </w:rPr>
        <w:t>20</w:t>
      </w:r>
      <w:r>
        <w:rPr/>
        <w:t>余项课题，获得国家科技进步二等奖</w:t>
      </w:r>
      <w:r>
        <w:rPr>
          <w:rFonts w:ascii="Times New Roman" w:hAnsi="Times New Roman" w:cs="Times New Roman" w:eastAsia="Times New Roman" w:hint="default"/>
        </w:rPr>
        <w:t>1</w:t>
      </w:r>
      <w:r>
        <w:rPr/>
        <w:t>项、军队科技进步奖</w:t>
      </w:r>
      <w:r>
        <w:rPr>
          <w:rFonts w:ascii="Times New Roman" w:hAnsi="Times New Roman" w:cs="Times New Roman" w:eastAsia="Times New Roman" w:hint="default"/>
        </w:rPr>
        <w:t>5</w:t>
      </w:r>
      <w:r>
        <w:rPr/>
        <w:t>项，发表</w:t>
      </w:r>
      <w:r>
        <w:rPr>
          <w:rFonts w:ascii="Times New Roman" w:hAnsi="Times New Roman" w:cs="Times New Roman" w:eastAsia="Times New Roman" w:hint="default"/>
        </w:rPr>
        <w:t>SCI/EI</w:t>
      </w:r>
      <w:r>
        <w:rPr/>
        <w:t>检索学</w:t>
      </w:r>
      <w:r>
        <w:rPr>
          <w:spacing w:val="-51"/>
        </w:rPr>
        <w:t> </w:t>
      </w:r>
      <w:r>
        <w:rPr/>
        <w:t>术论文</w:t>
      </w:r>
      <w:r>
        <w:rPr>
          <w:rFonts w:ascii="Times New Roman" w:hAnsi="Times New Roman" w:cs="Times New Roman" w:eastAsia="Times New Roman" w:hint="default"/>
        </w:rPr>
        <w:t>60</w:t>
      </w:r>
      <w:r>
        <w:rPr/>
        <w:t>余篇，拥有发明专利</w:t>
      </w:r>
      <w:r>
        <w:rPr>
          <w:rFonts w:ascii="Times New Roman" w:hAnsi="Times New Roman" w:cs="Times New Roman" w:eastAsia="Times New Roman" w:hint="default"/>
        </w:rPr>
        <w:t>2</w:t>
      </w:r>
      <w:r>
        <w:rPr/>
        <w:t>项。现任公司董事、首席战略官，北京辰信领创信息技术有限公司董事。</w:t>
      </w:r>
    </w:p>
    <w:p>
      <w:pPr>
        <w:pStyle w:val="BodyText"/>
        <w:spacing w:line="300" w:lineRule="auto" w:before="13"/>
        <w:ind w:right="1131" w:firstLine="360"/>
        <w:jc w:val="both"/>
      </w:pPr>
      <w:r>
        <w:rPr/>
        <w:t>王珲，中国国籍，无境外永久居留权，</w:t>
      </w:r>
      <w:r>
        <w:rPr>
          <w:rFonts w:ascii="Times New Roman" w:hAnsi="Times New Roman" w:cs="Times New Roman" w:eastAsia="Times New Roman" w:hint="default"/>
        </w:rPr>
        <w:t>1974</w:t>
      </w:r>
      <w:r>
        <w:rPr>
          <w:rFonts w:ascii="Times New Roman" w:hAnsi="Times New Roman" w:cs="Times New Roman" w:eastAsia="Times New Roman" w:hint="default"/>
          <w:spacing w:val="44"/>
        </w:rPr>
        <w:t> </w:t>
      </w:r>
      <w:r>
        <w:rPr/>
        <w:t>年生，国际税法硕士。毕业于中央财经大学获会计学学士学位，荷兰莱顿 大学获国际税法硕士学位。注册税务师，注册会计师，澳大利亚公共会计师。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月受聘中国商业联合会</w:t>
      </w:r>
      <w:r>
        <w:rPr>
          <w:rFonts w:ascii="Times New Roman" w:hAnsi="Times New Roman" w:cs="Times New Roman" w:eastAsia="Times New Roman" w:hint="default"/>
        </w:rPr>
        <w:t>“</w:t>
      </w:r>
      <w:r>
        <w:rPr/>
        <w:t>国际合规管</w:t>
      </w:r>
      <w:r>
        <w:rPr>
          <w:spacing w:val="-76"/>
        </w:rPr>
        <w:t> </w:t>
      </w:r>
      <w:r>
        <w:rPr>
          <w:spacing w:val="-76"/>
        </w:rPr>
      </w:r>
      <w:r>
        <w:rPr/>
        <w:t>理专家库</w:t>
      </w:r>
      <w:r>
        <w:rPr>
          <w:rFonts w:ascii="Times New Roman" w:hAnsi="Times New Roman" w:cs="Times New Roman" w:eastAsia="Times New Roman" w:hint="default"/>
        </w:rPr>
        <w:t>”</w:t>
      </w:r>
      <w:r>
        <w:rPr/>
        <w:t>资深财税专家。现任上海华赫企业管理咨询（集团）有限公司副总裁。现任公司独立董事。</w:t>
      </w:r>
    </w:p>
    <w:p>
      <w:pPr>
        <w:pStyle w:val="BodyText"/>
        <w:spacing w:line="300" w:lineRule="auto" w:before="13"/>
        <w:ind w:right="0" w:firstLine="360"/>
        <w:jc w:val="left"/>
      </w:pPr>
      <w:r>
        <w:rPr>
          <w:spacing w:val="-4"/>
        </w:rPr>
        <w:t>齐越，中国国籍，男，</w:t>
      </w:r>
      <w:r>
        <w:rPr>
          <w:rFonts w:ascii="Times New Roman" w:hAnsi="Times New Roman" w:cs="Times New Roman" w:eastAsia="Times New Roman" w:hint="default"/>
          <w:spacing w:val="-4"/>
        </w:rPr>
        <w:t>1969</w:t>
      </w:r>
      <w:r>
        <w:rPr>
          <w:spacing w:val="-4"/>
        </w:rPr>
        <w:t>年生，中共党员，博士。北京航空航天大学教授，博士生导师。美国哈佛大学高级访问学者。</w:t>
      </w:r>
      <w:r>
        <w:rPr/>
        <w:t> 主要从事虚拟现实研究。主持了国家自然科学基金、国家重点研发计划、国家</w:t>
      </w:r>
      <w:r>
        <w:rPr>
          <w:rFonts w:ascii="Times New Roman" w:hAnsi="Times New Roman" w:cs="Times New Roman" w:eastAsia="Times New Roman" w:hint="default"/>
        </w:rPr>
        <w:t>863</w:t>
      </w:r>
      <w:r>
        <w:rPr/>
        <w:t>计划、国家科技支撑计划等科研项目。在</w:t>
      </w:r>
      <w:r>
        <w:rPr>
          <w:spacing w:val="-84"/>
        </w:rPr>
        <w:t> </w:t>
      </w:r>
      <w:r>
        <w:rPr>
          <w:spacing w:val="-84"/>
        </w:rPr>
      </w:r>
      <w:r>
        <w:rPr/>
        <w:t>国内外重要学术期刊和会议发表论文</w:t>
      </w:r>
      <w:r>
        <w:rPr>
          <w:rFonts w:ascii="Times New Roman" w:hAnsi="Times New Roman" w:cs="Times New Roman" w:eastAsia="Times New Roman" w:hint="default"/>
        </w:rPr>
        <w:t>80</w:t>
      </w:r>
      <w:r>
        <w:rPr/>
        <w:t>余篇；获中国发明专利授权</w:t>
      </w:r>
      <w:r>
        <w:rPr>
          <w:rFonts w:ascii="Times New Roman" w:hAnsi="Times New Roman" w:cs="Times New Roman" w:eastAsia="Times New Roman" w:hint="default"/>
        </w:rPr>
        <w:t>30</w:t>
      </w:r>
      <w:r>
        <w:rPr/>
        <w:t>余项；获国家科技进步一等奖</w:t>
      </w:r>
      <w:r>
        <w:rPr>
          <w:rFonts w:ascii="Times New Roman" w:hAnsi="Times New Roman" w:cs="Times New Roman" w:eastAsia="Times New Roman" w:hint="default"/>
        </w:rPr>
        <w:t>1</w:t>
      </w:r>
      <w:r>
        <w:rPr/>
        <w:t>项，教育部技术发明一</w:t>
      </w:r>
      <w:r>
        <w:rPr>
          <w:spacing w:val="-83"/>
        </w:rPr>
        <w:t> </w:t>
      </w:r>
      <w:r>
        <w:rPr/>
        <w:t>等奖</w:t>
      </w:r>
      <w:r>
        <w:rPr>
          <w:rFonts w:ascii="Times New Roman" w:hAnsi="Times New Roman" w:cs="Times New Roman" w:eastAsia="Times New Roman" w:hint="default"/>
        </w:rPr>
        <w:t>1</w:t>
      </w:r>
      <w:r>
        <w:rPr/>
        <w:t>项。现任公司独立董事。</w:t>
      </w:r>
    </w:p>
    <w:p>
      <w:pPr>
        <w:pStyle w:val="BodyText"/>
        <w:spacing w:line="300" w:lineRule="auto" w:before="13"/>
        <w:ind w:right="1132" w:firstLine="360"/>
        <w:jc w:val="both"/>
      </w:pPr>
      <w:r>
        <w:rPr>
          <w:spacing w:val="-2"/>
        </w:rPr>
        <w:t>杨逢柱，中国国籍，无境外永久居留权，</w:t>
      </w:r>
      <w:r>
        <w:rPr>
          <w:rFonts w:ascii="Times New Roman" w:hAnsi="Times New Roman" w:cs="Times New Roman" w:eastAsia="Times New Roman" w:hint="default"/>
          <w:spacing w:val="-2"/>
        </w:rPr>
        <w:t>1978</w:t>
      </w:r>
      <w:r>
        <w:rPr>
          <w:spacing w:val="-2"/>
        </w:rPr>
        <w:t>年生，中共党员，国际法博士。曾任江西省燕真了商标事务所专员，曾获</w:t>
      </w:r>
      <w:r>
        <w:rPr/>
        <w:t> </w:t>
      </w:r>
      <w:r>
        <w:rPr>
          <w:spacing w:val="-2"/>
        </w:rPr>
        <w:t>得北京中医药大学</w:t>
      </w:r>
      <w:r>
        <w:rPr>
          <w:rFonts w:ascii="Times New Roman" w:hAnsi="Times New Roman" w:cs="Times New Roman" w:eastAsia="Times New Roman" w:hint="default"/>
          <w:spacing w:val="-2"/>
        </w:rPr>
        <w:t>“</w:t>
      </w:r>
      <w:r>
        <w:rPr>
          <w:spacing w:val="-2"/>
        </w:rPr>
        <w:t>就业先进个人</w:t>
      </w:r>
      <w:r>
        <w:rPr>
          <w:rFonts w:ascii="Times New Roman" w:hAnsi="Times New Roman" w:cs="Times New Roman" w:eastAsia="Times New Roman" w:hint="default"/>
          <w:spacing w:val="-2"/>
        </w:rPr>
        <w:t>”</w:t>
      </w:r>
      <w:r>
        <w:rPr>
          <w:spacing w:val="-2"/>
        </w:rPr>
        <w:t>，北京中医药大学优秀教师。曾出版《法律基础》、《中医药法学》等文献。现任北京中</w:t>
      </w:r>
      <w:r>
        <w:rPr>
          <w:spacing w:val="-48"/>
        </w:rPr>
        <w:t> </w:t>
      </w:r>
      <w:r>
        <w:rPr>
          <w:spacing w:val="-48"/>
        </w:rPr>
      </w:r>
      <w:r>
        <w:rPr/>
        <w:t>医药大学法律系主任、副教授、北京北中医国医堂医疗健康管理有限公司董事。现任公司独立董事。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4"/>
          <w:szCs w:val="14"/>
        </w:rPr>
      </w:pPr>
    </w:p>
    <w:p>
      <w:pPr>
        <w:pStyle w:val="BodyText"/>
        <w:spacing w:line="300" w:lineRule="auto"/>
        <w:ind w:left="513" w:right="1123"/>
        <w:jc w:val="left"/>
      </w:pPr>
      <w:r>
        <w:rPr>
          <w:rFonts w:ascii="Times New Roman" w:hAnsi="Times New Roman" w:cs="Times New Roman" w:eastAsia="Times New Roman" w:hint="default"/>
          <w:b/>
          <w:bCs/>
        </w:rPr>
        <w:t>2</w:t>
      </w:r>
      <w:r>
        <w:rPr>
          <w:rFonts w:ascii="宋体" w:hAnsi="宋体" w:cs="宋体" w:eastAsia="宋体" w:hint="default"/>
          <w:b/>
          <w:bCs/>
        </w:rPr>
        <w:t>、现任监事情况</w:t>
      </w:r>
      <w:r>
        <w:rPr>
          <w:rFonts w:ascii="宋体" w:hAnsi="宋体" w:cs="宋体" w:eastAsia="宋体" w:hint="default"/>
          <w:b/>
          <w:bCs/>
          <w:w w:val="99"/>
        </w:rPr>
        <w:t> </w:t>
      </w:r>
      <w:r>
        <w:rPr/>
        <w:t>钟力先生，中国国籍，无境外永久居留权，</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月生，中共党员，博士，教授级高级工程师，毕业于解放军国防科</w:t>
      </w:r>
    </w:p>
    <w:p>
      <w:pPr>
        <w:pStyle w:val="BodyText"/>
        <w:spacing w:line="316" w:lineRule="auto" w:before="13"/>
        <w:ind w:right="0"/>
        <w:jc w:val="left"/>
      </w:pPr>
      <w:r>
        <w:rPr>
          <w:spacing w:val="-4"/>
        </w:rPr>
        <w:t>技大学系统工程专业。曾任解放军信息安全测评认证中心工程师、高级工程师和网络安全实验室主任；现任公司监事会主席、</w:t>
      </w:r>
      <w:r>
        <w:rPr>
          <w:spacing w:val="-43"/>
        </w:rPr>
        <w:t> </w:t>
      </w:r>
      <w:r>
        <w:rPr>
          <w:spacing w:val="-43"/>
        </w:rPr>
      </w:r>
      <w:r>
        <w:rPr/>
        <w:t>核心技术发展中心总经理。</w:t>
      </w:r>
    </w:p>
    <w:p>
      <w:pPr>
        <w:pStyle w:val="BodyText"/>
        <w:spacing w:line="300" w:lineRule="auto" w:before="19"/>
        <w:ind w:right="1129" w:firstLine="360"/>
        <w:jc w:val="both"/>
      </w:pPr>
      <w:r>
        <w:rPr>
          <w:spacing w:val="-2"/>
        </w:rPr>
        <w:t>杨华，中国国籍，无境外永久居留权，</w:t>
      </w:r>
      <w:r>
        <w:rPr>
          <w:rFonts w:ascii="Times New Roman" w:hAnsi="Times New Roman" w:cs="Times New Roman" w:eastAsia="Times New Roman" w:hint="default"/>
          <w:spacing w:val="-2"/>
        </w:rPr>
        <w:t>1977</w:t>
      </w:r>
      <w:r>
        <w:rPr>
          <w:spacing w:val="-2"/>
        </w:rPr>
        <w:t>年生，博士。现任公司监事、研发总经理。人工智能产业技术创新联盟（北</w:t>
      </w:r>
      <w:r>
        <w:rPr/>
        <w:t> 京）科技有限公司总经理。</w:t>
      </w:r>
    </w:p>
    <w:p>
      <w:pPr>
        <w:pStyle w:val="BodyText"/>
        <w:spacing w:line="300" w:lineRule="auto" w:before="31"/>
        <w:ind w:right="1131" w:firstLine="360"/>
        <w:jc w:val="both"/>
      </w:pPr>
      <w:r>
        <w:rPr>
          <w:spacing w:val="-2"/>
        </w:rPr>
        <w:t>郭巍，中国国籍，无境外永久居留权，</w:t>
      </w:r>
      <w:r>
        <w:rPr>
          <w:rFonts w:ascii="Times New Roman" w:hAnsi="Times New Roman" w:cs="Times New Roman" w:eastAsia="Times New Roman" w:hint="default"/>
          <w:spacing w:val="-2"/>
        </w:rPr>
        <w:t>1984</w:t>
      </w:r>
      <w:r>
        <w:rPr>
          <w:spacing w:val="-2"/>
        </w:rPr>
        <w:t>年</w:t>
      </w:r>
      <w:r>
        <w:rPr>
          <w:rFonts w:ascii="Times New Roman" w:hAnsi="Times New Roman" w:cs="Times New Roman" w:eastAsia="Times New Roman" w:hint="default"/>
          <w:spacing w:val="-2"/>
        </w:rPr>
        <w:t>12</w:t>
      </w:r>
      <w:r>
        <w:rPr>
          <w:spacing w:val="-2"/>
        </w:rPr>
        <w:t>月生，学士学位，曾任北京协联信息科技公司编辑、频道负责人，网易</w:t>
      </w:r>
      <w:r>
        <w:rPr/>
        <w:t> </w:t>
      </w:r>
      <w:r>
        <w:rPr>
          <w:spacing w:val="-2"/>
        </w:rPr>
        <w:t>汽车频道编辑，蓝色光标品牌管理顾问股份有限公司高级客户主任，福云明网络科技有限公司市场经理，现任公司监事、市</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场总监。</w:t>
      </w:r>
    </w:p>
    <w:p>
      <w:pPr>
        <w:spacing w:line="240" w:lineRule="auto" w:before="0"/>
        <w:rPr>
          <w:rFonts w:ascii="宋体" w:hAnsi="宋体" w:cs="宋体" w:eastAsia="宋体" w:hint="default"/>
          <w:sz w:val="18"/>
          <w:szCs w:val="18"/>
        </w:rPr>
      </w:pPr>
    </w:p>
    <w:p>
      <w:pPr>
        <w:pStyle w:val="BodyText"/>
        <w:spacing w:line="312" w:lineRule="auto" w:before="153"/>
        <w:ind w:left="513" w:right="6073"/>
        <w:jc w:val="left"/>
      </w:pPr>
      <w:r>
        <w:rPr>
          <w:rFonts w:ascii="Times New Roman" w:hAnsi="Times New Roman" w:cs="Times New Roman" w:eastAsia="Times New Roman" w:hint="default"/>
          <w:b/>
          <w:bCs/>
        </w:rPr>
        <w:t>3</w:t>
      </w:r>
      <w:r>
        <w:rPr>
          <w:rFonts w:ascii="宋体" w:hAnsi="宋体" w:cs="宋体" w:eastAsia="宋体" w:hint="default"/>
          <w:b/>
          <w:bCs/>
        </w:rPr>
        <w:t>、现任高级管理人员</w:t>
      </w:r>
      <w:r>
        <w:rPr>
          <w:rFonts w:ascii="宋体" w:hAnsi="宋体" w:cs="宋体" w:eastAsia="宋体" w:hint="default"/>
          <w:b/>
          <w:bCs/>
          <w:w w:val="99"/>
        </w:rPr>
        <w:t> </w:t>
      </w:r>
      <w:r>
        <w:rPr/>
        <w:t>林皓，现任公司总经理，简历参见董事会成员介绍。 杨杰，现任公司副总经理，简历参见董事会成员介绍。 高曦，现任公司副总经理，简历参见董事会成员介绍。</w:t>
      </w:r>
    </w:p>
    <w:p>
      <w:pPr>
        <w:pStyle w:val="BodyText"/>
        <w:spacing w:line="309" w:lineRule="auto" w:before="22"/>
        <w:ind w:right="1133" w:firstLine="360"/>
        <w:jc w:val="both"/>
      </w:pPr>
      <w:r>
        <w:rPr/>
        <w:t>王晓娜，中国国籍，无境外永久居留权，</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2</w:t>
      </w:r>
      <w:r>
        <w:rPr/>
        <w:t>月出生，硕士，曾任北信源有限公司副总经理，现任公司副总经理、 </w:t>
      </w:r>
      <w:r>
        <w:rPr>
          <w:spacing w:val="-2"/>
        </w:rPr>
        <w:t>香港子公司董事、浙江华睿北信源数据信息产业投资合伙企业（有限合伙）投委会委员、北京信源健和科技有限责任公司董</w:t>
      </w:r>
      <w:r>
        <w:rPr>
          <w:spacing w:val="-66"/>
        </w:rPr>
        <w:t> </w:t>
      </w:r>
      <w:r>
        <w:rPr>
          <w:spacing w:val="-66"/>
        </w:rPr>
      </w:r>
      <w:r>
        <w:rPr/>
        <w:t>事、上海北信源供应链管理有限公司董事长。</w:t>
      </w:r>
    </w:p>
    <w:p>
      <w:pPr>
        <w:pStyle w:val="BodyText"/>
        <w:spacing w:line="309" w:lineRule="auto" w:before="24"/>
        <w:ind w:right="1034" w:firstLine="360"/>
        <w:jc w:val="left"/>
      </w:pPr>
      <w:r>
        <w:rPr/>
        <w:t>杨维，中国国籍，无境外永久居留权，</w:t>
      </w:r>
      <w:r>
        <w:rPr>
          <w:rFonts w:ascii="Times New Roman" w:hAnsi="Times New Roman" w:cs="Times New Roman" w:eastAsia="Times New Roman" w:hint="default"/>
        </w:rPr>
        <w:t>1974</w:t>
      </w:r>
      <w:r>
        <w:rPr/>
        <w:t>年</w:t>
      </w:r>
      <w:r>
        <w:rPr>
          <w:rFonts w:ascii="Times New Roman" w:hAnsi="Times New Roman" w:cs="Times New Roman" w:eastAsia="Times New Roman" w:hint="default"/>
        </w:rPr>
        <w:t>5</w:t>
      </w:r>
      <w:r>
        <w:rPr/>
        <w:t>月出生，硕士。历任北京市人民政府电子工业办公室人事教育处科员， 北京松下电子部品有限公司副课长，北信源有限副总经理；现任公司副总经理，深圳市金城保密技术有限公司监事会主席， 国保联盟信息安全技术有限公司董事长，北京北信源信息安全技术有限公司总经理。</w:t>
      </w:r>
    </w:p>
    <w:p>
      <w:pPr>
        <w:pStyle w:val="BodyText"/>
        <w:spacing w:line="312" w:lineRule="auto" w:before="24"/>
        <w:ind w:right="1131" w:firstLine="360"/>
        <w:jc w:val="both"/>
      </w:pPr>
      <w:r>
        <w:rPr>
          <w:spacing w:val="-2"/>
        </w:rPr>
        <w:t>陈曦，中国国籍，无境外永久居留权，</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01</w:t>
      </w:r>
      <w:r>
        <w:rPr>
          <w:spacing w:val="-2"/>
        </w:rPr>
        <w:t>月出生，学士学位，曾先后任成都铁路局通信信号厂技术室技术员，成</w:t>
      </w:r>
      <w:r>
        <w:rPr/>
        <w:t> </w:t>
      </w:r>
      <w:r>
        <w:rPr>
          <w:spacing w:val="-2"/>
        </w:rPr>
        <w:t>都卫士通信息股份有限公司研发工程师、课题负责人、研发部门经理、行业营销事业部总经理、行业营销总监，总经理助理</w:t>
      </w:r>
      <w:r>
        <w:rPr>
          <w:spacing w:val="-67"/>
        </w:rPr>
        <w:t> </w:t>
      </w:r>
      <w:r>
        <w:rPr>
          <w:spacing w:val="-67"/>
        </w:rPr>
      </w:r>
      <w:r>
        <w:rPr>
          <w:spacing w:val="-2"/>
        </w:rPr>
        <w:t>及成都卫士通信息安全技术有限公司副总经理，中电科软件信息服务有限公司行业总监及中电科华云信息技术有限公司营销</w:t>
      </w:r>
      <w:r>
        <w:rPr>
          <w:spacing w:val="-64"/>
        </w:rPr>
        <w:t> </w:t>
      </w:r>
      <w:r>
        <w:rPr>
          <w:spacing w:val="-64"/>
        </w:rPr>
      </w:r>
      <w:r>
        <w:rPr/>
        <w:t>总监；</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月加入公司，任公司董事长助理、战略发展部总经理，现任公司副总经理，嘉兴北源投资合伙企业（有限合</w:t>
      </w:r>
      <w:r>
        <w:rPr>
          <w:spacing w:val="-85"/>
        </w:rPr>
        <w:t> </w:t>
      </w:r>
      <w:r>
        <w:rPr>
          <w:spacing w:val="-85"/>
        </w:rPr>
      </w:r>
      <w:r>
        <w:rPr>
          <w:spacing w:val="-2"/>
        </w:rPr>
        <w:t>伙）投资决策委员会委员，北京信源匡恩工控安全科技有限公司监事，北京双洲科技有限公司董事，杭州芸品绿信息科技有</w:t>
      </w:r>
      <w:r>
        <w:rPr>
          <w:spacing w:val="-64"/>
        </w:rPr>
        <w:t> </w:t>
      </w:r>
      <w:r>
        <w:rPr>
          <w:spacing w:val="-64"/>
        </w:rPr>
      </w:r>
      <w:r>
        <w:rPr/>
        <w:t>限公司董事。</w:t>
      </w:r>
    </w:p>
    <w:p>
      <w:pPr>
        <w:pStyle w:val="BodyText"/>
        <w:spacing w:line="307" w:lineRule="auto" w:before="22"/>
        <w:ind w:right="1131" w:firstLine="360"/>
        <w:jc w:val="both"/>
      </w:pPr>
      <w:r>
        <w:rPr>
          <w:spacing w:val="-2"/>
        </w:rPr>
        <w:t>徐文峰，男，</w:t>
      </w:r>
      <w:r>
        <w:rPr>
          <w:rFonts w:ascii="Times New Roman" w:hAnsi="Times New Roman" w:cs="Times New Roman" w:eastAsia="Times New Roman" w:hint="default"/>
          <w:spacing w:val="-2"/>
        </w:rPr>
        <w:t>1976</w:t>
      </w:r>
      <w:r>
        <w:rPr>
          <w:spacing w:val="-2"/>
        </w:rPr>
        <w:t>年生，中国国籍，中共党员，清华大学工商管理硕士，曾任华东计算技术研究所经理、北京讯飞信息</w:t>
      </w:r>
      <w:r>
        <w:rPr/>
        <w:t> </w:t>
      </w:r>
      <w:r>
        <w:rPr>
          <w:spacing w:val="-2"/>
        </w:rPr>
        <w:t>技术有限公司（合伙创业）副总经理、平安证券有限责任公司投资银行事业部高级业务总监、济南山山股权投资管理有限公</w:t>
      </w:r>
      <w:r>
        <w:rPr>
          <w:spacing w:val="-64"/>
        </w:rPr>
        <w:t> </w:t>
      </w:r>
      <w:r>
        <w:rPr>
          <w:spacing w:val="-64"/>
        </w:rPr>
      </w:r>
      <w:r>
        <w:rPr/>
        <w:t>司总经理、嘉数（湖北）创业投资基金管理股份有限公司投资总监。已于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月获得深圳证券交易所上市公司董事会秘</w:t>
      </w:r>
      <w:r>
        <w:rPr>
          <w:spacing w:val="-85"/>
        </w:rPr>
        <w:t> </w:t>
      </w:r>
      <w:r>
        <w:rPr>
          <w:spacing w:val="-85"/>
        </w:rPr>
      </w:r>
      <w:r>
        <w:rPr/>
        <w:t>书资格证书，现任公司副总经理、董事会秘书。</w:t>
      </w:r>
    </w:p>
    <w:p>
      <w:pPr>
        <w:pStyle w:val="BodyText"/>
        <w:spacing w:line="309" w:lineRule="auto" w:before="26"/>
        <w:ind w:right="1130" w:firstLine="360"/>
        <w:jc w:val="both"/>
      </w:pPr>
      <w:r>
        <w:rPr>
          <w:spacing w:val="-2"/>
        </w:rPr>
        <w:t>徐扬，中国国籍，无境外永久居留权，</w:t>
      </w:r>
      <w:r>
        <w:rPr>
          <w:rFonts w:ascii="Times New Roman" w:hAnsi="Times New Roman" w:cs="Times New Roman" w:eastAsia="Times New Roman" w:hint="default"/>
          <w:spacing w:val="-2"/>
        </w:rPr>
        <w:t>1981</w:t>
      </w:r>
      <w:r>
        <w:rPr>
          <w:spacing w:val="-2"/>
        </w:rPr>
        <w:t>年生，硕士。曾任南京保旺达科技有限公司副总经理、历任公司监事，现任</w:t>
      </w:r>
      <w:r>
        <w:rPr/>
        <w:t> </w:t>
      </w:r>
      <w:r>
        <w:rPr>
          <w:spacing w:val="-2"/>
        </w:rPr>
        <w:t>北信源副总经理、江苏神州信源系统工程有限公司总经理、南通北控洋口港水务有限公司董事、北京玖力辰维投资管理有限</w:t>
      </w:r>
      <w:r>
        <w:rPr>
          <w:spacing w:val="-63"/>
        </w:rPr>
        <w:t> </w:t>
      </w:r>
      <w:r>
        <w:rPr>
          <w:spacing w:val="-63"/>
        </w:rPr>
      </w:r>
      <w:r>
        <w:rPr/>
        <w:t>公司监事。</w:t>
      </w:r>
    </w:p>
    <w:p>
      <w:pPr>
        <w:pStyle w:val="BodyText"/>
        <w:spacing w:line="312" w:lineRule="auto" w:before="24"/>
        <w:ind w:right="1127" w:firstLine="360"/>
        <w:jc w:val="both"/>
      </w:pPr>
      <w:r>
        <w:rPr>
          <w:spacing w:val="-2"/>
        </w:rPr>
        <w:t>邓华明，中国国籍，无境外永久居留权，</w:t>
      </w:r>
      <w:r>
        <w:rPr>
          <w:rFonts w:ascii="Times New Roman" w:hAnsi="Times New Roman" w:cs="Times New Roman" w:eastAsia="Times New Roman" w:hint="default"/>
          <w:spacing w:val="-2"/>
        </w:rPr>
        <w:t>1979</w:t>
      </w:r>
      <w:r>
        <w:rPr>
          <w:spacing w:val="-2"/>
        </w:rPr>
        <w:t>年</w:t>
      </w:r>
      <w:r>
        <w:rPr>
          <w:rFonts w:ascii="Times New Roman" w:hAnsi="Times New Roman" w:cs="Times New Roman" w:eastAsia="Times New Roman" w:hint="default"/>
          <w:spacing w:val="-2"/>
        </w:rPr>
        <w:t>11</w:t>
      </w:r>
      <w:r>
        <w:rPr>
          <w:spacing w:val="-2"/>
        </w:rPr>
        <w:t>月出生，厦门大学会计学硕士，注册会计师（非执业会员），曾先后</w:t>
      </w:r>
      <w:r>
        <w:rPr/>
        <w:t> </w:t>
      </w:r>
      <w:r>
        <w:rPr>
          <w:spacing w:val="-2"/>
        </w:rPr>
        <w:t>任深圳航空有限责任公司会计，中关村发展集团股份有限公司财务管理专业经理，北京知识产权运营管理有限公司资金财务</w:t>
      </w:r>
      <w:r>
        <w:rPr>
          <w:spacing w:val="-64"/>
        </w:rPr>
        <w:t> </w:t>
      </w:r>
      <w:r>
        <w:rPr>
          <w:spacing w:val="-64"/>
        </w:rPr>
      </w:r>
      <w:r>
        <w:rPr>
          <w:spacing w:val="-2"/>
        </w:rPr>
        <w:t>部负责人，现任公司财务总监、北信源（马来西亚）信息技术公司董事、北京美络克思科技有限公司董事、上海北信源供应</w:t>
      </w:r>
      <w:r>
        <w:rPr>
          <w:spacing w:val="-70"/>
        </w:rPr>
        <w:t> </w:t>
      </w:r>
      <w:r>
        <w:rPr>
          <w:spacing w:val="-70"/>
        </w:rPr>
      </w:r>
      <w:r>
        <w:rPr/>
        <w:t>链管理有限公司董事。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2"/>
          <w:szCs w:val="22"/>
        </w:rPr>
      </w:pPr>
    </w:p>
    <w:p>
      <w:pPr>
        <w:pStyle w:val="BodyText"/>
        <w:spacing w:line="240" w:lineRule="auto"/>
        <w:ind w:right="1122"/>
        <w:jc w:val="left"/>
      </w:pPr>
      <w:r>
        <w:rPr/>
        <w:t>在股东单位任职情况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北京辰信领创信息技术有限公司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上海华赫企业管理咨询（集团）有限公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北京航空航天大学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北京中医药大学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法律系主任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94"/>
              <w:jc w:val="left"/>
              <w:rPr>
                <w:rFonts w:ascii="宋体" w:hAnsi="宋体" w:cs="宋体" w:eastAsia="宋体" w:hint="default"/>
                <w:sz w:val="18"/>
                <w:szCs w:val="18"/>
              </w:rPr>
            </w:pPr>
            <w:r>
              <w:rPr>
                <w:rFonts w:ascii="宋体" w:hAnsi="宋体" w:cs="宋体" w:eastAsia="宋体" w:hint="default"/>
                <w:sz w:val="18"/>
                <w:szCs w:val="18"/>
              </w:rPr>
              <w:t>北京北中医国医堂医疗健康管理有限公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浙江华睿北信源数据信息产业投资合伙 企业（有限合伙）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投委会委员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北京信源健和科技有限责任公司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上海北信源供应链管理有限公司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国保联盟信息安全技术有限公司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北京北信源信息安全技术有限公司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嘉兴北源投资合伙企业（有限合伙）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投委会委员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北京信源匡恩工控安全科技有限公司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杭州芸品绿信息科技有限公司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北京美络克思科技有限公司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上海北信源供应链管理有限公司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1122"/>
        <w:jc w:val="left"/>
      </w:pPr>
      <w:r>
        <w:rPr/>
        <w:t>公司现任及报告期内离任董事、监事和高级管理人员近三年证券监管机构处罚的情况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033"/>
        <w:jc w:val="right"/>
      </w:pPr>
      <w:r>
        <w:rPr/>
        <w:pict>
          <v:shape style="position:absolute;margin-left:56.279999pt;margin-top:-56.328274pt;width:484.1pt;height:129.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19"/>
                    <w:gridCol w:w="6440"/>
                  </w:tblGrid>
                  <w:tr>
                    <w:trPr>
                      <w:trHeight w:val="1051"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序</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2" w:right="0"/>
                          <w:jc w:val="both"/>
                          <w:rPr>
                            <w:rFonts w:ascii="宋体" w:hAnsi="宋体" w:cs="宋体" w:eastAsia="宋体" w:hint="default"/>
                            <w:sz w:val="18"/>
                            <w:szCs w:val="18"/>
                          </w:rPr>
                        </w:pPr>
                        <w:r>
                          <w:rPr>
                            <w:rFonts w:ascii="宋体" w:hAnsi="宋体" w:cs="宋体" w:eastAsia="宋体" w:hint="default"/>
                            <w:spacing w:val="-2"/>
                            <w:sz w:val="18"/>
                            <w:szCs w:val="18"/>
                          </w:rPr>
                          <w:t>公司董事、监事报酬由股东大会决定，高级管理人员报酬由董事会决定；在公司担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任职务的董事、监事、高级管理人员报酬由公司根据担任的职务支付，董事、监事</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不另外支付津贴。独立董事津贴根据股东大会所通过的决议来进行支付。</w:t>
                        </w:r>
                      </w:p>
                    </w:tc>
                  </w:tr>
                  <w:tr>
                    <w:trPr>
                      <w:trHeight w:val="739"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 w:right="92"/>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董事、监事、高级管理人员的报酬按照公司《薪酬与考核委员会工作细则》等规定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结合其经营绩效、岗位分工及履行情况等考核确定并发放。</w:t>
                        </w:r>
                      </w:p>
                    </w:tc>
                  </w:tr>
                  <w:tr>
                    <w:trPr>
                      <w:trHeight w:val="781"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付情况</w:t>
                        </w:r>
                      </w:p>
                    </w:tc>
                    <w:tc>
                      <w:tcPr>
                        <w:tcW w:w="6440" w:type="dxa"/>
                        <w:tcBorders>
                          <w:top w:val="single" w:sz="6" w:space="0" w:color="000000"/>
                          <w:left w:val="single" w:sz="6" w:space="0" w:color="000000"/>
                          <w:bottom w:val="single" w:sz="6" w:space="0" w:color="000000"/>
                          <w:right w:val="single" w:sz="6" w:space="0" w:color="000000"/>
                        </w:tcBorders>
                      </w:tcPr>
                      <w:p>
                        <w:pPr>
                          <w:pStyle w:val="TableParagraph"/>
                          <w:spacing w:line="360" w:lineRule="auto" w:before="58"/>
                          <w:ind w:left="2" w:right="121"/>
                          <w:jc w:val="left"/>
                          <w:rPr>
                            <w:rFonts w:ascii="宋体" w:hAnsi="宋体" w:cs="宋体" w:eastAsia="宋体" w:hint="default"/>
                            <w:sz w:val="18"/>
                            <w:szCs w:val="18"/>
                          </w:rPr>
                        </w:pPr>
                        <w:r>
                          <w:rPr>
                            <w:rFonts w:ascii="宋体" w:hAnsi="宋体" w:cs="宋体" w:eastAsia="宋体" w:hint="default"/>
                            <w:sz w:val="18"/>
                            <w:szCs w:val="18"/>
                          </w:rPr>
                          <w:t>报告期内，董事、监事及公司高级管理人员的薪酬均已按照确定的薪酬标准全额 支付。</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BodyText"/>
        <w:spacing w:line="240" w:lineRule="auto" w:before="44"/>
        <w:ind w:right="1122"/>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34.81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胡建斌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徐文峰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邓华明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528.17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2"/>
        <w:jc w:val="left"/>
      </w:pPr>
      <w:r>
        <w:rPr/>
        <w:t>公司董事、高级管理人员报告期内被授予的股权激励情况</w:t>
      </w:r>
    </w:p>
    <w:p>
      <w:pPr>
        <w:pStyle w:val="BodyText"/>
        <w:spacing w:line="240" w:lineRule="auto" w:before="115"/>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1,346</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1,346</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1,346</w:t>
            </w:r>
          </w:p>
        </w:tc>
      </w:tr>
    </w:tbl>
    <w:p>
      <w:pPr>
        <w:spacing w:line="240" w:lineRule="auto" w:before="3"/>
        <w:rPr>
          <w:rFonts w:ascii="宋体" w:hAnsi="宋体" w:cs="宋体" w:eastAsia="宋体" w:hint="default"/>
          <w:b/>
          <w:bCs/>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0" w:firstLine="360"/>
        <w:jc w:val="both"/>
      </w:pPr>
      <w:r>
        <w:rPr>
          <w:spacing w:val="-2"/>
        </w:rPr>
        <w:t>公司根据国家有关劳动法规和政策，结合公司实际情况，采取</w:t>
      </w:r>
      <w:r>
        <w:rPr>
          <w:rFonts w:ascii="Times New Roman" w:hAnsi="Times New Roman" w:cs="Times New Roman" w:eastAsia="Times New Roman" w:hint="default"/>
          <w:spacing w:val="-2"/>
        </w:rPr>
        <w:t>“</w:t>
      </w:r>
      <w:r>
        <w:rPr>
          <w:spacing w:val="-2"/>
        </w:rPr>
        <w:t>竞争性、公平性、业绩导向</w:t>
      </w:r>
      <w:r>
        <w:rPr>
          <w:rFonts w:ascii="Times New Roman" w:hAnsi="Times New Roman" w:cs="Times New Roman" w:eastAsia="Times New Roman" w:hint="default"/>
          <w:spacing w:val="-2"/>
        </w:rPr>
        <w:t>”</w:t>
      </w:r>
      <w:r>
        <w:rPr>
          <w:spacing w:val="-2"/>
        </w:rPr>
        <w:t>的薪酬原则，使公司薪酬政</w:t>
      </w:r>
      <w:r>
        <w:rPr/>
        <w:t> </w:t>
      </w:r>
      <w:r>
        <w:rPr>
          <w:spacing w:val="-2"/>
        </w:rPr>
        <w:t>策服务于公司发展战略。公司整体薪酬水平以市场为导向，以公司经营效益和财务支付能力为前提，员工个人薪酬以员工个</w:t>
      </w:r>
      <w:r>
        <w:rPr>
          <w:spacing w:val="-63"/>
        </w:rPr>
        <w:t> </w:t>
      </w:r>
      <w:r>
        <w:rPr>
          <w:spacing w:val="-63"/>
        </w:rPr>
      </w:r>
      <w:r>
        <w:rPr/>
        <w:t>人的工作能力、工作业绩为依据，把提高工作效率作为目标等。</w:t>
      </w:r>
    </w:p>
    <w:p>
      <w:pPr>
        <w:pStyle w:val="BodyText"/>
        <w:spacing w:line="338" w:lineRule="auto" w:before="65"/>
        <w:ind w:left="513" w:right="1198"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公司人员薪酬计入主营业务成本</w:t>
      </w:r>
      <w:r>
        <w:rPr>
          <w:rFonts w:ascii="Times New Roman" w:hAnsi="Times New Roman" w:cs="Times New Roman" w:eastAsia="Times New Roman" w:hint="default"/>
        </w:rPr>
        <w:t>6,285,314.67</w:t>
      </w:r>
      <w:r>
        <w:rPr/>
        <w:t>万元，占公司成本总额</w:t>
      </w:r>
      <w:r>
        <w:rPr>
          <w:rFonts w:ascii="Times New Roman" w:hAnsi="Times New Roman" w:cs="Times New Roman" w:eastAsia="Times New Roman" w:hint="default"/>
        </w:rPr>
        <w:t>283,540,736.43</w:t>
      </w:r>
      <w:r>
        <w:rPr/>
        <w:t>万元的</w:t>
      </w:r>
      <w:r>
        <w:rPr>
          <w:rFonts w:ascii="Times New Roman" w:hAnsi="Times New Roman" w:cs="Times New Roman" w:eastAsia="Times New Roman" w:hint="default"/>
        </w:rPr>
        <w:t>2.22%</w:t>
      </w:r>
      <w:r>
        <w:rPr/>
        <w:t>。报告期内，公司核心</w:t>
      </w:r>
    </w:p>
    <w:p>
      <w:pPr>
        <w:pStyle w:val="BodyText"/>
        <w:spacing w:line="230" w:lineRule="exact"/>
        <w:ind w:right="1122"/>
        <w:jc w:val="left"/>
      </w:pPr>
      <w:r>
        <w:rPr/>
        <w:t>技术人员数量较去年同期无变化，公司核心技术人员数量占比为</w:t>
      </w:r>
      <w:r>
        <w:rPr>
          <w:rFonts w:ascii="Times New Roman" w:hAnsi="Times New Roman" w:cs="Times New Roman" w:eastAsia="Times New Roman" w:hint="default"/>
        </w:rPr>
        <w:t>0.22%</w:t>
      </w:r>
      <w:r>
        <w:rPr/>
        <w:t>。</w:t>
      </w:r>
    </w:p>
    <w:p>
      <w:pPr>
        <w:spacing w:after="0" w:line="230"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2"/>
        </w:rPr>
        <w:t>公司十分注重员工培训工作，建立了完善的培训体系，报告期内制定并实施了针对各岗位人员的培训计划，包括入职培</w:t>
      </w:r>
      <w:r>
        <w:rPr/>
        <w:t> 训、内部管理制度培训、专业技能培训、素质培训等多种形式、多层次的培训，进一步提升了员工的专业技能和整体素质， 促进员工和公司共同发展，确保公司各项经营计划的顺利开展。</w:t>
      </w:r>
    </w:p>
    <w:p>
      <w:pPr>
        <w:spacing w:line="240" w:lineRule="auto" w:before="10"/>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116"/>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8" w:firstLine="360"/>
        <w:jc w:val="both"/>
      </w:pPr>
      <w:r>
        <w:rPr>
          <w:spacing w:val="-2"/>
        </w:rPr>
        <w:t>报告期内，公司严格按照《公司法》、《证券法》、《上市公司治理准则》、《深圳证券交易所股票上市规则》、《深</w:t>
      </w:r>
      <w:r>
        <w:rPr/>
        <w:t> </w:t>
      </w:r>
      <w:r>
        <w:rPr>
          <w:spacing w:val="-2"/>
        </w:rPr>
        <w:t>圳证券交易所创业板上市公司规范运作指引》及中国证监会有关法律法规的要求，不断完善公司法人治理结构、建立健全公</w:t>
      </w:r>
      <w:r>
        <w:rPr>
          <w:spacing w:val="-61"/>
        </w:rPr>
        <w:t> </w:t>
      </w:r>
      <w:r>
        <w:rPr>
          <w:spacing w:val="-61"/>
        </w:rPr>
      </w:r>
      <w:r>
        <w:rPr>
          <w:spacing w:val="-2"/>
        </w:rPr>
        <w:t>司内部控制体系，加强信息披露，积极开展投资者关系管理工作，持续深入开展公司治理活动，以进一步规范公司运作，提</w:t>
      </w:r>
      <w:r>
        <w:rPr>
          <w:spacing w:val="-67"/>
        </w:rPr>
        <w:t> </w:t>
      </w:r>
      <w:r>
        <w:rPr>
          <w:spacing w:val="-67"/>
        </w:rPr>
      </w:r>
      <w:r>
        <w:rPr/>
        <w:t>高公司治理水平。</w:t>
      </w:r>
    </w:p>
    <w:p>
      <w:pPr>
        <w:pStyle w:val="BodyText"/>
        <w:spacing w:line="300" w:lineRule="auto" w:before="19"/>
        <w:ind w:left="513" w:right="1122"/>
        <w:jc w:val="left"/>
      </w:pPr>
      <w:r>
        <w:rPr>
          <w:rFonts w:ascii="Times New Roman" w:hAnsi="Times New Roman" w:cs="Times New Roman" w:eastAsia="Times New Roman" w:hint="default"/>
        </w:rPr>
        <w:t>1</w:t>
      </w:r>
      <w:r>
        <w:rPr/>
        <w:t>、关于股东与股东大会 </w:t>
      </w:r>
      <w:r>
        <w:rPr>
          <w:spacing w:val="-2"/>
        </w:rPr>
        <w:t>公司严格按照《公司法》、《上市公司股东大会规则》、《公司章程》和《股东大会议事规则》等规定和要求召集和召</w:t>
      </w:r>
    </w:p>
    <w:p>
      <w:pPr>
        <w:pStyle w:val="BodyText"/>
        <w:spacing w:line="316" w:lineRule="auto" w:before="31"/>
        <w:ind w:right="1044"/>
        <w:jc w:val="both"/>
      </w:pPr>
      <w:r>
        <w:rPr>
          <w:spacing w:val="-2"/>
        </w:rPr>
        <w:t>开股东大会，并聘请见证律师对股东大会的合法性出具法律意见书，能够确保全体股东特别是中小股东享有平等地位，充分</w:t>
      </w:r>
      <w:r>
        <w:rPr>
          <w:spacing w:val="-63"/>
        </w:rPr>
        <w:t> </w:t>
      </w:r>
      <w:r>
        <w:rPr>
          <w:spacing w:val="-63"/>
        </w:rPr>
      </w:r>
      <w:r>
        <w:rPr>
          <w:spacing w:val="-4"/>
        </w:rPr>
        <w:t>行使股东权利。报告期内，公司股东大会均由董事会召集召开，出席股东大会的人员资格及股东大会的召开和表决程序合法。</w:t>
      </w:r>
    </w:p>
    <w:p>
      <w:pPr>
        <w:pStyle w:val="BodyText"/>
        <w:spacing w:line="300" w:lineRule="auto" w:before="19"/>
        <w:ind w:left="513" w:right="0"/>
        <w:jc w:val="left"/>
      </w:pPr>
      <w:r>
        <w:rPr>
          <w:rFonts w:ascii="Times New Roman" w:hAnsi="Times New Roman" w:cs="Times New Roman" w:eastAsia="Times New Roman" w:hint="default"/>
        </w:rPr>
        <w:t>2</w:t>
      </w:r>
      <w:r>
        <w:rPr/>
        <w:t>、关于董事与董事会 </w:t>
      </w:r>
      <w:r>
        <w:rPr>
          <w:spacing w:val="-4"/>
        </w:rPr>
        <w:t>公司依法规范董事会运作，确保公司董事会的人数及人员构成符合法律法规和《公司章程》的要求，保证董事会的召集、</w:t>
      </w:r>
    </w:p>
    <w:p>
      <w:pPr>
        <w:pStyle w:val="BodyText"/>
        <w:spacing w:line="316" w:lineRule="auto" w:before="31"/>
        <w:ind w:right="1133"/>
        <w:jc w:val="both"/>
      </w:pPr>
      <w:r>
        <w:rPr>
          <w:spacing w:val="-2"/>
        </w:rPr>
        <w:t>召开和表决程序合法有效，保障全体董事特别是独立董事发挥专业作用。报告期内公司董事能严格按照《公司法》和《公司</w:t>
      </w:r>
      <w:r>
        <w:rPr>
          <w:spacing w:val="-65"/>
        </w:rPr>
        <w:t> </w:t>
      </w:r>
      <w:r>
        <w:rPr>
          <w:spacing w:val="-65"/>
        </w:rPr>
      </w:r>
      <w:r>
        <w:rPr/>
        <w:t>章程》的规定，积极参与公司经营决策活动，履行其职责和义务，并参加证券监管机构组织的相关培训。</w:t>
      </w:r>
    </w:p>
    <w:p>
      <w:pPr>
        <w:pStyle w:val="BodyText"/>
        <w:spacing w:line="300" w:lineRule="auto" w:before="19"/>
        <w:ind w:left="513" w:right="1122"/>
        <w:jc w:val="left"/>
      </w:pPr>
      <w:r>
        <w:rPr>
          <w:rFonts w:ascii="Times New Roman" w:hAnsi="Times New Roman" w:cs="Times New Roman" w:eastAsia="Times New Roman" w:hint="default"/>
        </w:rPr>
        <w:t>3</w:t>
      </w:r>
      <w:r>
        <w:rPr/>
        <w:t>、关于监事和监事会 </w:t>
      </w:r>
      <w:r>
        <w:rPr>
          <w:spacing w:val="-2"/>
        </w:rPr>
        <w:t>公司依法规范监事会的运作，确保公司监事会的人数及人员构成符合法律法规和《公司章程》的要求，保证监事会的召</w:t>
      </w:r>
    </w:p>
    <w:p>
      <w:pPr>
        <w:pStyle w:val="BodyText"/>
        <w:spacing w:line="319" w:lineRule="auto" w:before="31"/>
        <w:ind w:right="1128"/>
        <w:jc w:val="both"/>
      </w:pPr>
      <w:r>
        <w:rPr>
          <w:spacing w:val="-2"/>
        </w:rPr>
        <w:t>集、召开和表决程序合法有效。报告期内公司监事严格按照《公司法》和《公司章程》、《监事会议事规则》的规定，认真</w:t>
      </w:r>
      <w:r>
        <w:rPr>
          <w:spacing w:val="-67"/>
        </w:rPr>
        <w:t> </w:t>
      </w:r>
      <w:r>
        <w:rPr>
          <w:spacing w:val="-67"/>
        </w:rPr>
      </w:r>
      <w:r>
        <w:rPr>
          <w:spacing w:val="-2"/>
        </w:rPr>
        <w:t>履行职责，诚信、勤勉、尽责地对公司重大事项、财务状况、生产经营等各个方面进行监督，以及对公司董事、高级管理人</w:t>
      </w:r>
      <w:r>
        <w:rPr>
          <w:spacing w:val="-73"/>
        </w:rPr>
        <w:t> </w:t>
      </w:r>
      <w:r>
        <w:rPr>
          <w:spacing w:val="-73"/>
        </w:rPr>
      </w:r>
      <w:r>
        <w:rPr/>
        <w:t>员履行职责的合法、合规性进行有效监督，维护公司及股东的合法权益。</w:t>
      </w:r>
    </w:p>
    <w:p>
      <w:pPr>
        <w:pStyle w:val="BodyText"/>
        <w:spacing w:line="300" w:lineRule="auto" w:before="17"/>
        <w:ind w:left="513" w:right="1122"/>
        <w:jc w:val="left"/>
      </w:pPr>
      <w:r>
        <w:rPr>
          <w:rFonts w:ascii="Times New Roman" w:hAnsi="Times New Roman" w:cs="Times New Roman" w:eastAsia="Times New Roman" w:hint="default"/>
        </w:rPr>
        <w:t>4</w:t>
      </w:r>
      <w:r>
        <w:rPr/>
        <w:t>、关于绩效评价与激励约束机制 </w:t>
      </w:r>
      <w:r>
        <w:rPr>
          <w:spacing w:val="-2"/>
        </w:rPr>
        <w:t>公司建立了公正透明的董事、监事和经理人员的绩效评价标准和程序，强化公司高管勤勉尽责意识，充分进行约束与激</w:t>
      </w:r>
    </w:p>
    <w:p>
      <w:pPr>
        <w:pStyle w:val="BodyText"/>
        <w:spacing w:line="309" w:lineRule="auto" w:before="31"/>
        <w:ind w:left="513" w:right="1034" w:hanging="361"/>
        <w:jc w:val="left"/>
      </w:pPr>
      <w:r>
        <w:rPr/>
        <w:t>励，提升公司工作效率及经营效益；公司董事、监事及高级管理人员的聘任及薪酬情况公开、透明，符合法律法规的规定。 </w:t>
      </w:r>
      <w:r>
        <w:rPr>
          <w:rFonts w:ascii="Times New Roman" w:hAnsi="Times New Roman" w:cs="Times New Roman" w:eastAsia="Times New Roman" w:hint="default"/>
        </w:rPr>
        <w:t>5</w:t>
      </w:r>
      <w:r>
        <w:rPr/>
        <w:t>、关于信息披露与透明度 </w:t>
      </w:r>
      <w:r>
        <w:rPr>
          <w:spacing w:val="-2"/>
        </w:rPr>
        <w:t>公司根据《深圳证券交易所股票上市规则》、《公司章程》、《公司信息披露管理办法》等规定，认真履行信息披露义</w:t>
      </w:r>
    </w:p>
    <w:p>
      <w:pPr>
        <w:pStyle w:val="BodyText"/>
        <w:spacing w:line="307" w:lineRule="auto" w:before="24"/>
        <w:ind w:right="1131"/>
        <w:jc w:val="both"/>
      </w:pPr>
      <w:r>
        <w:rPr>
          <w:spacing w:val="-5"/>
        </w:rPr>
        <w:t>务，真实、准确、及时、完整地披露信息，确保公司所有股东公平的获得公司相关信息。</w:t>
      </w:r>
      <w:r>
        <w:rPr>
          <w:rFonts w:ascii="Times New Roman" w:hAnsi="Times New Roman" w:cs="Times New Roman" w:eastAsia="Times New Roman" w:hint="default"/>
          <w:spacing w:val="-5"/>
        </w:rPr>
        <w:t>2019</w:t>
      </w:r>
      <w:r>
        <w:rPr>
          <w:spacing w:val="-5"/>
        </w:rPr>
        <w:t>年公司指定《证券日报》、《证</w:t>
      </w:r>
      <w:r>
        <w:rPr>
          <w:spacing w:val="-71"/>
        </w:rPr>
        <w:t> </w:t>
      </w:r>
      <w:r>
        <w:rPr>
          <w:spacing w:val="-71"/>
        </w:rPr>
      </w:r>
      <w:r>
        <w:rPr/>
        <w:t>券时报》、《中国证券报》和巨潮资讯网</w:t>
      </w:r>
      <w:hyperlink r:id="rId16">
        <w:r>
          <w:rPr>
            <w:rFonts w:ascii="Times New Roman" w:hAnsi="Times New Roman" w:cs="Times New Roman" w:eastAsia="Times New Roman" w:hint="default"/>
          </w:rPr>
          <w:t>http://www.cninfo.com.cn</w:t>
        </w:r>
        <w:r>
          <w:rPr/>
          <w:t>为公司信息披露的报纸和网站，同时还努力通过不同的方</w:t>
        </w:r>
      </w:hyperlink>
      <w:r>
        <w:rPr/>
        <w:t> </w:t>
      </w:r>
      <w:r>
        <w:rPr>
          <w:spacing w:val="-2"/>
        </w:rPr>
        <w:t>式加强投资者的沟通与互动，具体方式有：投资者来访接待、参观、网站的建设，对外的电话专线以保持与投资者的良好沟</w:t>
      </w:r>
      <w:r>
        <w:rPr>
          <w:spacing w:val="-65"/>
        </w:rPr>
        <w:t> </w:t>
      </w:r>
      <w:r>
        <w:rPr>
          <w:spacing w:val="-65"/>
        </w:rPr>
      </w:r>
      <w:r>
        <w:rPr/>
        <w:t>通和透明度。</w:t>
      </w:r>
    </w:p>
    <w:p>
      <w:pPr>
        <w:pStyle w:val="BodyText"/>
        <w:spacing w:line="240" w:lineRule="auto" w:before="67"/>
        <w:ind w:right="0"/>
        <w:jc w:val="both"/>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0" w:firstLine="360"/>
        <w:jc w:val="both"/>
      </w:pPr>
      <w:r>
        <w:rPr>
          <w:spacing w:val="-2"/>
        </w:rPr>
        <w:t>公司严格按照《公司法》、《证券法》、《深圳证券交易所创业板股票上市规则》、《深圳证券交易所创业板上市公司</w:t>
      </w:r>
      <w:r>
        <w:rPr/>
        <w:t> </w:t>
      </w:r>
      <w:r>
        <w:rPr>
          <w:spacing w:val="-2"/>
        </w:rPr>
        <w:t>规范运作指引》等有关法律法规和《公司章程》的要求规范运作，建立并不断完善了法人治理结构，业务、资产、人员、财</w:t>
      </w:r>
      <w:r>
        <w:rPr>
          <w:spacing w:val="-65"/>
        </w:rPr>
        <w:t> </w:t>
      </w:r>
      <w:r>
        <w:rPr>
          <w:spacing w:val="-65"/>
        </w:rPr>
      </w:r>
      <w:r>
        <w:rPr>
          <w:spacing w:val="-2"/>
        </w:rPr>
        <w:t>务、机构等方面与控股股东及实际控制人完全独立，具有完整的业务体系及面向市场独立经营的能力，不存在被控股股东及</w:t>
      </w:r>
      <w:r>
        <w:rPr>
          <w:spacing w:val="-63"/>
        </w:rPr>
        <w:t> </w:t>
      </w:r>
      <w:r>
        <w:rPr>
          <w:spacing w:val="-63"/>
        </w:rPr>
      </w:r>
      <w:r>
        <w:rPr/>
        <w:t>实际控制人及其关联方控制和占用资金、资产及其他资源的情况。</w:t>
      </w:r>
    </w:p>
    <w:p>
      <w:pPr>
        <w:pStyle w:val="BodyText"/>
        <w:spacing w:line="300" w:lineRule="auto" w:before="17"/>
        <w:ind w:left="513" w:right="1122"/>
        <w:jc w:val="left"/>
      </w:pPr>
      <w:r>
        <w:rPr>
          <w:rFonts w:ascii="Times New Roman" w:hAnsi="Times New Roman" w:cs="Times New Roman" w:eastAsia="Times New Roman" w:hint="default"/>
        </w:rPr>
        <w:t>1</w:t>
      </w:r>
      <w:r>
        <w:rPr/>
        <w:t>、业务独立 </w:t>
      </w:r>
      <w:r>
        <w:rPr>
          <w:spacing w:val="-2"/>
        </w:rPr>
        <w:t>公司业务独立，具备与业务经营相关的独立完整的采购系统、研发系统、销售系统、售后服务及运维系统，完全独立于</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left="513" w:right="1122" w:hanging="361"/>
        <w:jc w:val="left"/>
      </w:pPr>
      <w:r>
        <w:rPr/>
        <w:t>控股股东、实际控制人，不存在与控股股东、实际控制人及其控制的其他企业间的同业竞争和显失公平的关联交易。 </w:t>
      </w:r>
      <w:r>
        <w:rPr>
          <w:rFonts w:ascii="Times New Roman" w:hAnsi="Times New Roman" w:cs="Times New Roman" w:eastAsia="Times New Roman" w:hint="default"/>
        </w:rPr>
        <w:t>2</w:t>
      </w:r>
      <w:r>
        <w:rPr/>
        <w:t>、资产独立 </w:t>
      </w:r>
      <w:r>
        <w:rPr>
          <w:spacing w:val="-2"/>
        </w:rPr>
        <w:t>公司拥有独立的生产经营场所、生产经营资产、采购销售系统及配套设施，不存在被控股股东或其他关联方违规占用资</w:t>
      </w:r>
    </w:p>
    <w:p>
      <w:pPr>
        <w:pStyle w:val="BodyText"/>
        <w:spacing w:line="240" w:lineRule="auto" w:before="24"/>
        <w:ind w:right="1122"/>
        <w:jc w:val="left"/>
      </w:pPr>
      <w:r>
        <w:rPr/>
        <w:t>金、资产及其他资源的情形。</w:t>
      </w:r>
    </w:p>
    <w:p>
      <w:pPr>
        <w:pStyle w:val="BodyText"/>
        <w:spacing w:line="300" w:lineRule="auto" w:before="76"/>
        <w:ind w:left="513" w:right="1122" w:firstLine="72"/>
        <w:jc w:val="left"/>
      </w:pPr>
      <w:r>
        <w:rPr>
          <w:rFonts w:ascii="Times New Roman" w:hAnsi="Times New Roman" w:cs="Times New Roman" w:eastAsia="Times New Roman" w:hint="default"/>
        </w:rPr>
        <w:t>3</w:t>
      </w:r>
      <w:r>
        <w:rPr/>
        <w:t>、人员独立 </w:t>
      </w:r>
      <w:r>
        <w:rPr>
          <w:spacing w:val="-2"/>
        </w:rPr>
        <w:t>公司董事、监事及高级管理人员均严格按照《公司法》、《公司章程》的有关规定产生，控股股东没有干预公司董事和</w:t>
      </w:r>
    </w:p>
    <w:p>
      <w:pPr>
        <w:pStyle w:val="BodyText"/>
        <w:spacing w:line="240" w:lineRule="auto" w:before="31"/>
        <w:ind w:right="1122"/>
        <w:jc w:val="left"/>
      </w:pPr>
      <w:r>
        <w:rPr/>
        <w:t>股东大会已经作出的人事任免决定。公司在劳动、人事、工资管理等方面均完全独立。</w:t>
      </w:r>
    </w:p>
    <w:p>
      <w:pPr>
        <w:pStyle w:val="BodyText"/>
        <w:spacing w:line="300" w:lineRule="auto" w:before="76"/>
        <w:ind w:left="513" w:right="1122"/>
        <w:jc w:val="left"/>
      </w:pPr>
      <w:r>
        <w:rPr>
          <w:rFonts w:ascii="Times New Roman" w:hAnsi="Times New Roman" w:cs="Times New Roman" w:eastAsia="Times New Roman" w:hint="default"/>
        </w:rPr>
        <w:t>4</w:t>
      </w:r>
      <w:r>
        <w:rPr/>
        <w:t>、财务独立 </w:t>
      </w:r>
      <w:r>
        <w:rPr>
          <w:spacing w:val="-2"/>
        </w:rPr>
        <w:t>公司设立了独立的财务部门，配备了专职财务人员，建立了独立的财务核算体系，具有规范的财务会计制度和对子公司</w:t>
      </w:r>
    </w:p>
    <w:p>
      <w:pPr>
        <w:pStyle w:val="BodyText"/>
        <w:spacing w:line="316" w:lineRule="auto" w:before="31"/>
        <w:ind w:right="1122"/>
        <w:jc w:val="left"/>
      </w:pPr>
      <w:r>
        <w:rPr>
          <w:spacing w:val="-2"/>
        </w:rPr>
        <w:t>的财务管理制度，独立进行财务决策，不存在公司股东干预公司投资和资金使用安排的情况。公司开立独立的银行账户，未</w:t>
      </w:r>
      <w:r>
        <w:rPr>
          <w:spacing w:val="-64"/>
        </w:rPr>
        <w:t> </w:t>
      </w:r>
      <w:r>
        <w:rPr>
          <w:spacing w:val="-64"/>
        </w:rPr>
      </w:r>
      <w:r>
        <w:rPr/>
        <w:t>与其他任何单位共用银行账户。公司依法独立进行纳税申报和履行纳税义务，不存在与控股股东混合纳税的情况。</w:t>
      </w:r>
    </w:p>
    <w:p>
      <w:pPr>
        <w:pStyle w:val="BodyText"/>
        <w:spacing w:line="340" w:lineRule="auto" w:before="19"/>
        <w:ind w:left="513" w:right="1122"/>
        <w:jc w:val="left"/>
      </w:pPr>
      <w:r>
        <w:rPr>
          <w:rFonts w:ascii="Times New Roman" w:hAnsi="Times New Roman" w:cs="Times New Roman" w:eastAsia="Times New Roman" w:hint="default"/>
        </w:rPr>
        <w:t>5</w:t>
      </w:r>
      <w:r>
        <w:rPr/>
        <w:t>、机构独立 </w:t>
      </w:r>
      <w:r>
        <w:rPr>
          <w:spacing w:val="-2"/>
        </w:rPr>
        <w:t>公司已建立股东大会、董事会、监事会、经营管理层等公司治理机构，独立行使经营管理职权，与控股股东、实际控制</w:t>
      </w:r>
    </w:p>
    <w:p>
      <w:pPr>
        <w:pStyle w:val="BodyText"/>
        <w:spacing w:line="316" w:lineRule="auto" w:before="1"/>
        <w:ind w:right="1122"/>
        <w:jc w:val="left"/>
      </w:pPr>
      <w:r>
        <w:rPr>
          <w:spacing w:val="-2"/>
        </w:rPr>
        <w:t>人及其控制的其他企业间不存在机构混同的情形。公司设立了独立的财务部门，建立了独立的会计核算体系，能够独立作出</w:t>
      </w:r>
      <w:r>
        <w:rPr>
          <w:spacing w:val="-63"/>
        </w:rPr>
        <w:t> </w:t>
      </w:r>
      <w:r>
        <w:rPr>
          <w:spacing w:val="-63"/>
        </w:rPr>
      </w:r>
      <w:r>
        <w:rPr/>
        <w:t>财务决策，具有规范的财务会计制度，财务完全独立。</w:t>
      </w:r>
    </w:p>
    <w:p>
      <w:pPr>
        <w:spacing w:line="240" w:lineRule="auto" w:before="9"/>
        <w:rPr>
          <w:rFonts w:ascii="宋体" w:hAnsi="宋体" w:cs="宋体" w:eastAsia="宋体" w:hint="default"/>
          <w:sz w:val="20"/>
          <w:szCs w:val="20"/>
        </w:rPr>
      </w:pPr>
    </w:p>
    <w:p>
      <w:pPr>
        <w:pStyle w:val="Heading2"/>
        <w:spacing w:line="240" w:lineRule="auto"/>
        <w:ind w:right="1122"/>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30.45%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一次临时股东大会 决议公告》编号 </w:t>
            </w:r>
            <w:r>
              <w:rPr>
                <w:rFonts w:ascii="Times New Roman" w:hAnsi="Times New Roman" w:cs="Times New Roman" w:eastAsia="Times New Roman" w:hint="default"/>
                <w:sz w:val="18"/>
                <w:szCs w:val="18"/>
              </w:rPr>
              <w:t>2019-004</w:t>
            </w:r>
          </w:p>
        </w:tc>
      </w:tr>
      <w:tr>
        <w:trPr>
          <w:trHeight w:val="134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6"/>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 度股东大会决议公 告》编号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2019-055</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二次临时股东大会 决议公告》编号 </w:t>
            </w:r>
            <w:r>
              <w:rPr>
                <w:rFonts w:ascii="Times New Roman" w:hAnsi="Times New Roman" w:cs="Times New Roman" w:eastAsia="Times New Roman" w:hint="default"/>
                <w:sz w:val="18"/>
                <w:szCs w:val="18"/>
              </w:rPr>
              <w:t>2019-098</w:t>
            </w:r>
          </w:p>
        </w:tc>
      </w:tr>
      <w:tr>
        <w:trPr>
          <w:trHeight w:val="12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3"/>
                <w:szCs w:val="2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三次临时股东大会 决议公告》编号</w:t>
            </w:r>
          </w:p>
        </w:tc>
      </w:tr>
    </w:tbl>
    <w:p>
      <w:pPr>
        <w:spacing w:after="0" w:line="312"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sz w:val="18"/>
              </w:rPr>
              <w:t>2019-139</w:t>
            </w:r>
          </w:p>
        </w:tc>
      </w:tr>
      <w:tr>
        <w:trPr>
          <w:trHeight w:val="164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27.73%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公司刊登于巨潮资 讯网的《</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 四次临时股东大会 决议公告》编号 </w:t>
            </w:r>
            <w:r>
              <w:rPr>
                <w:rFonts w:ascii="Times New Roman" w:hAnsi="Times New Roman" w:cs="Times New Roman" w:eastAsia="Times New Roman" w:hint="default"/>
                <w:sz w:val="18"/>
                <w:szCs w:val="18"/>
              </w:rPr>
              <w:t>2019-153</w:t>
            </w:r>
          </w:p>
        </w:tc>
      </w:tr>
    </w:tbl>
    <w:p>
      <w:pPr>
        <w:spacing w:line="240" w:lineRule="auto" w:before="3"/>
        <w:rPr>
          <w:rFonts w:ascii="宋体" w:hAnsi="宋体" w:cs="宋体" w:eastAsia="宋体" w:hint="default"/>
          <w:b/>
          <w:bCs/>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齐越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杨逢柱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1122"/>
        <w:jc w:val="left"/>
      </w:pPr>
      <w:r>
        <w:rPr/>
        <w:t>连续两次未亲自出席董事会的说明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1034" w:firstLine="360"/>
        <w:jc w:val="left"/>
      </w:pPr>
      <w:r>
        <w:rPr>
          <w:spacing w:val="-2"/>
        </w:rPr>
        <w:t>报告期内，独立董事严格按照有关法律、法规、《公司章程》、《独立董事工作制度》的规定勤勉履行职责，忠实履行</w:t>
      </w:r>
      <w:r>
        <w:rPr/>
        <w:t> </w:t>
      </w:r>
      <w:r>
        <w:rPr>
          <w:spacing w:val="-2"/>
        </w:rPr>
        <w:t>职务，积极参加董事会，审议各项议案。通过出席董事会、股东大会、与公司董事、董事会秘书、财务总监及其他相关人员</w:t>
      </w:r>
      <w:r>
        <w:rPr>
          <w:spacing w:val="-73"/>
        </w:rPr>
        <w:t> </w:t>
      </w:r>
      <w:r>
        <w:rPr>
          <w:spacing w:val="-73"/>
        </w:rPr>
      </w:r>
      <w:r>
        <w:rPr>
          <w:spacing w:val="-2"/>
        </w:rPr>
        <w:t>进行交流等方式，深入了解公司生产经营状况和内部控制的建设及董事会各项决议执行情况，并利用自已的专业优势为公司</w:t>
      </w:r>
      <w:r>
        <w:rPr>
          <w:spacing w:val="-64"/>
        </w:rPr>
        <w:t> </w:t>
      </w:r>
      <w:r>
        <w:rPr>
          <w:spacing w:val="-64"/>
        </w:rPr>
      </w:r>
      <w:r>
        <w:rPr/>
        <w:t>经营和发展提出了合理化的意见和建议，对公司利润分配、关联交易、对外投资等相关事项发表了客观、公正的独立意见， </w:t>
      </w:r>
      <w:r>
        <w:rPr>
          <w:spacing w:val="-2"/>
        </w:rPr>
        <w:t>对董事会决策的公正、公平及保护中小投资者利益起到了积极作用。公司董事会、高管团队认真听取了独立董事的意见，不</w:t>
      </w:r>
      <w:r>
        <w:rPr>
          <w:spacing w:val="-66"/>
        </w:rPr>
        <w:t> </w:t>
      </w:r>
      <w:r>
        <w:rPr>
          <w:spacing w:val="-66"/>
        </w:rPr>
      </w:r>
      <w:r>
        <w:rPr>
          <w:spacing w:val="-2"/>
        </w:rPr>
        <w:t>断优化公司管理结构、明确部门职能、优化业务流程，深入开展公司治理、加大公司内部审核力度和内控建设，加强对公司</w:t>
      </w:r>
      <w:r>
        <w:rPr>
          <w:spacing w:val="-67"/>
        </w:rPr>
        <w:t> </w:t>
      </w:r>
      <w:r>
        <w:rPr>
          <w:spacing w:val="-67"/>
        </w:rPr>
      </w:r>
      <w:r>
        <w:rPr/>
        <w:t>产业链的研究和布局，构建合理的产业拓展布局，不断提高公司的管理水平。</w:t>
      </w:r>
    </w:p>
    <w:p>
      <w:pPr>
        <w:spacing w:after="0" w:line="316"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1122"/>
        <w:jc w:val="left"/>
      </w:pPr>
      <w:r>
        <w:rPr/>
        <w:t>报告期内，公司独立董事对董事会各项议案及公司其他事项没有提出异议。</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left="513" w:right="1122"/>
        <w:jc w:val="left"/>
      </w:pPr>
      <w:r>
        <w:rPr/>
        <w:t>公司董事会下设审计委员会、战略与发展委员会、提名委员会及薪酬与考核委员会四个专门委员会。 </w:t>
      </w:r>
      <w:r>
        <w:rPr>
          <w:rFonts w:ascii="Times New Roman" w:hAnsi="Times New Roman" w:cs="Times New Roman" w:eastAsia="Times New Roman" w:hint="default"/>
        </w:rPr>
        <w:t>1</w:t>
      </w:r>
      <w:r>
        <w:rPr/>
        <w:t>、董事会审计委员会 </w:t>
      </w:r>
      <w:r>
        <w:rPr>
          <w:spacing w:val="-2"/>
        </w:rPr>
        <w:t>报告期内，公司审计委员会严格按照《审计委员会工作细则》的相关要求，对公司全年生产经营情况和重大事项进展情</w:t>
      </w:r>
    </w:p>
    <w:p>
      <w:pPr>
        <w:pStyle w:val="BodyText"/>
        <w:spacing w:line="316" w:lineRule="auto" w:before="24"/>
        <w:ind w:right="1122"/>
        <w:jc w:val="left"/>
      </w:pPr>
      <w:r>
        <w:rPr>
          <w:spacing w:val="-2"/>
        </w:rPr>
        <w:t>况的进行了监控，对年度审计工作进行安排，并就审计过程中发现的问题与相关人员进行有效沟通切实履行了审计委员会工</w:t>
      </w:r>
      <w:r>
        <w:rPr>
          <w:spacing w:val="-64"/>
        </w:rPr>
        <w:t> </w:t>
      </w:r>
      <w:r>
        <w:rPr>
          <w:spacing w:val="-64"/>
        </w:rPr>
      </w:r>
      <w:r>
        <w:rPr/>
        <w:t>作职责。</w:t>
      </w:r>
    </w:p>
    <w:p>
      <w:pPr>
        <w:pStyle w:val="BodyText"/>
        <w:spacing w:line="340" w:lineRule="auto" w:before="19"/>
        <w:ind w:left="513" w:right="0"/>
        <w:jc w:val="left"/>
      </w:pPr>
      <w:r>
        <w:rPr>
          <w:rFonts w:ascii="Times New Roman" w:hAnsi="Times New Roman" w:cs="Times New Roman" w:eastAsia="Times New Roman" w:hint="default"/>
        </w:rPr>
        <w:t>2</w:t>
      </w:r>
      <w:r>
        <w:rPr/>
        <w:t>、董事会战略与发展委员会 </w:t>
      </w:r>
      <w:r>
        <w:rPr>
          <w:spacing w:val="-4"/>
        </w:rPr>
        <w:t>报告期内，董事会战略委员会严格按照《战略与发展委员会工作细则》的相关要求，积极开展相关工作，认真履行职责。</w:t>
      </w:r>
    </w:p>
    <w:p>
      <w:pPr>
        <w:pStyle w:val="BodyText"/>
        <w:spacing w:line="316" w:lineRule="auto"/>
        <w:ind w:right="1132"/>
        <w:jc w:val="both"/>
      </w:pPr>
      <w:r>
        <w:rPr>
          <w:spacing w:val="-2"/>
        </w:rPr>
        <w:t>董事会战略委员会委员对公司中长期发展战略和重大投资决策与公司管理层保持日常沟通，了解公司运营情况，实地考察公</w:t>
      </w:r>
      <w:r>
        <w:rPr>
          <w:spacing w:val="-64"/>
        </w:rPr>
        <w:t> </w:t>
      </w:r>
      <w:r>
        <w:rPr>
          <w:spacing w:val="-64"/>
        </w:rPr>
      </w:r>
      <w:r>
        <w:rPr>
          <w:spacing w:val="-2"/>
        </w:rPr>
        <w:t>司基本面。报告期内公司战略发展委员会严格按照就公司中长期战略规划及对外投资，对其他影响公司发展的重大事项进行</w:t>
      </w:r>
      <w:r>
        <w:rPr>
          <w:spacing w:val="-63"/>
        </w:rPr>
        <w:t> </w:t>
      </w:r>
      <w:r>
        <w:rPr>
          <w:spacing w:val="-63"/>
        </w:rPr>
      </w:r>
      <w:r>
        <w:rPr/>
        <w:t>研究并提出建议，进一步提高公司战略决策的合理性和科学性。</w:t>
      </w:r>
    </w:p>
    <w:p>
      <w:pPr>
        <w:pStyle w:val="BodyText"/>
        <w:spacing w:line="300" w:lineRule="auto" w:before="59"/>
        <w:ind w:left="513" w:right="1122"/>
        <w:jc w:val="left"/>
      </w:pPr>
      <w:r>
        <w:rPr>
          <w:rFonts w:ascii="Times New Roman" w:hAnsi="Times New Roman" w:cs="Times New Roman" w:eastAsia="Times New Roman" w:hint="default"/>
        </w:rPr>
        <w:t>3</w:t>
      </w:r>
      <w:r>
        <w:rPr/>
        <w:t>、董事会提名委员会 </w:t>
      </w:r>
      <w:r>
        <w:rPr>
          <w:spacing w:val="-2"/>
        </w:rPr>
        <w:t>报告期内，董事会提名委员会依照相关法规及《公司章程》及《董事会提名委员会议事规则》的规定，积极履行了职责</w:t>
      </w:r>
    </w:p>
    <w:p>
      <w:pPr>
        <w:pStyle w:val="BodyText"/>
        <w:spacing w:line="240" w:lineRule="auto" w:before="31"/>
        <w:ind w:right="0"/>
        <w:jc w:val="both"/>
      </w:pPr>
      <w:r>
        <w:rPr/>
        <w:t>对公司董事、高级管理人员的选聘上发挥积极的作用。</w:t>
      </w:r>
    </w:p>
    <w:p>
      <w:pPr>
        <w:pStyle w:val="BodyText"/>
        <w:spacing w:line="300" w:lineRule="auto" w:before="76"/>
        <w:ind w:left="513" w:right="1122"/>
        <w:jc w:val="left"/>
      </w:pPr>
      <w:r>
        <w:rPr>
          <w:rFonts w:ascii="Times New Roman" w:hAnsi="Times New Roman" w:cs="Times New Roman" w:eastAsia="Times New Roman" w:hint="default"/>
        </w:rPr>
        <w:t>4</w:t>
      </w:r>
      <w:r>
        <w:rPr/>
        <w:t>、董事会薪酬与考核委员会 </w:t>
      </w:r>
      <w:r>
        <w:rPr>
          <w:spacing w:val="-2"/>
        </w:rPr>
        <w:t>报告期内，公司薪酬与考核委员会按照其工作细则的相关要求，对公司董事和高级管理人员进行考核，根据公司各个董</w:t>
      </w:r>
    </w:p>
    <w:p>
      <w:pPr>
        <w:pStyle w:val="BodyText"/>
        <w:spacing w:line="316" w:lineRule="auto" w:before="31"/>
        <w:ind w:right="1122"/>
        <w:jc w:val="left"/>
      </w:pPr>
      <w:r>
        <w:rPr>
          <w:spacing w:val="-2"/>
        </w:rPr>
        <w:t>事和高级管理人员所负责的工作范围、重要程度等因素，对考核和评价标准提出建议，促进公司在规范运作的基础上，进一</w:t>
      </w:r>
      <w:r>
        <w:rPr>
          <w:spacing w:val="-63"/>
        </w:rPr>
        <w:t> </w:t>
      </w:r>
      <w:r>
        <w:rPr>
          <w:spacing w:val="-63"/>
        </w:rPr>
      </w:r>
      <w:r>
        <w:rPr/>
        <w:t>步提高在薪酬考核方面的科学性。</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7"/>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公司高级管理人员均由公司董事会聘任，执行岗位工资与绩效工资相结合的薪酬制度，年初根据总体发展战略和经营目</w:t>
      </w:r>
      <w:r>
        <w:rPr/>
        <w:t> </w:t>
      </w:r>
      <w:r>
        <w:rPr>
          <w:spacing w:val="-2"/>
        </w:rPr>
        <w:t>标确定具体的考核、奖惩办法。报告期内，公司不断完善高级箮理人员的绩效考评办法，有效增强了高级管理人员的履职意</w:t>
      </w:r>
      <w:r>
        <w:rPr>
          <w:spacing w:val="-64"/>
        </w:rPr>
        <w:t> </w:t>
      </w:r>
      <w:r>
        <w:rPr>
          <w:spacing w:val="-64"/>
        </w:rPr>
      </w:r>
      <w:r>
        <w:rPr/>
        <w:t>识，促进了经营业绩的稳步提升。</w:t>
      </w:r>
    </w:p>
    <w:p>
      <w:pPr>
        <w:spacing w:line="240" w:lineRule="auto" w:before="9"/>
        <w:rPr>
          <w:rFonts w:ascii="宋体" w:hAnsi="宋体" w:cs="宋体" w:eastAsia="宋体" w:hint="default"/>
          <w:sz w:val="20"/>
          <w:szCs w:val="20"/>
        </w:rPr>
      </w:pPr>
    </w:p>
    <w:p>
      <w:pPr>
        <w:pStyle w:val="Heading2"/>
        <w:spacing w:line="240" w:lineRule="auto"/>
        <w:ind w:right="0"/>
        <w:jc w:val="both"/>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31.735992pt;margin-top:184.099976pt;width:203.2pt;height:269.25pt;mso-position-horizontal-relative:page;mso-position-vertical-relative:page;z-index:-1200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9"/>
                    <w:ind w:left="0" w:right="0" w:firstLine="180"/>
                    <w:jc w:val="left"/>
                  </w:pPr>
                  <w:r>
                    <w:rPr/>
                    <w:t>重要缺陷：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pStyle w:val="BodyText"/>
                    <w:spacing w:line="240" w:lineRule="auto"/>
                    <w:ind w:left="0" w:right="0"/>
                    <w:jc w:val="left"/>
                  </w:pPr>
                  <w:r>
                    <w:rPr/>
                    <w:t>准确的目标。</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0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10"/>
              <w:jc w:val="left"/>
              <w:rPr>
                <w:rFonts w:ascii="宋体" w:hAnsi="宋体" w:cs="宋体" w:eastAsia="宋体" w:hint="default"/>
                <w:sz w:val="18"/>
                <w:szCs w:val="18"/>
              </w:rPr>
            </w:pPr>
            <w:r>
              <w:rPr>
                <w:rFonts w:ascii="宋体" w:hAnsi="宋体" w:cs="宋体" w:eastAsia="宋体" w:hint="default"/>
                <w:sz w:val="18"/>
                <w:szCs w:val="18"/>
              </w:rPr>
              <w:t>①重大缺陷：控制环境失效；董事、监事 和高级管理人员滥用职权及舞弊；</w:t>
            </w:r>
            <w:r>
              <w:rPr>
                <w:rFonts w:ascii="宋体" w:hAnsi="宋体" w:cs="宋体" w:eastAsia="宋体" w:hint="default"/>
                <w:spacing w:val="-61"/>
                <w:sz w:val="18"/>
                <w:szCs w:val="18"/>
              </w:rPr>
              <w:t> </w:t>
            </w:r>
            <w:r>
              <w:rPr>
                <w:rFonts w:ascii="宋体" w:hAnsi="宋体" w:cs="宋体" w:eastAsia="宋体" w:hint="default"/>
                <w:sz w:val="18"/>
                <w:szCs w:val="18"/>
              </w:rPr>
              <w:t>内部控</w:t>
            </w:r>
            <w:r>
              <w:rPr>
                <w:rFonts w:ascii="宋体" w:hAnsi="宋体" w:cs="宋体" w:eastAsia="宋体" w:hint="default"/>
                <w:sz w:val="18"/>
                <w:szCs w:val="18"/>
              </w:rPr>
              <w:t> 制在运行过程中未能发现当期财务报告存 在重大错报；企业审计委员会和内部审计 </w:t>
            </w:r>
            <w:r>
              <w:rPr>
                <w:rFonts w:ascii="宋体" w:hAnsi="宋体" w:cs="宋体" w:eastAsia="宋体" w:hint="default"/>
                <w:spacing w:val="-5"/>
                <w:sz w:val="18"/>
                <w:szCs w:val="18"/>
              </w:rPr>
              <w:t>机构对内部控制的监督无效。②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未依照公认会计准则选择和应用会计政 策；未建立反舞弊程序和控制措施；对于 非常规或特殊交易的账务处理没有建立相 应的控制机制或没有实施且没有相应的补 偿性控制；对于期末财务报告过程的控制 存在一项或多项缺陷且不能合理保证编制 </w:t>
            </w:r>
            <w:r>
              <w:rPr>
                <w:rFonts w:ascii="宋体" w:hAnsi="宋体" w:cs="宋体" w:eastAsia="宋体" w:hint="default"/>
                <w:spacing w:val="-3"/>
                <w:sz w:val="18"/>
                <w:szCs w:val="18"/>
              </w:rPr>
              <w:t>的财务报表达到真实、完整、</w:t>
            </w:r>
          </w:p>
          <w:p>
            <w:pPr>
              <w:pStyle w:val="TableParagraph"/>
              <w:spacing w:line="316" w:lineRule="auto" w:before="19"/>
              <w:ind w:left="24" w:right="39"/>
              <w:jc w:val="left"/>
              <w:rPr>
                <w:rFonts w:ascii="宋体" w:hAnsi="宋体" w:cs="宋体" w:eastAsia="宋体" w:hint="default"/>
                <w:sz w:val="18"/>
                <w:szCs w:val="18"/>
              </w:rPr>
            </w:pPr>
            <w:r>
              <w:rPr>
                <w:rFonts w:ascii="宋体" w:hAnsi="宋体" w:cs="宋体" w:eastAsia="宋体" w:hint="default"/>
                <w:sz w:val="18"/>
                <w:szCs w:val="18"/>
              </w:rPr>
              <w:t>③一般缺陷：不构成重大缺陷或重要缺陷 的其他内部控制缺陷。</w:t>
            </w:r>
          </w:p>
        </w:tc>
        <w:tc>
          <w:tcPr>
            <w:tcW w:w="3053" w:type="dxa"/>
            <w:vMerge w:val="restart"/>
            <w:tcBorders>
              <w:top w:val="single" w:sz="4" w:space="0" w:color="000000"/>
              <w:left w:val="single" w:sz="10" w:space="0" w:color="FFFFFF"/>
              <w:right w:val="single" w:sz="10" w:space="0" w:color="FFFFFF"/>
            </w:tcBorders>
          </w:tcPr>
          <w:p>
            <w:pPr>
              <w:pStyle w:val="TableParagraph"/>
              <w:spacing w:line="314" w:lineRule="auto" w:before="49"/>
              <w:ind w:left="19" w:right="-50"/>
              <w:jc w:val="left"/>
              <w:rPr>
                <w:rFonts w:ascii="宋体" w:hAnsi="宋体" w:cs="宋体" w:eastAsia="宋体" w:hint="default"/>
                <w:sz w:val="18"/>
                <w:szCs w:val="18"/>
              </w:rPr>
            </w:pPr>
            <w:r>
              <w:rPr>
                <w:rFonts w:ascii="宋体" w:hAnsi="宋体" w:cs="宋体" w:eastAsia="宋体" w:hint="default"/>
                <w:sz w:val="18"/>
                <w:szCs w:val="18"/>
              </w:rPr>
              <w:t>①重大缺陷的认定标准</w:t>
            </w:r>
            <w:r>
              <w:rPr>
                <w:rFonts w:ascii="宋体" w:hAnsi="宋体" w:cs="宋体" w:eastAsia="宋体" w:hint="default"/>
                <w:spacing w:val="1"/>
                <w:sz w:val="18"/>
                <w:szCs w:val="18"/>
              </w:rPr>
              <w:t> </w:t>
            </w:r>
            <w:r>
              <w:rPr>
                <w:rFonts w:ascii="宋体" w:hAnsi="宋体" w:cs="宋体" w:eastAsia="宋体" w:hint="default"/>
                <w:sz w:val="18"/>
                <w:szCs w:val="18"/>
              </w:rPr>
              <w:t>：严重违反法</w:t>
            </w:r>
            <w:r>
              <w:rPr>
                <w:rFonts w:ascii="宋体" w:hAnsi="宋体" w:cs="宋体" w:eastAsia="宋体" w:hint="default"/>
                <w:sz w:val="18"/>
                <w:szCs w:val="18"/>
              </w:rPr>
              <w:t> 律法规；决策程序导致重大失误</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5"/>
                <w:sz w:val="18"/>
                <w:szCs w:val="18"/>
              </w:rPr>
              <w:t> </w:t>
            </w:r>
            <w:r>
              <w:rPr>
                <w:rFonts w:ascii="宋体" w:hAnsi="宋体" w:cs="宋体" w:eastAsia="宋体" w:hint="default"/>
                <w:sz w:val="18"/>
                <w:szCs w:val="18"/>
              </w:rPr>
              <w:t>持续 </w:t>
            </w:r>
            <w:r>
              <w:rPr>
                <w:rFonts w:ascii="宋体" w:hAnsi="宋体" w:cs="宋体" w:eastAsia="宋体" w:hint="default"/>
                <w:spacing w:val="-4"/>
                <w:sz w:val="18"/>
                <w:szCs w:val="18"/>
              </w:rPr>
              <w:t>经营受到挑战；重要业务缺乏制度控制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或系统性失效</w:t>
            </w:r>
            <w:r>
              <w:rPr>
                <w:rFonts w:ascii="Times New Roman" w:hAnsi="Times New Roman" w:cs="Times New Roman" w:eastAsia="Times New Roman" w:hint="default"/>
                <w:sz w:val="18"/>
                <w:szCs w:val="18"/>
              </w:rPr>
              <w:t>,</w:t>
            </w:r>
            <w:r>
              <w:rPr>
                <w:rFonts w:ascii="宋体" w:hAnsi="宋体" w:cs="宋体" w:eastAsia="宋体" w:hint="default"/>
                <w:sz w:val="18"/>
                <w:szCs w:val="18"/>
              </w:rPr>
              <w:t>且缺乏有效的补偿性控 </w:t>
            </w:r>
            <w:r>
              <w:rPr>
                <w:rFonts w:ascii="宋体" w:hAnsi="宋体" w:cs="宋体" w:eastAsia="宋体" w:hint="default"/>
                <w:spacing w:val="-4"/>
                <w:sz w:val="18"/>
                <w:szCs w:val="18"/>
              </w:rPr>
              <w:t>制；中高级管理人员和关键岗位研发人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员流失严重；内部控制评价的结果特别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是重大缺陷未得到整改；其他对公司产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生重大负面影响的情形。②重要缺陷的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认定标准：决策程序导致出现一般性失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w:t>
            </w:r>
          </w:p>
          <w:p>
            <w:pPr>
              <w:pStyle w:val="TableParagraph"/>
              <w:spacing w:line="319" w:lineRule="auto" w:before="20"/>
              <w:ind w:left="19" w:right="-50"/>
              <w:jc w:val="left"/>
              <w:rPr>
                <w:rFonts w:ascii="宋体" w:hAnsi="宋体" w:cs="宋体" w:eastAsia="宋体" w:hint="default"/>
                <w:sz w:val="18"/>
                <w:szCs w:val="18"/>
              </w:rPr>
            </w:pPr>
            <w:r>
              <w:rPr>
                <w:rFonts w:ascii="宋体" w:hAnsi="宋体" w:cs="宋体" w:eastAsia="宋体" w:hint="default"/>
                <w:spacing w:val="-4"/>
                <w:sz w:val="18"/>
                <w:szCs w:val="18"/>
              </w:rPr>
              <w:t>③一般缺陷的认定标准：决策程序效率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不高；一般业务制度或系统存在缺陷； </w:t>
            </w:r>
            <w:r>
              <w:rPr>
                <w:rFonts w:ascii="宋体" w:hAnsi="宋体" w:cs="宋体" w:eastAsia="宋体" w:hint="default"/>
                <w:spacing w:val="-4"/>
                <w:sz w:val="18"/>
                <w:szCs w:val="18"/>
              </w:rPr>
              <w:t>一般岗位业务人员流失严重；一般缺陷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未得到整改。</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10" w:space="0" w:color="FFFFFF"/>
            </w:tcBorders>
          </w:tcPr>
          <w:p>
            <w:pPr/>
          </w:p>
        </w:tc>
        <w:tc>
          <w:tcPr>
            <w:tcW w:w="3053" w:type="dxa"/>
            <w:vMerge/>
            <w:tcBorders>
              <w:left w:val="single" w:sz="10" w:space="0" w:color="FFFFFF"/>
              <w:right w:val="single" w:sz="10" w:space="0" w:color="FFFFFF"/>
            </w:tcBorders>
          </w:tcPr>
          <w:p>
            <w:pPr/>
          </w:p>
        </w:tc>
      </w:tr>
      <w:tr>
        <w:trPr>
          <w:trHeight w:val="250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single" w:sz="10" w:space="0" w:color="FFFFFF"/>
            </w:tcBorders>
          </w:tcPr>
          <w:p>
            <w:pPr/>
          </w:p>
        </w:tc>
      </w:tr>
      <w:tr>
        <w:trPr>
          <w:trHeight w:val="2035"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4"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本公司以利润总额的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作为利润表整体 重要性水平的衡量指标，以净资产的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作为资产负债表整体重要性水平的衡量指 标：当利润表项目潜在错报金额大于或等 于利润总额的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，或资产负债表项目潜在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错报金额大于或等于净资产的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时，则认</w:t>
            </w:r>
            <w:r>
              <w:rPr>
                <w:rFonts w:ascii="宋体" w:hAnsi="宋体" w:cs="宋体" w:eastAsia="宋体" w:hint="default"/>
                <w:sz w:val="18"/>
                <w:szCs w:val="18"/>
              </w:rPr>
              <w:t> 定为重大缺陷；当利润表项目潜在错报金 额小于利润总额的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，但大于或等于利润</w:t>
            </w:r>
            <w:r>
              <w:rPr>
                <w:rFonts w:ascii="宋体" w:hAnsi="宋体" w:cs="宋体" w:eastAsia="宋体" w:hint="default"/>
                <w:sz w:val="18"/>
                <w:szCs w:val="18"/>
              </w:rPr>
              <w:t> 总额的</w:t>
            </w:r>
            <w:r>
              <w:rPr>
                <w:rFonts w:ascii="宋体" w:hAnsi="宋体" w:cs="宋体" w:eastAsia="宋体" w:hint="default"/>
                <w:spacing w:val="-35"/>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，或资产负债表项目潜在错报金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额小于净资产的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，但大于或等于净资产</w:t>
            </w:r>
            <w:r>
              <w:rPr>
                <w:rFonts w:ascii="宋体" w:hAnsi="宋体" w:cs="宋体" w:eastAsia="宋体" w:hint="default"/>
                <w:sz w:val="18"/>
                <w:szCs w:val="18"/>
              </w:rPr>
              <w:t> 的</w:t>
            </w:r>
            <w:r>
              <w:rPr>
                <w:rFonts w:ascii="宋体" w:hAnsi="宋体" w:cs="宋体" w:eastAsia="宋体" w:hint="default"/>
                <w:spacing w:val="-40"/>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，则认定为重要缺陷；当利润表项目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潜在错报金额小于利润总额的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，资产负</w:t>
            </w:r>
            <w:r>
              <w:rPr>
                <w:rFonts w:ascii="宋体" w:hAnsi="宋体" w:cs="宋体" w:eastAsia="宋体" w:hint="default"/>
                <w:sz w:val="18"/>
                <w:szCs w:val="18"/>
              </w:rPr>
              <w:t> 债表项目潜在错报金额小于净资产的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时，则认定为一般缺陷。</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2" w:lineRule="auto"/>
              <w:ind w:left="26"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）公司确定的非财务报告内部控制 缺陷评价的定量标准与公司确定的财 务报告内部控制缺陷评价的定量标准 </w:t>
            </w:r>
            <w:r>
              <w:rPr>
                <w:rFonts w:ascii="宋体" w:hAnsi="宋体" w:cs="宋体" w:eastAsia="宋体" w:hint="default"/>
                <w:spacing w:val="-4"/>
                <w:sz w:val="18"/>
                <w:szCs w:val="18"/>
              </w:rPr>
              <w:t>一致，参见上文所述财务报告内部控制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缺陷评价的定量标准。</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2033"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22"/>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不适用</w:t>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22"/>
        <w:jc w:val="left"/>
        <w:rPr>
          <w:b w:val="0"/>
          <w:bCs w:val="0"/>
        </w:rPr>
      </w:pPr>
      <w:bookmarkStart w:name="_TOC_250002" w:id="11"/>
      <w:r>
        <w:rPr/>
        <w:t>第十一节公司债券相关情况</w:t>
      </w:r>
      <w:bookmarkEnd w:id="11"/>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32" w:right="1116"/>
        <w:jc w:val="center"/>
        <w:rPr>
          <w:b w:val="0"/>
          <w:bCs w:val="0"/>
        </w:rPr>
      </w:pPr>
      <w:bookmarkStart w:name="_TOC_250001" w:id="12"/>
      <w:r>
        <w:rPr/>
        <w:t>第十二节财务报告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22"/>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110ZA8469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孙宁</w:t>
            </w:r>
            <w:r>
              <w:rPr>
                <w:rFonts w:ascii="宋体" w:hAnsi="宋体" w:cs="宋体" w:eastAsia="宋体" w:hint="default"/>
                <w:spacing w:val="1"/>
                <w:sz w:val="18"/>
                <w:szCs w:val="18"/>
              </w:rPr>
              <w:t> </w:t>
            </w:r>
            <w:r>
              <w:rPr>
                <w:rFonts w:ascii="宋体" w:hAnsi="宋体" w:cs="宋体" w:eastAsia="宋体" w:hint="default"/>
                <w:sz w:val="18"/>
                <w:szCs w:val="18"/>
              </w:rPr>
              <w:t>李杨</w:t>
            </w:r>
          </w:p>
        </w:tc>
      </w:tr>
    </w:tbl>
    <w:p>
      <w:pPr>
        <w:pStyle w:val="BodyText"/>
        <w:spacing w:line="240" w:lineRule="auto" w:before="49"/>
        <w:ind w:left="138" w:right="1116"/>
        <w:jc w:val="center"/>
      </w:pPr>
      <w:r>
        <w:rPr/>
        <w:t>审计报告正文</w:t>
      </w:r>
    </w:p>
    <w:p>
      <w:pPr>
        <w:spacing w:line="240" w:lineRule="auto" w:before="8"/>
        <w:rPr>
          <w:rFonts w:ascii="宋体" w:hAnsi="宋体" w:cs="宋体" w:eastAsia="宋体" w:hint="default"/>
          <w:sz w:val="11"/>
          <w:szCs w:val="11"/>
        </w:rPr>
      </w:pPr>
    </w:p>
    <w:p>
      <w:pPr>
        <w:pStyle w:val="Heading5"/>
        <w:spacing w:line="240" w:lineRule="auto" w:before="44"/>
        <w:ind w:right="1122"/>
        <w:jc w:val="left"/>
        <w:rPr>
          <w:b w:val="0"/>
          <w:bCs w:val="0"/>
        </w:rPr>
      </w:pPr>
      <w:r>
        <w:rPr/>
        <w:t>一、审计意见</w:t>
      </w:r>
      <w:r>
        <w:rPr>
          <w:b w:val="0"/>
          <w:bCs w:val="0"/>
        </w:rPr>
      </w:r>
    </w:p>
    <w:p>
      <w:pPr>
        <w:spacing w:line="240" w:lineRule="auto" w:before="11"/>
        <w:rPr>
          <w:rFonts w:ascii="宋体" w:hAnsi="宋体" w:cs="宋体" w:eastAsia="宋体" w:hint="default"/>
          <w:b/>
          <w:bCs/>
          <w:sz w:val="14"/>
          <w:szCs w:val="14"/>
        </w:rPr>
      </w:pPr>
    </w:p>
    <w:p>
      <w:pPr>
        <w:pStyle w:val="BodyText"/>
        <w:spacing w:line="300" w:lineRule="auto"/>
        <w:ind w:right="1122" w:firstLine="360"/>
        <w:jc w:val="left"/>
      </w:pPr>
      <w:r>
        <w:rPr>
          <w:spacing w:val="-2"/>
        </w:rPr>
        <w:t>我们审计了北京北信源软件股份有限公司（以下简称</w:t>
      </w:r>
      <w:r>
        <w:rPr>
          <w:rFonts w:ascii="Times New Roman" w:hAnsi="Times New Roman" w:cs="Times New Roman" w:eastAsia="Times New Roman" w:hint="default"/>
          <w:spacing w:val="-2"/>
        </w:rPr>
        <w:t>“</w:t>
      </w:r>
      <w:r>
        <w:rPr>
          <w:spacing w:val="-2"/>
        </w:rPr>
        <w:t>北信源公司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w:t>
      </w:r>
      <w:r>
        <w:rPr/>
        <w:t> 负债表，</w:t>
      </w:r>
      <w:r>
        <w:rPr>
          <w:rFonts w:ascii="Times New Roman" w:hAnsi="Times New Roman" w:cs="Times New Roman" w:eastAsia="Times New Roman" w:hint="default"/>
        </w:rPr>
        <w:t>2019</w:t>
      </w:r>
      <w:r>
        <w:rPr/>
        <w:t>年度的合并及公司利润表、合并及公司现金流量表、合并及公司股东权益变动表以及相关财务报表附注。</w:t>
      </w:r>
    </w:p>
    <w:p>
      <w:pPr>
        <w:pStyle w:val="BodyText"/>
        <w:spacing w:line="300" w:lineRule="auto" w:before="133"/>
        <w:ind w:right="1122" w:firstLine="360"/>
        <w:jc w:val="left"/>
      </w:pPr>
      <w:r>
        <w:rPr>
          <w:spacing w:val="-2"/>
        </w:rPr>
        <w:t>我们认为，后附的财务报表在所有重大方面按照企业会计准则的规定编制，公允反映了北信源公司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w:t>
      </w:r>
      <w:r>
        <w:rPr/>
        <w:t> 并及公司财务状况以及</w:t>
      </w:r>
      <w:r>
        <w:rPr>
          <w:rFonts w:ascii="Times New Roman" w:hAnsi="Times New Roman" w:cs="Times New Roman" w:eastAsia="Times New Roman" w:hint="default"/>
        </w:rPr>
        <w:t>2019</w:t>
      </w:r>
      <w:r>
        <w:rPr/>
        <w:t>年度的合并及公司的经营成果和现金流量。</w:t>
      </w:r>
    </w:p>
    <w:p>
      <w:pPr>
        <w:pStyle w:val="Heading5"/>
        <w:spacing w:line="240" w:lineRule="auto" w:before="133"/>
        <w:ind w:right="1122"/>
        <w:jc w:val="left"/>
        <w:rPr>
          <w:b w:val="0"/>
          <w:bCs w:val="0"/>
        </w:rPr>
      </w:pPr>
      <w:r>
        <w:rPr/>
        <w:t>二、形成审计意见的基础</w:t>
      </w:r>
      <w:r>
        <w:rPr>
          <w:b w:val="0"/>
          <w:bCs w:val="0"/>
        </w:rPr>
      </w:r>
    </w:p>
    <w:p>
      <w:pPr>
        <w:spacing w:line="240" w:lineRule="auto" w:before="1"/>
        <w:rPr>
          <w:rFonts w:ascii="宋体" w:hAnsi="宋体" w:cs="宋体" w:eastAsia="宋体" w:hint="default"/>
          <w:b/>
          <w:bCs/>
          <w:sz w:val="15"/>
          <w:szCs w:val="15"/>
        </w:rPr>
      </w:pPr>
    </w:p>
    <w:p>
      <w:pPr>
        <w:pStyle w:val="BodyText"/>
        <w:spacing w:line="309" w:lineRule="auto"/>
        <w:ind w:right="1130" w:firstLine="377"/>
        <w:jc w:val="both"/>
      </w:pPr>
      <w:r>
        <w:rPr>
          <w:spacing w:val="-2"/>
          <w:w w:val="100"/>
        </w:rPr>
        <w:t>我们按照中国注册会计师审计准则的规定执行了审计工作。审计报告的</w:t>
      </w:r>
      <w:r>
        <w:rPr>
          <w:rFonts w:ascii="Times New Roman" w:hAnsi="Times New Roman" w:cs="Times New Roman" w:eastAsia="Times New Roman" w:hint="default"/>
          <w:spacing w:val="-2"/>
          <w:w w:val="100"/>
        </w:rPr>
        <w:t>“</w:t>
      </w:r>
      <w:r>
        <w:rPr>
          <w:spacing w:val="-2"/>
          <w:w w:val="100"/>
        </w:rPr>
        <w:t>注册会计师对财务报表审计的责任</w:t>
      </w:r>
      <w:r>
        <w:rPr>
          <w:rFonts w:ascii="Times New Roman" w:hAnsi="Times New Roman" w:cs="Times New Roman" w:eastAsia="Times New Roman" w:hint="default"/>
          <w:spacing w:val="-2"/>
          <w:w w:val="100"/>
        </w:rPr>
        <w:t>”</w:t>
      </w:r>
      <w:r>
        <w:rPr>
          <w:spacing w:val="-2"/>
          <w:w w:val="100"/>
        </w:rPr>
        <w:t>部分进一步</w:t>
      </w:r>
      <w:r>
        <w:rPr/>
        <w:t> </w:t>
      </w:r>
      <w:r>
        <w:rPr>
          <w:spacing w:val="-2"/>
        </w:rPr>
        <w:t>阐述了我们在这些准则下的责任。按照中国注册会计师职业道德守则，我们独立于北信源公司，并履行了职业道德方面的其</w:t>
      </w:r>
      <w:r>
        <w:rPr>
          <w:spacing w:val="-63"/>
        </w:rPr>
        <w:t> </w:t>
      </w:r>
      <w:r>
        <w:rPr>
          <w:spacing w:val="-63"/>
        </w:rPr>
      </w:r>
      <w:r>
        <w:rPr/>
        <w:t>他责任。我们相信，我们获取的审计证据是充分、适当的，为发表审计意见提供了基础。</w:t>
      </w:r>
    </w:p>
    <w:p>
      <w:pPr>
        <w:pStyle w:val="BodyText"/>
        <w:spacing w:line="432" w:lineRule="exact" w:before="9"/>
        <w:ind w:left="530" w:right="1122" w:hanging="17"/>
        <w:jc w:val="left"/>
      </w:pPr>
      <w:r>
        <w:rPr>
          <w:rFonts w:ascii="宋体" w:hAnsi="宋体" w:cs="宋体" w:eastAsia="宋体" w:hint="default"/>
          <w:b/>
          <w:bCs/>
        </w:rPr>
        <w:t>三、关键审计事项</w:t>
      </w:r>
      <w:r>
        <w:rPr>
          <w:rFonts w:ascii="宋体" w:hAnsi="宋体" w:cs="宋体" w:eastAsia="宋体" w:hint="default"/>
          <w:b/>
          <w:bCs/>
          <w:w w:val="99"/>
        </w:rPr>
        <w:t> </w:t>
      </w:r>
      <w:r>
        <w:rPr/>
        <w:t>关键审计事项是我们根据职业判断，认为对本期财务报表审计最为重要的事项。这些事项的应对以对财务报表整体进</w:t>
      </w:r>
    </w:p>
    <w:p>
      <w:pPr>
        <w:pStyle w:val="BodyText"/>
        <w:spacing w:line="240" w:lineRule="auto" w:before="15"/>
        <w:ind w:right="1122"/>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240" w:lineRule="auto"/>
        <w:ind w:left="530" w:right="1122"/>
        <w:jc w:val="left"/>
      </w:pPr>
      <w:r>
        <w:rPr/>
        <w:t>（一）收入确认</w:t>
      </w:r>
    </w:p>
    <w:p>
      <w:pPr>
        <w:spacing w:line="240" w:lineRule="auto" w:before="0"/>
        <w:rPr>
          <w:rFonts w:ascii="宋体" w:hAnsi="宋体" w:cs="宋体" w:eastAsia="宋体" w:hint="default"/>
          <w:sz w:val="15"/>
          <w:szCs w:val="15"/>
        </w:rPr>
      </w:pPr>
    </w:p>
    <w:p>
      <w:pPr>
        <w:pStyle w:val="BodyText"/>
        <w:spacing w:line="240" w:lineRule="auto"/>
        <w:ind w:left="530" w:right="1122"/>
        <w:jc w:val="left"/>
      </w:pPr>
      <w:r>
        <w:rPr/>
        <w:t>相关信息披露详见财务报表附注三</w:t>
      </w:r>
      <w:r>
        <w:rPr>
          <w:rFonts w:ascii="Times New Roman" w:hAnsi="Times New Roman" w:cs="Times New Roman" w:eastAsia="Times New Roman" w:hint="default"/>
        </w:rPr>
        <w:t>-23</w:t>
      </w:r>
      <w:r>
        <w:rPr/>
        <w:t>、附注五</w:t>
      </w:r>
      <w:r>
        <w:rPr>
          <w:rFonts w:ascii="Times New Roman" w:hAnsi="Times New Roman" w:cs="Times New Roman" w:eastAsia="Times New Roman" w:hint="default"/>
        </w:rPr>
        <w:t>-33</w:t>
      </w:r>
      <w:r>
        <w:rPr/>
        <w:t>。</w:t>
      </w:r>
    </w:p>
    <w:p>
      <w:pPr>
        <w:pStyle w:val="BodyText"/>
        <w:spacing w:line="430" w:lineRule="atLeast" w:before="2"/>
        <w:ind w:left="530" w:right="1122"/>
        <w:jc w:val="left"/>
      </w:pPr>
      <w:r>
        <w:rPr>
          <w:rFonts w:ascii="Times New Roman" w:hAnsi="Times New Roman" w:cs="Times New Roman" w:eastAsia="Times New Roman" w:hint="default"/>
        </w:rPr>
        <w:t>1</w:t>
      </w:r>
      <w:r>
        <w:rPr/>
        <w:t>、事项描述 北信源公司的营业收入主要来自于软件产品、技术服务和系统集成，北信源公司于</w:t>
      </w:r>
      <w:r>
        <w:rPr>
          <w:rFonts w:ascii="Times New Roman" w:hAnsi="Times New Roman" w:cs="Times New Roman" w:eastAsia="Times New Roman" w:hint="default"/>
        </w:rPr>
        <w:t>2019</w:t>
      </w:r>
      <w:r>
        <w:rPr/>
        <w:t>年度确认的营业收入为人民币</w:t>
      </w:r>
    </w:p>
    <w:p>
      <w:pPr>
        <w:pStyle w:val="BodyText"/>
        <w:spacing w:line="240" w:lineRule="auto" w:before="63"/>
        <w:ind w:right="1122"/>
        <w:jc w:val="left"/>
      </w:pPr>
      <w:r>
        <w:rPr>
          <w:rFonts w:ascii="Times New Roman" w:hAnsi="Times New Roman" w:cs="Times New Roman" w:eastAsia="Times New Roman" w:hint="default"/>
        </w:rPr>
        <w:t>721,982,374.33</w:t>
      </w:r>
      <w:r>
        <w:rPr/>
        <w:t>元，较</w:t>
      </w:r>
      <w:r>
        <w:rPr>
          <w:rFonts w:ascii="Times New Roman" w:hAnsi="Times New Roman" w:cs="Times New Roman" w:eastAsia="Times New Roman" w:hint="default"/>
        </w:rPr>
        <w:t>2018</w:t>
      </w:r>
      <w:r>
        <w:rPr/>
        <w:t>年度增长</w:t>
      </w:r>
      <w:r>
        <w:rPr>
          <w:rFonts w:ascii="Times New Roman" w:hAnsi="Times New Roman" w:cs="Times New Roman" w:eastAsia="Times New Roman" w:hint="default"/>
        </w:rPr>
        <w:t>26.13%</w:t>
      </w:r>
      <w:r>
        <w:rPr/>
        <w:t>。</w:t>
      </w:r>
    </w:p>
    <w:p>
      <w:pPr>
        <w:spacing w:line="240" w:lineRule="auto" w:before="13"/>
        <w:rPr>
          <w:rFonts w:ascii="宋体" w:hAnsi="宋体" w:cs="宋体" w:eastAsia="宋体" w:hint="default"/>
          <w:sz w:val="13"/>
          <w:szCs w:val="13"/>
        </w:rPr>
      </w:pPr>
    </w:p>
    <w:p>
      <w:pPr>
        <w:pStyle w:val="BodyText"/>
        <w:spacing w:line="300" w:lineRule="auto"/>
        <w:ind w:right="1122" w:firstLine="377"/>
        <w:jc w:val="left"/>
      </w:pPr>
      <w:r>
        <w:rPr>
          <w:spacing w:val="-2"/>
        </w:rPr>
        <w:t>由于收入是北信源公司的关键业绩指标之一，存在北信源公司管理层（以下简称</w:t>
      </w:r>
      <w:r>
        <w:rPr>
          <w:rFonts w:ascii="Times New Roman" w:hAnsi="Times New Roman" w:cs="Times New Roman" w:eastAsia="Times New Roman" w:hint="default"/>
          <w:spacing w:val="-2"/>
        </w:rPr>
        <w:t>“</w:t>
      </w:r>
      <w:r>
        <w:rPr>
          <w:spacing w:val="-2"/>
        </w:rPr>
        <w:t>管理层</w:t>
      </w:r>
      <w:r>
        <w:rPr>
          <w:rFonts w:ascii="Times New Roman" w:hAnsi="Times New Roman" w:cs="Times New Roman" w:eastAsia="Times New Roman" w:hint="default"/>
          <w:spacing w:val="-2"/>
        </w:rPr>
        <w:t>”</w:t>
      </w:r>
      <w:r>
        <w:rPr>
          <w:spacing w:val="-2"/>
        </w:rPr>
        <w:t>）为了达到目标或期望而操纵</w:t>
      </w:r>
      <w:r>
        <w:rPr/>
        <w:t> 收入的固有风险，且</w:t>
      </w:r>
      <w:r>
        <w:rPr>
          <w:rFonts w:ascii="Times New Roman" w:hAnsi="Times New Roman" w:cs="Times New Roman" w:eastAsia="Times New Roman" w:hint="default"/>
        </w:rPr>
        <w:t>2019</w:t>
      </w:r>
      <w:r>
        <w:rPr/>
        <w:t>年度收入增长幅度较大，因此我们将收入确认识别为关键审计事项。</w:t>
      </w:r>
    </w:p>
    <w:p>
      <w:pPr>
        <w:pStyle w:val="BodyText"/>
        <w:spacing w:line="415" w:lineRule="auto" w:before="133"/>
        <w:ind w:left="530" w:right="6596"/>
        <w:jc w:val="left"/>
      </w:pPr>
      <w:r>
        <w:rPr>
          <w:rFonts w:ascii="Times New Roman" w:hAnsi="Times New Roman" w:cs="Times New Roman" w:eastAsia="Times New Roman" w:hint="default"/>
        </w:rPr>
        <w:t>2</w:t>
      </w:r>
      <w:r>
        <w:rPr/>
        <w:t>、审计应对 针对收入确认，我们主要实施了以下审计程序：</w:t>
      </w:r>
    </w:p>
    <w:p>
      <w:pPr>
        <w:pStyle w:val="BodyText"/>
        <w:spacing w:line="240" w:lineRule="auto" w:before="65"/>
        <w:ind w:left="513" w:right="0"/>
        <w:jc w:val="left"/>
      </w:pPr>
      <w:r>
        <w:rPr/>
        <w:t>（</w:t>
      </w:r>
      <w:r>
        <w:rPr>
          <w:rFonts w:ascii="Times New Roman" w:hAnsi="Times New Roman" w:cs="Times New Roman" w:eastAsia="Times New Roman" w:hint="default"/>
        </w:rPr>
        <w:t>1</w:t>
      </w:r>
      <w:r>
        <w:rPr/>
        <w:t>）了解、评价了北信源公司管理层对收入确认流程中的内部控制制度设计的有效性，并测试了关键控制的运行情况；</w:t>
      </w:r>
    </w:p>
    <w:p>
      <w:pPr>
        <w:spacing w:line="240" w:lineRule="auto" w:before="0"/>
        <w:rPr>
          <w:rFonts w:ascii="宋体" w:hAnsi="宋体" w:cs="宋体" w:eastAsia="宋体" w:hint="default"/>
          <w:sz w:val="14"/>
          <w:szCs w:val="14"/>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）通过审阅销售合同及与管理层访谈，了解收入确认政策，检查与产品交付、验收、结算及退货等有关的单据，结 合北信源公司具体业务情况，评价收入确认会计政策是否符合企业会计准则的要求；</w:t>
      </w:r>
    </w:p>
    <w:p>
      <w:pPr>
        <w:spacing w:after="0" w:line="30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4" w:firstLine="360"/>
        <w:jc w:val="left"/>
      </w:pPr>
      <w:r>
        <w:rPr/>
        <w:t>（</w:t>
      </w:r>
      <w:r>
        <w:rPr>
          <w:rFonts w:ascii="Times New Roman" w:hAnsi="Times New Roman" w:cs="Times New Roman" w:eastAsia="Times New Roman" w:hint="default"/>
        </w:rPr>
        <w:t>3</w:t>
      </w:r>
      <w:r>
        <w:rPr/>
        <w:t>）执行分析程序，分析了营业收入和营业成本的变动是否合理，与上期比较是否存在重大波动，毛利率变动是否符 合行业趋势；</w:t>
      </w:r>
    </w:p>
    <w:p>
      <w:pPr>
        <w:pStyle w:val="BodyText"/>
        <w:spacing w:line="300" w:lineRule="auto" w:before="151"/>
        <w:ind w:right="0" w:firstLine="360"/>
        <w:jc w:val="left"/>
      </w:pPr>
      <w:r>
        <w:rPr>
          <w:spacing w:val="-2"/>
        </w:rPr>
        <w:t>（</w:t>
      </w:r>
      <w:r>
        <w:rPr>
          <w:rFonts w:ascii="Times New Roman" w:hAnsi="Times New Roman" w:cs="Times New Roman" w:eastAsia="Times New Roman" w:hint="default"/>
          <w:spacing w:val="-2"/>
        </w:rPr>
        <w:t>4</w:t>
      </w:r>
      <w:r>
        <w:rPr>
          <w:spacing w:val="-2"/>
        </w:rPr>
        <w:t>）选取重要的合同进行检查，检查和核对了相关的验收单、收款凭证、发票等支持性文件，以及相关审批确认手续，</w:t>
      </w:r>
      <w:r>
        <w:rPr/>
        <w:t> 确认已记录的销售收入符合北信源公司收入确认的具体条件；</w:t>
      </w:r>
    </w:p>
    <w:p>
      <w:pPr>
        <w:pStyle w:val="BodyText"/>
        <w:spacing w:line="240" w:lineRule="auto" w:before="151"/>
        <w:ind w:left="513" w:right="0"/>
        <w:jc w:val="left"/>
      </w:pPr>
      <w:r>
        <w:rPr/>
        <w:t>（</w:t>
      </w:r>
      <w:r>
        <w:rPr>
          <w:rFonts w:ascii="Times New Roman" w:hAnsi="Times New Roman" w:cs="Times New Roman" w:eastAsia="Times New Roman" w:hint="default"/>
        </w:rPr>
        <w:t>5</w:t>
      </w:r>
      <w:r>
        <w:rPr/>
        <w:t>）根据交易的性质和特点，对</w:t>
      </w:r>
      <w:r>
        <w:rPr>
          <w:rFonts w:ascii="Times New Roman" w:hAnsi="Times New Roman" w:cs="Times New Roman" w:eastAsia="Times New Roman" w:hint="default"/>
        </w:rPr>
        <w:t>2019</w:t>
      </w:r>
      <w:r>
        <w:rPr/>
        <w:t>年度销售收入金额选取样本执行了函证程序，对未回函的客户实施替代审计程序；</w:t>
      </w:r>
    </w:p>
    <w:p>
      <w:pPr>
        <w:spacing w:line="240" w:lineRule="auto" w:before="13"/>
        <w:rPr>
          <w:rFonts w:ascii="宋体" w:hAnsi="宋体" w:cs="宋体" w:eastAsia="宋体" w:hint="default"/>
          <w:sz w:val="13"/>
          <w:szCs w:val="13"/>
        </w:rPr>
      </w:pPr>
    </w:p>
    <w:p>
      <w:pPr>
        <w:pStyle w:val="BodyText"/>
        <w:spacing w:line="240" w:lineRule="auto"/>
        <w:ind w:left="513" w:right="1122"/>
        <w:jc w:val="left"/>
      </w:pPr>
      <w:r>
        <w:rPr/>
        <w:t>（</w:t>
      </w:r>
      <w:r>
        <w:rPr>
          <w:rFonts w:ascii="Times New Roman" w:hAnsi="Times New Roman" w:cs="Times New Roman" w:eastAsia="Times New Roman" w:hint="default"/>
        </w:rPr>
        <w:t>6</w:t>
      </w:r>
      <w:r>
        <w:rPr/>
        <w:t>）选取大额交易客户进行了现场或视频走访；</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7</w:t>
      </w:r>
      <w:r>
        <w:rPr/>
        <w:t>）获取了公司提供的关联方清单，检查公司销售额较大客户、大额新增客户等的工商信息，以评估是否存在未识别 的潜在关联方关系及交易，并抽样检查了关联方销售样本，评价关联交易的真实性以及价格的公允性；</w:t>
      </w:r>
    </w:p>
    <w:p>
      <w:pPr>
        <w:pStyle w:val="BodyText"/>
        <w:spacing w:line="240" w:lineRule="auto" w:before="151"/>
        <w:ind w:left="513" w:right="1122"/>
        <w:jc w:val="left"/>
      </w:pPr>
      <w:r>
        <w:rPr/>
        <w:t>（</w:t>
      </w:r>
      <w:r>
        <w:rPr>
          <w:rFonts w:ascii="Times New Roman" w:hAnsi="Times New Roman" w:cs="Times New Roman" w:eastAsia="Times New Roman" w:hint="default"/>
        </w:rPr>
        <w:t>8</w:t>
      </w:r>
      <w:r>
        <w:rPr/>
        <w:t>）针对临近资产负债表日前后记录的交易执行了截止性测试，检查收入是否记录在正确的会计期间；</w:t>
      </w:r>
    </w:p>
    <w:p>
      <w:pPr>
        <w:spacing w:line="240" w:lineRule="auto" w:before="0"/>
        <w:rPr>
          <w:rFonts w:ascii="宋体" w:hAnsi="宋体" w:cs="宋体" w:eastAsia="宋体" w:hint="default"/>
          <w:sz w:val="14"/>
          <w:szCs w:val="14"/>
        </w:rPr>
      </w:pPr>
    </w:p>
    <w:p>
      <w:pPr>
        <w:pStyle w:val="BodyText"/>
        <w:spacing w:line="240" w:lineRule="auto"/>
        <w:ind w:left="530" w:right="1122"/>
        <w:jc w:val="left"/>
      </w:pPr>
      <w:r>
        <w:rPr/>
        <w:t>（</w:t>
      </w:r>
      <w:r>
        <w:rPr>
          <w:rFonts w:ascii="Times New Roman" w:hAnsi="Times New Roman" w:cs="Times New Roman" w:eastAsia="Times New Roman" w:hint="default"/>
        </w:rPr>
        <w:t>9</w:t>
      </w:r>
      <w:r>
        <w:rPr/>
        <w:t>）检查了期后收款情况以及是否存在销售退回，与财务记录进行了核对，以核实销售的真实性。</w:t>
      </w:r>
    </w:p>
    <w:p>
      <w:pPr>
        <w:spacing w:line="240" w:lineRule="auto" w:before="13"/>
        <w:rPr>
          <w:rFonts w:ascii="宋体" w:hAnsi="宋体" w:cs="宋体" w:eastAsia="宋体" w:hint="default"/>
          <w:sz w:val="13"/>
          <w:szCs w:val="13"/>
        </w:rPr>
      </w:pPr>
    </w:p>
    <w:p>
      <w:pPr>
        <w:pStyle w:val="BodyText"/>
        <w:spacing w:line="427" w:lineRule="auto"/>
        <w:ind w:left="530" w:right="6040"/>
        <w:jc w:val="left"/>
      </w:pPr>
      <w:r>
        <w:rPr/>
        <w:t>（二）应收账款坏账准备的计提 相关信息披露详见财务报表附注三</w:t>
      </w:r>
      <w:r>
        <w:rPr>
          <w:rFonts w:ascii="Times New Roman" w:hAnsi="Times New Roman" w:cs="Times New Roman" w:eastAsia="Times New Roman" w:hint="default"/>
        </w:rPr>
        <w:t>-10</w:t>
      </w:r>
      <w:r>
        <w:rPr/>
        <w:t>、</w:t>
      </w:r>
      <w:r>
        <w:rPr>
          <w:rFonts w:ascii="Times New Roman" w:hAnsi="Times New Roman" w:cs="Times New Roman" w:eastAsia="Times New Roman" w:hint="default"/>
        </w:rPr>
        <w:t>27</w:t>
      </w:r>
      <w:r>
        <w:rPr/>
        <w:t>及附注五</w:t>
      </w:r>
      <w:r>
        <w:rPr>
          <w:rFonts w:ascii="Times New Roman" w:hAnsi="Times New Roman" w:cs="Times New Roman" w:eastAsia="Times New Roman" w:hint="default"/>
        </w:rPr>
        <w:t>-4</w:t>
      </w:r>
      <w:r>
        <w:rPr/>
        <w:t>。 </w:t>
      </w:r>
      <w:r>
        <w:rPr>
          <w:rFonts w:ascii="Times New Roman" w:hAnsi="Times New Roman" w:cs="Times New Roman" w:eastAsia="Times New Roman" w:hint="default"/>
        </w:rPr>
        <w:t>1</w:t>
      </w:r>
      <w:r>
        <w:rPr/>
        <w:t>、事项描述</w:t>
      </w:r>
    </w:p>
    <w:p>
      <w:pPr>
        <w:pStyle w:val="BodyText"/>
        <w:spacing w:line="300" w:lineRule="auto" w:before="27"/>
        <w:ind w:right="1122" w:firstLine="377"/>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日，北信源公司应收账款余额</w:t>
      </w:r>
      <w:r>
        <w:rPr>
          <w:rFonts w:ascii="Times New Roman" w:hAnsi="Times New Roman" w:cs="Times New Roman" w:eastAsia="Times New Roman" w:hint="default"/>
        </w:rPr>
        <w:t>1,432,343,417.65</w:t>
      </w:r>
      <w:r>
        <w:rPr/>
        <w:t>元，已计提坏账准备</w:t>
      </w:r>
      <w:r>
        <w:rPr>
          <w:rFonts w:ascii="Times New Roman" w:hAnsi="Times New Roman" w:cs="Times New Roman" w:eastAsia="Times New Roman" w:hint="default"/>
        </w:rPr>
        <w:t>368,112,737.11</w:t>
      </w:r>
      <w:r>
        <w:rPr/>
        <w:t>元，期末应收账款 账面价值</w:t>
      </w:r>
      <w:r>
        <w:rPr>
          <w:rFonts w:ascii="Times New Roman" w:hAnsi="Times New Roman" w:cs="Times New Roman" w:eastAsia="Times New Roman" w:hint="default"/>
        </w:rPr>
        <w:t>1,064,230,680.54</w:t>
      </w:r>
      <w:r>
        <w:rPr/>
        <w:t>元，占资产总额的比重为</w:t>
      </w:r>
      <w:r>
        <w:rPr>
          <w:rFonts w:ascii="Times New Roman" w:hAnsi="Times New Roman" w:cs="Times New Roman" w:eastAsia="Times New Roman" w:hint="default"/>
        </w:rPr>
        <w:t>38.01%</w:t>
      </w:r>
      <w:r>
        <w:rPr/>
        <w:t>。</w:t>
      </w:r>
    </w:p>
    <w:p>
      <w:pPr>
        <w:pStyle w:val="BodyText"/>
        <w:spacing w:line="300" w:lineRule="auto" w:before="133"/>
        <w:ind w:right="1122" w:firstLine="377"/>
        <w:jc w:val="left"/>
      </w:pPr>
      <w:r>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日起，北信源公司执行新金融工具准则。应收账款减值准备以预期信用损失为基础确认，管理层分析应 收账款的历史回款情况、交易对手的信用等级及未来经济状况，同时考虑前瞻性影响因素，以评估应收账款的信用风险。</w:t>
      </w:r>
    </w:p>
    <w:p>
      <w:pPr>
        <w:pStyle w:val="BodyText"/>
        <w:spacing w:line="316" w:lineRule="auto" w:before="152"/>
        <w:ind w:right="1122" w:firstLine="377"/>
        <w:jc w:val="left"/>
      </w:pPr>
      <w:r>
        <w:rPr/>
        <w:t>由于对应收账款的可收回金额进行估计并进行减值测试涉及管理层的重大判断和估计，且应收账款金额重大，因此我 们将应收账款坏账准备的计提识别为关键审计事项。</w:t>
      </w:r>
    </w:p>
    <w:p>
      <w:pPr>
        <w:pStyle w:val="BodyText"/>
        <w:spacing w:line="415" w:lineRule="auto" w:before="139"/>
        <w:ind w:left="530" w:right="5336"/>
        <w:jc w:val="left"/>
      </w:pPr>
      <w:r>
        <w:rPr>
          <w:rFonts w:ascii="Times New Roman" w:hAnsi="Times New Roman" w:cs="Times New Roman" w:eastAsia="Times New Roman" w:hint="default"/>
        </w:rPr>
        <w:t>2</w:t>
      </w:r>
      <w:r>
        <w:rPr/>
        <w:t>、审计应对 针对应收账款坏账准备的计提，我们主要实施了以下审计程序：</w:t>
      </w:r>
    </w:p>
    <w:p>
      <w:pPr>
        <w:pStyle w:val="BodyText"/>
        <w:spacing w:line="240" w:lineRule="auto" w:before="65"/>
        <w:ind w:left="513" w:right="1122"/>
        <w:jc w:val="left"/>
      </w:pPr>
      <w:r>
        <w:rPr/>
        <w:t>（</w:t>
      </w:r>
      <w:r>
        <w:rPr>
          <w:rFonts w:ascii="Times New Roman" w:hAnsi="Times New Roman" w:cs="Times New Roman" w:eastAsia="Times New Roman" w:hint="default"/>
        </w:rPr>
        <w:t>1</w:t>
      </w:r>
      <w:r>
        <w:rPr/>
        <w:t>）了解、评价、测试了北信源公司信用政策及应收账款管理相关内部控制的设计和运行有效性；</w:t>
      </w:r>
    </w:p>
    <w:p>
      <w:pPr>
        <w:spacing w:line="240" w:lineRule="auto" w:before="13"/>
        <w:rPr>
          <w:rFonts w:ascii="宋体" w:hAnsi="宋体" w:cs="宋体" w:eastAsia="宋体" w:hint="default"/>
          <w:sz w:val="13"/>
          <w:szCs w:val="13"/>
        </w:rPr>
      </w:pPr>
    </w:p>
    <w:p>
      <w:pPr>
        <w:pStyle w:val="BodyText"/>
        <w:spacing w:line="300" w:lineRule="auto"/>
        <w:ind w:right="1124" w:firstLine="360"/>
        <w:jc w:val="left"/>
      </w:pPr>
      <w:r>
        <w:rPr/>
        <w:t>（</w:t>
      </w:r>
      <w:r>
        <w:rPr>
          <w:rFonts w:ascii="Times New Roman" w:hAnsi="Times New Roman" w:cs="Times New Roman" w:eastAsia="Times New Roman" w:hint="default"/>
        </w:rPr>
        <w:t>2</w:t>
      </w:r>
      <w:r>
        <w:rPr/>
        <w:t>）了解了北信源公司的信用政策、行业特点及信用风险特征，获取了管理层评识别已发生信用减值的应收账款以及 确定预期损失率所依据的数据及相关资料，评价管理层制定的相关会计政策是否符合企业会计准则的相关规定；</w:t>
      </w:r>
    </w:p>
    <w:p>
      <w:pPr>
        <w:pStyle w:val="BodyText"/>
        <w:spacing w:line="240" w:lineRule="auto" w:before="151"/>
        <w:ind w:left="513" w:right="1122"/>
        <w:jc w:val="left"/>
      </w:pPr>
      <w:r>
        <w:rPr/>
        <w:t>（</w:t>
      </w:r>
      <w:r>
        <w:rPr>
          <w:rFonts w:ascii="Times New Roman" w:hAnsi="Times New Roman" w:cs="Times New Roman" w:eastAsia="Times New Roman" w:hint="default"/>
        </w:rPr>
        <w:t>3</w:t>
      </w:r>
      <w:r>
        <w:rPr/>
        <w:t>）选取样本执行了应收账款函证程序，对未回函的款项实施替代审计程序，检查了期后回款情况；</w:t>
      </w:r>
    </w:p>
    <w:p>
      <w:pPr>
        <w:spacing w:line="240" w:lineRule="auto" w:before="0"/>
        <w:rPr>
          <w:rFonts w:ascii="宋体" w:hAnsi="宋体" w:cs="宋体" w:eastAsia="宋体" w:hint="default"/>
          <w:sz w:val="14"/>
          <w:szCs w:val="14"/>
        </w:rPr>
      </w:pPr>
    </w:p>
    <w:p>
      <w:pPr>
        <w:pStyle w:val="BodyText"/>
        <w:spacing w:line="309" w:lineRule="auto"/>
        <w:ind w:right="1131" w:firstLine="377"/>
        <w:jc w:val="both"/>
      </w:pPr>
      <w:r>
        <w:rPr>
          <w:spacing w:val="-1"/>
        </w:rPr>
        <w:t>（</w:t>
      </w:r>
      <w:r>
        <w:rPr>
          <w:rFonts w:ascii="Times New Roman" w:hAnsi="Times New Roman" w:cs="Times New Roman" w:eastAsia="Times New Roman" w:hint="default"/>
          <w:spacing w:val="-1"/>
        </w:rPr>
        <w:t>4</w:t>
      </w:r>
      <w:r>
        <w:rPr>
          <w:spacing w:val="-1"/>
        </w:rPr>
        <w:t>）获取管理层识别已发生信用减值的应收账款以及确认预期损失率所依据的数据及相关资料，检查北信源公司应收</w:t>
      </w:r>
      <w:r>
        <w:rPr/>
        <w:t> </w:t>
      </w:r>
      <w:r>
        <w:rPr>
          <w:spacing w:val="-2"/>
        </w:rPr>
        <w:t>账款的账龄迁徙情况、客户信誉情况及经营情况、历史坏账情况、预期信用损失判断等，并结合应收账款函证程序及期后回</w:t>
      </w:r>
      <w:r>
        <w:rPr>
          <w:spacing w:val="-64"/>
        </w:rPr>
        <w:t> </w:t>
      </w:r>
      <w:r>
        <w:rPr>
          <w:spacing w:val="-64"/>
        </w:rPr>
      </w:r>
      <w:r>
        <w:rPr/>
        <w:t>款情况的检查结果，评价应收账款预期信用损失率的合理性及应收账款损失准备计提的充分性；</w:t>
      </w:r>
    </w:p>
    <w:p>
      <w:pPr>
        <w:pStyle w:val="BodyText"/>
        <w:spacing w:line="300" w:lineRule="auto" w:before="144"/>
        <w:ind w:right="1124" w:firstLine="360"/>
        <w:jc w:val="left"/>
      </w:pPr>
      <w:r>
        <w:rPr/>
        <w:t>（</w:t>
      </w:r>
      <w:r>
        <w:rPr>
          <w:rFonts w:ascii="Times New Roman" w:hAnsi="Times New Roman" w:cs="Times New Roman" w:eastAsia="Times New Roman" w:hint="default"/>
        </w:rPr>
        <w:t>5</w:t>
      </w:r>
      <w:r>
        <w:rPr/>
        <w:t>）比较前期坏账准备计提数和实际发生数，复核了北信源公司应收账款减值准备计提比例，判断应收账款预期信用 损失是否恰当，并分析评价了历史损失迁移矩阵模型和前瞻性考虑的合理性；</w:t>
      </w:r>
    </w:p>
    <w:p>
      <w:pPr>
        <w:pStyle w:val="BodyText"/>
        <w:spacing w:line="432" w:lineRule="exact" w:before="16"/>
        <w:ind w:left="513" w:right="1122"/>
        <w:jc w:val="left"/>
      </w:pPr>
      <w:r>
        <w:rPr/>
        <w:t>（</w:t>
      </w:r>
      <w:r>
        <w:rPr>
          <w:rFonts w:ascii="Times New Roman" w:hAnsi="Times New Roman" w:cs="Times New Roman" w:eastAsia="Times New Roman" w:hint="default"/>
        </w:rPr>
        <w:t>6</w:t>
      </w:r>
      <w:r>
        <w:rPr/>
        <w:t>）获取北信源公司坏账准备计提表，重新计算了按预期信用损失模型计算的坏账准备金额是否充分、准确。 </w:t>
      </w:r>
      <w:r>
        <w:rPr>
          <w:rFonts w:ascii="宋体" w:hAnsi="宋体" w:cs="宋体" w:eastAsia="宋体" w:hint="default"/>
          <w:b/>
          <w:bCs/>
        </w:rPr>
        <w:t>四、其他信息</w:t>
      </w:r>
      <w:r>
        <w:rPr>
          <w:rFonts w:ascii="宋体" w:hAnsi="宋体" w:cs="宋体" w:eastAsia="宋体" w:hint="default"/>
          <w:b/>
          <w:bCs/>
          <w:w w:val="99"/>
        </w:rPr>
        <w:t> </w:t>
      </w:r>
      <w:r>
        <w:rPr/>
        <w:t>北信源公司管理层对其他信息负责。其他信息包括北信源公司</w:t>
      </w:r>
      <w:r>
        <w:rPr>
          <w:rFonts w:ascii="Times New Roman" w:hAnsi="Times New Roman" w:cs="Times New Roman" w:eastAsia="Times New Roman" w:hint="default"/>
        </w:rPr>
        <w:t>2019</w:t>
      </w:r>
      <w:r>
        <w:rPr/>
        <w:t>年年度报告中涵盖的信息，但不包括财务报表和我</w:t>
      </w:r>
    </w:p>
    <w:p>
      <w:pPr>
        <w:pStyle w:val="BodyText"/>
        <w:spacing w:line="441" w:lineRule="auto" w:before="15"/>
        <w:ind w:left="530" w:right="2636" w:hanging="378"/>
        <w:jc w:val="left"/>
      </w:pPr>
      <w:r>
        <w:rPr/>
        <w:t>们的审计报告。 我们对财务报表发表的审计意见不涵盖其他信息，我们也不对其他信息发表任何形式的鉴证结论。</w:t>
      </w:r>
    </w:p>
    <w:p>
      <w:pPr>
        <w:spacing w:after="0" w:line="441"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6" w:firstLine="377"/>
        <w:jc w:val="both"/>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316" w:lineRule="auto" w:before="139"/>
        <w:ind w:right="1136" w:firstLine="377"/>
        <w:jc w:val="both"/>
      </w:pPr>
      <w:r>
        <w:rPr/>
        <w:t>基于我们已执行的工作，如果我们确定其他信息存在重大错报，我们应当报告该事实。在这方面，我们无任何事项需 要报告。</w:t>
      </w:r>
    </w:p>
    <w:p>
      <w:pPr>
        <w:spacing w:line="432" w:lineRule="exact" w:before="3"/>
        <w:ind w:left="530" w:right="1122" w:hanging="17"/>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北信源公司管理层负责按照企业会计准则的规定编制财务报表，使其实现公允反映，并设计、执行和维护必要的内部</w:t>
      </w:r>
    </w:p>
    <w:p>
      <w:pPr>
        <w:pStyle w:val="BodyText"/>
        <w:spacing w:line="240" w:lineRule="auto" w:before="15"/>
        <w:ind w:right="1122"/>
        <w:jc w:val="left"/>
      </w:pPr>
      <w:r>
        <w:rPr/>
        <w:t>控制，以使财务报表不存在由于舞弊或错误导致的重大错报。</w:t>
      </w:r>
    </w:p>
    <w:p>
      <w:pPr>
        <w:spacing w:line="240" w:lineRule="auto" w:before="0"/>
        <w:rPr>
          <w:rFonts w:ascii="宋体" w:hAnsi="宋体" w:cs="宋体" w:eastAsia="宋体" w:hint="default"/>
          <w:sz w:val="15"/>
          <w:szCs w:val="15"/>
        </w:rPr>
      </w:pPr>
    </w:p>
    <w:p>
      <w:pPr>
        <w:pStyle w:val="BodyText"/>
        <w:spacing w:line="316" w:lineRule="auto"/>
        <w:ind w:right="1136" w:firstLine="377"/>
        <w:jc w:val="both"/>
      </w:pPr>
      <w:r>
        <w:rPr/>
        <w:t>在编制财务报表时，管理层负责评估北信源公司的持续经营能力，披露与持续经营相关的事项（如适用），并运用持 续经营假设，除非管理层计划清算北信源公司、终止运营或别无其他现实的选择。</w:t>
      </w:r>
    </w:p>
    <w:p>
      <w:pPr>
        <w:spacing w:line="439" w:lineRule="auto" w:before="139"/>
        <w:ind w:left="513" w:right="6777" w:firstLine="16"/>
        <w:jc w:val="left"/>
        <w:rPr>
          <w:rFonts w:ascii="宋体" w:hAnsi="宋体" w:cs="宋体" w:eastAsia="宋体" w:hint="default"/>
          <w:sz w:val="18"/>
          <w:szCs w:val="18"/>
        </w:rPr>
      </w:pPr>
      <w:r>
        <w:rPr>
          <w:rFonts w:ascii="宋体" w:hAnsi="宋体" w:cs="宋体" w:eastAsia="宋体" w:hint="default"/>
          <w:sz w:val="18"/>
          <w:szCs w:val="18"/>
        </w:rPr>
        <w:t>治理层负责监督北信源公司的财务报告过程。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47"/>
        <w:ind w:right="1129" w:firstLine="377"/>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530" w:right="1122"/>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right="1034" w:firstLine="377"/>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4"/>
        <w:ind w:left="530" w:right="1122"/>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spacing w:line="240" w:lineRule="auto" w:before="13"/>
        <w:rPr>
          <w:rFonts w:ascii="宋体" w:hAnsi="宋体" w:cs="宋体" w:eastAsia="宋体" w:hint="default"/>
          <w:sz w:val="13"/>
          <w:szCs w:val="13"/>
        </w:rPr>
      </w:pPr>
    </w:p>
    <w:p>
      <w:pPr>
        <w:pStyle w:val="BodyText"/>
        <w:spacing w:line="240" w:lineRule="auto"/>
        <w:ind w:left="530" w:right="1122"/>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pStyle w:val="BodyText"/>
        <w:spacing w:line="312" w:lineRule="auto"/>
        <w:ind w:right="1131" w:firstLine="377"/>
        <w:jc w:val="both"/>
      </w:pPr>
      <w:r>
        <w:rPr>
          <w:spacing w:val="-1"/>
        </w:rPr>
        <w:t>（</w:t>
      </w: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）对管理层使用持续经营假设的恰当性得出结论。同时，根据获取的审计证据，就可能导致对北信源公司的持续经</w:t>
      </w:r>
      <w:r>
        <w:rPr/>
        <w:t> </w:t>
      </w:r>
      <w:r>
        <w:rPr>
          <w:spacing w:val="-2"/>
        </w:rPr>
        <w:t>营能力产生重大疑虑的事项或情况是否存在重大不确定性得出结论。如果我们得出结论认为存在重大不确定性，审计准则要</w:t>
      </w:r>
      <w:r>
        <w:rPr>
          <w:spacing w:val="-62"/>
        </w:rPr>
        <w:t> </w:t>
      </w:r>
      <w:r>
        <w:rPr>
          <w:spacing w:val="-62"/>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论基于截至审计报告日可获得的信息。然而，未来的事项或情况可能导致北信源公司不能持续经营。</w:t>
      </w:r>
    </w:p>
    <w:p>
      <w:pPr>
        <w:pStyle w:val="BodyText"/>
        <w:spacing w:line="240" w:lineRule="auto" w:before="142"/>
        <w:ind w:left="530" w:right="1122"/>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0"/>
        <w:rPr>
          <w:rFonts w:ascii="宋体" w:hAnsi="宋体" w:cs="宋体" w:eastAsia="宋体" w:hint="default"/>
          <w:sz w:val="14"/>
          <w:szCs w:val="14"/>
        </w:rPr>
      </w:pPr>
    </w:p>
    <w:p>
      <w:pPr>
        <w:pStyle w:val="BodyText"/>
        <w:spacing w:line="300" w:lineRule="auto"/>
        <w:ind w:right="1041" w:firstLine="377"/>
        <w:jc w:val="both"/>
      </w:pPr>
      <w:r>
        <w:rPr>
          <w:spacing w:val="-2"/>
        </w:rPr>
        <w:t>（</w:t>
      </w:r>
      <w:r>
        <w:rPr>
          <w:rFonts w:ascii="Times New Roman" w:hAnsi="Times New Roman" w:cs="Times New Roman" w:eastAsia="Times New Roman" w:hint="default"/>
          <w:spacing w:val="-2"/>
        </w:rPr>
        <w:t>6</w:t>
      </w:r>
      <w:r>
        <w:rPr>
          <w:spacing w:val="-2"/>
        </w:rPr>
        <w:t>）就北信源公司中实体或业务活动的财务信息获取充分、适当的审计证据，以对财务报表发表意见。我们负责指导、</w:t>
      </w:r>
      <w:r>
        <w:rPr/>
        <w:t> 监督和执行集团审计，并对审计意见承担全部责任。</w:t>
      </w:r>
    </w:p>
    <w:p>
      <w:pPr>
        <w:pStyle w:val="BodyText"/>
        <w:spacing w:line="316" w:lineRule="auto" w:before="151"/>
        <w:ind w:right="1129" w:firstLine="377"/>
        <w:jc w:val="both"/>
      </w:pPr>
      <w:r>
        <w:rPr/>
        <w:t>我们与治理层就计划的审计范围、时间安排和重大审计发现等事项进行沟通，包括沟通我们在审计中识别出的值得关 注的内部控制缺陷。</w:t>
      </w:r>
    </w:p>
    <w:p>
      <w:pPr>
        <w:pStyle w:val="BodyText"/>
        <w:spacing w:line="316" w:lineRule="auto" w:before="139"/>
        <w:ind w:right="1136" w:firstLine="377"/>
        <w:jc w:val="both"/>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316" w:lineRule="auto" w:before="139"/>
        <w:ind w:right="1133" w:firstLine="377"/>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p>
    <w:p>
      <w:pPr>
        <w:spacing w:after="0" w:line="316" w:lineRule="auto"/>
        <w:jc w:val="both"/>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970"/>
        <w:gridCol w:w="3755"/>
      </w:tblGrid>
      <w:tr>
        <w:trPr>
          <w:trHeight w:val="1816"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致同会计师事务所</w:t>
            </w:r>
          </w:p>
          <w:p>
            <w:pPr>
              <w:pStyle w:val="TableParagraph"/>
              <w:spacing w:line="240" w:lineRule="auto" w:before="76"/>
              <w:ind w:left="200" w:right="0"/>
              <w:jc w:val="left"/>
              <w:rPr>
                <w:rFonts w:ascii="宋体" w:hAnsi="宋体" w:cs="宋体" w:eastAsia="宋体" w:hint="default"/>
                <w:sz w:val="18"/>
                <w:szCs w:val="18"/>
              </w:rPr>
            </w:pPr>
            <w:r>
              <w:rPr>
                <w:rFonts w:ascii="宋体" w:hAnsi="宋体" w:cs="宋体" w:eastAsia="宋体" w:hint="default"/>
                <w:sz w:val="18"/>
                <w:szCs w:val="18"/>
              </w:rPr>
              <w:t>（特殊普通合伙）</w:t>
            </w:r>
          </w:p>
        </w:tc>
        <w:tc>
          <w:tcPr>
            <w:tcW w:w="3755" w:type="dxa"/>
            <w:tcBorders>
              <w:top w:val="nil" w:sz="6" w:space="0" w:color="auto"/>
              <w:left w:val="nil" w:sz="6" w:space="0" w:color="auto"/>
              <w:bottom w:val="nil" w:sz="6" w:space="0" w:color="auto"/>
              <w:right w:val="nil" w:sz="6" w:space="0" w:color="auto"/>
            </w:tcBorders>
          </w:tcPr>
          <w:p>
            <w:pPr>
              <w:pStyle w:val="TableParagraph"/>
              <w:spacing w:line="180" w:lineRule="exact"/>
              <w:ind w:left="1754" w:right="0"/>
              <w:jc w:val="left"/>
              <w:rPr>
                <w:rFonts w:ascii="宋体" w:hAnsi="宋体" w:cs="宋体" w:eastAsia="宋体" w:hint="default"/>
                <w:sz w:val="18"/>
                <w:szCs w:val="18"/>
              </w:rPr>
            </w:pPr>
            <w:r>
              <w:rPr>
                <w:rFonts w:ascii="宋体" w:hAnsi="宋体" w:cs="宋体" w:eastAsia="宋体" w:hint="default"/>
                <w:sz w:val="18"/>
                <w:szCs w:val="18"/>
              </w:rPr>
              <w:t>中国注册会计师：孙宁</w:t>
            </w:r>
          </w:p>
          <w:p>
            <w:pPr>
              <w:pStyle w:val="TableParagraph"/>
              <w:spacing w:line="240" w:lineRule="auto" w:before="76"/>
              <w:ind w:left="1754" w:right="0" w:firstLine="540"/>
              <w:jc w:val="left"/>
              <w:rPr>
                <w:rFonts w:ascii="宋体" w:hAnsi="宋体" w:cs="宋体" w:eastAsia="宋体" w:hint="default"/>
                <w:sz w:val="18"/>
                <w:szCs w:val="18"/>
              </w:rPr>
            </w:pPr>
            <w:r>
              <w:rPr>
                <w:rFonts w:ascii="宋体" w:hAnsi="宋体" w:cs="宋体" w:eastAsia="宋体" w:hint="default"/>
                <w:sz w:val="18"/>
                <w:szCs w:val="18"/>
              </w:rPr>
              <w:t>（项目合伙人）</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754" w:right="0"/>
              <w:jc w:val="left"/>
              <w:rPr>
                <w:rFonts w:ascii="宋体" w:hAnsi="宋体" w:cs="宋体" w:eastAsia="宋体" w:hint="default"/>
                <w:sz w:val="18"/>
                <w:szCs w:val="18"/>
              </w:rPr>
            </w:pPr>
            <w:r>
              <w:rPr>
                <w:rFonts w:ascii="宋体" w:hAnsi="宋体" w:cs="宋体" w:eastAsia="宋体" w:hint="default"/>
                <w:sz w:val="18"/>
                <w:szCs w:val="18"/>
              </w:rPr>
              <w:t>中国注册会计师：李杨</w:t>
            </w:r>
          </w:p>
        </w:tc>
      </w:tr>
      <w:tr>
        <w:trPr>
          <w:trHeight w:val="577" w:hRule="exact"/>
        </w:trPr>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7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329" w:right="0"/>
              <w:jc w:val="left"/>
              <w:rPr>
                <w:rFonts w:ascii="宋体" w:hAnsi="宋体" w:cs="宋体" w:eastAsia="宋体" w:hint="default"/>
                <w:sz w:val="18"/>
                <w:szCs w:val="18"/>
              </w:rPr>
            </w:pPr>
            <w:r>
              <w:rPr>
                <w:rFonts w:ascii="宋体" w:hAnsi="宋体" w:cs="宋体" w:eastAsia="宋体" w:hint="default"/>
                <w:sz w:val="18"/>
                <w:szCs w:val="18"/>
              </w:rPr>
              <w:t>二〇二〇年</w:t>
            </w:r>
            <w:r>
              <w:rPr>
                <w:rFonts w:ascii="宋体" w:hAnsi="宋体" w:cs="宋体" w:eastAsia="宋体" w:hint="default"/>
                <w:spacing w:val="-18"/>
                <w:sz w:val="18"/>
                <w:szCs w:val="18"/>
              </w:rPr>
              <w:t> </w:t>
            </w:r>
            <w:r>
              <w:rPr>
                <w:rFonts w:ascii="宋体" w:hAnsi="宋体" w:cs="宋体" w:eastAsia="宋体" w:hint="default"/>
                <w:sz w:val="18"/>
                <w:szCs w:val="18"/>
              </w:rPr>
              <w:t>四月二十九日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2"/>
        <w:spacing w:line="240" w:lineRule="auto" w:before="26"/>
        <w:ind w:left="292"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0"/>
        <w:jc w:val="left"/>
      </w:pPr>
      <w:r>
        <w:rPr/>
        <w:t>财务附注中报表的单位为：元</w:t>
      </w:r>
    </w:p>
    <w:p>
      <w:pPr>
        <w:spacing w:line="240" w:lineRule="auto" w:before="0"/>
        <w:rPr>
          <w:rFonts w:ascii="宋体" w:hAnsi="宋体" w:cs="宋体" w:eastAsia="宋体" w:hint="default"/>
          <w:sz w:val="18"/>
          <w:szCs w:val="18"/>
        </w:rPr>
      </w:pPr>
    </w:p>
    <w:p>
      <w:pPr>
        <w:pStyle w:val="Heading4"/>
        <w:spacing w:line="240" w:lineRule="auto" w:before="120"/>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840" w:right="0"/>
        </w:sectPr>
      </w:pPr>
    </w:p>
    <w:p>
      <w:pPr>
        <w:pStyle w:val="BodyText"/>
        <w:spacing w:line="240" w:lineRule="auto" w:before="44"/>
        <w:ind w:left="292" w:right="-20"/>
        <w:jc w:val="left"/>
      </w:pPr>
      <w:r>
        <w:rPr/>
        <w:t>编制单位：北京北信源软件股份有限公司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left="292"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292" w:right="0"/>
        <w:jc w:val="left"/>
      </w:pPr>
      <w:r>
        <w:rPr/>
        <w:t>单位：元</w:t>
      </w:r>
    </w:p>
    <w:p>
      <w:pPr>
        <w:spacing w:after="0" w:line="240" w:lineRule="auto"/>
        <w:jc w:val="left"/>
        <w:sectPr>
          <w:type w:val="continuous"/>
          <w:pgSz w:w="11910" w:h="16840"/>
          <w:pgMar w:top="1060" w:bottom="1160" w:left="840" w:right="0"/>
          <w:cols w:num="3" w:equalWidth="0">
            <w:col w:w="3533" w:space="543"/>
            <w:col w:w="1782" w:space="3062"/>
            <w:col w:w="2150"/>
          </w:cols>
        </w:sectPr>
      </w:pPr>
    </w:p>
    <w:p>
      <w:pPr>
        <w:spacing w:line="240" w:lineRule="auto" w:before="4"/>
        <w:rPr>
          <w:rFonts w:ascii="宋体" w:hAnsi="宋体" w:cs="宋体" w:eastAsia="宋体" w:hint="default"/>
          <w:sz w:val="8"/>
          <w:szCs w:val="8"/>
        </w:rPr>
      </w:pPr>
    </w:p>
    <w:tbl>
      <w:tblPr>
        <w:tblW w:w="0" w:type="auto"/>
        <w:jc w:val="left"/>
        <w:tblInd w:w="287"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244,694,696.06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595,222,418.63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250,465,127.00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6,535,856.39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4,391,819.00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1,064,230,680.54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923,158,434.26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74,401,256.49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61,545,662.48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27,037,788.69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19,400,403.77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8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182,883,296.63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87,813,241.31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116,548,050.01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162,417,727.01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1,966,796,751.81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1,853,949,706.46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6,387,524.43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159,159,770.06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101,568,366.20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5,795,382.76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91,194,849.69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95,489,397.15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122,330,229.52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71,724,078.50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193,021,105.54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119,384,375.59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23,598,691.64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57,262,066.86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82,754,563.28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82,754,563.28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5,791,108.05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9,979,439.75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57,636,231.47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41,175,989.90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92,023,602.60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141,080,354.00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833,305,534.61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726,806,155.66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2,800,102,286.42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2,580,755,862.12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100,666,863.33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2,395,753.00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112,043,615.25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41,058,672.56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114,415,418.77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62,631,381.42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24,471,387.83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25,274,399.64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180,009,283.71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161,896,707.81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9,145,286.39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7,181,395.98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543,147,608.28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304,692,557.41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5,085,875.16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6,935,240.04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5,982,875.16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7,988,240.04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549,130,483.44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312,680,797.45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1,449,824,087.00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315,877,885.28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-2,057,465.09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-1,614,467.50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61,193,531.71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58,245,413.31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425,072,690.16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442,632,321.86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2,249,910,729.06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2,264,965,239.95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1,061,073.92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3,109,824.72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2,250,971,802.98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2,268,075,064.67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2,800,102,286.42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2,580,755,862.12</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749" w:val="left" w:leader="none"/>
        </w:tabs>
        <w:spacing w:line="240" w:lineRule="auto" w:before="44"/>
        <w:ind w:left="0" w:right="1222"/>
        <w:jc w:val="right"/>
      </w:pPr>
      <w:r>
        <w:rPr/>
        <w:t>法定代表人：林皓</w:t>
        <w:tab/>
      </w:r>
      <w:r>
        <w:rPr>
          <w:spacing w:val="-1"/>
        </w:rPr>
        <w:t>主管会计工作负责人：邓华明</w:t>
        <w:tab/>
      </w:r>
      <w:r>
        <w:rPr/>
        <w:t>会计机构负责人：李丹</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141,675,792.39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252,649,239.79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190,218,777.00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4,956,768.43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2,003,350.00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998,014,467.48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878,045,562.31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8,706,280.05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20,295,384.82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339,967,378.78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552,897,292.08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20,977,302.89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14,266,249.08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12,660,432.91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6,988,526.33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1,717,177,199.93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1,727,145,604.41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5,592,141.67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518,718,012.96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450,776,609.10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77,039,137.29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80,496,889.00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156,206,517.83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83,393,270.93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11,528,487.07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40,658,238.58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5,781,700.41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9,764,895.94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44,511,211.56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33,145,473.02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20,037,190.00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30,101,495.00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838,822,257.12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733,929,013.24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2,555,999,457.05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2,461,074,617.65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45,069,116.67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14,118,405.88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11,321,467.09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11,093,375.93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6,959,168.76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17,291,883.73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17,449,431.57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160,113,502.56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148,513,621.61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48,450,182.97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29,514,832.12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296,136,467.74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213,758,521.15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5,085,875.16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6,935,240.04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5,085,875.16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6,935,240.04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301,222,342.90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220,693,761.19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1,449,824,087.00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315,877,885.28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-592,141.67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61,193,531.71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58,245,413.31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428,473,751.83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416,433,470.87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2,254,777,114.15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2,240,380,856.46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2,555,999,457.05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2,461,074,617.65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721,982,374.33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572,400,445.59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721,982,374.33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572,400,445.59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598,968,882.75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421,917,526.46</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256,992,063.92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154,827,205.34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04"/>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6,880,838.80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7,609,942.71</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579.339966pt;width:193.15pt;height:19.6pt;mso-position-horizontal-relative:page;mso-position-vertical-relative:page;z-index:-1200952"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group style="position:absolute;margin-left:211.009995pt;margin-top:320.329987pt;width:160pt;height:19.6pt;mso-position-horizontal-relative:page;mso-position-vertical-relative:page;z-index:-1200928" coordorigin="4220,6407" coordsize="3200,392">
            <v:group style="position:absolute;left:7398;top:6407;width:22;height:392" coordorigin="7398,6407" coordsize="22,392">
              <v:shape style="position:absolute;left:7398;top:6407;width:22;height:392" coordorigin="7398,6407" coordsize="22,392" path="m7398,6798l7420,6798,7420,6407,7398,6407,7398,6798xe" filled="true" fillcolor="#ffffff" stroked="false">
                <v:path arrowok="t"/>
                <v:fill type="solid"/>
              </v:shape>
            </v:group>
            <v:group style="position:absolute;left:4220;top:6407;width:22;height:392" coordorigin="4220,6407" coordsize="22,392">
              <v:shape style="position:absolute;left:4220;top:6407;width:22;height:392" coordorigin="4220,6407" coordsize="22,392" path="m4220,6798l4242,6798,4242,6407,4220,6407,4220,6798xe" filled="true" fillcolor="#ffffff" stroked="false">
                <v:path arrowok="t"/>
                <v:fill type="solid"/>
              </v:shape>
            </v:group>
            <v:group style="position:absolute;left:4242;top:6407;width:3157;height:392" coordorigin="4242,6407" coordsize="3157,392">
              <v:shape style="position:absolute;left:4242;top:6407;width:3157;height:392" coordorigin="4242,6407" coordsize="3157,392" path="m4242,6798l7398,6798,7398,6407,4242,6407,4242,679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106"/>
        <w:gridCol w:w="2105"/>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2" w:right="0"/>
              <w:jc w:val="left"/>
              <w:rPr>
                <w:rFonts w:ascii="Times New Roman" w:hAnsi="Times New Roman" w:cs="Times New Roman" w:eastAsia="Times New Roman" w:hint="default"/>
                <w:sz w:val="18"/>
                <w:szCs w:val="18"/>
              </w:rPr>
            </w:pPr>
            <w:r>
              <w:rPr>
                <w:rFonts w:ascii="Times New Roman"/>
                <w:sz w:val="18"/>
              </w:rPr>
              <w:t>142,533,023.13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105,256,294.73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99,897,258.82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85,729,679.15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93,666,590.70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71,927,600.47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-1,000,892.62</w:t>
            </w:r>
            <w:r>
              <w:rPr>
                <w:rFonts w:ascii="Times New Roman"/>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-3,433,195.94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1,947,380.05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1,010,958.47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3,331,131.68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4,605,080.94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18,903,753.98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21,400,744.48</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1,533,652.48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8,150,064.58</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-6,731,412.14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-11,435,731.98</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64"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465,127.00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-127,151,950.68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-90,405,996.91</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-31,703.69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23,851.60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16,732,370.67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89,651,582.88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313,267.10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141,427.90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1,315,711.13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774,828.83</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1042" w:right="0"/>
              <w:jc w:val="left"/>
              <w:rPr>
                <w:rFonts w:ascii="Times New Roman" w:hAnsi="Times New Roman" w:cs="Times New Roman" w:eastAsia="Times New Roman" w:hint="default"/>
                <w:sz w:val="18"/>
                <w:szCs w:val="18"/>
              </w:rPr>
            </w:pPr>
            <w:r>
              <w:rPr>
                <w:rFonts w:ascii="Times New Roman"/>
                <w:sz w:val="18"/>
              </w:rPr>
              <w:t>15,729,926.64</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89,018,181.95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-4,507,018.06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3,662,721.40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20,236,944.70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85,355,460.55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20,236,944.70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85,355,460.55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18"/>
          <w:pgSz w:w="11910" w:h="16840"/>
          <w:pgMar w:footer="979"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3212"/>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22,384,186.81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85,940,336.52</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-2,147,242.11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-584,875.97</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-442,997.59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87,726.57</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-442,997.59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87,726.57</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-592,141.67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-592,141.67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149,144.08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87,726.57</w:t>
            </w: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149,144.08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87,726.57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19,793,947.11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85,443,187.12</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21,941,189.22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86,028,063.09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-2,147,242.11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-584,875.97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0.0593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0.0154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0.0593</w:t>
            </w:r>
          </w:p>
        </w:tc>
      </w:tr>
    </w:tbl>
    <w:p>
      <w:pPr>
        <w:pStyle w:val="BodyText"/>
        <w:tabs>
          <w:tab w:pos="3578" w:val="left" w:leader="none"/>
          <w:tab w:pos="7901" w:val="left" w:leader="none"/>
        </w:tabs>
        <w:spacing w:line="595" w:lineRule="auto" w:before="49"/>
        <w:ind w:right="1222"/>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法定代表人：林皓</w:t>
        <w:tab/>
      </w:r>
      <w:r>
        <w:rPr>
          <w:spacing w:val="-1"/>
        </w:rPr>
        <w:t>主管会计工作负责人：邓华明</w:t>
        <w:tab/>
      </w:r>
      <w:r>
        <w:rPr/>
        <w:t>会计机构负责人：李丹</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526,694,373.37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386,374,626.58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114,783,659.06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44,411,756.13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5,242,530.89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6,273,772.04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115,628,367.92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85,157,840.48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71,483,626.02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60,340,612.58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80,492,812.76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53,693,084.85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-335,549.44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-650,497.50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1"/>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1,073,483.33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1,010,958.47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1,533,603.84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-1,705,941.04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16,329,637.45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17,764,356.98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-6,731,412.14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-826,612.04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-6,731,412.14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-11,435,731.98</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51"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218,777.00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-108,508,738.39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-78,456,893.66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23,851.60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40,706,336.78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75,652,760.88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312,976.12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141,417.65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746,819.12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40,719,312.90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75,047,359.41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-2,599,479.56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2,853,862.69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43,318,792.46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72,193,496.72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43,318,792.46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72,193,496.72</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-592,141.67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-592,141.67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-592,141.67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42,726,650.79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72,193,496.72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2"/>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593,251,408.89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406,324,887.39</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12,183,211.47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16,170,221.41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90,613,009.06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18,420,642.98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696,047,629.42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440,915,751.78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362,957,515.89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180,835,581.68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159,422,922.38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161,026,325.82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42,851,843.60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50,805,106.16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222,652,666.42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135,482,249.31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787,884,948.29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528,149,262.97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-91,837,318.87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-87,233,511.19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1,903,512,184.00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2,883,004,071.72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8,429,469.50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20,760,944.34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81,239.82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180,771.72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1,912,136,818.86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2,903,846,255.88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84,633,863.13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278,830,723.70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2,167,835,000.00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2,926,004,071.72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2,252,468,863.13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3,204,834,795.42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-340,332,044.27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-300,988,539.54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100,514,512.81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100,514,512.81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16,287,814.21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18,408,846.21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16,287,814.21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58,408,846.21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84,226,698.60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-58,408,846.21</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12,034.23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28,452.37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-347,930,630.31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-446,602,444.57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590,819,180.63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1,037,421,625.20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242,888,550.32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590,819,180.63</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2"/>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342,799,517.57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209,707,504.42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11,944,584.43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15,159,475.75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236,551,986.09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25,586,443.90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591,296,088.09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250,453,424.07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127,923,952.84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25,089,972.83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114,341,217.37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118,940,178.15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36,978,409.83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39,411,839.92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138,588,086.97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100,325,198.96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417,831,667.01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283,767,189.86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173,464,421.08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-33,313,765.79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3,512,184.00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1,732,000,000.00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11,245,667.13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13,145.27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81,239.82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3,525,329.27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1,743,326,906.95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48,922,354.15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122,780,605.27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268,185,000.00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1,636,730,576.00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24,204,916.47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317,107,354.15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1,783,716,097.74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-313,582,024.88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-40,389,190.79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15,497,151.34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18,408,846.21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15,497,151.34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58,408,846.21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29,502,848.66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-58,408,846.21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-110,614,755.14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-132,111,802.79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250,906,001.79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383,017,804.58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140,291,246.65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250,906,001.79</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22"/>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37"/>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5"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3"/>
              <w:ind w:left="100" w:right="0"/>
              <w:jc w:val="lef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087.0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315,87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-1,612,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024.44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60,089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465,32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3,713.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2,289,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503,00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9.28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3,158,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895.62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2,292,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661,90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4.90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-1,383,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760.85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-21,11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9,154.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58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2,915.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4,424.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12</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-2,443.</w:t>
            </w:r>
          </w:p>
          <w:p>
            <w:pPr>
              <w:pStyle w:val="TableParagraph"/>
              <w:spacing w:line="240" w:lineRule="auto" w:before="105"/>
              <w:ind w:left="372" w:right="0"/>
              <w:jc w:val="left"/>
              <w:rPr>
                <w:rFonts w:ascii="Times New Roman" w:hAnsi="Times New Roman" w:cs="Times New Roman" w:eastAsia="Times New Roman" w:hint="default"/>
                <w:sz w:val="18"/>
                <w:szCs w:val="18"/>
              </w:rPr>
            </w:pPr>
            <w:r>
              <w:rPr>
                <w:rFonts w:ascii="Times New Roman"/>
                <w:sz w:val="18"/>
              </w:rPr>
              <w:t>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-1,843,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934.36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-22,69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1,391.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-24,53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7,769.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-49,07</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0.90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-24,58</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6,840.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315,87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467.50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56,861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421,51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3,167.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2,242,</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462,32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3,108,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316.03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2,245,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570,64</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0.55</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97.59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879.25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3,559,</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522.88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7,448,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404.54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242.11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5,401,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162.43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-442,9</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97.59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22,384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21,941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-2,147,</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242.11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19,793</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,947.1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879.25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-18,82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4,663.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2,784.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68</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4,331,</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879.25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-4,331,</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879.25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2,784.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68</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36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2,784.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2,784.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68</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315,87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-2,057,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465.09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61,193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425,07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2,690.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2,249,</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910,72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9.06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1,061,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073.92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2,250,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971,80</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2.98</w:t>
            </w:r>
          </w:p>
        </w:tc>
      </w:tr>
    </w:tbl>
    <w:p>
      <w:pPr>
        <w:pStyle w:val="BodyText"/>
        <w:spacing w:line="240" w:lineRule="auto" w:before="49"/>
        <w:ind w:right="1122"/>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3"/>
        <w:gridCol w:w="575"/>
        <w:gridCol w:w="576"/>
        <w:gridCol w:w="578"/>
        <w:gridCol w:w="576"/>
        <w:gridCol w:w="576"/>
        <w:gridCol w:w="578"/>
        <w:gridCol w:w="588"/>
        <w:gridCol w:w="567"/>
        <w:gridCol w:w="569"/>
        <w:gridCol w:w="641"/>
        <w:gridCol w:w="653"/>
      </w:tblGrid>
      <w:tr>
        <w:trPr>
          <w:trHeight w:val="402"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316"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4"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5"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一、上年期末</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1,449</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 w:right="0"/>
              <w:jc w:val="left"/>
              <w:rPr>
                <w:rFonts w:ascii="Times New Roman" w:hAnsi="Times New Roman" w:cs="Times New Roman" w:eastAsia="Times New Roman" w:hint="default"/>
                <w:sz w:val="18"/>
                <w:szCs w:val="18"/>
              </w:rPr>
            </w:pPr>
            <w:r>
              <w:rPr>
                <w:rFonts w:ascii="Times New Roman"/>
                <w:sz w:val="18"/>
              </w:rPr>
              <w:t>315,87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5" w:right="0"/>
              <w:jc w:val="left"/>
              <w:rPr>
                <w:rFonts w:ascii="Times New Roman" w:hAnsi="Times New Roman" w:cs="Times New Roman" w:eastAsia="Times New Roman" w:hint="default"/>
                <w:sz w:val="18"/>
                <w:szCs w:val="18"/>
              </w:rPr>
            </w:pPr>
            <w:r>
              <w:rPr>
                <w:rFonts w:ascii="Times New Roman"/>
                <w:sz w:val="18"/>
              </w:rPr>
              <w:t>-1,702,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52,287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2" w:right="0"/>
              <w:jc w:val="left"/>
              <w:rPr>
                <w:rFonts w:ascii="Times New Roman" w:hAnsi="Times New Roman" w:cs="Times New Roman" w:eastAsia="Times New Roman" w:hint="default"/>
                <w:sz w:val="18"/>
                <w:szCs w:val="18"/>
              </w:rPr>
            </w:pPr>
            <w:r>
              <w:rPr>
                <w:rFonts w:ascii="Times New Roman"/>
                <w:sz w:val="18"/>
              </w:rPr>
              <w:t>396,43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4" w:right="0"/>
              <w:jc w:val="left"/>
              <w:rPr>
                <w:rFonts w:ascii="Times New Roman" w:hAnsi="Times New Roman" w:cs="Times New Roman" w:eastAsia="Times New Roman" w:hint="default"/>
                <w:sz w:val="18"/>
                <w:szCs w:val="18"/>
              </w:rPr>
            </w:pPr>
            <w:r>
              <w:rPr>
                <w:rFonts w:ascii="Times New Roman"/>
                <w:sz w:val="18"/>
              </w:rPr>
              <w:t>2,212,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Times New Roman" w:hAnsi="Times New Roman" w:cs="Times New Roman" w:eastAsia="Times New Roman" w:hint="default"/>
                <w:sz w:val="18"/>
                <w:szCs w:val="18"/>
              </w:rPr>
            </w:pPr>
            <w:r>
              <w:rPr>
                <w:rFonts w:ascii="Times New Roman"/>
                <w:sz w:val="18"/>
              </w:rPr>
              <w:t>3,780,7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1" w:right="0"/>
              <w:jc w:val="left"/>
              <w:rPr>
                <w:rFonts w:ascii="Times New Roman" w:hAnsi="Times New Roman" w:cs="Times New Roman" w:eastAsia="Times New Roman" w:hint="default"/>
                <w:sz w:val="18"/>
                <w:szCs w:val="18"/>
              </w:rPr>
            </w:pPr>
            <w:r>
              <w:rPr>
                <w:rFonts w:ascii="Times New Roman"/>
                <w:sz w:val="18"/>
              </w:rPr>
              <w:t>2,216,5</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79" w:header="745"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98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3"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50" w:right="0"/>
              <w:jc w:val="left"/>
              <w:rPr>
                <w:rFonts w:ascii="Times New Roman" w:hAnsi="Times New Roman" w:cs="Times New Roman" w:eastAsia="Times New Roman" w:hint="default"/>
                <w:sz w:val="18"/>
                <w:szCs w:val="18"/>
              </w:rPr>
            </w:pPr>
            <w:r>
              <w:rPr>
                <w:rFonts w:ascii="Times New Roman"/>
                <w:sz w:val="18"/>
              </w:rPr>
              <w:t>194.07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2,966.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 w:right="0"/>
              <w:jc w:val="center"/>
              <w:rPr>
                <w:rFonts w:ascii="Times New Roman" w:hAnsi="Times New Roman" w:cs="Times New Roman" w:eastAsia="Times New Roman" w:hint="default"/>
                <w:sz w:val="18"/>
                <w:szCs w:val="18"/>
              </w:rPr>
            </w:pPr>
            <w:r>
              <w:rPr>
                <w:rFonts w:ascii="Times New Roman"/>
                <w:sz w:val="18"/>
              </w:rPr>
              <w:t>720,65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6" w:right="0"/>
              <w:jc w:val="left"/>
              <w:rPr>
                <w:rFonts w:ascii="Times New Roman" w:hAnsi="Times New Roman" w:cs="Times New Roman" w:eastAsia="Times New Roman" w:hint="default"/>
                <w:sz w:val="18"/>
                <w:szCs w:val="18"/>
              </w:rPr>
            </w:pPr>
            <w:r>
              <w:rPr>
                <w:rFonts w:ascii="Times New Roman"/>
                <w:sz w:val="18"/>
              </w:rPr>
              <w:t>51.54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01,405.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-1,261,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845.78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3,743.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-16,38</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5,589.</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45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-86,050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-16,471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,640.30</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9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315,87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-1,702,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194.07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381,30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9,222.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2,196,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335,06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4.60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3,694,7</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00.69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29,765.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87,726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349.67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61,323</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,099.1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-584,87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68,045,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299.38</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87,726</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-584,87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85,443,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187.12</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349.67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-24,61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7,237.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,887.74</w:t>
            </w:r>
          </w:p>
        </w:tc>
      </w:tr>
      <w:tr>
        <w:trPr>
          <w:trHeight w:val="716"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349.67</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-7,219,</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349.67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-17,39</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74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-17,397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,887.74</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,824,</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315,87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7,885.</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-1,614,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467.50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58,245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442,63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2,321.</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2,264,</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965,23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9.95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3,109,8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24.72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2,268,0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75,064.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1122"/>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1813"/>
        <w:gridCol w:w="727"/>
        <w:gridCol w:w="728"/>
        <w:gridCol w:w="725"/>
        <w:gridCol w:w="727"/>
        <w:gridCol w:w="727"/>
        <w:gridCol w:w="615"/>
        <w:gridCol w:w="710"/>
        <w:gridCol w:w="862"/>
      </w:tblGrid>
      <w:tr>
        <w:trPr>
          <w:trHeight w:val="402"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8"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pacing w:val="-13"/>
                <w:sz w:val="18"/>
                <w:szCs w:val="18"/>
              </w:rPr>
              <w:t>减：库存</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8"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8"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8"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67" w:right="0"/>
              <w:jc w:val="left"/>
              <w:rPr>
                <w:rFonts w:ascii="宋体" w:hAnsi="宋体" w:cs="宋体" w:eastAsia="宋体" w:hint="default"/>
                <w:sz w:val="18"/>
                <w:szCs w:val="18"/>
              </w:rPr>
            </w:pPr>
            <w:r>
              <w:rPr>
                <w:rFonts w:ascii="宋体" w:hAnsi="宋体" w:cs="宋体" w:eastAsia="宋体" w:hint="default"/>
                <w:sz w:val="18"/>
                <w:szCs w:val="18"/>
              </w:rPr>
              <w:t>所有者权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88"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2"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55" w:right="0"/>
              <w:jc w:val="left"/>
              <w:rPr>
                <w:rFonts w:ascii="宋体" w:hAnsi="宋体" w:cs="宋体" w:eastAsia="宋体" w:hint="default"/>
                <w:sz w:val="18"/>
                <w:szCs w:val="18"/>
              </w:rPr>
            </w:pPr>
            <w:r>
              <w:rPr>
                <w:rFonts w:ascii="宋体" w:hAnsi="宋体" w:cs="宋体" w:eastAsia="宋体" w:hint="default"/>
                <w:sz w:val="18"/>
                <w:szCs w:val="18"/>
              </w:rPr>
              <w:t>益合计</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885.28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60,089,3</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47.67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433,02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8,880.0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2,258,820,</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200.02</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-1,383,7</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60.85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-12,453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,847.57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-13,837,60</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8.42</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-1,843,9</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34.36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-16,595</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,409.20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-18,439,34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1,449,8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885.28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56,861,6</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52.46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403,97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9,623.3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2,226,543,</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248.04</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-592,141</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4,331,87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24,494,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128.53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28,233,86</w:t>
            </w:r>
          </w:p>
          <w:p>
            <w:pPr>
              <w:pStyle w:val="TableParagraph"/>
              <w:spacing w:line="240" w:lineRule="auto" w:before="105"/>
              <w:ind w:left="523" w:right="0"/>
              <w:jc w:val="left"/>
              <w:rPr>
                <w:rFonts w:ascii="Times New Roman" w:hAnsi="Times New Roman" w:cs="Times New Roman" w:eastAsia="Times New Roman" w:hint="default"/>
                <w:sz w:val="18"/>
                <w:szCs w:val="18"/>
              </w:rPr>
            </w:pPr>
            <w:r>
              <w:rPr>
                <w:rFonts w:ascii="Times New Roman"/>
                <w:sz w:val="18"/>
              </w:rPr>
              <w:t>6.11</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-592,141</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43,318,</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792.46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42,726,65</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0.79</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4,331,87</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9.25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-18,824</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,663.93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-14,492,78</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4.68</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4,331,87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9.25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-4,331,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879.25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-14,492</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,784.68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-14,492,78</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4.68</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885.28</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-592,141</w:t>
            </w:r>
          </w:p>
          <w:p>
            <w:pPr>
              <w:pStyle w:val="TableParagraph"/>
              <w:spacing w:line="240" w:lineRule="auto" w:before="105"/>
              <w:ind w:left="467" w:right="0"/>
              <w:jc w:val="left"/>
              <w:rPr>
                <w:rFonts w:ascii="Times New Roman" w:hAnsi="Times New Roman" w:cs="Times New Roman" w:eastAsia="Times New Roman" w:hint="default"/>
                <w:sz w:val="18"/>
                <w:szCs w:val="18"/>
              </w:rPr>
            </w:pPr>
            <w:r>
              <w:rPr>
                <w:rFonts w:ascii="Times New Roman"/>
                <w:sz w:val="18"/>
              </w:rPr>
              <w:t>.67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61,193,5</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31.71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428,47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3,751.8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2,254,777,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114.15</w:t>
            </w:r>
          </w:p>
        </w:tc>
      </w:tr>
    </w:tbl>
    <w:p>
      <w:pPr>
        <w:pStyle w:val="BodyText"/>
        <w:spacing w:line="240" w:lineRule="auto" w:before="49"/>
        <w:ind w:right="1122"/>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3"/>
              <w:ind w:left="46"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3"/>
              <w:ind w:left="115" w:right="0"/>
              <w:jc w:val="left"/>
              <w:rPr>
                <w:rFonts w:ascii="Times New Roman" w:hAnsi="Times New Roman" w:cs="Times New Roman" w:eastAsia="Times New Roman" w:hint="default"/>
                <w:sz w:val="18"/>
                <w:szCs w:val="18"/>
              </w:rPr>
            </w:pPr>
            <w:r>
              <w:rPr>
                <w:rFonts w:ascii="Times New Roman"/>
                <w:sz w:val="18"/>
              </w:rPr>
              <w:t>,885.28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52,287,</w:t>
            </w:r>
          </w:p>
          <w:p>
            <w:pPr>
              <w:pStyle w:val="TableParagraph"/>
              <w:spacing w:line="240" w:lineRule="auto" w:before="103"/>
              <w:ind w:left="139" w:right="0"/>
              <w:jc w:val="left"/>
              <w:rPr>
                <w:rFonts w:ascii="Times New Roman" w:hAnsi="Times New Roman" w:cs="Times New Roman" w:eastAsia="Times New Roman" w:hint="default"/>
                <w:sz w:val="18"/>
                <w:szCs w:val="18"/>
              </w:rPr>
            </w:pPr>
            <w:r>
              <w:rPr>
                <w:rFonts w:ascii="Times New Roman"/>
                <w:sz w:val="18"/>
              </w:rPr>
              <w:t>909.42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380,213,8</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23.60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2,198,203,7</w:t>
            </w:r>
          </w:p>
          <w:p>
            <w:pPr>
              <w:pStyle w:val="TableParagraph"/>
              <w:spacing w:line="240" w:lineRule="auto" w:before="103"/>
              <w:ind w:left="491" w:right="0"/>
              <w:jc w:val="left"/>
              <w:rPr>
                <w:rFonts w:ascii="Times New Roman" w:hAnsi="Times New Roman" w:cs="Times New Roman" w:eastAsia="Times New Roman" w:hint="default"/>
                <w:sz w:val="18"/>
                <w:szCs w:val="18"/>
              </w:rPr>
            </w:pPr>
            <w:r>
              <w:rPr>
                <w:rFonts w:ascii="Times New Roman"/>
                <w:sz w:val="18"/>
              </w:rPr>
              <w:t>05.30</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-1,261,8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45.78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-11,356,6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12.04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-12,618,457</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.82</w:t>
            </w: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2"/>
              <w:ind w:left="46"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,885.28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51,026,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063.64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368,857,2</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11.56</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2,185,585,2</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47.48</w:t>
            </w: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20"/>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本期增减变</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93" w:right="0"/>
              <w:jc w:val="left"/>
              <w:rPr>
                <w:rFonts w:ascii="Times New Roman" w:hAnsi="Times New Roman" w:cs="Times New Roman" w:eastAsia="Times New Roman" w:hint="default"/>
                <w:sz w:val="18"/>
                <w:szCs w:val="18"/>
              </w:rPr>
            </w:pPr>
            <w:r>
              <w:rPr>
                <w:rFonts w:ascii="Times New Roman"/>
                <w:sz w:val="18"/>
              </w:rPr>
              <w:t>7,219,3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47,576,25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54,795,608.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67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动金</w:t>
            </w:r>
            <w:r>
              <w:rPr>
                <w:rFonts w:ascii="宋体" w:hAnsi="宋体" w:cs="宋体" w:eastAsia="宋体" w:hint="default"/>
                <w:spacing w:val="-85"/>
                <w:sz w:val="18"/>
                <w:szCs w:val="18"/>
              </w:rPr>
              <w:t>额</w:t>
            </w:r>
            <w:r>
              <w:rPr>
                <w:rFonts w:ascii="宋体" w:hAnsi="宋体" w:cs="宋体" w:eastAsia="宋体" w:hint="default"/>
                <w:sz w:val="18"/>
                <w:szCs w:val="18"/>
              </w:rPr>
              <w:t>（减少以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7" w:right="0"/>
              <w:jc w:val="left"/>
              <w:rPr>
                <w:rFonts w:ascii="Times New Roman" w:hAnsi="Times New Roman" w:cs="Times New Roman" w:eastAsia="Times New Roman" w:hint="default"/>
                <w:sz w:val="18"/>
                <w:szCs w:val="18"/>
              </w:rPr>
            </w:pPr>
            <w:r>
              <w:rPr>
                <w:rFonts w:ascii="Times New Roman"/>
                <w:sz w:val="18"/>
              </w:rPr>
              <w:t>49.67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9.31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72,193,49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6.72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72,193,496.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7,219,3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-24,617,2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-17,397,887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7,219,3</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49.67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-7,219,34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-17,397,8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87.74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-17,397,887</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center"/>
              <w:rPr>
                <w:rFonts w:ascii="Times New Roman" w:hAnsi="Times New Roman" w:cs="Times New Roman" w:eastAsia="Times New Roman" w:hint="default"/>
                <w:sz w:val="18"/>
                <w:szCs w:val="18"/>
              </w:rPr>
            </w:pPr>
            <w:r>
              <w:rPr>
                <w:rFonts w:ascii="Times New Roman"/>
                <w:sz w:val="18"/>
              </w:rPr>
              <w:t>1,449,</w:t>
            </w:r>
          </w:p>
          <w:p>
            <w:pPr>
              <w:pStyle w:val="TableParagraph"/>
              <w:spacing w:line="240" w:lineRule="auto" w:before="105"/>
              <w:ind w:left="46" w:right="0"/>
              <w:jc w:val="center"/>
              <w:rPr>
                <w:rFonts w:ascii="Times New Roman" w:hAnsi="Times New Roman" w:cs="Times New Roman" w:eastAsia="Times New Roman" w:hint="default"/>
                <w:sz w:val="18"/>
                <w:szCs w:val="18"/>
              </w:rPr>
            </w:pPr>
            <w:r>
              <w:rPr>
                <w:rFonts w:ascii="Times New Roman"/>
                <w:sz w:val="18"/>
              </w:rPr>
              <w:t>824,08</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7.00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315,877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,885.28</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58,245,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413.31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416,433,4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70.87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2,240,380,8</w:t>
            </w:r>
          </w:p>
          <w:p>
            <w:pPr>
              <w:pStyle w:val="TableParagraph"/>
              <w:spacing w:line="240" w:lineRule="auto" w:before="105"/>
              <w:ind w:left="491" w:right="0"/>
              <w:jc w:val="left"/>
              <w:rPr>
                <w:rFonts w:ascii="Times New Roman" w:hAnsi="Times New Roman" w:cs="Times New Roman" w:eastAsia="Times New Roman" w:hint="default"/>
                <w:sz w:val="18"/>
                <w:szCs w:val="18"/>
              </w:rPr>
            </w:pPr>
            <w:r>
              <w:rPr>
                <w:rFonts w:ascii="Times New Roman"/>
                <w:sz w:val="18"/>
              </w:rPr>
              <w:t>56.46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22"/>
        <w:jc w:val="left"/>
        <w:rPr>
          <w:b w:val="0"/>
          <w:bCs w:val="0"/>
        </w:rPr>
      </w:pPr>
      <w:r>
        <w:rPr/>
        <w:t>三、公司基本情况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2"/>
        <w:jc w:val="left"/>
      </w:pPr>
      <w:r>
        <w:rPr>
          <w:rFonts w:ascii="Times New Roman" w:hAnsi="Times New Roman" w:cs="Times New Roman" w:eastAsia="Times New Roman" w:hint="default"/>
        </w:rPr>
        <w:t>1</w:t>
      </w:r>
      <w:r>
        <w:rPr/>
        <w:t>、公司概况 北京北信源软件股份有限公司（以下简称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）前身为北京北信源自动化技术有限公司，于</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日由林皓先生</w:t>
      </w:r>
      <w:r>
        <w:rPr>
          <w:spacing w:val="-66"/>
        </w:rPr>
        <w:t> </w:t>
      </w:r>
      <w:r>
        <w:rPr>
          <w:spacing w:val="-2"/>
        </w:rPr>
        <w:t>与李纪敏女士共同发起设立，并经北京市工商行政管理局核准登记。公司总部位于北京市海淀区中关村南大街</w:t>
      </w:r>
      <w:r>
        <w:rPr>
          <w:rFonts w:ascii="Times New Roman" w:hAnsi="Times New Roman" w:cs="Times New Roman" w:eastAsia="Times New Roman" w:hint="default"/>
          <w:spacing w:val="-2"/>
        </w:rPr>
        <w:t>34</w:t>
      </w:r>
      <w:r>
        <w:rPr>
          <w:spacing w:val="-2"/>
        </w:rPr>
        <w:t>号中关村科</w:t>
      </w:r>
    </w:p>
    <w:p>
      <w:pPr>
        <w:pStyle w:val="BodyText"/>
        <w:spacing w:line="319" w:lineRule="auto"/>
        <w:ind w:right="1122"/>
        <w:jc w:val="left"/>
      </w:pPr>
      <w:r>
        <w:rPr/>
        <w:t>技发展大厦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1602</w:t>
      </w:r>
      <w:r>
        <w:rPr/>
        <w:t>室。 </w:t>
      </w:r>
      <w:r>
        <w:rPr>
          <w:spacing w:val="-2"/>
        </w:rPr>
        <w:t>经</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18</w:t>
      </w:r>
      <w:r>
        <w:rPr>
          <w:spacing w:val="-2"/>
        </w:rPr>
        <w:t>日召开的</w:t>
      </w:r>
      <w:r>
        <w:rPr>
          <w:rFonts w:ascii="Times New Roman" w:hAnsi="Times New Roman" w:cs="Times New Roman" w:eastAsia="Times New Roman" w:hint="default"/>
          <w:spacing w:val="-2"/>
        </w:rPr>
        <w:t>2009</w:t>
      </w:r>
      <w:r>
        <w:rPr>
          <w:spacing w:val="-2"/>
        </w:rPr>
        <w:t>年第七次股东会议通过，北京北信源自动化技术有限公司以截至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31</w:t>
      </w:r>
      <w:r>
        <w:rPr>
          <w:spacing w:val="-2"/>
        </w:rPr>
        <w:t>日经审计的净资</w:t>
      </w:r>
      <w:r>
        <w:rPr>
          <w:spacing w:val="-52"/>
        </w:rPr>
        <w:t> </w:t>
      </w:r>
      <w:r>
        <w:rPr>
          <w:spacing w:val="-52"/>
        </w:rPr>
      </w:r>
      <w:r>
        <w:rPr/>
        <w:t>产</w:t>
      </w:r>
      <w:r>
        <w:rPr>
          <w:rFonts w:ascii="Times New Roman" w:hAnsi="Times New Roman" w:cs="Times New Roman" w:eastAsia="Times New Roman" w:hint="default"/>
        </w:rPr>
        <w:t>6,453.88</w:t>
      </w:r>
      <w:r>
        <w:rPr/>
        <w:t>万元为基数，按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0.7747</w:t>
      </w:r>
      <w:r>
        <w:rPr/>
        <w:t>的折股比例折成股本</w:t>
      </w:r>
      <w:r>
        <w:rPr>
          <w:rFonts w:ascii="Times New Roman" w:hAnsi="Times New Roman" w:cs="Times New Roman" w:eastAsia="Times New Roman" w:hint="default"/>
        </w:rPr>
        <w:t>5,000</w:t>
      </w:r>
      <w:r>
        <w:rPr/>
        <w:t>万股，整体变更为股份有限公司。</w:t>
      </w:r>
    </w:p>
    <w:p>
      <w:pPr>
        <w:pStyle w:val="BodyText"/>
        <w:spacing w:line="319" w:lineRule="auto" w:before="35"/>
        <w:ind w:right="0"/>
        <w:jc w:val="left"/>
      </w:pPr>
      <w:r>
        <w:rPr/>
        <w:t>经中国证券监督管理委员会证监许可</w:t>
      </w:r>
      <w:r>
        <w:rPr>
          <w:rFonts w:ascii="Times New Roman" w:hAnsi="Times New Roman" w:cs="Times New Roman" w:eastAsia="Times New Roman" w:hint="default"/>
        </w:rPr>
        <w:t>[2012]1054</w:t>
      </w:r>
      <w:r>
        <w:rPr/>
        <w:t>号文《关于核准北京北信源软件股份有限公司首次公开发行股票并在创业板 上市的批复》核准，本公司公开发行普通股（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1,670</w:t>
      </w:r>
      <w:r>
        <w:rPr/>
        <w:t>万股，并于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12</w:t>
      </w:r>
      <w:r>
        <w:rPr/>
        <w:t>日在深圳证券交易所上市。 后历经股利分配、资本公积转增股本、非公开发行等事项，截至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日，本公司注册资本为</w:t>
      </w:r>
      <w:r>
        <w:rPr>
          <w:rFonts w:ascii="Times New Roman" w:hAnsi="Times New Roman" w:cs="Times New Roman" w:eastAsia="Times New Roman" w:hint="default"/>
        </w:rPr>
        <w:t>1,449,824,087.00</w:t>
      </w:r>
      <w:r>
        <w:rPr/>
        <w:t>元。</w:t>
      </w:r>
    </w:p>
    <w:p>
      <w:pPr>
        <w:pStyle w:val="BodyText"/>
        <w:spacing w:line="316" w:lineRule="auto" w:before="38"/>
        <w:ind w:right="0"/>
        <w:jc w:val="left"/>
      </w:pPr>
      <w:r>
        <w:rPr>
          <w:spacing w:val="-4"/>
        </w:rPr>
        <w:t>本公司建立了股东大会、董事会、监事会的法人治理结构，目前设管理平台、营销平台、技术平台和保密委员会，下设北京、</w:t>
      </w:r>
      <w:r>
        <w:rPr>
          <w:spacing w:val="-43"/>
        </w:rPr>
        <w:t> </w:t>
      </w:r>
      <w:r>
        <w:rPr>
          <w:spacing w:val="-43"/>
        </w:rPr>
      </w:r>
      <w:r>
        <w:rPr>
          <w:spacing w:val="-2"/>
        </w:rPr>
        <w:t>南京、西安、武汉、青岛等研发中心，以及生产部、营销部、技术支持中心、战略发展部、市场部、商务部、法务部、行政</w:t>
      </w:r>
      <w:r>
        <w:rPr>
          <w:spacing w:val="-70"/>
        </w:rPr>
        <w:t> </w:t>
      </w:r>
      <w:r>
        <w:rPr>
          <w:spacing w:val="-70"/>
        </w:rPr>
      </w:r>
      <w:r>
        <w:rPr/>
        <w:t>部、财务部、人力资源部等部门。</w:t>
      </w:r>
    </w:p>
    <w:p>
      <w:pPr>
        <w:pStyle w:val="BodyText"/>
        <w:spacing w:line="314" w:lineRule="auto" w:before="57"/>
        <w:ind w:right="1034"/>
        <w:jc w:val="left"/>
      </w:pPr>
      <w:r>
        <w:rPr>
          <w:spacing w:val="-2"/>
        </w:rPr>
        <w:t>本公司及子公司（以下简称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）业务性质和主要经营活动：计算机系统服务；数据处理；基础软件服务；应用软件服</w:t>
      </w:r>
      <w:r>
        <w:rPr>
          <w:spacing w:val="-48"/>
        </w:rPr>
        <w:t> </w:t>
      </w:r>
      <w:r>
        <w:rPr>
          <w:spacing w:val="-48"/>
        </w:rPr>
      </w:r>
      <w:r>
        <w:rPr/>
        <w:t>务；计算机软硬件及通信设备的研发、技术推广、技术转让、技术培训、维修、咨询、服务、销售；计算机软硬件的生产、 </w:t>
      </w:r>
      <w:r>
        <w:rPr>
          <w:spacing w:val="-2"/>
        </w:rPr>
        <w:t>组装；复制记录媒介（不含出版物）；技术进出口、货物进出口、代理进出口；销售计算机信息系统安全专用产品、经国家</w:t>
      </w:r>
      <w:r>
        <w:rPr>
          <w:spacing w:val="-65"/>
        </w:rPr>
        <w:t> </w:t>
      </w:r>
      <w:r>
        <w:rPr>
          <w:spacing w:val="-65"/>
        </w:rPr>
      </w:r>
      <w:r>
        <w:rPr>
          <w:spacing w:val="-2"/>
        </w:rPr>
        <w:t>密码管理局审批并通过指定检测机构产品质量检测的商用密码产品；经国家密码管理机构批准的商用密码产品的开发；第二</w:t>
      </w:r>
      <w:r>
        <w:rPr>
          <w:spacing w:val="-64"/>
        </w:rPr>
        <w:t> </w:t>
      </w:r>
      <w:r>
        <w:rPr>
          <w:spacing w:val="-64"/>
        </w:rPr>
      </w:r>
      <w:r>
        <w:rPr/>
        <w:t>类增值电信业务中的信息服务业务（不含固定网电话信息服务）。</w:t>
      </w:r>
    </w:p>
    <w:p>
      <w:pPr>
        <w:pStyle w:val="BodyText"/>
        <w:spacing w:line="240" w:lineRule="auto" w:before="61"/>
        <w:ind w:right="1122"/>
        <w:jc w:val="left"/>
      </w:pPr>
      <w:r>
        <w:rPr/>
        <w:t>本财务报表及财务报表附注业经本公司第四届董事会第二次会议于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日批准。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319" w:lineRule="auto"/>
        <w:ind w:right="1124"/>
        <w:jc w:val="left"/>
      </w:pPr>
      <w:r>
        <w:rPr>
          <w:rFonts w:ascii="Times New Roman" w:hAnsi="Times New Roman" w:cs="Times New Roman" w:eastAsia="Times New Roman" w:hint="default"/>
        </w:rPr>
        <w:t>2</w:t>
      </w:r>
      <w:r>
        <w:rPr/>
        <w:t>、合并财务报表范围 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11</w:t>
      </w:r>
      <w:r>
        <w:rPr/>
        <w:t>户，参见附注七、在其他主体中的权益。本公司本年度合并范围比上年度增加</w:t>
      </w: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户，参见附注六、合并范围的变动。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0"/>
          <w:szCs w:val="20"/>
        </w:rPr>
      </w:pPr>
    </w:p>
    <w:p>
      <w:pPr>
        <w:pStyle w:val="Heading2"/>
        <w:spacing w:line="240" w:lineRule="auto"/>
        <w:ind w:right="1122"/>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本财务报表按照财政部颁布的企业会计准则及其应用指南、解释及其他有关规定（统称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）编制。此外，本集</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2"/>
        <w:jc w:val="left"/>
      </w:pPr>
      <w:r>
        <w:rPr>
          <w:spacing w:val="-2"/>
        </w:rPr>
        <w:t>团还按照中国证监会《公开发行证券的公司信息披露编报规则第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年修订）披露有关财务</w:t>
      </w:r>
      <w:r>
        <w:rPr>
          <w:spacing w:val="-62"/>
        </w:rPr>
        <w:t> </w:t>
      </w:r>
      <w:r>
        <w:rPr>
          <w:spacing w:val="-62"/>
        </w:rPr>
      </w:r>
      <w:r>
        <w:rPr/>
        <w:t>信息。</w:t>
      </w:r>
    </w:p>
    <w:p>
      <w:pPr>
        <w:pStyle w:val="BodyText"/>
        <w:spacing w:line="338" w:lineRule="auto" w:before="72"/>
        <w:ind w:right="1122"/>
        <w:jc w:val="left"/>
      </w:pPr>
      <w:r>
        <w:rPr/>
        <w:t>本财务报表以持续经营为基础列报。 </w:t>
      </w:r>
      <w:r>
        <w:rPr>
          <w:spacing w:val="-2"/>
        </w:rPr>
        <w:t>本集团会计核算以权责发生制为基础。除某些金融工具外，本财务报表均以历史成本为计量基础。资产如果发生减值，则按</w:t>
      </w:r>
      <w:r>
        <w:rPr>
          <w:spacing w:val="-66"/>
        </w:rPr>
        <w:t> </w:t>
      </w:r>
      <w:r>
        <w:rPr>
          <w:spacing w:val="-66"/>
        </w:rPr>
      </w:r>
      <w:r>
        <w:rPr/>
        <w:t>照相关规定计提相应的减值准备。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本集团自本报告期末至少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1122"/>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22"/>
        <w:jc w:val="left"/>
      </w:pPr>
      <w:r>
        <w:rPr/>
        <w:t>具体会计政策和会计估计提示：</w:t>
      </w:r>
    </w:p>
    <w:p>
      <w:pPr>
        <w:spacing w:line="240" w:lineRule="auto" w:before="3"/>
        <w:rPr>
          <w:rFonts w:ascii="宋体" w:hAnsi="宋体" w:cs="宋体" w:eastAsia="宋体" w:hint="default"/>
          <w:sz w:val="15"/>
          <w:szCs w:val="15"/>
        </w:rPr>
      </w:pPr>
    </w:p>
    <w:p>
      <w:pPr>
        <w:pStyle w:val="BodyText"/>
        <w:spacing w:line="297" w:lineRule="auto"/>
        <w:ind w:right="1122"/>
        <w:jc w:val="left"/>
      </w:pPr>
      <w:r>
        <w:rPr>
          <w:spacing w:val="-2"/>
        </w:rPr>
        <w:t>本集团根据自身生产经营特点，确定研发费用资本化条件以及收入确认政策，具体会计政策参见本附注五、</w:t>
      </w:r>
      <w:r>
        <w:rPr>
          <w:rFonts w:ascii="Times New Roman" w:hAnsi="Times New Roman" w:cs="Times New Roman" w:eastAsia="Times New Roman" w:hint="default"/>
          <w:spacing w:val="-2"/>
        </w:rPr>
        <w:t>21</w:t>
      </w:r>
      <w:r>
        <w:rPr>
          <w:spacing w:val="-2"/>
        </w:rPr>
        <w:t>、</w:t>
      </w:r>
      <w:r>
        <w:rPr>
          <w:rFonts w:ascii="Times New Roman" w:hAnsi="Times New Roman" w:cs="Times New Roman" w:eastAsia="Times New Roman" w:hint="default"/>
          <w:spacing w:val="-2"/>
        </w:rPr>
        <w:t>“</w:t>
      </w:r>
      <w:r>
        <w:rPr>
          <w:spacing w:val="-2"/>
        </w:rPr>
        <w:t>无形资产</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
        </w:rPr>
        <w:t> </w:t>
      </w:r>
      <w:r>
        <w:rPr/>
        <w:t>中的</w:t>
      </w:r>
      <w:r>
        <w:rPr>
          <w:rFonts w:ascii="Times New Roman" w:hAnsi="Times New Roman" w:cs="Times New Roman" w:eastAsia="Times New Roman" w:hint="default"/>
        </w:rPr>
        <w:t>“</w:t>
      </w:r>
      <w:r>
        <w:rPr/>
        <w:t>（</w:t>
      </w:r>
      <w:r>
        <w:rPr>
          <w:rFonts w:ascii="Times New Roman" w:hAnsi="Times New Roman" w:cs="Times New Roman" w:eastAsia="Times New Roman" w:hint="default"/>
        </w:rPr>
        <w:t>2</w:t>
      </w:r>
      <w:r>
        <w:rPr/>
        <w:t>）内部研究开发支出会计政策</w:t>
      </w:r>
      <w:r>
        <w:rPr>
          <w:rFonts w:ascii="Times New Roman" w:hAnsi="Times New Roman" w:cs="Times New Roman" w:eastAsia="Times New Roman" w:hint="default"/>
        </w:rPr>
        <w:t>”</w:t>
      </w:r>
      <w:r>
        <w:rPr/>
        <w:t>和本附注五、</w:t>
      </w:r>
      <w:r>
        <w:rPr>
          <w:rFonts w:ascii="Times New Roman" w:hAnsi="Times New Roman" w:cs="Times New Roman" w:eastAsia="Times New Roman" w:hint="default"/>
        </w:rPr>
        <w:t>26</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等各项描述。</w:t>
      </w:r>
    </w:p>
    <w:p>
      <w:pPr>
        <w:spacing w:line="240" w:lineRule="auto" w:before="6"/>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22"/>
        <w:jc w:val="left"/>
      </w:pPr>
      <w:r>
        <w:rPr>
          <w:spacing w:val="-2"/>
        </w:rPr>
        <w:t>本财务报表符合企业会计准则的要求，真实、完整地反映了本公司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2019</w:t>
      </w:r>
      <w:r>
        <w:rPr>
          <w:spacing w:val="-2"/>
        </w:rPr>
        <w:t>年的合并</w:t>
      </w:r>
      <w:r>
        <w:rPr>
          <w:spacing w:val="-57"/>
        </w:rPr>
        <w:t> </w:t>
      </w:r>
      <w:r>
        <w:rPr>
          <w:spacing w:val="-57"/>
        </w:rPr>
      </w:r>
      <w:r>
        <w:rPr/>
        <w:t>及公司经营成果和合并及公司现金流量等有关信息。</w:t>
      </w:r>
    </w:p>
    <w:p>
      <w:pPr>
        <w:spacing w:line="240" w:lineRule="auto" w:before="10"/>
        <w:rPr>
          <w:rFonts w:ascii="宋体" w:hAnsi="宋体" w:cs="宋体" w:eastAsia="宋体" w:hint="default"/>
          <w:sz w:val="23"/>
          <w:szCs w:val="23"/>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本集团会计期间采用公历年度，即每年自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本集团的营业周期为</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2"/>
        <w:jc w:val="left"/>
      </w:pPr>
      <w:r>
        <w:rPr>
          <w:spacing w:val="-2"/>
        </w:rPr>
        <w:t>本公司及境内子公司以人民币为记账本位币。本公司之境外子公司根据其经营所处的主要经济环境中的货币确定美元和林吉</w:t>
      </w:r>
      <w:r>
        <w:rPr>
          <w:spacing w:val="-64"/>
        </w:rPr>
        <w:t> </w:t>
      </w:r>
      <w:r>
        <w:rPr>
          <w:spacing w:val="-64"/>
        </w:rPr>
      </w:r>
      <w:r>
        <w:rPr/>
        <w:t>特为其记账本位币。本集团编制本财务报表时所采用的货币为人民币。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112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508" w:lineRule="auto"/>
        <w:ind w:right="1122"/>
        <w:jc w:val="left"/>
      </w:pPr>
      <w:r>
        <w:rPr/>
        <w:t>（</w:t>
      </w:r>
      <w:r>
        <w:rPr>
          <w:rFonts w:ascii="Times New Roman" w:hAnsi="Times New Roman" w:cs="Times New Roman" w:eastAsia="Times New Roman" w:hint="default"/>
        </w:rPr>
        <w:t>1</w:t>
      </w:r>
      <w:r>
        <w:rPr/>
        <w:t>）同一控制下的企业合并 </w:t>
      </w:r>
      <w:r>
        <w:rPr>
          <w:spacing w:val="-2"/>
        </w:rPr>
        <w:t>对于同一控制下的企业合并，合并方在合并中取得的被合并方的资产、负债，除因会计政策不同而进行的调整以外，按合并</w:t>
      </w:r>
    </w:p>
    <w:p>
      <w:pPr>
        <w:spacing w:after="0" w:line="508"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8"/>
        <w:jc w:val="both"/>
      </w:pPr>
      <w:r>
        <w:rPr>
          <w:spacing w:val="-2"/>
        </w:rPr>
        <w:t>日被合并方在最终控制方合并财务报表中的账面价值计量。合并对价的账面价值（或发行股份面值总额）与合并中取得的净</w:t>
      </w:r>
      <w:r>
        <w:rPr>
          <w:spacing w:val="-61"/>
        </w:rPr>
        <w:t> </w:t>
      </w:r>
      <w:r>
        <w:rPr>
          <w:spacing w:val="-61"/>
        </w:rPr>
      </w:r>
      <w:r>
        <w:rPr/>
        <w:t>资产账面价值的差额调整资本公积（股本溢价），资本公积（股本溢价）不足冲减的，调整留存收益。</w:t>
      </w:r>
    </w:p>
    <w:p>
      <w:pPr>
        <w:spacing w:line="240" w:lineRule="auto" w:before="12"/>
        <w:rPr>
          <w:rFonts w:ascii="宋体" w:hAnsi="宋体" w:cs="宋体" w:eastAsia="宋体" w:hint="default"/>
          <w:sz w:val="17"/>
          <w:szCs w:val="17"/>
        </w:rPr>
      </w:pPr>
    </w:p>
    <w:p>
      <w:pPr>
        <w:pStyle w:val="BodyText"/>
        <w:spacing w:line="240" w:lineRule="auto"/>
        <w:ind w:right="0"/>
        <w:jc w:val="both"/>
      </w:pPr>
      <w:r>
        <w:rPr/>
        <w:t>通过多次交易分步实现同一控制下的企业合并</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在个别财务报表中，以合并日持股比例计算的合并日应享有被合并方净资产在最终控制方合并财务报表中的账面价值的份额</w:t>
      </w:r>
      <w:r>
        <w:rPr>
          <w:spacing w:val="-64"/>
        </w:rPr>
        <w:t> </w:t>
      </w:r>
      <w:r>
        <w:rPr>
          <w:spacing w:val="-64"/>
        </w:rPr>
      </w:r>
      <w:r>
        <w:rPr/>
        <w:t>作为该项投资的初始投资成本；初始投资成本与合并前持有投资的账面价值加上合并日新支付对价的账面价值之和的差额， 调整资本公积（股本溢价），资本公积不足冲减的，调整留存收益。</w:t>
      </w:r>
    </w:p>
    <w:p>
      <w:pPr>
        <w:spacing w:line="240" w:lineRule="auto" w:before="12"/>
        <w:rPr>
          <w:rFonts w:ascii="宋体" w:hAnsi="宋体" w:cs="宋体" w:eastAsia="宋体" w:hint="default"/>
          <w:sz w:val="17"/>
          <w:szCs w:val="17"/>
        </w:rPr>
      </w:pPr>
    </w:p>
    <w:p>
      <w:pPr>
        <w:pStyle w:val="BodyText"/>
        <w:spacing w:line="319" w:lineRule="auto"/>
        <w:ind w:right="1129"/>
        <w:jc w:val="both"/>
      </w:pPr>
      <w:r>
        <w:rPr>
          <w:spacing w:val="-2"/>
        </w:rPr>
        <w:t>在合并财务报表中，合并方在合并中取得的被合并方的资产、负债，除因会计政策不同而进行的调整以外，按合并日在最终</w:t>
      </w:r>
      <w:r>
        <w:rPr>
          <w:spacing w:val="-63"/>
        </w:rPr>
        <w:t> </w:t>
      </w:r>
      <w:r>
        <w:rPr>
          <w:spacing w:val="-63"/>
        </w:rPr>
      </w:r>
      <w:r>
        <w:rPr>
          <w:spacing w:val="-2"/>
        </w:rPr>
        <w:t>控制方合并财务报表中的账面价值计量；合并前持有投资的账面价值加上合并日新支付对价的账面价值之和，与合并中取得</w:t>
      </w:r>
      <w:r>
        <w:rPr>
          <w:spacing w:val="-64"/>
        </w:rPr>
        <w:t> </w:t>
      </w:r>
      <w:r>
        <w:rPr>
          <w:spacing w:val="-64"/>
        </w:rPr>
      </w:r>
      <w:r>
        <w:rPr>
          <w:spacing w:val="-2"/>
        </w:rPr>
        <w:t>的净资产账面价值的差额，调整资本公积（股本溢价），资本公积不足冲减的，调整留存收益。合并方在取得被合并方控制</w:t>
      </w:r>
      <w:r>
        <w:rPr>
          <w:spacing w:val="-70"/>
        </w:rPr>
        <w:t> </w:t>
      </w:r>
      <w:r>
        <w:rPr>
          <w:spacing w:val="-70"/>
        </w:rPr>
      </w:r>
      <w:r>
        <w:rPr>
          <w:spacing w:val="-2"/>
        </w:rPr>
        <w:t>权之前持有的长期股权投资，在取得原股权之日与合并方与被合并方同处于同一方最终控制之日孰晚日起至合并日之间已确</w:t>
      </w:r>
      <w:r>
        <w:rPr>
          <w:spacing w:val="-64"/>
        </w:rPr>
        <w:t> </w:t>
      </w:r>
      <w:r>
        <w:rPr>
          <w:spacing w:val="-64"/>
        </w:rPr>
      </w:r>
      <w:r>
        <w:rPr/>
        <w:t>认有关损益、其他综合收益和其他所有者权益变动，应分别冲减比较报表期间的期初留存收益或当期损益。</w:t>
      </w:r>
    </w:p>
    <w:p>
      <w:pPr>
        <w:spacing w:line="240" w:lineRule="auto" w:before="1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）非同一控制下的企业合并</w:t>
      </w:r>
    </w:p>
    <w:p>
      <w:pPr>
        <w:spacing w:line="240" w:lineRule="auto" w:before="4"/>
        <w:rPr>
          <w:rFonts w:ascii="宋体" w:hAnsi="宋体" w:cs="宋体" w:eastAsia="宋体" w:hint="default"/>
          <w:sz w:val="21"/>
          <w:szCs w:val="21"/>
        </w:rPr>
      </w:pPr>
    </w:p>
    <w:p>
      <w:pPr>
        <w:pStyle w:val="BodyText"/>
        <w:spacing w:line="316" w:lineRule="auto"/>
        <w:ind w:right="1132"/>
        <w:jc w:val="both"/>
      </w:pPr>
      <w:r>
        <w:rPr>
          <w:spacing w:val="-2"/>
        </w:rPr>
        <w:t>对于非同一控制下的企业合并，合并成本为购买日为取得对被购买方的控制权而付出的资产、发生或承担的负债以及发行的</w:t>
      </w:r>
      <w:r>
        <w:rPr>
          <w:spacing w:val="-63"/>
        </w:rPr>
        <w:t> </w:t>
      </w:r>
      <w:r>
        <w:rPr>
          <w:spacing w:val="-63"/>
        </w:rPr>
      </w:r>
      <w:r>
        <w:rPr/>
        <w:t>权益性证券的公允价值。在购买日，取得的被购买方的资产、负债及或有负债按公允价值确认。</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对合并成本大于合并中取得的被购买方可辨认净资产公允价值份额的差额，确认为商誉，按成本扣除累计减值准备进行后续</w:t>
      </w:r>
      <w:r>
        <w:rPr>
          <w:spacing w:val="-64"/>
        </w:rPr>
        <w:t> </w:t>
      </w:r>
      <w:r>
        <w:rPr>
          <w:spacing w:val="-64"/>
        </w:rPr>
      </w:r>
      <w:r>
        <w:rPr/>
        <w:t>计量；对合并成本小于合并中取得的被购买方可辨认净资产公允价值份额的差额，经复核后计入当期损益。</w:t>
      </w:r>
    </w:p>
    <w:p>
      <w:pPr>
        <w:spacing w:line="240" w:lineRule="auto" w:before="13"/>
        <w:rPr>
          <w:rFonts w:ascii="宋体" w:hAnsi="宋体" w:cs="宋体" w:eastAsia="宋体" w:hint="default"/>
          <w:sz w:val="17"/>
          <w:szCs w:val="17"/>
        </w:rPr>
      </w:pPr>
    </w:p>
    <w:p>
      <w:pPr>
        <w:pStyle w:val="BodyText"/>
        <w:spacing w:line="240" w:lineRule="auto"/>
        <w:ind w:right="0"/>
        <w:jc w:val="both"/>
      </w:pPr>
      <w:r>
        <w:rPr/>
        <w:t>通过多次交易分步实现非同一控制下的企业合并</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在个别财务报表中，以购买日之前所持被购买方的股权投资的账面价值与购买日新增投资成本之和，作为该项投资的初始投</w:t>
      </w:r>
      <w:r>
        <w:rPr>
          <w:spacing w:val="-62"/>
        </w:rPr>
        <w:t> </w:t>
      </w:r>
      <w:r>
        <w:rPr>
          <w:spacing w:val="-62"/>
        </w:rPr>
      </w:r>
      <w:r>
        <w:rPr>
          <w:spacing w:val="-2"/>
        </w:rPr>
        <w:t>资成本。购买日之前持有的股权投资因采用权益法核算而确认的其他综合收益，购买日对这部分其他综合收益不作处理，在</w:t>
      </w:r>
      <w:r>
        <w:rPr>
          <w:spacing w:val="-63"/>
        </w:rPr>
        <w:t> </w:t>
      </w:r>
      <w:r>
        <w:rPr>
          <w:spacing w:val="-63"/>
        </w:rPr>
      </w:r>
      <w:r>
        <w:rPr>
          <w:spacing w:val="-2"/>
        </w:rPr>
        <w:t>处置该项投资时采用与被投资单位直接处置相关资产或负债相同的基础进行会计处理；因被投资方除净损益、其他综合收益</w:t>
      </w:r>
      <w:r>
        <w:rPr>
          <w:spacing w:val="-64"/>
        </w:rPr>
        <w:t> </w:t>
      </w:r>
      <w:r>
        <w:rPr>
          <w:spacing w:val="-64"/>
        </w:rPr>
      </w:r>
      <w:r>
        <w:rPr>
          <w:spacing w:val="-2"/>
        </w:rPr>
        <w:t>和利润分配以外的其他所有者权益变动而确认的所有者权益，在处置该项投资时转入处置期间的当期损益。购买日之前持有</w:t>
      </w:r>
      <w:r>
        <w:rPr>
          <w:spacing w:val="-64"/>
        </w:rPr>
        <w:t> </w:t>
      </w:r>
      <w:r>
        <w:rPr>
          <w:spacing w:val="-64"/>
        </w:rPr>
      </w:r>
      <w:r>
        <w:rPr/>
        <w:t>的股权投资采用公允价值计量的，原计入其他综合收益的累计公允价值变动在改按成本法核算时转入当期损益。</w:t>
      </w:r>
    </w:p>
    <w:p>
      <w:pPr>
        <w:spacing w:line="240" w:lineRule="auto" w:before="12"/>
        <w:rPr>
          <w:rFonts w:ascii="宋体" w:hAnsi="宋体" w:cs="宋体" w:eastAsia="宋体" w:hint="default"/>
          <w:sz w:val="17"/>
          <w:szCs w:val="17"/>
        </w:rPr>
      </w:pPr>
    </w:p>
    <w:p>
      <w:pPr>
        <w:pStyle w:val="BodyText"/>
        <w:spacing w:line="319" w:lineRule="auto"/>
        <w:ind w:right="1130"/>
        <w:jc w:val="both"/>
      </w:pPr>
      <w:r>
        <w:rPr>
          <w:spacing w:val="-2"/>
        </w:rPr>
        <w:t>在合并财务报表中，合并成本为购买日支付的对价与购买日之前已经持有的被购买方的股权在购买日的公允价值之和。对于</w:t>
      </w:r>
      <w:r>
        <w:rPr>
          <w:spacing w:val="-62"/>
        </w:rPr>
        <w:t> </w:t>
      </w:r>
      <w:r>
        <w:rPr>
          <w:spacing w:val="-62"/>
        </w:rPr>
      </w:r>
      <w:r>
        <w:rPr>
          <w:spacing w:val="-2"/>
        </w:rPr>
        <w:t>购买日之前已经持有的被购买方的股权，按照该股权在购买日的公允价值进行重新计量，公允价值与其账面价值之间的差额</w:t>
      </w:r>
      <w:r>
        <w:rPr>
          <w:spacing w:val="-64"/>
        </w:rPr>
        <w:t> </w:t>
      </w:r>
      <w:r>
        <w:rPr>
          <w:spacing w:val="-64"/>
        </w:rPr>
      </w:r>
      <w:r>
        <w:rPr>
          <w:spacing w:val="-2"/>
        </w:rPr>
        <w:t>计入当期收益；购买日之前已经持有的被购买方的股权涉及其他综合收益、其他所有者权益变动转为购买日当期收益，由于</w:t>
      </w:r>
      <w:r>
        <w:rPr>
          <w:spacing w:val="-63"/>
        </w:rPr>
        <w:t> </w:t>
      </w:r>
      <w:r>
        <w:rPr>
          <w:spacing w:val="-63"/>
        </w:rPr>
      </w:r>
      <w:r>
        <w:rPr/>
        <w:t>被投资方重新计量设定收益计划净负债或净资产变动而产生的其他综合收益除外。</w:t>
      </w:r>
    </w:p>
    <w:p>
      <w:pPr>
        <w:spacing w:line="240" w:lineRule="auto" w:before="11"/>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）企业合并中有关交易费用的处理</w:t>
      </w:r>
    </w:p>
    <w:p>
      <w:pPr>
        <w:spacing w:line="240" w:lineRule="auto" w:before="4"/>
        <w:rPr>
          <w:rFonts w:ascii="宋体" w:hAnsi="宋体" w:cs="宋体" w:eastAsia="宋体" w:hint="default"/>
          <w:sz w:val="21"/>
          <w:szCs w:val="21"/>
        </w:rPr>
      </w:pPr>
    </w:p>
    <w:p>
      <w:pPr>
        <w:pStyle w:val="BodyText"/>
        <w:spacing w:line="316" w:lineRule="auto"/>
        <w:ind w:right="1131"/>
        <w:jc w:val="both"/>
      </w:pPr>
      <w:r>
        <w:rPr>
          <w:spacing w:val="-2"/>
        </w:rPr>
        <w:t>为进行企业合并发生的审计、法律服务、评估咨询等中介费用以及其他相关管理费用，于发生时计入当期损益。作为合并对</w:t>
      </w:r>
      <w:r>
        <w:rPr>
          <w:spacing w:val="-65"/>
        </w:rPr>
        <w:t> </w:t>
      </w:r>
      <w:r>
        <w:rPr>
          <w:spacing w:val="-65"/>
        </w:rPr>
      </w:r>
      <w:r>
        <w:rPr/>
        <w:t>价发行的权益性证券或债务性证券的交易费用，计入权益性证券或债务性证券的初始确认金额。</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w:t>
      </w:r>
      <w:r>
        <w:rPr>
          <w:rFonts w:ascii="Times New Roman" w:hAnsi="Times New Roman" w:cs="Times New Roman" w:eastAsia="Times New Roman" w:hint="default"/>
        </w:rPr>
        <w:t>1</w:t>
      </w:r>
      <w:r>
        <w:rPr/>
        <w:t>）合并范围</w:t>
      </w:r>
    </w:p>
    <w:p>
      <w:pPr>
        <w:spacing w:line="240" w:lineRule="auto" w:before="4"/>
        <w:rPr>
          <w:rFonts w:ascii="宋体" w:hAnsi="宋体" w:cs="宋体" w:eastAsia="宋体" w:hint="default"/>
          <w:sz w:val="21"/>
          <w:szCs w:val="21"/>
        </w:rPr>
      </w:pPr>
    </w:p>
    <w:p>
      <w:pPr>
        <w:pStyle w:val="BodyText"/>
        <w:spacing w:line="319" w:lineRule="auto"/>
        <w:ind w:right="1034"/>
        <w:jc w:val="left"/>
      </w:pPr>
      <w:r>
        <w:rPr>
          <w:spacing w:val="-2"/>
        </w:rPr>
        <w:t>合并财务报表的合并范围以控制为基础予以确定。控制，是指本公司拥有对被投资单位的权力，通过参与被投资单位的相关</w:t>
      </w:r>
      <w:r>
        <w:rPr>
          <w:spacing w:val="-66"/>
        </w:rPr>
        <w:t> </w:t>
      </w:r>
      <w:r>
        <w:rPr>
          <w:spacing w:val="-66"/>
        </w:rPr>
      </w:r>
      <w:r>
        <w:rPr/>
        <w:t>活动而享有可变回报，并且有能力运用对被投资单位的权力影响其回报金额。子公司，是指被本公司控制的主体（含企业、 被投资单位中可分割的部分、结构化主体等）。</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w:t>
      </w:r>
      <w:r>
        <w:rPr>
          <w:rFonts w:ascii="Times New Roman" w:hAnsi="Times New Roman" w:cs="Times New Roman" w:eastAsia="Times New Roman" w:hint="default"/>
        </w:rPr>
        <w:t>2</w:t>
      </w:r>
      <w:r>
        <w:rPr/>
        <w:t>）合并财务报表的编制方法</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合并财务报表以本公司和子公司的财务报表为基础，根据其他有关资料，由本公司编制。在编制合并财务报表时，本公司和</w:t>
      </w:r>
      <w:r>
        <w:rPr>
          <w:spacing w:val="-64"/>
        </w:rPr>
        <w:t> </w:t>
      </w:r>
      <w:r>
        <w:rPr>
          <w:spacing w:val="-64"/>
        </w:rPr>
      </w:r>
      <w:r>
        <w:rPr/>
        <w:t>子公司的会计政策和会计期间要求保持一致，公司间的重大交易和往来余额予以抵销。</w:t>
      </w:r>
    </w:p>
    <w:p>
      <w:pPr>
        <w:spacing w:line="240" w:lineRule="auto" w:before="12"/>
        <w:rPr>
          <w:rFonts w:ascii="宋体" w:hAnsi="宋体" w:cs="宋体" w:eastAsia="宋体" w:hint="default"/>
          <w:sz w:val="17"/>
          <w:szCs w:val="17"/>
        </w:rPr>
      </w:pPr>
    </w:p>
    <w:p>
      <w:pPr>
        <w:pStyle w:val="BodyText"/>
        <w:spacing w:line="316" w:lineRule="auto"/>
        <w:ind w:right="1122"/>
        <w:jc w:val="left"/>
      </w:pPr>
      <w:r>
        <w:rPr>
          <w:spacing w:val="-2"/>
        </w:rPr>
        <w:t>在报告期内因同一控制下企业合并增加的子公司以及业务，视同该子公司以及业务自同受最终控制方控制之日起纳入本公司</w:t>
      </w:r>
      <w:r>
        <w:rPr>
          <w:spacing w:val="-64"/>
        </w:rPr>
        <w:t> </w:t>
      </w:r>
      <w:r>
        <w:rPr>
          <w:spacing w:val="-64"/>
        </w:rPr>
      </w:r>
      <w:r>
        <w:rPr/>
        <w:t>的合并范围，将其自同受最终控制方控制之日起的经营成果、现金流量分别纳入合并利润表、合并现金流量表中。</w:t>
      </w:r>
    </w:p>
    <w:p>
      <w:pPr>
        <w:spacing w:line="240" w:lineRule="auto" w:before="12"/>
        <w:rPr>
          <w:rFonts w:ascii="宋体" w:hAnsi="宋体" w:cs="宋体" w:eastAsia="宋体" w:hint="default"/>
          <w:sz w:val="17"/>
          <w:szCs w:val="17"/>
        </w:rPr>
      </w:pPr>
    </w:p>
    <w:p>
      <w:pPr>
        <w:pStyle w:val="BodyText"/>
        <w:spacing w:line="316" w:lineRule="auto"/>
        <w:ind w:right="1122"/>
        <w:jc w:val="left"/>
      </w:pPr>
      <w:r>
        <w:rPr>
          <w:spacing w:val="-2"/>
        </w:rPr>
        <w:t>在报告期内因非同一控制下企业合并增加的子公司以及业务，将该子公司以及业务自购买日至报告期末的收入、费用、利润</w:t>
      </w:r>
      <w:r>
        <w:rPr>
          <w:spacing w:val="-65"/>
        </w:rPr>
        <w:t> </w:t>
      </w:r>
      <w:r>
        <w:rPr>
          <w:spacing w:val="-65"/>
        </w:rPr>
      </w:r>
      <w:r>
        <w:rPr/>
        <w:t>纳入合并利润表，将其现金流量纳入合并现金流量表。</w:t>
      </w:r>
    </w:p>
    <w:p>
      <w:pPr>
        <w:spacing w:line="240" w:lineRule="auto" w:before="12"/>
        <w:rPr>
          <w:rFonts w:ascii="宋体" w:hAnsi="宋体" w:cs="宋体" w:eastAsia="宋体" w:hint="default"/>
          <w:sz w:val="17"/>
          <w:szCs w:val="17"/>
        </w:rPr>
      </w:pPr>
    </w:p>
    <w:p>
      <w:pPr>
        <w:pStyle w:val="BodyText"/>
        <w:spacing w:line="309" w:lineRule="auto"/>
        <w:ind w:right="1131"/>
        <w:jc w:val="both"/>
      </w:pPr>
      <w:r>
        <w:rPr>
          <w:spacing w:val="-2"/>
        </w:rPr>
        <w:t>子公司的股东权益中不属于本公司所拥有的部分，作为少数股东权益在合并资产负债表中股东权益项下单独列示；子公司当</w:t>
      </w:r>
      <w:r>
        <w:rPr>
          <w:spacing w:val="-62"/>
        </w:rPr>
        <w:t> </w:t>
      </w:r>
      <w:r>
        <w:rPr>
          <w:spacing w:val="-62"/>
        </w:rPr>
      </w:r>
      <w:r>
        <w:rPr>
          <w:spacing w:val="-2"/>
        </w:rPr>
        <w:t>期净损益中属于少数股东权益的份额，在合并利润表中净利润项目下以</w:t>
      </w:r>
      <w:r>
        <w:rPr>
          <w:rFonts w:ascii="Times New Roman" w:hAnsi="Times New Roman" w:cs="Times New Roman" w:eastAsia="Times New Roman" w:hint="default"/>
          <w:spacing w:val="-2"/>
        </w:rPr>
        <w:t>“</w:t>
      </w:r>
      <w:r>
        <w:rPr>
          <w:spacing w:val="-2"/>
        </w:rPr>
        <w:t>少数股东损益</w:t>
      </w:r>
      <w:r>
        <w:rPr>
          <w:rFonts w:ascii="Times New Roman" w:hAnsi="Times New Roman" w:cs="Times New Roman" w:eastAsia="Times New Roman" w:hint="default"/>
          <w:spacing w:val="-2"/>
        </w:rPr>
        <w:t>”</w:t>
      </w:r>
      <w:r>
        <w:rPr>
          <w:spacing w:val="-2"/>
        </w:rPr>
        <w:t>项目列示。少数股东分担的子公司的</w:t>
      </w:r>
      <w:r>
        <w:rPr>
          <w:spacing w:val="-43"/>
        </w:rPr>
        <w:t> </w:t>
      </w:r>
      <w:r>
        <w:rPr>
          <w:spacing w:val="-43"/>
        </w:rPr>
      </w:r>
      <w:r>
        <w:rPr/>
        <w:t>亏损超过了少数股东在该子公司期初所有者权益中所享有的份额，其余额仍冲减少数股东权益。</w:t>
      </w:r>
    </w:p>
    <w:p>
      <w:pPr>
        <w:spacing w:line="240" w:lineRule="auto" w:before="5"/>
        <w:rPr>
          <w:rFonts w:ascii="宋体" w:hAnsi="宋体" w:cs="宋体" w:eastAsia="宋体" w:hint="default"/>
          <w:sz w:val="18"/>
          <w:szCs w:val="18"/>
        </w:rPr>
      </w:pPr>
    </w:p>
    <w:p>
      <w:pPr>
        <w:pStyle w:val="BodyText"/>
        <w:spacing w:line="240" w:lineRule="auto"/>
        <w:ind w:right="1122"/>
        <w:jc w:val="left"/>
      </w:pPr>
      <w:r>
        <w:rPr/>
        <w:t>（</w:t>
      </w:r>
      <w:r>
        <w:rPr>
          <w:rFonts w:ascii="Times New Roman" w:hAnsi="Times New Roman" w:cs="Times New Roman" w:eastAsia="Times New Roman" w:hint="default"/>
        </w:rPr>
        <w:t>3</w:t>
      </w:r>
      <w:r>
        <w:rPr/>
        <w:t>）购买子公司少数股东股权</w:t>
      </w:r>
    </w:p>
    <w:p>
      <w:pPr>
        <w:spacing w:line="240" w:lineRule="auto" w:before="4"/>
        <w:rPr>
          <w:rFonts w:ascii="宋体" w:hAnsi="宋体" w:cs="宋体" w:eastAsia="宋体" w:hint="default"/>
          <w:sz w:val="21"/>
          <w:szCs w:val="21"/>
        </w:rPr>
      </w:pPr>
    </w:p>
    <w:p>
      <w:pPr>
        <w:pStyle w:val="BodyText"/>
        <w:spacing w:line="316" w:lineRule="auto"/>
        <w:ind w:right="1133"/>
        <w:jc w:val="both"/>
      </w:pPr>
      <w:r>
        <w:rPr/>
        <w:t>因购买少数股权新取得的长期股权投资成本与按照新增持股比例计算应享有子公司自购买日或合并日开始持续计算的净资</w:t>
      </w:r>
      <w:r>
        <w:rPr>
          <w:spacing w:val="-11"/>
        </w:rPr>
        <w:t> </w:t>
      </w:r>
      <w:r>
        <w:rPr>
          <w:spacing w:val="-11"/>
        </w:rPr>
      </w:r>
      <w:r>
        <w:rPr>
          <w:spacing w:val="-2"/>
        </w:rPr>
        <w:t>产份额之间的差额，以及在不丧失控制权的情况下因部分处置对子公司的股权投资而取得的处置价款与处置长期股权投资相</w:t>
      </w:r>
      <w:r>
        <w:rPr>
          <w:spacing w:val="-64"/>
        </w:rPr>
        <w:t> </w:t>
      </w:r>
      <w:r>
        <w:rPr>
          <w:spacing w:val="-64"/>
        </w:rPr>
      </w:r>
      <w:r>
        <w:rPr/>
        <w:t>对应享有子公司自购买日或合并日开始持续计算的净资产份额之间的差额，均调整合并资产负债表中的资本公积（股本溢</w:t>
      </w:r>
      <w:r>
        <w:rPr>
          <w:spacing w:val="-3"/>
        </w:rPr>
        <w:t> </w:t>
      </w:r>
      <w:r>
        <w:rPr>
          <w:spacing w:val="-3"/>
        </w:rPr>
      </w:r>
      <w:r>
        <w:rPr/>
        <w:t>价），资本公积不足冲减的，调整留存收益。</w:t>
      </w:r>
    </w:p>
    <w:p>
      <w:pPr>
        <w:spacing w:line="240" w:lineRule="auto" w:before="12"/>
        <w:rPr>
          <w:rFonts w:ascii="宋体" w:hAnsi="宋体" w:cs="宋体" w:eastAsia="宋体" w:hint="default"/>
          <w:sz w:val="17"/>
          <w:szCs w:val="17"/>
        </w:rPr>
      </w:pPr>
    </w:p>
    <w:p>
      <w:pPr>
        <w:pStyle w:val="BodyText"/>
        <w:spacing w:line="240" w:lineRule="auto"/>
        <w:ind w:right="1122"/>
        <w:jc w:val="left"/>
      </w:pPr>
      <w:r>
        <w:rPr/>
        <w:t>（</w:t>
      </w:r>
      <w:r>
        <w:rPr>
          <w:rFonts w:ascii="Times New Roman" w:hAnsi="Times New Roman" w:cs="Times New Roman" w:eastAsia="Times New Roman" w:hint="default"/>
        </w:rPr>
        <w:t>4</w:t>
      </w:r>
      <w:r>
        <w:rPr/>
        <w:t>）丧失子公司控制权的处理</w:t>
      </w:r>
    </w:p>
    <w:p>
      <w:pPr>
        <w:spacing w:line="240" w:lineRule="auto" w:before="4"/>
        <w:rPr>
          <w:rFonts w:ascii="宋体" w:hAnsi="宋体" w:cs="宋体" w:eastAsia="宋体" w:hint="default"/>
          <w:sz w:val="21"/>
          <w:szCs w:val="21"/>
        </w:rPr>
      </w:pPr>
    </w:p>
    <w:p>
      <w:pPr>
        <w:pStyle w:val="BodyText"/>
        <w:spacing w:line="316" w:lineRule="auto"/>
        <w:ind w:right="1034"/>
        <w:jc w:val="left"/>
      </w:pPr>
      <w:r>
        <w:rPr/>
        <w:t>因处置部分股权投资或其他原因丧失了对原有子公司控制权的，剩余股权按照其在丧失控制权日的公允价值进行重新计量； </w:t>
      </w:r>
      <w:r>
        <w:rPr>
          <w:spacing w:val="-2"/>
        </w:rPr>
        <w:t>处置股权取得的对价与剩余股权公允价值之和，减去按原持股比例计算应享有原有子公司自购买日开始持续计算的净资产账</w:t>
      </w:r>
      <w:r>
        <w:rPr>
          <w:spacing w:val="-64"/>
        </w:rPr>
        <w:t> </w:t>
      </w:r>
      <w:r>
        <w:rPr>
          <w:spacing w:val="-64"/>
        </w:rPr>
      </w:r>
      <w:r>
        <w:rPr/>
        <w:t>面价值的份额与商誉之和，形成的差额计入丧失控制权当期的投资收益。</w:t>
      </w:r>
    </w:p>
    <w:p>
      <w:pPr>
        <w:spacing w:line="240" w:lineRule="auto" w:before="12"/>
        <w:rPr>
          <w:rFonts w:ascii="宋体" w:hAnsi="宋体" w:cs="宋体" w:eastAsia="宋体" w:hint="default"/>
          <w:sz w:val="17"/>
          <w:szCs w:val="17"/>
        </w:rPr>
      </w:pPr>
    </w:p>
    <w:p>
      <w:pPr>
        <w:pStyle w:val="BodyText"/>
        <w:spacing w:line="316" w:lineRule="auto"/>
        <w:ind w:right="1122"/>
        <w:jc w:val="left"/>
      </w:pPr>
      <w:r>
        <w:rPr>
          <w:spacing w:val="-2"/>
        </w:rPr>
        <w:t>与原有子公司的股权投资相关的其他综合收益等，在丧失控制权时转入当期损益，由于被投资方重新计量设定收益计划净负</w:t>
      </w:r>
      <w:r>
        <w:rPr>
          <w:spacing w:val="-64"/>
        </w:rPr>
        <w:t> </w:t>
      </w:r>
      <w:r>
        <w:rPr>
          <w:spacing w:val="-64"/>
        </w:rPr>
      </w:r>
      <w:r>
        <w:rPr/>
        <w:t>债或净资产变动而产生的其他综合收益除外。</w:t>
      </w:r>
    </w:p>
    <w:p>
      <w:pPr>
        <w:spacing w:line="240" w:lineRule="auto" w:before="10"/>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合营安排，是指一项由两个或两个以上的参与方共同控制的安排。本集团合营安排分为共同经营和合营企业。</w:t>
      </w:r>
    </w:p>
    <w:p>
      <w:pPr>
        <w:spacing w:line="240" w:lineRule="auto" w:before="5"/>
        <w:rPr>
          <w:rFonts w:ascii="宋体" w:hAnsi="宋体" w:cs="宋体" w:eastAsia="宋体" w:hint="default"/>
          <w:sz w:val="22"/>
          <w:szCs w:val="22"/>
        </w:rPr>
      </w:pPr>
    </w:p>
    <w:p>
      <w:pPr>
        <w:pStyle w:val="BodyText"/>
        <w:spacing w:line="508" w:lineRule="auto"/>
        <w:ind w:right="4634"/>
        <w:jc w:val="left"/>
      </w:pPr>
      <w:r>
        <w:rPr/>
        <w:t>（</w:t>
      </w:r>
      <w:r>
        <w:rPr>
          <w:rFonts w:ascii="Times New Roman" w:hAnsi="Times New Roman" w:cs="Times New Roman" w:eastAsia="Times New Roman" w:hint="default"/>
        </w:rPr>
        <w:t>1</w:t>
      </w:r>
      <w:r>
        <w:rPr/>
        <w:t>）共同经营 共同经营是指本集团享有该安排相关资产且承担该安排相关负债的合营安排。</w:t>
      </w:r>
    </w:p>
    <w:p>
      <w:pPr>
        <w:pStyle w:val="BodyText"/>
        <w:spacing w:line="513" w:lineRule="auto" w:before="91"/>
        <w:ind w:right="2834"/>
        <w:jc w:val="left"/>
      </w:pPr>
      <w:r>
        <w:rPr/>
        <w:t>本集团确认与共同经营中利益份额相关的下列项目，并按照相关企业会计准则的规定进行会计处理： </w:t>
      </w:r>
      <w:r>
        <w:rPr>
          <w:rFonts w:ascii="Times New Roman" w:hAnsi="Times New Roman" w:cs="Times New Roman" w:eastAsia="Times New Roman" w:hint="default"/>
        </w:rPr>
        <w:t>A</w:t>
      </w:r>
      <w:r>
        <w:rPr/>
        <w:t>、确认单独所持有的资产，以及按其份额确认共同持有的资产； </w:t>
      </w:r>
      <w:r>
        <w:rPr>
          <w:rFonts w:ascii="Times New Roman" w:hAnsi="Times New Roman" w:cs="Times New Roman" w:eastAsia="Times New Roman" w:hint="default"/>
        </w:rPr>
        <w:t>B</w:t>
      </w:r>
      <w:r>
        <w:rPr/>
        <w:t>、确认单独所承担的负债，以及按其份额确认共同承担的负债； </w:t>
      </w:r>
      <w:r>
        <w:rPr>
          <w:rFonts w:ascii="Times New Roman" w:hAnsi="Times New Roman" w:cs="Times New Roman" w:eastAsia="Times New Roman" w:hint="default"/>
        </w:rPr>
        <w:t>C</w:t>
      </w:r>
      <w:r>
        <w:rPr/>
        <w:t>、确认出售其享有的共同经营产出份额所产生的收入； </w:t>
      </w:r>
      <w:r>
        <w:rPr>
          <w:rFonts w:ascii="Times New Roman" w:hAnsi="Times New Roman" w:cs="Times New Roman" w:eastAsia="Times New Roman" w:hint="default"/>
        </w:rPr>
        <w:t>D</w:t>
      </w:r>
      <w:r>
        <w:rPr/>
        <w:t>、按其份额确认共同经营因出售产出所产生的收入； </w:t>
      </w:r>
      <w:r>
        <w:rPr>
          <w:rFonts w:ascii="Times New Roman" w:hAnsi="Times New Roman" w:cs="Times New Roman" w:eastAsia="Times New Roman" w:hint="default"/>
        </w:rPr>
        <w:t>E</w:t>
      </w:r>
      <w:r>
        <w:rPr/>
        <w:t>、确认单独所发生的费用，以及按其份额确认共同经营发生的费用。</w:t>
      </w:r>
    </w:p>
    <w:p>
      <w:pPr>
        <w:spacing w:after="0" w:line="513"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508" w:lineRule="auto" w:before="44"/>
        <w:ind w:right="5714"/>
        <w:jc w:val="left"/>
      </w:pPr>
      <w:r>
        <w:rPr/>
        <w:t>（</w:t>
      </w:r>
      <w:r>
        <w:rPr>
          <w:rFonts w:ascii="Times New Roman" w:hAnsi="Times New Roman" w:cs="Times New Roman" w:eastAsia="Times New Roman" w:hint="default"/>
        </w:rPr>
        <w:t>2</w:t>
      </w:r>
      <w:r>
        <w:rPr/>
        <w:t>）合营企业 合营企业是指本集团仅对该安排的净资产享有权利的合营安排。</w:t>
      </w:r>
    </w:p>
    <w:p>
      <w:pPr>
        <w:pStyle w:val="BodyText"/>
        <w:spacing w:line="240" w:lineRule="auto" w:before="91"/>
        <w:ind w:right="0"/>
        <w:jc w:val="both"/>
      </w:pPr>
      <w:r>
        <w:rPr/>
        <w:t>本集团按照长期股权投资有关权益法核算的规定对合营企业的投资进行会计处理。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jc w:val="left"/>
      </w:pPr>
      <w:r>
        <w:rPr>
          <w:spacing w:val="-2"/>
        </w:rPr>
        <w:t>现金是指库存现金以及可以随时用于支付的存款。现金等价物，是指本集团持有的期限短、流动性强、易于转换为已知金额</w:t>
      </w:r>
      <w:r>
        <w:rPr>
          <w:spacing w:val="-64"/>
        </w:rPr>
        <w:t> </w:t>
      </w:r>
      <w:r>
        <w:rPr>
          <w:spacing w:val="-64"/>
        </w:rPr>
      </w:r>
      <w:r>
        <w:rPr/>
        <w:t>现金、价值变动风险很小的投资。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508" w:lineRule="auto"/>
        <w:ind w:right="4994"/>
        <w:jc w:val="left"/>
      </w:pPr>
      <w:r>
        <w:rPr/>
        <w:t>（</w:t>
      </w:r>
      <w:r>
        <w:rPr>
          <w:rFonts w:ascii="Times New Roman" w:hAnsi="Times New Roman" w:cs="Times New Roman" w:eastAsia="Times New Roman" w:hint="default"/>
        </w:rPr>
        <w:t>1</w:t>
      </w:r>
      <w:r>
        <w:rPr/>
        <w:t>）外币业务 本集团发生外币业务，按交易发生日的即期汇率折算为记账本位币金额。</w:t>
      </w:r>
    </w:p>
    <w:p>
      <w:pPr>
        <w:pStyle w:val="BodyText"/>
        <w:spacing w:line="316" w:lineRule="auto" w:before="91"/>
        <w:ind w:right="1130"/>
        <w:jc w:val="both"/>
      </w:pPr>
      <w:r>
        <w:rPr>
          <w:spacing w:val="-2"/>
        </w:rPr>
        <w:t>资产负债表日，对外币货币性项目，采用资产负债表日即期汇率折算。因资产负债表日即期汇率与初始确认时或者前一资产</w:t>
      </w:r>
      <w:r>
        <w:rPr>
          <w:spacing w:val="-63"/>
        </w:rPr>
        <w:t> </w:t>
      </w:r>
      <w:r>
        <w:rPr>
          <w:spacing w:val="-63"/>
        </w:rPr>
      </w:r>
      <w:r>
        <w:rPr>
          <w:spacing w:val="-2"/>
        </w:rPr>
        <w:t>负债表日即期汇率不同而产生的汇兑差额，计入当期损益；对以历史成本计量的外币非货币性项目，仍采用交易发生日的即</w:t>
      </w:r>
      <w:r>
        <w:rPr>
          <w:spacing w:val="-65"/>
        </w:rPr>
        <w:t> </w:t>
      </w:r>
      <w:r>
        <w:rPr>
          <w:spacing w:val="-65"/>
        </w:rPr>
      </w:r>
      <w:r>
        <w:rPr>
          <w:spacing w:val="-2"/>
        </w:rPr>
        <w:t>期汇率折算；对以公允价值计量的外币非货币性项目，采用公允价值确定日的即期汇率折算，折算后的记账本位币金额与原</w:t>
      </w:r>
      <w:r>
        <w:rPr>
          <w:spacing w:val="-63"/>
        </w:rPr>
        <w:t> </w:t>
      </w:r>
      <w:r>
        <w:rPr>
          <w:spacing w:val="-63"/>
        </w:rPr>
      </w:r>
      <w:r>
        <w:rPr/>
        <w:t>记账本位币金额的差额，计入当期损益。</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）外币财务报表的折算</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资产负债表日，对境外子公司外币财务报表进行折算时，资产负债表中的资产和负债项目，采用资产负债表日的即期汇率折</w:t>
      </w:r>
      <w:r>
        <w:rPr>
          <w:spacing w:val="-61"/>
        </w:rPr>
        <w:t> </w:t>
      </w:r>
      <w:r>
        <w:rPr>
          <w:spacing w:val="-61"/>
        </w:rPr>
      </w:r>
      <w:r>
        <w:rPr/>
        <w:t>算，股东权益项目除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外，其他项目采用发生日的即期汇率折算。</w:t>
      </w:r>
    </w:p>
    <w:p>
      <w:pPr>
        <w:spacing w:line="240" w:lineRule="auto" w:before="6"/>
        <w:rPr>
          <w:rFonts w:ascii="宋体" w:hAnsi="宋体" w:cs="宋体" w:eastAsia="宋体" w:hint="default"/>
          <w:sz w:val="16"/>
          <w:szCs w:val="16"/>
        </w:rPr>
      </w:pPr>
    </w:p>
    <w:p>
      <w:pPr>
        <w:pStyle w:val="BodyText"/>
        <w:spacing w:line="240" w:lineRule="auto"/>
        <w:ind w:right="0"/>
        <w:jc w:val="both"/>
      </w:pPr>
      <w:r>
        <w:rPr/>
        <w:t>利润表中的收入和费用项目，采用交易发生日的即期汇率折算。</w:t>
      </w:r>
    </w:p>
    <w:p>
      <w:pPr>
        <w:spacing w:line="240" w:lineRule="auto" w:before="5"/>
        <w:rPr>
          <w:rFonts w:ascii="宋体" w:hAnsi="宋体" w:cs="宋体" w:eastAsia="宋体" w:hint="default"/>
          <w:sz w:val="22"/>
          <w:szCs w:val="22"/>
        </w:rPr>
      </w:pPr>
    </w:p>
    <w:p>
      <w:pPr>
        <w:pStyle w:val="BodyText"/>
        <w:spacing w:line="316" w:lineRule="auto"/>
        <w:ind w:right="1122"/>
        <w:jc w:val="left"/>
      </w:pPr>
      <w:r>
        <w:rPr>
          <w:spacing w:val="-2"/>
        </w:rPr>
        <w:t>现金流量表所有项目均按照现金流量发生日的即期汇率折算。汇率变动对现金的影响额作为调节项目，在现金流量表中单独</w:t>
      </w:r>
      <w:r>
        <w:rPr>
          <w:spacing w:val="-64"/>
        </w:rPr>
        <w:t> </w:t>
      </w:r>
      <w:r>
        <w:rPr>
          <w:spacing w:val="-64"/>
        </w:rPr>
      </w:r>
      <w:r>
        <w:rPr/>
        <w:t>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t>项目反映。</w:t>
      </w:r>
    </w:p>
    <w:p>
      <w:pPr>
        <w:spacing w:line="240" w:lineRule="auto" w:before="6"/>
        <w:rPr>
          <w:rFonts w:ascii="宋体" w:hAnsi="宋体" w:cs="宋体" w:eastAsia="宋体" w:hint="default"/>
          <w:sz w:val="16"/>
          <w:szCs w:val="16"/>
        </w:rPr>
      </w:pPr>
    </w:p>
    <w:p>
      <w:pPr>
        <w:pStyle w:val="BodyText"/>
        <w:spacing w:line="240" w:lineRule="auto"/>
        <w:ind w:right="0"/>
        <w:jc w:val="both"/>
      </w:pPr>
      <w:r>
        <w:rPr/>
        <w:t>由于财务报表折算而产生的差额，在资产负债表股东权益项目下的</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项目反映。</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处置境外经营并丧失控制权时，将资产负债表中股东权益项目下列示的、与该境外经营相关的外币报表折算差额，全部或按</w:t>
      </w:r>
      <w:r>
        <w:rPr>
          <w:spacing w:val="-61"/>
        </w:rPr>
        <w:t> </w:t>
      </w:r>
      <w:r>
        <w:rPr>
          <w:spacing w:val="-61"/>
        </w:rPr>
      </w:r>
      <w:r>
        <w:rPr/>
        <w:t>处置该境外经营的比例转入处置当期损益。</w:t>
      </w:r>
    </w:p>
    <w:p>
      <w:pPr>
        <w:spacing w:after="0" w:line="316" w:lineRule="auto"/>
        <w:jc w:val="left"/>
        <w:sectPr>
          <w:footerReference w:type="default" r:id="rId20"/>
          <w:pgSz w:w="11910" w:h="16840"/>
          <w:pgMar w:footer="979" w:header="745" w:top="1060" w:bottom="1160" w:left="980" w:right="0"/>
          <w:pgNumType w:start="12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金融工具是指形成一方的金融资产，并形成其他方的金融负债或权益工具的合同。</w:t>
      </w:r>
    </w:p>
    <w:p>
      <w:pPr>
        <w:spacing w:line="240" w:lineRule="auto" w:before="5"/>
        <w:rPr>
          <w:rFonts w:ascii="宋体" w:hAnsi="宋体" w:cs="宋体" w:eastAsia="宋体" w:hint="default"/>
          <w:sz w:val="22"/>
          <w:szCs w:val="22"/>
        </w:rPr>
      </w:pPr>
    </w:p>
    <w:p>
      <w:pPr>
        <w:pStyle w:val="BodyText"/>
        <w:spacing w:line="523" w:lineRule="auto"/>
        <w:ind w:right="5354"/>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80"/>
        <w:ind w:right="0"/>
        <w:jc w:val="both"/>
      </w:pPr>
      <w:r>
        <w:rPr/>
        <w:t>①</w:t>
      </w:r>
      <w:r>
        <w:rPr>
          <w:spacing w:val="-18"/>
        </w:rPr>
        <w:t> </w:t>
      </w:r>
      <w:r>
        <w:rPr/>
        <w:t>收取该金融资产现金流量的合同权利终止；</w:t>
      </w:r>
    </w:p>
    <w:p>
      <w:pPr>
        <w:spacing w:line="240" w:lineRule="auto" w:before="5"/>
        <w:rPr>
          <w:rFonts w:ascii="宋体" w:hAnsi="宋体" w:cs="宋体" w:eastAsia="宋体" w:hint="default"/>
          <w:sz w:val="22"/>
          <w:szCs w:val="22"/>
        </w:rPr>
      </w:pPr>
    </w:p>
    <w:p>
      <w:pPr>
        <w:pStyle w:val="BodyText"/>
        <w:spacing w:line="240" w:lineRule="auto"/>
        <w:ind w:right="0"/>
        <w:jc w:val="both"/>
      </w:pPr>
      <w:r>
        <w:rPr/>
        <w:t>②</w:t>
      </w:r>
      <w:r>
        <w:rPr>
          <w:spacing w:val="-18"/>
        </w:rPr>
        <w:t> </w:t>
      </w:r>
      <w:r>
        <w:rPr/>
        <w:t>该金融资产已转移，且符合下述金融资产转移的终止确认条件。</w:t>
      </w:r>
    </w:p>
    <w:p>
      <w:pPr>
        <w:spacing w:line="240" w:lineRule="auto" w:before="5"/>
        <w:rPr>
          <w:rFonts w:ascii="宋体" w:hAnsi="宋体" w:cs="宋体" w:eastAsia="宋体" w:hint="default"/>
          <w:sz w:val="22"/>
          <w:szCs w:val="22"/>
        </w:rPr>
      </w:pPr>
    </w:p>
    <w:p>
      <w:pPr>
        <w:pStyle w:val="BodyText"/>
        <w:spacing w:line="316" w:lineRule="auto"/>
        <w:ind w:right="1045"/>
        <w:jc w:val="both"/>
      </w:pPr>
      <w:r>
        <w:rPr/>
        <w:t>金融负债的现时义务全部或部分已经解除的，终止确认该金融负债或其一部分。本集团（债务人）与债权人之间签订协议， </w:t>
      </w:r>
      <w:r>
        <w:rPr>
          <w:spacing w:val="-4"/>
        </w:rPr>
        <w:t>以承担新金融负债方式替换现存金融负债，且新金融负债与现存金融负债的合同条款实质上不同的，终止确认现存金融负债，</w:t>
      </w:r>
      <w:r>
        <w:rPr>
          <w:spacing w:val="-44"/>
        </w:rPr>
        <w:t> </w:t>
      </w:r>
      <w:r>
        <w:rPr>
          <w:spacing w:val="-44"/>
        </w:rPr>
      </w:r>
      <w:r>
        <w:rPr/>
        <w:t>并同时确认新金融负债。</w:t>
      </w:r>
    </w:p>
    <w:p>
      <w:pPr>
        <w:spacing w:line="240" w:lineRule="auto" w:before="12"/>
        <w:rPr>
          <w:rFonts w:ascii="宋体" w:hAnsi="宋体" w:cs="宋体" w:eastAsia="宋体" w:hint="default"/>
          <w:sz w:val="17"/>
          <w:szCs w:val="17"/>
        </w:rPr>
      </w:pPr>
    </w:p>
    <w:p>
      <w:pPr>
        <w:pStyle w:val="BodyText"/>
        <w:spacing w:line="240" w:lineRule="auto"/>
        <w:ind w:right="0"/>
        <w:jc w:val="both"/>
      </w:pPr>
      <w:r>
        <w:rPr/>
        <w:t>以常规方式买卖金融资产，按交易日进行会计确认和终止确认。</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2</w:t>
      </w:r>
      <w:r>
        <w:rPr/>
        <w:t>）金融资产分类和计量</w:t>
      </w:r>
    </w:p>
    <w:p>
      <w:pPr>
        <w:spacing w:line="240" w:lineRule="auto" w:before="4"/>
        <w:rPr>
          <w:rFonts w:ascii="宋体" w:hAnsi="宋体" w:cs="宋体" w:eastAsia="宋体" w:hint="default"/>
          <w:sz w:val="21"/>
          <w:szCs w:val="21"/>
        </w:rPr>
      </w:pPr>
    </w:p>
    <w:p>
      <w:pPr>
        <w:pStyle w:val="BodyText"/>
        <w:spacing w:line="319" w:lineRule="auto"/>
        <w:ind w:right="1133"/>
        <w:jc w:val="both"/>
      </w:pPr>
      <w:r>
        <w:rPr>
          <w:spacing w:val="-2"/>
        </w:rPr>
        <w:t>本集团在初始确认时根据管理金融资产的业务模式和金融资产的合同现金流量特征，将金融资产分为以下三类：以摊余成本</w:t>
      </w:r>
      <w:r>
        <w:rPr>
          <w:spacing w:val="-64"/>
        </w:rPr>
        <w:t> </w:t>
      </w:r>
      <w:r>
        <w:rPr>
          <w:spacing w:val="-64"/>
        </w:rPr>
      </w:r>
      <w:r>
        <w:rPr>
          <w:spacing w:val="-2"/>
        </w:rPr>
        <w:t>计量的金融资产、以公允价值计量且其变动计入其他综合收益的金融资产、以公允价值计量且其变动计入当期损益的金融资</w:t>
      </w:r>
      <w:r>
        <w:rPr>
          <w:spacing w:val="-64"/>
        </w:rPr>
        <w:t> </w:t>
      </w:r>
      <w:r>
        <w:rPr>
          <w:spacing w:val="-64"/>
        </w:rPr>
      </w:r>
      <w:r>
        <w:rPr/>
        <w:t>产。</w:t>
      </w:r>
    </w:p>
    <w:p>
      <w:pPr>
        <w:spacing w:line="240" w:lineRule="auto" w:before="11"/>
        <w:rPr>
          <w:rFonts w:ascii="宋体" w:hAnsi="宋体" w:cs="宋体" w:eastAsia="宋体" w:hint="default"/>
          <w:sz w:val="17"/>
          <w:szCs w:val="17"/>
        </w:rPr>
      </w:pPr>
    </w:p>
    <w:p>
      <w:pPr>
        <w:pStyle w:val="Heading5"/>
        <w:spacing w:line="240" w:lineRule="auto"/>
        <w:ind w:left="152" w:right="0"/>
        <w:jc w:val="both"/>
        <w:rPr>
          <w:b w:val="0"/>
          <w:bCs w:val="0"/>
        </w:rPr>
      </w:pPr>
      <w:r>
        <w:rPr/>
        <w:t>以摊余成本计量的金融资产</w:t>
      </w:r>
      <w:r>
        <w:rPr>
          <w:b w:val="0"/>
          <w:bCs w:val="0"/>
        </w:rPr>
      </w:r>
    </w:p>
    <w:p>
      <w:pPr>
        <w:spacing w:line="240" w:lineRule="auto" w:before="5"/>
        <w:rPr>
          <w:rFonts w:ascii="宋体" w:hAnsi="宋体" w:cs="宋体" w:eastAsia="宋体" w:hint="default"/>
          <w:b/>
          <w:bCs/>
          <w:sz w:val="22"/>
          <w:szCs w:val="22"/>
        </w:rPr>
      </w:pPr>
    </w:p>
    <w:p>
      <w:pPr>
        <w:pStyle w:val="BodyText"/>
        <w:spacing w:line="316" w:lineRule="auto"/>
        <w:ind w:right="1122"/>
        <w:jc w:val="left"/>
      </w:pPr>
      <w:r>
        <w:rPr>
          <w:spacing w:val="-2"/>
        </w:rPr>
        <w:t>本集团将同时符合下列条件且未被指定为以公允价值计量且其变动计入当期损益的金融资产，分类为以摊余成本计量的金融</w:t>
      </w:r>
      <w:r>
        <w:rPr>
          <w:spacing w:val="-63"/>
        </w:rPr>
        <w:t> </w:t>
      </w:r>
      <w:r>
        <w:rPr>
          <w:spacing w:val="-63"/>
        </w:rPr>
      </w:r>
      <w:r>
        <w:rPr/>
        <w:t>资产：</w:t>
      </w:r>
    </w:p>
    <w:p>
      <w:pPr>
        <w:spacing w:line="240" w:lineRule="auto" w:before="12"/>
        <w:rPr>
          <w:rFonts w:ascii="宋体" w:hAnsi="宋体" w:cs="宋体" w:eastAsia="宋体" w:hint="default"/>
          <w:sz w:val="17"/>
          <w:szCs w:val="17"/>
        </w:rPr>
      </w:pPr>
    </w:p>
    <w:p>
      <w:pPr>
        <w:pStyle w:val="BodyText"/>
        <w:spacing w:line="240" w:lineRule="auto"/>
        <w:ind w:left="273" w:right="1122"/>
        <w:jc w:val="left"/>
      </w:pPr>
      <w:r>
        <w:rPr/>
        <w:t>·  本集团管理该金融资产的业务模式是以收取合同现金流量为目标；</w:t>
      </w:r>
    </w:p>
    <w:p>
      <w:pPr>
        <w:spacing w:line="240" w:lineRule="auto" w:before="5"/>
        <w:rPr>
          <w:rFonts w:ascii="宋体" w:hAnsi="宋体" w:cs="宋体" w:eastAsia="宋体" w:hint="default"/>
          <w:sz w:val="22"/>
          <w:szCs w:val="22"/>
        </w:rPr>
      </w:pPr>
    </w:p>
    <w:p>
      <w:pPr>
        <w:pStyle w:val="BodyText"/>
        <w:spacing w:line="240" w:lineRule="auto"/>
        <w:ind w:left="633" w:right="0"/>
        <w:jc w:val="left"/>
      </w:pPr>
      <w:r>
        <w:rPr/>
        <w:t>· </w:t>
      </w:r>
      <w:r>
        <w:rPr>
          <w:spacing w:val="38"/>
        </w:rPr>
        <w:t> </w:t>
      </w:r>
      <w:r>
        <w:rPr>
          <w:spacing w:val="-3"/>
        </w:rPr>
        <w:t>该金融资产的合同条款规定，在特定日期产生的现金流量，仅为对本金和以未偿付本金金额为基础的利息的支付。</w:t>
      </w:r>
    </w:p>
    <w:p>
      <w:pPr>
        <w:spacing w:line="240" w:lineRule="auto" w:before="5"/>
        <w:rPr>
          <w:rFonts w:ascii="宋体" w:hAnsi="宋体" w:cs="宋体" w:eastAsia="宋体" w:hint="default"/>
          <w:sz w:val="22"/>
          <w:szCs w:val="22"/>
        </w:rPr>
      </w:pPr>
    </w:p>
    <w:p>
      <w:pPr>
        <w:pStyle w:val="BodyText"/>
        <w:spacing w:line="319" w:lineRule="auto"/>
        <w:ind w:left="513" w:right="1132"/>
        <w:jc w:val="both"/>
      </w:pPr>
      <w:r>
        <w:rPr>
          <w:spacing w:val="-2"/>
        </w:rPr>
        <w:t>初始确认后，对于该类金融资产采用实际利率法以摊余成本计量。以摊余成本计量且不属于任何套期关系的一部分的金</w:t>
      </w:r>
      <w:r>
        <w:rPr>
          <w:spacing w:val="-68"/>
        </w:rPr>
        <w:t> </w:t>
      </w:r>
      <w:r>
        <w:rPr>
          <w:spacing w:val="-68"/>
        </w:rPr>
      </w:r>
      <w:r>
        <w:rPr/>
        <w:t>融资产所产生的利得或损失，在终止确认、按照实际利率法摊销或确认减值时，计入当期损益。</w:t>
      </w:r>
    </w:p>
    <w:p>
      <w:pPr>
        <w:spacing w:line="240" w:lineRule="auto" w:before="11"/>
        <w:rPr>
          <w:rFonts w:ascii="宋体" w:hAnsi="宋体" w:cs="宋体" w:eastAsia="宋体" w:hint="default"/>
          <w:sz w:val="17"/>
          <w:szCs w:val="17"/>
        </w:rPr>
      </w:pPr>
    </w:p>
    <w:p>
      <w:pPr>
        <w:pStyle w:val="Heading5"/>
        <w:spacing w:line="240" w:lineRule="auto"/>
        <w:ind w:right="0"/>
        <w:jc w:val="both"/>
        <w:rPr>
          <w:b w:val="0"/>
          <w:bCs w:val="0"/>
        </w:rPr>
      </w:pPr>
      <w:r>
        <w:rPr/>
        <w:t>以公允价值计量且其变动计入其他综合收益的金融资产</w:t>
      </w:r>
      <w:r>
        <w:rPr>
          <w:b w:val="0"/>
          <w:bCs w:val="0"/>
        </w:rPr>
      </w:r>
    </w:p>
    <w:p>
      <w:pPr>
        <w:spacing w:line="240" w:lineRule="auto" w:before="5"/>
        <w:rPr>
          <w:rFonts w:ascii="宋体" w:hAnsi="宋体" w:cs="宋体" w:eastAsia="宋体" w:hint="default"/>
          <w:b/>
          <w:bCs/>
          <w:sz w:val="22"/>
          <w:szCs w:val="22"/>
        </w:rPr>
      </w:pPr>
    </w:p>
    <w:p>
      <w:pPr>
        <w:pStyle w:val="BodyText"/>
        <w:spacing w:line="316" w:lineRule="auto"/>
        <w:ind w:left="513" w:right="1132"/>
        <w:jc w:val="both"/>
      </w:pPr>
      <w:r>
        <w:rPr>
          <w:spacing w:val="-2"/>
        </w:rPr>
        <w:t>本集团将同时符合下列条件且未被指定为以公允价值计量且其变动计入当期损益的金融资产，分类为以公允价值计量且</w:t>
      </w:r>
      <w:r>
        <w:rPr>
          <w:spacing w:val="-68"/>
        </w:rPr>
        <w:t> </w:t>
      </w:r>
      <w:r>
        <w:rPr>
          <w:spacing w:val="-68"/>
        </w:rPr>
      </w:r>
      <w:r>
        <w:rPr/>
        <w:t>其变动计入其他综合收益的金融资产：</w:t>
      </w:r>
    </w:p>
    <w:p>
      <w:pPr>
        <w:spacing w:line="240" w:lineRule="auto" w:before="12"/>
        <w:rPr>
          <w:rFonts w:ascii="宋体" w:hAnsi="宋体" w:cs="宋体" w:eastAsia="宋体" w:hint="default"/>
          <w:sz w:val="17"/>
          <w:szCs w:val="17"/>
        </w:rPr>
      </w:pPr>
    </w:p>
    <w:p>
      <w:pPr>
        <w:pStyle w:val="BodyText"/>
        <w:spacing w:line="240" w:lineRule="auto"/>
        <w:ind w:left="273" w:right="1122"/>
        <w:jc w:val="left"/>
      </w:pPr>
      <w:r>
        <w:rPr/>
        <w:t>·  本集团管理该金融资产的业务模式既以收取合同现金流量为目标又以出售该金融资产为目标；</w:t>
      </w:r>
    </w:p>
    <w:p>
      <w:pPr>
        <w:spacing w:line="240" w:lineRule="auto" w:before="5"/>
        <w:rPr>
          <w:rFonts w:ascii="宋体" w:hAnsi="宋体" w:cs="宋体" w:eastAsia="宋体" w:hint="default"/>
          <w:sz w:val="22"/>
          <w:szCs w:val="22"/>
        </w:rPr>
      </w:pPr>
    </w:p>
    <w:p>
      <w:pPr>
        <w:pStyle w:val="BodyText"/>
        <w:spacing w:line="240" w:lineRule="auto"/>
        <w:ind w:left="633" w:right="0"/>
        <w:jc w:val="left"/>
      </w:pPr>
      <w:r>
        <w:rPr/>
        <w:t>· </w:t>
      </w:r>
      <w:r>
        <w:rPr>
          <w:spacing w:val="38"/>
        </w:rPr>
        <w:t> </w:t>
      </w:r>
      <w:r>
        <w:rPr>
          <w:spacing w:val="-3"/>
        </w:rPr>
        <w:t>该金融资产的合同条款规定，在特定日期产生的现金流量，仅为对本金和以未偿付本金金额为基础的利息的支付。</w:t>
      </w:r>
    </w:p>
    <w:p>
      <w:pPr>
        <w:spacing w:line="240" w:lineRule="auto" w:before="5"/>
        <w:rPr>
          <w:rFonts w:ascii="宋体" w:hAnsi="宋体" w:cs="宋体" w:eastAsia="宋体" w:hint="default"/>
          <w:sz w:val="22"/>
          <w:szCs w:val="22"/>
        </w:rPr>
      </w:pPr>
    </w:p>
    <w:p>
      <w:pPr>
        <w:pStyle w:val="BodyText"/>
        <w:spacing w:line="319" w:lineRule="auto"/>
        <w:ind w:left="513" w:right="1130"/>
        <w:jc w:val="both"/>
      </w:pPr>
      <w:r>
        <w:rPr>
          <w:spacing w:val="-2"/>
        </w:rPr>
        <w:t>初始确认后，对于该类金融资产以公允价值进行后续计量。采用实际利率法计算的利息、减值损失或利得及汇兑损益计</w:t>
      </w:r>
      <w:r>
        <w:rPr>
          <w:spacing w:val="-67"/>
        </w:rPr>
        <w:t> </w:t>
      </w:r>
      <w:r>
        <w:rPr>
          <w:spacing w:val="-67"/>
        </w:rPr>
      </w:r>
      <w:r>
        <w:rPr>
          <w:spacing w:val="-2"/>
        </w:rPr>
        <w:t>入当期损益，其他利得或损失计入其他综合收益。终止确认时，将之前计入其他综合收益的累计利得或损失从其他综合</w:t>
      </w:r>
      <w:r>
        <w:rPr>
          <w:spacing w:val="-67"/>
        </w:rPr>
        <w:t> </w:t>
      </w:r>
      <w:r>
        <w:rPr>
          <w:spacing w:val="-67"/>
        </w:rPr>
      </w:r>
      <w:r>
        <w:rPr/>
        <w:t>收益中转出，计入当期损益。</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Heading5"/>
        <w:spacing w:line="240" w:lineRule="auto" w:before="44"/>
        <w:ind w:right="0"/>
        <w:jc w:val="both"/>
        <w:rPr>
          <w:b w:val="0"/>
          <w:bCs w:val="0"/>
        </w:rPr>
      </w:pPr>
      <w:r>
        <w:rPr/>
        <w:t>以公允价值计量且其变动计入当期损益的金融资产</w:t>
      </w:r>
      <w:r>
        <w:rPr>
          <w:b w:val="0"/>
          <w:bCs w:val="0"/>
        </w:rPr>
      </w:r>
    </w:p>
    <w:p>
      <w:pPr>
        <w:spacing w:line="240" w:lineRule="auto" w:before="5"/>
        <w:rPr>
          <w:rFonts w:ascii="宋体" w:hAnsi="宋体" w:cs="宋体" w:eastAsia="宋体" w:hint="default"/>
          <w:b/>
          <w:bCs/>
          <w:sz w:val="22"/>
          <w:szCs w:val="22"/>
        </w:rPr>
      </w:pPr>
    </w:p>
    <w:p>
      <w:pPr>
        <w:pStyle w:val="BodyText"/>
        <w:spacing w:line="316" w:lineRule="auto"/>
        <w:ind w:left="513" w:right="1051"/>
        <w:jc w:val="both"/>
      </w:pPr>
      <w:r>
        <w:rPr>
          <w:spacing w:val="-2"/>
        </w:rPr>
        <w:t>除上述以摊余成本计量和以公允价值计量且其变动计入其他综合收益的金融资产外，本集团将其余所有的金融资产分类</w:t>
      </w:r>
      <w:r>
        <w:rPr>
          <w:spacing w:val="-68"/>
        </w:rPr>
        <w:t> </w:t>
      </w:r>
      <w:r>
        <w:rPr>
          <w:spacing w:val="-68"/>
        </w:rPr>
      </w:r>
      <w:r>
        <w:rPr>
          <w:spacing w:val="-2"/>
        </w:rPr>
        <w:t>为以公允价值计量且其变动计入当期损益的金融资产。在初始确认时，为消除或显著减少会计错配，本集团将部分本应</w:t>
      </w:r>
      <w:r>
        <w:rPr>
          <w:spacing w:val="-67"/>
        </w:rPr>
        <w:t> </w:t>
      </w:r>
      <w:r>
        <w:rPr>
          <w:spacing w:val="-67"/>
        </w:rPr>
      </w:r>
      <w:r>
        <w:rPr/>
        <w:t>以摊余成本计量或以公允价值计量且其变动计入其他综合收益的金融资产不可撤销地指定为以公允价值计量且其变动</w:t>
      </w:r>
      <w:r>
        <w:rPr>
          <w:spacing w:val="-3"/>
        </w:rPr>
        <w:t> </w:t>
      </w:r>
      <w:r>
        <w:rPr>
          <w:spacing w:val="-3"/>
        </w:rPr>
      </w:r>
      <w:r>
        <w:rPr/>
        <w:t>计入当期损益的金融资产。</w:t>
      </w:r>
    </w:p>
    <w:p>
      <w:pPr>
        <w:spacing w:line="240" w:lineRule="auto" w:before="12"/>
        <w:rPr>
          <w:rFonts w:ascii="宋体" w:hAnsi="宋体" w:cs="宋体" w:eastAsia="宋体" w:hint="default"/>
          <w:sz w:val="17"/>
          <w:szCs w:val="17"/>
        </w:rPr>
      </w:pPr>
    </w:p>
    <w:p>
      <w:pPr>
        <w:pStyle w:val="BodyText"/>
        <w:spacing w:line="316" w:lineRule="auto"/>
        <w:ind w:left="513" w:right="1051"/>
        <w:jc w:val="both"/>
      </w:pPr>
      <w:r>
        <w:rPr/>
        <w:t>初始确认后，对于该类金融资产以公允价值进行后续计量，产生的利得或损失（包括利息和股利收入）计入当期损益， 除非该金融资产属于套期关系的一部分。</w:t>
      </w:r>
    </w:p>
    <w:p>
      <w:pPr>
        <w:spacing w:line="240" w:lineRule="auto" w:before="12"/>
        <w:rPr>
          <w:rFonts w:ascii="宋体" w:hAnsi="宋体" w:cs="宋体" w:eastAsia="宋体" w:hint="default"/>
          <w:sz w:val="17"/>
          <w:szCs w:val="17"/>
        </w:rPr>
      </w:pPr>
    </w:p>
    <w:p>
      <w:pPr>
        <w:pStyle w:val="BodyText"/>
        <w:spacing w:line="319" w:lineRule="auto"/>
        <w:ind w:left="513" w:right="1132"/>
        <w:jc w:val="both"/>
      </w:pPr>
      <w:r>
        <w:rPr>
          <w:spacing w:val="-2"/>
        </w:rPr>
        <w:t>管理金融资产的业务模式，是指本集团如何管理金融资产以产生现金流量。业务模式决定本集团所管理金融资产现金流</w:t>
      </w:r>
      <w:r>
        <w:rPr>
          <w:spacing w:val="-68"/>
        </w:rPr>
        <w:t> </w:t>
      </w:r>
      <w:r>
        <w:rPr>
          <w:spacing w:val="-68"/>
        </w:rPr>
      </w:r>
      <w:r>
        <w:rPr>
          <w:spacing w:val="-2"/>
        </w:rPr>
        <w:t>量的来源是收取合同现金流量、出售金融资产还是两者兼有。本集团以客观事实为依据、以关键管理人员决定的对金融</w:t>
      </w:r>
      <w:r>
        <w:rPr>
          <w:spacing w:val="-69"/>
        </w:rPr>
        <w:t> </w:t>
      </w:r>
      <w:r>
        <w:rPr>
          <w:spacing w:val="-69"/>
        </w:rPr>
      </w:r>
      <w:r>
        <w:rPr/>
        <w:t>资产进行管理的特定业务目标为基础，确定管理金融资产的业务模式。</w:t>
      </w:r>
    </w:p>
    <w:p>
      <w:pPr>
        <w:spacing w:line="240" w:lineRule="auto" w:before="11"/>
        <w:rPr>
          <w:rFonts w:ascii="宋体" w:hAnsi="宋体" w:cs="宋体" w:eastAsia="宋体" w:hint="default"/>
          <w:sz w:val="17"/>
          <w:szCs w:val="17"/>
        </w:rPr>
      </w:pPr>
    </w:p>
    <w:p>
      <w:pPr>
        <w:pStyle w:val="BodyText"/>
        <w:spacing w:line="316" w:lineRule="auto"/>
        <w:ind w:left="513" w:right="1131"/>
        <w:jc w:val="both"/>
      </w:pPr>
      <w:r>
        <w:rPr>
          <w:spacing w:val="-2"/>
        </w:rPr>
        <w:t>本集团对金融资产的合同现金流量特征进行评估，以确定相关金融资产在特定日期产生的合同现金流量是否仅为对本金</w:t>
      </w:r>
      <w:r>
        <w:rPr>
          <w:spacing w:val="-68"/>
        </w:rPr>
        <w:t> </w:t>
      </w:r>
      <w:r>
        <w:rPr>
          <w:spacing w:val="-68"/>
        </w:rPr>
      </w:r>
      <w:r>
        <w:rPr>
          <w:spacing w:val="-2"/>
        </w:rPr>
        <w:t>和以未偿付本金金额为基础的利息的支付。其中，本金是指金融资产在初始确认时的公允价值；利息包括对货币时间价</w:t>
      </w:r>
      <w:r>
        <w:rPr>
          <w:spacing w:val="-69"/>
        </w:rPr>
        <w:t> </w:t>
      </w:r>
      <w:r>
        <w:rPr>
          <w:spacing w:val="-69"/>
        </w:rPr>
      </w:r>
      <w:r>
        <w:rPr>
          <w:spacing w:val="-2"/>
        </w:rPr>
        <w:t>值、与特定时期未偿付本金金额相关的信用风险、以及其他基本借贷风险、成本和利润的对价。此外，本集团对可能导</w:t>
      </w:r>
      <w:r>
        <w:rPr>
          <w:spacing w:val="-71"/>
        </w:rPr>
        <w:t> </w:t>
      </w:r>
      <w:r>
        <w:rPr>
          <w:spacing w:val="-71"/>
        </w:rPr>
      </w:r>
      <w:r>
        <w:rPr>
          <w:spacing w:val="-2"/>
        </w:rPr>
        <w:t>致金融资产合同现金流量的时间分布或金额发生变更的合同条款进行评估，以确定其是否满足上述合同现金流量特征的</w:t>
      </w:r>
      <w:r>
        <w:rPr>
          <w:spacing w:val="-68"/>
        </w:rPr>
        <w:t> </w:t>
      </w:r>
      <w:r>
        <w:rPr>
          <w:spacing w:val="-68"/>
        </w:rPr>
      </w:r>
      <w:r>
        <w:rPr/>
        <w:t>要求。</w:t>
      </w:r>
    </w:p>
    <w:p>
      <w:pPr>
        <w:spacing w:line="240" w:lineRule="auto" w:before="12"/>
        <w:rPr>
          <w:rFonts w:ascii="宋体" w:hAnsi="宋体" w:cs="宋体" w:eastAsia="宋体" w:hint="default"/>
          <w:sz w:val="17"/>
          <w:szCs w:val="17"/>
        </w:rPr>
      </w:pPr>
    </w:p>
    <w:p>
      <w:pPr>
        <w:pStyle w:val="BodyText"/>
        <w:spacing w:line="316" w:lineRule="auto"/>
        <w:ind w:left="513" w:right="1132"/>
        <w:jc w:val="both"/>
      </w:pPr>
      <w:r>
        <w:rPr>
          <w:spacing w:val="-2"/>
        </w:rPr>
        <w:t>仅在本集团改变管理金融资产的业务模式时，所有受影响的相关金融资产在业务模式发生变更后的首个报告期间的第一</w:t>
      </w:r>
      <w:r>
        <w:rPr>
          <w:spacing w:val="-68"/>
        </w:rPr>
        <w:t> </w:t>
      </w:r>
      <w:r>
        <w:rPr>
          <w:spacing w:val="-68"/>
        </w:rPr>
      </w:r>
      <w:r>
        <w:rPr/>
        <w:t>天进行重分类，否则金融资产在初始确认后不得进行重分类。</w:t>
      </w:r>
    </w:p>
    <w:p>
      <w:pPr>
        <w:spacing w:line="240" w:lineRule="auto" w:before="13"/>
        <w:rPr>
          <w:rFonts w:ascii="宋体" w:hAnsi="宋体" w:cs="宋体" w:eastAsia="宋体" w:hint="default"/>
          <w:sz w:val="17"/>
          <w:szCs w:val="17"/>
        </w:rPr>
      </w:pPr>
    </w:p>
    <w:p>
      <w:pPr>
        <w:pStyle w:val="BodyText"/>
        <w:spacing w:line="316" w:lineRule="auto"/>
        <w:ind w:left="513" w:right="1132"/>
        <w:jc w:val="both"/>
      </w:pPr>
      <w:r>
        <w:rPr>
          <w:spacing w:val="-2"/>
        </w:rPr>
        <w:t>金融资产在初始确认时以公允价值计量。对于以公允价值计量且其变动计入当期损益的金融资产，相关交易费用直接计</w:t>
      </w:r>
      <w:r>
        <w:rPr>
          <w:spacing w:val="-68"/>
        </w:rPr>
        <w:t> </w:t>
      </w:r>
      <w:r>
        <w:rPr>
          <w:spacing w:val="-68"/>
        </w:rPr>
      </w:r>
      <w:r>
        <w:rPr>
          <w:spacing w:val="-2"/>
        </w:rPr>
        <w:t>入当期损益；对于其他类别的金融资产，相关交易费用计入初始确认金额。因销售产品或提供劳务而产生的、未包含或</w:t>
      </w:r>
      <w:r>
        <w:rPr>
          <w:spacing w:val="-72"/>
        </w:rPr>
        <w:t> </w:t>
      </w:r>
      <w:r>
        <w:rPr>
          <w:spacing w:val="-72"/>
        </w:rPr>
      </w:r>
      <w:r>
        <w:rPr/>
        <w:t>不考虑重大融资成分的应收账款，本集团按照预期有权收取的对价金额作为初始确认金额。</w:t>
      </w:r>
    </w:p>
    <w:p>
      <w:pPr>
        <w:spacing w:line="240" w:lineRule="auto" w:before="12"/>
        <w:rPr>
          <w:rFonts w:ascii="宋体" w:hAnsi="宋体" w:cs="宋体" w:eastAsia="宋体" w:hint="default"/>
          <w:sz w:val="17"/>
          <w:szCs w:val="17"/>
        </w:rPr>
      </w:pPr>
    </w:p>
    <w:p>
      <w:pPr>
        <w:pStyle w:val="BodyText"/>
        <w:spacing w:line="240" w:lineRule="auto"/>
        <w:ind w:left="513" w:right="0"/>
        <w:jc w:val="both"/>
      </w:pPr>
      <w:r>
        <w:rPr/>
        <w:t>（</w:t>
      </w:r>
      <w:r>
        <w:rPr>
          <w:rFonts w:ascii="Times New Roman" w:hAnsi="Times New Roman" w:cs="Times New Roman" w:eastAsia="Times New Roman" w:hint="default"/>
        </w:rPr>
        <w:t>3</w:t>
      </w:r>
      <w:r>
        <w:rPr/>
        <w:t>）金融负债分类和计量</w:t>
      </w:r>
    </w:p>
    <w:p>
      <w:pPr>
        <w:spacing w:line="240" w:lineRule="auto" w:before="4"/>
        <w:rPr>
          <w:rFonts w:ascii="宋体" w:hAnsi="宋体" w:cs="宋体" w:eastAsia="宋体" w:hint="default"/>
          <w:sz w:val="21"/>
          <w:szCs w:val="21"/>
        </w:rPr>
      </w:pPr>
    </w:p>
    <w:p>
      <w:pPr>
        <w:pStyle w:val="BodyText"/>
        <w:spacing w:line="316" w:lineRule="auto"/>
        <w:ind w:left="513" w:right="1132"/>
        <w:jc w:val="both"/>
      </w:pPr>
      <w:r>
        <w:rPr>
          <w:spacing w:val="-2"/>
        </w:rPr>
        <w:t>本集团的金融负债于初始确认时分类为：以公允价值计量且其变动计入当期损益的金融负债、以摊余成本计量的金融负</w:t>
      </w:r>
      <w:r>
        <w:rPr>
          <w:spacing w:val="-68"/>
        </w:rPr>
        <w:t> </w:t>
      </w:r>
      <w:r>
        <w:rPr>
          <w:spacing w:val="-68"/>
        </w:rPr>
      </w:r>
      <w:r>
        <w:rPr/>
        <w:t>债。对于未划分为以公允价值计量且其变动计入当期损益的金融负债的，相关交易费用计入其初始确认金额。</w:t>
      </w:r>
    </w:p>
    <w:p>
      <w:pPr>
        <w:spacing w:line="240" w:lineRule="auto" w:before="12"/>
        <w:rPr>
          <w:rFonts w:ascii="宋体" w:hAnsi="宋体" w:cs="宋体" w:eastAsia="宋体" w:hint="default"/>
          <w:sz w:val="17"/>
          <w:szCs w:val="17"/>
        </w:rPr>
      </w:pPr>
    </w:p>
    <w:p>
      <w:pPr>
        <w:pStyle w:val="Heading5"/>
        <w:spacing w:line="240" w:lineRule="auto"/>
        <w:ind w:right="0"/>
        <w:jc w:val="both"/>
        <w:rPr>
          <w:b w:val="0"/>
          <w:bCs w:val="0"/>
        </w:rPr>
      </w:pPr>
      <w:r>
        <w:rPr/>
        <w:t>以公允价值计量且其变动计入当期损益的金融负债</w:t>
      </w:r>
      <w:r>
        <w:rPr>
          <w:b w:val="0"/>
          <w:bCs w:val="0"/>
        </w:rPr>
      </w:r>
    </w:p>
    <w:p>
      <w:pPr>
        <w:spacing w:line="240" w:lineRule="auto" w:before="5"/>
        <w:rPr>
          <w:rFonts w:ascii="宋体" w:hAnsi="宋体" w:cs="宋体" w:eastAsia="宋体" w:hint="default"/>
          <w:b/>
          <w:bCs/>
          <w:sz w:val="22"/>
          <w:szCs w:val="22"/>
        </w:rPr>
      </w:pPr>
    </w:p>
    <w:p>
      <w:pPr>
        <w:pStyle w:val="BodyText"/>
        <w:spacing w:line="319" w:lineRule="auto"/>
        <w:ind w:left="513" w:right="1130"/>
        <w:jc w:val="both"/>
      </w:pPr>
      <w:r>
        <w:rPr>
          <w:spacing w:val="-2"/>
        </w:rPr>
        <w:t>以公允价值计量且其变动计入当期损益的金融负债，包括交易性金融负债和初始确认时指定为以公允价值计量且其变动</w:t>
      </w:r>
      <w:r>
        <w:rPr>
          <w:spacing w:val="-68"/>
        </w:rPr>
        <w:t> </w:t>
      </w:r>
      <w:r>
        <w:rPr>
          <w:spacing w:val="-68"/>
        </w:rPr>
      </w:r>
      <w:r>
        <w:rPr>
          <w:spacing w:val="-2"/>
        </w:rPr>
        <w:t>计入当期损益的金融负债。对于此类金融负债，按照公允价值进行后续计量，公允价值变动形成的利得或损失以及与该</w:t>
      </w:r>
      <w:r>
        <w:rPr>
          <w:spacing w:val="-67"/>
        </w:rPr>
        <w:t> </w:t>
      </w:r>
      <w:r>
        <w:rPr>
          <w:spacing w:val="-67"/>
        </w:rPr>
      </w:r>
      <w:r>
        <w:rPr/>
        <w:t>等金融负债相关的股利和利息支出计入当期损益。</w:t>
      </w:r>
    </w:p>
    <w:p>
      <w:pPr>
        <w:spacing w:line="240" w:lineRule="auto" w:before="11"/>
        <w:rPr>
          <w:rFonts w:ascii="宋体" w:hAnsi="宋体" w:cs="宋体" w:eastAsia="宋体" w:hint="default"/>
          <w:sz w:val="17"/>
          <w:szCs w:val="17"/>
        </w:rPr>
      </w:pPr>
    </w:p>
    <w:p>
      <w:pPr>
        <w:spacing w:line="537" w:lineRule="auto" w:before="0"/>
        <w:ind w:left="513" w:right="1753" w:firstLine="0"/>
        <w:jc w:val="left"/>
        <w:rPr>
          <w:rFonts w:ascii="宋体" w:hAnsi="宋体" w:cs="宋体" w:eastAsia="宋体" w:hint="default"/>
          <w:sz w:val="18"/>
          <w:szCs w:val="18"/>
        </w:rPr>
      </w:pPr>
      <w:r>
        <w:rPr>
          <w:rFonts w:ascii="宋体" w:hAnsi="宋体" w:cs="宋体" w:eastAsia="宋体" w:hint="default"/>
          <w:b/>
          <w:bCs/>
          <w:sz w:val="18"/>
          <w:szCs w:val="18"/>
        </w:rPr>
        <w:t>以摊余成本计量的金融负债</w:t>
      </w:r>
      <w:r>
        <w:rPr>
          <w:rFonts w:ascii="宋体" w:hAnsi="宋体" w:cs="宋体" w:eastAsia="宋体" w:hint="default"/>
          <w:b/>
          <w:bCs/>
          <w:w w:val="99"/>
          <w:sz w:val="18"/>
          <w:szCs w:val="18"/>
        </w:rPr>
        <w:t> </w:t>
      </w:r>
      <w:r>
        <w:rPr>
          <w:rFonts w:ascii="宋体" w:hAnsi="宋体" w:cs="宋体" w:eastAsia="宋体" w:hint="default"/>
          <w:sz w:val="18"/>
          <w:szCs w:val="18"/>
        </w:rPr>
        <w:t>其他金融负债采用实际利率法，按摊余成本进行后续计量，终止确认或摊销产生的利得或损失计入当期损益。 </w:t>
      </w:r>
      <w:r>
        <w:rPr>
          <w:rFonts w:ascii="宋体" w:hAnsi="宋体" w:cs="宋体" w:eastAsia="宋体" w:hint="default"/>
          <w:b/>
          <w:bCs/>
          <w:sz w:val="18"/>
          <w:szCs w:val="18"/>
        </w:rPr>
        <w:t>金融负债与权益工具的区分</w:t>
      </w:r>
      <w:r>
        <w:rPr>
          <w:rFonts w:ascii="宋体" w:hAnsi="宋体" w:cs="宋体" w:eastAsia="宋体" w:hint="default"/>
          <w:sz w:val="18"/>
          <w:szCs w:val="18"/>
        </w:rPr>
      </w:r>
    </w:p>
    <w:p>
      <w:pPr>
        <w:pStyle w:val="BodyText"/>
        <w:spacing w:line="240" w:lineRule="auto" w:before="69"/>
        <w:ind w:left="513" w:right="0"/>
        <w:jc w:val="both"/>
      </w:pPr>
      <w:r>
        <w:rPr/>
        <w:t>金融负债，是指符合下列条件之一的负债：</w:t>
      </w:r>
    </w:p>
    <w:p>
      <w:pPr>
        <w:spacing w:line="240" w:lineRule="auto" w:before="5"/>
        <w:rPr>
          <w:rFonts w:ascii="宋体" w:hAnsi="宋体" w:cs="宋体" w:eastAsia="宋体" w:hint="default"/>
          <w:sz w:val="22"/>
          <w:szCs w:val="22"/>
        </w:rPr>
      </w:pPr>
    </w:p>
    <w:p>
      <w:pPr>
        <w:pStyle w:val="BodyText"/>
        <w:spacing w:line="240" w:lineRule="auto"/>
        <w:ind w:left="513" w:right="0"/>
        <w:jc w:val="both"/>
      </w:pPr>
      <w:r>
        <w:rPr/>
        <w:t>①向其他方交付现金或其他金融资产的合同义务。</w:t>
      </w:r>
    </w:p>
    <w:p>
      <w:pPr>
        <w:spacing w:line="240" w:lineRule="auto" w:before="5"/>
        <w:rPr>
          <w:rFonts w:ascii="宋体" w:hAnsi="宋体" w:cs="宋体" w:eastAsia="宋体" w:hint="default"/>
          <w:sz w:val="22"/>
          <w:szCs w:val="22"/>
        </w:rPr>
      </w:pPr>
    </w:p>
    <w:p>
      <w:pPr>
        <w:pStyle w:val="BodyText"/>
        <w:spacing w:line="240" w:lineRule="auto"/>
        <w:ind w:left="513" w:right="0"/>
        <w:jc w:val="both"/>
      </w:pPr>
      <w:r>
        <w:rPr/>
        <w:t>②在潜在不利条件下，与其他方交换金融资产或金融负债的合同义务。</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513" w:right="0"/>
        <w:jc w:val="both"/>
      </w:pPr>
      <w:r>
        <w:rPr/>
        <w:t>③将来须用或可用企业自身权益工具进行结算的非衍生工具合同，且企业根据该合同将交付可变数量的自身权益工具。</w:t>
      </w:r>
    </w:p>
    <w:p>
      <w:pPr>
        <w:spacing w:line="240" w:lineRule="auto" w:before="5"/>
        <w:rPr>
          <w:rFonts w:ascii="宋体" w:hAnsi="宋体" w:cs="宋体" w:eastAsia="宋体" w:hint="default"/>
          <w:sz w:val="22"/>
          <w:szCs w:val="22"/>
        </w:rPr>
      </w:pPr>
    </w:p>
    <w:p>
      <w:pPr>
        <w:pStyle w:val="BodyText"/>
        <w:spacing w:line="316" w:lineRule="auto"/>
        <w:ind w:left="513" w:right="1132"/>
        <w:jc w:val="both"/>
      </w:pPr>
      <w:r>
        <w:rPr>
          <w:spacing w:val="-2"/>
        </w:rPr>
        <w:t>④将来须用或可用企业自身权益工具进行结算的衍生工具合同，但以固定数量的自身权益工具交换固定金额的现金或其</w:t>
      </w:r>
      <w:r>
        <w:rPr>
          <w:spacing w:val="-68"/>
        </w:rPr>
        <w:t> </w:t>
      </w:r>
      <w:r>
        <w:rPr>
          <w:spacing w:val="-68"/>
        </w:rPr>
      </w:r>
      <w:r>
        <w:rPr/>
        <w:t>他金融资产的衍生工具合同除外。</w:t>
      </w:r>
    </w:p>
    <w:p>
      <w:pPr>
        <w:spacing w:line="240" w:lineRule="auto" w:before="12"/>
        <w:rPr>
          <w:rFonts w:ascii="宋体" w:hAnsi="宋体" w:cs="宋体" w:eastAsia="宋体" w:hint="default"/>
          <w:sz w:val="17"/>
          <w:szCs w:val="17"/>
        </w:rPr>
      </w:pPr>
    </w:p>
    <w:p>
      <w:pPr>
        <w:pStyle w:val="BodyText"/>
        <w:spacing w:line="537" w:lineRule="auto"/>
        <w:ind w:left="513" w:right="1132"/>
        <w:jc w:val="both"/>
      </w:pPr>
      <w:r>
        <w:rPr/>
        <w:t>权益工具，是指能证明拥有某个企业在扣除所有负债后的资产中剩余权益的合同。 如果本集团不能无条件地避免以交付现金或其他金融资产来履行一项合同义务，则该合同义务符合金融负债的定义。</w:t>
      </w:r>
    </w:p>
    <w:p>
      <w:pPr>
        <w:pStyle w:val="BodyText"/>
        <w:spacing w:line="316" w:lineRule="auto" w:before="69"/>
        <w:ind w:left="513" w:right="1132"/>
        <w:jc w:val="both"/>
      </w:pPr>
      <w:r>
        <w:rPr>
          <w:spacing w:val="-2"/>
        </w:rPr>
        <w:t>如果一项金融工具须用或可用本集团自身权益工具进行结算，需要考虑用于结算该工具的本集团自身权益工具，是作为</w:t>
      </w:r>
      <w:r>
        <w:rPr>
          <w:spacing w:val="-68"/>
        </w:rPr>
        <w:t> </w:t>
      </w:r>
      <w:r>
        <w:rPr>
          <w:spacing w:val="-68"/>
        </w:rPr>
      </w:r>
      <w:r>
        <w:rPr>
          <w:spacing w:val="-2"/>
        </w:rPr>
        <w:t>现金或其他金融资产的替代品，还是为了使该工具持有方享有在发行方扣除所有负债后的资产中的剩余权益。如果是前</w:t>
      </w:r>
      <w:r>
        <w:rPr>
          <w:spacing w:val="-69"/>
        </w:rPr>
        <w:t> </w:t>
      </w:r>
      <w:r>
        <w:rPr>
          <w:spacing w:val="-69"/>
        </w:rPr>
      </w:r>
      <w:r>
        <w:rPr/>
        <w:t>者，该工具是本集团的金融负债；如果是后者，该工具是本集团的权益工具。</w:t>
      </w:r>
    </w:p>
    <w:p>
      <w:pPr>
        <w:spacing w:line="240" w:lineRule="auto" w:before="13"/>
        <w:rPr>
          <w:rFonts w:ascii="宋体" w:hAnsi="宋体" w:cs="宋体" w:eastAsia="宋体" w:hint="default"/>
          <w:sz w:val="17"/>
          <w:szCs w:val="17"/>
        </w:rPr>
      </w:pPr>
    </w:p>
    <w:p>
      <w:pPr>
        <w:pStyle w:val="BodyText"/>
        <w:spacing w:line="240" w:lineRule="auto"/>
        <w:ind w:left="513" w:right="0"/>
        <w:jc w:val="both"/>
      </w:pPr>
      <w:r>
        <w:rPr/>
        <w:t>（</w:t>
      </w:r>
      <w:r>
        <w:rPr>
          <w:rFonts w:ascii="Times New Roman" w:hAnsi="Times New Roman" w:cs="Times New Roman" w:eastAsia="Times New Roman" w:hint="default"/>
        </w:rPr>
        <w:t>4</w:t>
      </w:r>
      <w:r>
        <w:rPr/>
        <w:t>）衍生金融工具及嵌入衍生工具</w:t>
      </w:r>
    </w:p>
    <w:p>
      <w:pPr>
        <w:spacing w:line="240" w:lineRule="auto" w:before="4"/>
        <w:rPr>
          <w:rFonts w:ascii="宋体" w:hAnsi="宋体" w:cs="宋体" w:eastAsia="宋体" w:hint="default"/>
          <w:sz w:val="21"/>
          <w:szCs w:val="21"/>
        </w:rPr>
      </w:pPr>
    </w:p>
    <w:p>
      <w:pPr>
        <w:pStyle w:val="BodyText"/>
        <w:spacing w:line="316" w:lineRule="auto"/>
        <w:ind w:left="513" w:right="1131"/>
        <w:jc w:val="both"/>
      </w:pPr>
      <w:r>
        <w:rPr>
          <w:spacing w:val="-2"/>
        </w:rPr>
        <w:t>衍生金融工具初始以衍生交易合同签订当日的公允价值进行计量，并以其公允价值进行后续计量。公允价值为正数的衍</w:t>
      </w:r>
      <w:r>
        <w:rPr>
          <w:spacing w:val="-68"/>
        </w:rPr>
        <w:t> </w:t>
      </w:r>
      <w:r>
        <w:rPr>
          <w:spacing w:val="-68"/>
        </w:rPr>
      </w:r>
      <w:r>
        <w:rPr>
          <w:spacing w:val="-2"/>
        </w:rPr>
        <w:t>生金融工具确认为一项资产，公允价值为负数的确认为一项负债。因公允价值变动而产生的任何不符合套期会计规定的</w:t>
      </w:r>
      <w:r>
        <w:rPr>
          <w:spacing w:val="-68"/>
        </w:rPr>
        <w:t> </w:t>
      </w:r>
      <w:r>
        <w:rPr>
          <w:spacing w:val="-68"/>
        </w:rPr>
      </w:r>
      <w:r>
        <w:rPr/>
        <w:t>利得或损失，直接计入当期损益。</w:t>
      </w:r>
    </w:p>
    <w:p>
      <w:pPr>
        <w:spacing w:line="240" w:lineRule="auto" w:before="12"/>
        <w:rPr>
          <w:rFonts w:ascii="宋体" w:hAnsi="宋体" w:cs="宋体" w:eastAsia="宋体" w:hint="default"/>
          <w:sz w:val="17"/>
          <w:szCs w:val="17"/>
        </w:rPr>
      </w:pPr>
    </w:p>
    <w:p>
      <w:pPr>
        <w:pStyle w:val="BodyText"/>
        <w:spacing w:line="319" w:lineRule="auto"/>
        <w:ind w:left="513" w:right="1130"/>
        <w:jc w:val="both"/>
      </w:pPr>
      <w:r>
        <w:rPr>
          <w:spacing w:val="-2"/>
        </w:rPr>
        <w:t>对包含嵌入衍生工具的混合工具，如主合同为金融资产的，混合工具作为一个整体适用金融资产分类的相关规定。如主</w:t>
      </w:r>
      <w:r>
        <w:rPr>
          <w:spacing w:val="-68"/>
        </w:rPr>
        <w:t> </w:t>
      </w:r>
      <w:r>
        <w:rPr>
          <w:spacing w:val="-68"/>
        </w:rPr>
      </w:r>
      <w:r>
        <w:rPr>
          <w:spacing w:val="-2"/>
        </w:rPr>
        <w:t>合同并非金融资产，且该混合工具不是以公允价值计量且其变动计入当期损益进行会计处理，嵌入衍生工具与该主合同</w:t>
      </w:r>
      <w:r>
        <w:rPr>
          <w:spacing w:val="-68"/>
        </w:rPr>
        <w:t> </w:t>
      </w:r>
      <w:r>
        <w:rPr>
          <w:spacing w:val="-68"/>
        </w:rPr>
      </w:r>
      <w:r>
        <w:rPr>
          <w:spacing w:val="-2"/>
        </w:rPr>
        <w:t>在经济特征及风险方面不存在紧密关系，且与嵌入衍生工具条件相同，单独存在的工具符合衍生工具定义的，嵌入衍生</w:t>
      </w:r>
      <w:r>
        <w:rPr>
          <w:spacing w:val="-67"/>
        </w:rPr>
        <w:t> </w:t>
      </w:r>
      <w:r>
        <w:rPr>
          <w:spacing w:val="-67"/>
        </w:rPr>
      </w:r>
      <w:r>
        <w:rPr>
          <w:spacing w:val="-2"/>
        </w:rPr>
        <w:t>工具从混合工具中分拆，作为单独的衍生金融工具处理。如果无法在取得时或后续的资产负债表日对嵌入衍生工具进行</w:t>
      </w:r>
      <w:r>
        <w:rPr>
          <w:spacing w:val="-68"/>
        </w:rPr>
        <w:t> </w:t>
      </w:r>
      <w:r>
        <w:rPr>
          <w:spacing w:val="-68"/>
        </w:rPr>
      </w:r>
      <w:r>
        <w:rPr/>
        <w:t>单独计量，则将混合工具整体指定为以公允价值计量且其变动计入当期损益的金融资产或金融负债。</w:t>
      </w:r>
    </w:p>
    <w:p>
      <w:pPr>
        <w:spacing w:line="240" w:lineRule="auto" w:before="11"/>
        <w:rPr>
          <w:rFonts w:ascii="宋体" w:hAnsi="宋体" w:cs="宋体" w:eastAsia="宋体" w:hint="default"/>
          <w:sz w:val="17"/>
          <w:szCs w:val="17"/>
        </w:rPr>
      </w:pPr>
    </w:p>
    <w:p>
      <w:pPr>
        <w:pStyle w:val="BodyText"/>
        <w:spacing w:line="508" w:lineRule="auto"/>
        <w:ind w:left="513" w:right="1132"/>
        <w:jc w:val="both"/>
      </w:pPr>
      <w:r>
        <w:rPr/>
        <w:t>（</w:t>
      </w:r>
      <w:r>
        <w:rPr>
          <w:rFonts w:ascii="Times New Roman" w:hAnsi="Times New Roman" w:cs="Times New Roman" w:eastAsia="Times New Roman" w:hint="default"/>
        </w:rPr>
        <w:t>5</w:t>
      </w:r>
      <w:r>
        <w:rPr/>
        <w:t>）金融工具的公允价值 公允价值是指市场参与者在计量日发生的有序交易中，出售一项资产所能收到或者转移一项负债所需支付的价格。</w:t>
      </w:r>
    </w:p>
    <w:p>
      <w:pPr>
        <w:pStyle w:val="BodyText"/>
        <w:spacing w:line="316" w:lineRule="auto" w:before="91"/>
        <w:ind w:left="513" w:right="1130"/>
        <w:jc w:val="both"/>
      </w:pPr>
      <w:r>
        <w:rPr>
          <w:spacing w:val="-2"/>
        </w:rPr>
        <w:t>本集团以公允价值计量相关资产或负债，假定出售资产或者转移负债的有序交易在相关资产或负债的主要市场进行；不</w:t>
      </w:r>
      <w:r>
        <w:rPr>
          <w:spacing w:val="-68"/>
        </w:rPr>
        <w:t> </w:t>
      </w:r>
      <w:r>
        <w:rPr>
          <w:spacing w:val="-68"/>
        </w:rPr>
      </w:r>
      <w:r>
        <w:rPr>
          <w:spacing w:val="-2"/>
        </w:rPr>
        <w:t>存在主要市场的，本集团假定该交易在相关资产或负债的最有利市场进行。主要市场（或最有利市场）是本集团在计量</w:t>
      </w:r>
      <w:r>
        <w:rPr>
          <w:spacing w:val="-70"/>
        </w:rPr>
        <w:t> </w:t>
      </w:r>
      <w:r>
        <w:rPr>
          <w:spacing w:val="-70"/>
        </w:rPr>
      </w:r>
      <w:r>
        <w:rPr/>
        <w:t>日能够进入的交易市场。本集团采用市场参与者在对该资产或负债定价时为实现其经济利益最大化所使用的假设。</w:t>
      </w:r>
    </w:p>
    <w:p>
      <w:pPr>
        <w:spacing w:line="240" w:lineRule="auto" w:before="12"/>
        <w:rPr>
          <w:rFonts w:ascii="宋体" w:hAnsi="宋体" w:cs="宋体" w:eastAsia="宋体" w:hint="default"/>
          <w:sz w:val="17"/>
          <w:szCs w:val="17"/>
        </w:rPr>
      </w:pPr>
    </w:p>
    <w:p>
      <w:pPr>
        <w:pStyle w:val="BodyText"/>
        <w:spacing w:line="316" w:lineRule="auto"/>
        <w:ind w:left="513" w:right="1130"/>
        <w:jc w:val="both"/>
      </w:pPr>
      <w:r>
        <w:rPr>
          <w:spacing w:val="-2"/>
        </w:rPr>
        <w:t>存在活跃市场的金融资产或金融负债，本集团采用活跃市场中的报价确定其公允价值。金融工具不存在活跃市场的，本</w:t>
      </w:r>
      <w:r>
        <w:rPr>
          <w:spacing w:val="-67"/>
        </w:rPr>
        <w:t> </w:t>
      </w:r>
      <w:r>
        <w:rPr>
          <w:spacing w:val="-67"/>
        </w:rPr>
      </w:r>
      <w:r>
        <w:rPr/>
        <w:t>集团采用估值技术确定其公允价值。</w:t>
      </w:r>
    </w:p>
    <w:p>
      <w:pPr>
        <w:spacing w:line="240" w:lineRule="auto" w:before="13"/>
        <w:rPr>
          <w:rFonts w:ascii="宋体" w:hAnsi="宋体" w:cs="宋体" w:eastAsia="宋体" w:hint="default"/>
          <w:sz w:val="17"/>
          <w:szCs w:val="17"/>
        </w:rPr>
      </w:pPr>
    </w:p>
    <w:p>
      <w:pPr>
        <w:pStyle w:val="BodyText"/>
        <w:spacing w:line="316" w:lineRule="auto"/>
        <w:ind w:left="513" w:right="1132"/>
        <w:jc w:val="both"/>
      </w:pPr>
      <w:r>
        <w:rPr>
          <w:spacing w:val="-2"/>
        </w:rPr>
        <w:t>本集团采用在当前情况下适用并且有足够可利用数据和其他信息支持的估值技术，优先使用相关可观察输入值，只有在</w:t>
      </w:r>
      <w:r>
        <w:rPr>
          <w:spacing w:val="-68"/>
        </w:rPr>
        <w:t> </w:t>
      </w:r>
      <w:r>
        <w:rPr>
          <w:spacing w:val="-68"/>
        </w:rPr>
      </w:r>
      <w:r>
        <w:rPr/>
        <w:t>可观察输入值无法取得或取得不切实可行的情况下，才使用不可观察输入值。</w:t>
      </w:r>
    </w:p>
    <w:p>
      <w:pPr>
        <w:spacing w:line="240" w:lineRule="auto" w:before="12"/>
        <w:rPr>
          <w:rFonts w:ascii="宋体" w:hAnsi="宋体" w:cs="宋体" w:eastAsia="宋体" w:hint="default"/>
          <w:sz w:val="17"/>
          <w:szCs w:val="17"/>
        </w:rPr>
      </w:pPr>
    </w:p>
    <w:p>
      <w:pPr>
        <w:pStyle w:val="BodyText"/>
        <w:spacing w:line="508" w:lineRule="auto"/>
        <w:ind w:left="513" w:right="4093"/>
        <w:jc w:val="left"/>
      </w:pPr>
      <w:r>
        <w:rPr/>
        <w:t>（</w:t>
      </w:r>
      <w:r>
        <w:rPr>
          <w:rFonts w:ascii="Times New Roman" w:hAnsi="Times New Roman" w:cs="Times New Roman" w:eastAsia="Times New Roman" w:hint="default"/>
        </w:rPr>
        <w:t>6</w:t>
      </w:r>
      <w:r>
        <w:rPr/>
        <w:t>）金融资产减值 本集团以预期信用损失为基础，对下列项目进行减值会计处理并确认损失准备：</w:t>
      </w:r>
    </w:p>
    <w:p>
      <w:pPr>
        <w:pStyle w:val="BodyText"/>
        <w:spacing w:line="240" w:lineRule="auto" w:before="91"/>
        <w:ind w:left="273" w:right="1122"/>
        <w:jc w:val="left"/>
      </w:pPr>
      <w:r>
        <w:rPr/>
        <w:t>·  以摊余成本计量的金融资产；</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以公允价值计量且其变动计入其他综合收益的应收款项和债权投资；</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租赁应收款；</w:t>
      </w:r>
    </w:p>
    <w:p>
      <w:pPr>
        <w:spacing w:line="240" w:lineRule="auto" w:before="5"/>
        <w:rPr>
          <w:rFonts w:ascii="宋体" w:hAnsi="宋体" w:cs="宋体" w:eastAsia="宋体" w:hint="default"/>
          <w:sz w:val="22"/>
          <w:szCs w:val="22"/>
        </w:rPr>
      </w:pPr>
    </w:p>
    <w:p>
      <w:pPr>
        <w:pStyle w:val="BodyText"/>
        <w:spacing w:line="240" w:lineRule="auto"/>
        <w:ind w:left="470" w:right="971"/>
        <w:jc w:val="center"/>
      </w:pPr>
      <w:r>
        <w:rPr/>
        <w:t>·</w:t>
      </w:r>
      <w:r>
        <w:rPr>
          <w:spacing w:val="64"/>
        </w:rPr>
        <w:t> </w:t>
      </w:r>
      <w:r>
        <w:rPr/>
        <w:t>财务担保合同（以公允价值计量且其变动计入当期损益、金融资产转移不符合终止确认条件或继续涉入被转移金</w:t>
      </w:r>
    </w:p>
    <w:p>
      <w:pPr>
        <w:spacing w:after="0" w:line="240" w:lineRule="auto"/>
        <w:jc w:val="cente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537" w:lineRule="auto" w:before="44"/>
        <w:ind w:left="513" w:right="7933" w:firstLine="480"/>
        <w:jc w:val="left"/>
        <w:rPr>
          <w:rFonts w:ascii="宋体" w:hAnsi="宋体" w:cs="宋体" w:eastAsia="宋体" w:hint="default"/>
          <w:sz w:val="18"/>
          <w:szCs w:val="18"/>
        </w:rPr>
      </w:pPr>
      <w:r>
        <w:rPr>
          <w:rFonts w:ascii="宋体" w:hAnsi="宋体" w:cs="宋体" w:eastAsia="宋体" w:hint="default"/>
          <w:sz w:val="18"/>
          <w:szCs w:val="18"/>
        </w:rPr>
        <w:t>融资产所形成的除外）。 </w:t>
      </w:r>
      <w:r>
        <w:rPr>
          <w:rFonts w:ascii="宋体" w:hAnsi="宋体" w:cs="宋体" w:eastAsia="宋体" w:hint="default"/>
          <w:b/>
          <w:bCs/>
          <w:sz w:val="18"/>
          <w:szCs w:val="18"/>
        </w:rPr>
        <w:t>预期信用损失的计量</w:t>
      </w:r>
      <w:r>
        <w:rPr>
          <w:rFonts w:ascii="宋体" w:hAnsi="宋体" w:cs="宋体" w:eastAsia="宋体" w:hint="default"/>
          <w:sz w:val="18"/>
          <w:szCs w:val="18"/>
        </w:rPr>
      </w:r>
    </w:p>
    <w:p>
      <w:pPr>
        <w:pStyle w:val="BodyText"/>
        <w:spacing w:line="316" w:lineRule="auto" w:before="69"/>
        <w:ind w:left="513" w:right="1130"/>
        <w:jc w:val="both"/>
      </w:pPr>
      <w:r>
        <w:rPr>
          <w:spacing w:val="-2"/>
        </w:rPr>
        <w:t>预期信用损失，是指以发生违约的风险为权重的金融工具信用损失的加权平均值。信用损失，是指本集团按照原实际利</w:t>
      </w:r>
      <w:r>
        <w:rPr>
          <w:spacing w:val="-67"/>
        </w:rPr>
        <w:t> </w:t>
      </w:r>
      <w:r>
        <w:rPr>
          <w:spacing w:val="-67"/>
        </w:rPr>
      </w:r>
      <w:r>
        <w:rPr/>
        <w:t>率折现的、根据合同应收的所有合同现金流量与预期收取的所有现金流量之间的差额，即全部现金短缺的现值。</w:t>
      </w:r>
    </w:p>
    <w:p>
      <w:pPr>
        <w:spacing w:line="240" w:lineRule="auto" w:before="12"/>
        <w:rPr>
          <w:rFonts w:ascii="宋体" w:hAnsi="宋体" w:cs="宋体" w:eastAsia="宋体" w:hint="default"/>
          <w:sz w:val="17"/>
          <w:szCs w:val="17"/>
        </w:rPr>
      </w:pPr>
    </w:p>
    <w:p>
      <w:pPr>
        <w:pStyle w:val="BodyText"/>
        <w:spacing w:line="316" w:lineRule="auto"/>
        <w:ind w:left="513" w:right="1130"/>
        <w:jc w:val="both"/>
      </w:pPr>
      <w:r>
        <w:rPr>
          <w:spacing w:val="-2"/>
        </w:rPr>
        <w:t>本公司考虑有关过去事项、当前状况以及对未来经济状况的预测等合理且有依据的信息，以发生违约的风险为权重，计</w:t>
      </w:r>
      <w:r>
        <w:rPr>
          <w:spacing w:val="-67"/>
        </w:rPr>
        <w:t> </w:t>
      </w:r>
      <w:r>
        <w:rPr>
          <w:spacing w:val="-67"/>
        </w:rPr>
      </w:r>
      <w:r>
        <w:rPr/>
        <w:t>算合同应收的现金流量与预期能收到的现金流量之间差额的现值的概率加权金额，确认预期信用损失。</w:t>
      </w:r>
    </w:p>
    <w:p>
      <w:pPr>
        <w:spacing w:line="240" w:lineRule="auto" w:before="12"/>
        <w:rPr>
          <w:rFonts w:ascii="宋体" w:hAnsi="宋体" w:cs="宋体" w:eastAsia="宋体" w:hint="default"/>
          <w:sz w:val="17"/>
          <w:szCs w:val="17"/>
        </w:rPr>
      </w:pPr>
    </w:p>
    <w:p>
      <w:pPr>
        <w:pStyle w:val="BodyText"/>
        <w:spacing w:line="312" w:lineRule="auto"/>
        <w:ind w:left="513" w:right="1128"/>
        <w:jc w:val="both"/>
      </w:pPr>
      <w:r>
        <w:rPr>
          <w:spacing w:val="-2"/>
        </w:rPr>
        <w:t>本集团对于处于不同阶段的金融工具的预期信用损失分别进行计量。金融工具自初始确认后信用风险未显著增加的，处</w:t>
      </w:r>
      <w:r>
        <w:rPr>
          <w:spacing w:val="-68"/>
        </w:rPr>
        <w:t> </w:t>
      </w:r>
      <w:r>
        <w:rPr>
          <w:spacing w:val="-68"/>
        </w:rPr>
      </w:r>
      <w:r>
        <w:rPr>
          <w:spacing w:val="-2"/>
        </w:rPr>
        <w:t>于第一阶段，本集团按照未来</w:t>
      </w:r>
      <w:r>
        <w:rPr>
          <w:rFonts w:ascii="Times New Roman" w:hAnsi="Times New Roman" w:cs="Times New Roman" w:eastAsia="Times New Roman" w:hint="default"/>
          <w:spacing w:val="-2"/>
        </w:rPr>
        <w:t>12</w:t>
      </w:r>
      <w:r>
        <w:rPr>
          <w:spacing w:val="-2"/>
        </w:rPr>
        <w:t>个月内的预期信用损失计量损失准备；金融工具自初始确认后信用风险已显著增加但尚</w:t>
      </w:r>
      <w:r>
        <w:rPr>
          <w:spacing w:val="-67"/>
        </w:rPr>
        <w:t> </w:t>
      </w:r>
      <w:r>
        <w:rPr>
          <w:spacing w:val="-67"/>
        </w:rPr>
      </w:r>
      <w:r>
        <w:rPr>
          <w:spacing w:val="-2"/>
        </w:rPr>
        <w:t>未发生信用减值的，处于第二阶段，本集团按照该工具整个存续期的预期信用损失计量损失准备；金融工具自初始确认</w:t>
      </w:r>
      <w:r>
        <w:rPr>
          <w:spacing w:val="-67"/>
        </w:rPr>
        <w:t> </w:t>
      </w:r>
      <w:r>
        <w:rPr>
          <w:spacing w:val="-67"/>
        </w:rPr>
      </w:r>
      <w:r>
        <w:rPr/>
        <w:t>后已经发生信用减值的，处于第三阶段，本集团按照该工具整个存续期的预期信用损失计量损失准备。</w:t>
      </w:r>
    </w:p>
    <w:p>
      <w:pPr>
        <w:spacing w:line="240" w:lineRule="auto" w:before="3"/>
        <w:rPr>
          <w:rFonts w:ascii="宋体" w:hAnsi="宋体" w:cs="宋体" w:eastAsia="宋体" w:hint="default"/>
          <w:sz w:val="18"/>
          <w:szCs w:val="18"/>
        </w:rPr>
      </w:pPr>
    </w:p>
    <w:p>
      <w:pPr>
        <w:pStyle w:val="BodyText"/>
        <w:spacing w:line="300" w:lineRule="auto"/>
        <w:ind w:left="513" w:right="1128"/>
        <w:jc w:val="both"/>
      </w:pPr>
      <w:r>
        <w:rPr/>
        <w:t>对于在资产负债表日具有较低信用风险的金融工具，本集团假设其信用风险自初始确认后并未显著增加，按照未来</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t>个月内的预期信用损失计量损失准备。</w:t>
      </w:r>
    </w:p>
    <w:p>
      <w:pPr>
        <w:spacing w:line="240" w:lineRule="auto" w:before="12"/>
        <w:rPr>
          <w:rFonts w:ascii="宋体" w:hAnsi="宋体" w:cs="宋体" w:eastAsia="宋体" w:hint="default"/>
          <w:sz w:val="18"/>
          <w:szCs w:val="18"/>
        </w:rPr>
      </w:pPr>
    </w:p>
    <w:p>
      <w:pPr>
        <w:pStyle w:val="BodyText"/>
        <w:spacing w:line="300" w:lineRule="auto"/>
        <w:ind w:left="513" w:right="1128"/>
        <w:jc w:val="both"/>
      </w:pPr>
      <w:r>
        <w:rPr>
          <w:spacing w:val="-2"/>
        </w:rPr>
        <w:t>整个存续期预期信用损失，是指因金融工具整个预计存续期内所有可能发生的违约事件而导致的预期信用损失。未来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9"/>
        </w:rPr>
        <w:t> </w:t>
      </w:r>
      <w:r>
        <w:rPr>
          <w:spacing w:val="-2"/>
        </w:rPr>
        <w:t>个月内预期信用损失，是指因资产负债表日后</w:t>
      </w:r>
      <w:r>
        <w:rPr>
          <w:rFonts w:ascii="Times New Roman" w:hAnsi="Times New Roman" w:cs="Times New Roman" w:eastAsia="Times New Roman" w:hint="default"/>
          <w:spacing w:val="-2"/>
        </w:rPr>
        <w:t>12</w:t>
      </w:r>
      <w:r>
        <w:rPr>
          <w:spacing w:val="-2"/>
        </w:rPr>
        <w:t>个月内（若金融工具的预计存续期少于</w:t>
      </w:r>
      <w:r>
        <w:rPr>
          <w:rFonts w:ascii="Times New Roman" w:hAnsi="Times New Roman" w:cs="Times New Roman" w:eastAsia="Times New Roman" w:hint="default"/>
          <w:spacing w:val="-2"/>
        </w:rPr>
        <w:t>12</w:t>
      </w:r>
      <w:r>
        <w:rPr>
          <w:spacing w:val="-2"/>
        </w:rPr>
        <w:t>个月，则为预计存续期）可能</w:t>
      </w:r>
      <w:r>
        <w:rPr>
          <w:spacing w:val="-67"/>
        </w:rPr>
        <w:t> </w:t>
      </w:r>
      <w:r>
        <w:rPr>
          <w:spacing w:val="-67"/>
        </w:rPr>
      </w:r>
      <w:r>
        <w:rPr/>
        <w:t>发生的金融工具违约事件而导致的预期信用损失，是整个存续期预期信用损失的一部分。</w:t>
      </w:r>
    </w:p>
    <w:p>
      <w:pPr>
        <w:spacing w:line="240" w:lineRule="auto" w:before="12"/>
        <w:rPr>
          <w:rFonts w:ascii="宋体" w:hAnsi="宋体" w:cs="宋体" w:eastAsia="宋体" w:hint="default"/>
          <w:sz w:val="18"/>
          <w:szCs w:val="18"/>
        </w:rPr>
      </w:pPr>
    </w:p>
    <w:p>
      <w:pPr>
        <w:pStyle w:val="BodyText"/>
        <w:spacing w:line="240" w:lineRule="auto"/>
        <w:ind w:left="513" w:right="0"/>
        <w:jc w:val="both"/>
      </w:pPr>
      <w:r>
        <w:rPr/>
        <w:t>在计量预期信用损失时，本集团需考虑的最长期限为企业面临信用风险的最长合同期限（包括考虑续约选择权）。</w:t>
      </w:r>
    </w:p>
    <w:p>
      <w:pPr>
        <w:spacing w:line="240" w:lineRule="auto" w:before="5"/>
        <w:rPr>
          <w:rFonts w:ascii="宋体" w:hAnsi="宋体" w:cs="宋体" w:eastAsia="宋体" w:hint="default"/>
          <w:sz w:val="22"/>
          <w:szCs w:val="22"/>
        </w:rPr>
      </w:pPr>
    </w:p>
    <w:p>
      <w:pPr>
        <w:pStyle w:val="BodyText"/>
        <w:spacing w:line="316" w:lineRule="auto"/>
        <w:ind w:left="513" w:right="1043"/>
        <w:jc w:val="both"/>
      </w:pPr>
      <w:r>
        <w:rPr>
          <w:spacing w:val="-2"/>
        </w:rPr>
        <w:t>本集团对于处于第一阶段和第二阶段、以及较低信用风险的金融工具，按照其未扣除减值准备的账面余额和实际利率计</w:t>
      </w:r>
      <w:r>
        <w:rPr>
          <w:spacing w:val="-68"/>
        </w:rPr>
        <w:t> </w:t>
      </w:r>
      <w:r>
        <w:rPr>
          <w:spacing w:val="-68"/>
        </w:rPr>
      </w:r>
      <w:r>
        <w:rPr>
          <w:spacing w:val="-4"/>
        </w:rPr>
        <w:t>算利息收入。对于处于第三阶段的金融工具，按照其账面余额减已计提减值准备后的摊余成本和实际利率计算利息收入。</w:t>
      </w:r>
    </w:p>
    <w:p>
      <w:pPr>
        <w:spacing w:line="240" w:lineRule="auto" w:before="12"/>
        <w:rPr>
          <w:rFonts w:ascii="宋体" w:hAnsi="宋体" w:cs="宋体" w:eastAsia="宋体" w:hint="default"/>
          <w:sz w:val="17"/>
          <w:szCs w:val="17"/>
        </w:rPr>
      </w:pPr>
    </w:p>
    <w:p>
      <w:pPr>
        <w:pStyle w:val="Heading5"/>
        <w:spacing w:line="240" w:lineRule="auto"/>
        <w:ind w:right="0"/>
        <w:jc w:val="both"/>
        <w:rPr>
          <w:b w:val="0"/>
          <w:bCs w:val="0"/>
        </w:rPr>
      </w:pPr>
      <w:r>
        <w:rPr/>
        <w:t>信用风险显著增加的评估</w:t>
      </w:r>
      <w:r>
        <w:rPr>
          <w:b w:val="0"/>
          <w:bCs w:val="0"/>
        </w:rPr>
      </w:r>
    </w:p>
    <w:p>
      <w:pPr>
        <w:spacing w:line="240" w:lineRule="auto" w:before="5"/>
        <w:rPr>
          <w:rFonts w:ascii="宋体" w:hAnsi="宋体" w:cs="宋体" w:eastAsia="宋体" w:hint="default"/>
          <w:b/>
          <w:bCs/>
          <w:sz w:val="22"/>
          <w:szCs w:val="22"/>
        </w:rPr>
      </w:pPr>
    </w:p>
    <w:p>
      <w:pPr>
        <w:pStyle w:val="BodyText"/>
        <w:spacing w:line="316" w:lineRule="auto"/>
        <w:ind w:left="513" w:right="1132"/>
        <w:jc w:val="both"/>
      </w:pPr>
      <w:r>
        <w:rPr>
          <w:spacing w:val="-2"/>
        </w:rPr>
        <w:t>本集团通过比较金融工具在资产负债表日发生违约的风险与在初始确认日发生违约的风险，以确定金融工具预计存续期</w:t>
      </w:r>
      <w:r>
        <w:rPr>
          <w:spacing w:val="-68"/>
        </w:rPr>
        <w:t> </w:t>
      </w:r>
      <w:r>
        <w:rPr>
          <w:spacing w:val="-68"/>
        </w:rPr>
      </w:r>
      <w:r>
        <w:rPr/>
        <w:t>内发生违约风险的相对变化，以评估金融工具的信用风险自初始确认后是否已显著增加。</w:t>
      </w:r>
    </w:p>
    <w:p>
      <w:pPr>
        <w:spacing w:line="240" w:lineRule="auto" w:before="12"/>
        <w:rPr>
          <w:rFonts w:ascii="宋体" w:hAnsi="宋体" w:cs="宋体" w:eastAsia="宋体" w:hint="default"/>
          <w:sz w:val="17"/>
          <w:szCs w:val="17"/>
        </w:rPr>
      </w:pPr>
    </w:p>
    <w:p>
      <w:pPr>
        <w:pStyle w:val="BodyText"/>
        <w:spacing w:line="316" w:lineRule="auto"/>
        <w:ind w:left="513" w:right="1132"/>
        <w:jc w:val="both"/>
      </w:pPr>
      <w:r>
        <w:rPr>
          <w:spacing w:val="-2"/>
        </w:rPr>
        <w:t>在确定信用风险自初始确认后是否显著增加时，本集团考虑无须付出不必要的额外成本或努力即可获得的合理且有依据</w:t>
      </w:r>
      <w:r>
        <w:rPr>
          <w:spacing w:val="-68"/>
        </w:rPr>
        <w:t> </w:t>
      </w:r>
      <w:r>
        <w:rPr>
          <w:spacing w:val="-68"/>
        </w:rPr>
      </w:r>
      <w:r>
        <w:rPr/>
        <w:t>的信息，包括前瞻性信息。本集团考虑的信息包括：</w:t>
      </w:r>
    </w:p>
    <w:p>
      <w:pPr>
        <w:spacing w:line="240" w:lineRule="auto" w:before="13"/>
        <w:rPr>
          <w:rFonts w:ascii="宋体" w:hAnsi="宋体" w:cs="宋体" w:eastAsia="宋体" w:hint="default"/>
          <w:sz w:val="17"/>
          <w:szCs w:val="17"/>
        </w:rPr>
      </w:pPr>
    </w:p>
    <w:p>
      <w:pPr>
        <w:pStyle w:val="BodyText"/>
        <w:spacing w:line="240" w:lineRule="auto"/>
        <w:ind w:left="273" w:right="1122"/>
        <w:jc w:val="left"/>
      </w:pPr>
      <w:r>
        <w:rPr/>
        <w:t>·  债务人未能按合同到期日支付本金和利息的情况；</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已发生的或预期的金融工具的外部或内部信用评级（如有）的严重恶化；</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已发生的或预期的债务人经营成果的严重恶化；</w:t>
      </w:r>
    </w:p>
    <w:p>
      <w:pPr>
        <w:spacing w:line="240" w:lineRule="auto" w:before="5"/>
        <w:rPr>
          <w:rFonts w:ascii="宋体" w:hAnsi="宋体" w:cs="宋体" w:eastAsia="宋体" w:hint="default"/>
          <w:sz w:val="22"/>
          <w:szCs w:val="22"/>
        </w:rPr>
      </w:pPr>
    </w:p>
    <w:p>
      <w:pPr>
        <w:pStyle w:val="BodyText"/>
        <w:spacing w:line="240" w:lineRule="auto"/>
        <w:ind w:left="633" w:right="1122"/>
        <w:jc w:val="left"/>
      </w:pPr>
      <w:r>
        <w:rPr/>
        <w:t>·  现存的或预期的技术、市场、经济或法律环境变化，并将对债务人对本集团的还款能力产生重大不利影响。</w:t>
      </w:r>
    </w:p>
    <w:p>
      <w:pPr>
        <w:spacing w:line="240" w:lineRule="auto" w:before="5"/>
        <w:rPr>
          <w:rFonts w:ascii="宋体" w:hAnsi="宋体" w:cs="宋体" w:eastAsia="宋体" w:hint="default"/>
          <w:sz w:val="22"/>
          <w:szCs w:val="22"/>
        </w:rPr>
      </w:pPr>
    </w:p>
    <w:p>
      <w:pPr>
        <w:pStyle w:val="BodyText"/>
        <w:spacing w:line="316" w:lineRule="auto"/>
        <w:ind w:left="513" w:right="1043"/>
        <w:jc w:val="both"/>
      </w:pPr>
      <w:r>
        <w:rPr>
          <w:spacing w:val="-2"/>
        </w:rPr>
        <w:t>根据金融工具的性质，本集团以单项金融工具或金融工具组合为基础评估信用风险是否显著增加。以金融工具组合为基</w:t>
      </w:r>
      <w:r>
        <w:rPr>
          <w:spacing w:val="-68"/>
        </w:rPr>
        <w:t> </w:t>
      </w:r>
      <w:r>
        <w:rPr>
          <w:spacing w:val="-68"/>
        </w:rPr>
      </w:r>
      <w:r>
        <w:rPr/>
        <w:t>础进行评估时，本集团可基于共同信用风险特征对金融工具进行分类，例如逾期信息和信用风险评级。</w:t>
      </w:r>
    </w:p>
    <w:p>
      <w:pPr>
        <w:spacing w:line="240" w:lineRule="auto" w:before="12"/>
        <w:rPr>
          <w:rFonts w:ascii="宋体" w:hAnsi="宋体" w:cs="宋体" w:eastAsia="宋体" w:hint="default"/>
          <w:sz w:val="17"/>
          <w:szCs w:val="17"/>
        </w:rPr>
      </w:pPr>
    </w:p>
    <w:p>
      <w:pPr>
        <w:pStyle w:val="BodyText"/>
        <w:spacing w:line="319" w:lineRule="auto"/>
        <w:ind w:left="513" w:right="1043"/>
        <w:jc w:val="both"/>
      </w:pPr>
      <w:r>
        <w:rPr>
          <w:spacing w:val="-4"/>
        </w:rPr>
        <w:t>如果很可能无法从借款人全额收到其对公司的欠款（该评估不考虑公司采取例如变现抵押品（如果持有）等追索行动），</w:t>
      </w:r>
      <w:r>
        <w:rPr>
          <w:spacing w:val="-54"/>
        </w:rPr>
        <w:t> </w:t>
      </w:r>
      <w:r>
        <w:rPr>
          <w:spacing w:val="-54"/>
        </w:rPr>
      </w:r>
      <w:r>
        <w:rPr/>
        <w:t>公司确定金融工具的信用风险已显著增加。</w:t>
      </w:r>
    </w:p>
    <w:p>
      <w:pPr>
        <w:spacing w:line="240" w:lineRule="auto" w:before="11"/>
        <w:rPr>
          <w:rFonts w:ascii="宋体" w:hAnsi="宋体" w:cs="宋体" w:eastAsia="宋体" w:hint="default"/>
          <w:sz w:val="17"/>
          <w:szCs w:val="17"/>
        </w:rPr>
      </w:pPr>
    </w:p>
    <w:p>
      <w:pPr>
        <w:pStyle w:val="Heading5"/>
        <w:spacing w:line="240" w:lineRule="auto"/>
        <w:ind w:right="0"/>
        <w:jc w:val="both"/>
        <w:rPr>
          <w:b w:val="0"/>
          <w:bCs w:val="0"/>
        </w:rPr>
      </w:pPr>
      <w:r>
        <w:rPr/>
        <w:t>已发生信用减值的金融资产</w:t>
      </w:r>
      <w:r>
        <w:rPr>
          <w:b w:val="0"/>
          <w:bCs w:val="0"/>
        </w:rPr>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left="513" w:right="1125"/>
        <w:jc w:val="both"/>
      </w:pPr>
      <w:r>
        <w:rPr/>
        <w:t>本集团在资产负债表日评估以摊余成本计量的金融资产和以公允价值计量且其变动计入其他综合收益的债权投资是否</w:t>
      </w:r>
      <w:r>
        <w:rPr>
          <w:spacing w:val="-3"/>
        </w:rPr>
        <w:t> </w:t>
      </w:r>
      <w:r>
        <w:rPr>
          <w:spacing w:val="-3"/>
        </w:rPr>
      </w:r>
      <w:r>
        <w:rPr>
          <w:spacing w:val="-2"/>
        </w:rPr>
        <w:t>已发生信用减值。当对金融资产预期未来现金流量具有不利影响的一项或多项事件发生时，该金融资产成为已发生信用</w:t>
      </w:r>
      <w:r>
        <w:rPr>
          <w:spacing w:val="-68"/>
        </w:rPr>
        <w:t> </w:t>
      </w:r>
      <w:r>
        <w:rPr>
          <w:spacing w:val="-68"/>
        </w:rPr>
      </w:r>
      <w:r>
        <w:rPr/>
        <w:t>减值的金融资产。金融资产已发生信用减值的证据包括下列可观察信息：</w:t>
      </w:r>
    </w:p>
    <w:p>
      <w:pPr>
        <w:spacing w:line="240" w:lineRule="auto" w:before="12"/>
        <w:rPr>
          <w:rFonts w:ascii="宋体" w:hAnsi="宋体" w:cs="宋体" w:eastAsia="宋体" w:hint="default"/>
          <w:sz w:val="17"/>
          <w:szCs w:val="17"/>
        </w:rPr>
      </w:pPr>
    </w:p>
    <w:p>
      <w:pPr>
        <w:pStyle w:val="BodyText"/>
        <w:spacing w:line="240" w:lineRule="auto"/>
        <w:ind w:left="273" w:right="1122"/>
        <w:jc w:val="left"/>
      </w:pPr>
      <w:r>
        <w:rPr/>
        <w:t>·  发行方或债务人发生重大财务困难；</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债务人违反合同，如偿付利息或本金违约或逾期等；</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本集团出于与债务人财务困难有关的经济或合同考虑，给予债务人在任何其他情况下都不会做出的让步；</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w:t>
      </w:r>
      <w:r>
        <w:rPr>
          <w:spacing w:val="89"/>
        </w:rPr>
        <w:t> </w:t>
      </w:r>
      <w:r>
        <w:rPr/>
        <w:t>债务人很可能破产或进行其他财务重组；</w:t>
      </w:r>
    </w:p>
    <w:p>
      <w:pPr>
        <w:spacing w:line="240" w:lineRule="auto" w:before="5"/>
        <w:rPr>
          <w:rFonts w:ascii="宋体" w:hAnsi="宋体" w:cs="宋体" w:eastAsia="宋体" w:hint="default"/>
          <w:sz w:val="22"/>
          <w:szCs w:val="22"/>
        </w:rPr>
      </w:pPr>
    </w:p>
    <w:p>
      <w:pPr>
        <w:spacing w:line="537" w:lineRule="auto" w:before="0"/>
        <w:ind w:left="152" w:right="4093" w:firstLine="120"/>
        <w:jc w:val="left"/>
        <w:rPr>
          <w:rFonts w:ascii="宋体" w:hAnsi="宋体" w:cs="宋体" w:eastAsia="宋体" w:hint="default"/>
          <w:sz w:val="18"/>
          <w:szCs w:val="18"/>
        </w:rPr>
      </w:pPr>
      <w:r>
        <w:rPr>
          <w:rFonts w:ascii="宋体" w:hAnsi="宋体" w:cs="宋体" w:eastAsia="宋体" w:hint="default"/>
          <w:sz w:val="18"/>
          <w:szCs w:val="18"/>
        </w:rPr>
        <w:t>· 发行方或债务人财务困难导致该金融资产的活跃市场消失。 </w:t>
      </w:r>
      <w:r>
        <w:rPr>
          <w:rFonts w:ascii="宋体" w:hAnsi="宋体" w:cs="宋体" w:eastAsia="宋体" w:hint="default"/>
          <w:b/>
          <w:bCs/>
          <w:sz w:val="18"/>
          <w:szCs w:val="18"/>
        </w:rPr>
        <w:t>预期信用损失准备的列报</w:t>
      </w:r>
      <w:r>
        <w:rPr>
          <w:rFonts w:ascii="宋体" w:hAnsi="宋体" w:cs="宋体" w:eastAsia="宋体" w:hint="default"/>
          <w:sz w:val="18"/>
          <w:szCs w:val="18"/>
        </w:rPr>
      </w:r>
    </w:p>
    <w:p>
      <w:pPr>
        <w:pStyle w:val="BodyText"/>
        <w:spacing w:line="316" w:lineRule="auto" w:before="69"/>
        <w:ind w:right="1130"/>
        <w:jc w:val="both"/>
      </w:pPr>
      <w:r>
        <w:rPr>
          <w:spacing w:val="-2"/>
        </w:rPr>
        <w:t>为反映金融工具的信用风险自初始确认后的变化，本集团在每个资产负债表日重新计量预期信用损失，由此形成的损失准备</w:t>
      </w:r>
      <w:r>
        <w:rPr>
          <w:spacing w:val="-64"/>
        </w:rPr>
        <w:t> </w:t>
      </w:r>
      <w:r>
        <w:rPr>
          <w:spacing w:val="-64"/>
        </w:rPr>
      </w:r>
      <w:r>
        <w:rPr>
          <w:spacing w:val="-2"/>
        </w:rPr>
        <w:t>的增加或转回金额，应当作为减值损失或利得计入当期损益。对于以摊余成本计量的金融资产，损失准备抵减该金融资产在</w:t>
      </w:r>
      <w:r>
        <w:rPr>
          <w:spacing w:val="-63"/>
        </w:rPr>
        <w:t> </w:t>
      </w:r>
      <w:r>
        <w:rPr>
          <w:spacing w:val="-63"/>
        </w:rPr>
      </w:r>
      <w:r>
        <w:rPr>
          <w:spacing w:val="-2"/>
        </w:rPr>
        <w:t>资产负债表中列示的账面价值；对于以公允价值计量且其变动计入其他综合收益的债权投资，本集团在其他综合收益中确认</w:t>
      </w:r>
      <w:r>
        <w:rPr>
          <w:spacing w:val="-64"/>
        </w:rPr>
        <w:t> </w:t>
      </w:r>
      <w:r>
        <w:rPr>
          <w:spacing w:val="-64"/>
        </w:rPr>
      </w:r>
      <w:r>
        <w:rPr/>
        <w:t>其损失准备，不抵减该金融资产的账面价值。</w:t>
      </w:r>
    </w:p>
    <w:p>
      <w:pPr>
        <w:spacing w:line="240" w:lineRule="auto" w:before="12"/>
        <w:rPr>
          <w:rFonts w:ascii="宋体" w:hAnsi="宋体" w:cs="宋体" w:eastAsia="宋体" w:hint="default"/>
          <w:sz w:val="17"/>
          <w:szCs w:val="17"/>
        </w:rPr>
      </w:pPr>
    </w:p>
    <w:p>
      <w:pPr>
        <w:pStyle w:val="Heading5"/>
        <w:spacing w:line="240" w:lineRule="auto"/>
        <w:ind w:left="152" w:right="0"/>
        <w:jc w:val="both"/>
        <w:rPr>
          <w:b w:val="0"/>
          <w:bCs w:val="0"/>
        </w:rPr>
      </w:pPr>
      <w:r>
        <w:rPr/>
        <w:t>核销</w:t>
      </w:r>
      <w:r>
        <w:rPr>
          <w:b w:val="0"/>
          <w:bCs w:val="0"/>
        </w:rPr>
      </w:r>
    </w:p>
    <w:p>
      <w:pPr>
        <w:spacing w:line="240" w:lineRule="auto" w:before="5"/>
        <w:rPr>
          <w:rFonts w:ascii="宋体" w:hAnsi="宋体" w:cs="宋体" w:eastAsia="宋体" w:hint="default"/>
          <w:b/>
          <w:bCs/>
          <w:sz w:val="22"/>
          <w:szCs w:val="22"/>
        </w:rPr>
      </w:pPr>
    </w:p>
    <w:p>
      <w:pPr>
        <w:pStyle w:val="BodyText"/>
        <w:spacing w:line="319" w:lineRule="auto"/>
        <w:ind w:right="1132"/>
        <w:jc w:val="both"/>
      </w:pPr>
      <w:r>
        <w:rPr>
          <w:spacing w:val="-2"/>
        </w:rPr>
        <w:t>如果本集团不再合理预期金融资产合同现金流量能够全部或部分收回，则直接减记该金融资产的账面余额。这种减记构成相</w:t>
      </w:r>
      <w:r>
        <w:rPr>
          <w:spacing w:val="-64"/>
        </w:rPr>
        <w:t> </w:t>
      </w:r>
      <w:r>
        <w:rPr>
          <w:spacing w:val="-64"/>
        </w:rPr>
      </w:r>
      <w:r>
        <w:rPr>
          <w:spacing w:val="-2"/>
        </w:rPr>
        <w:t>关金融资产的终止确认。这种情况通常发生在本集团确定债务人没有资产或收入来源可产生足够的现金流量以偿还将被减记</w:t>
      </w:r>
      <w:r>
        <w:rPr>
          <w:spacing w:val="-64"/>
        </w:rPr>
        <w:t> </w:t>
      </w:r>
      <w:r>
        <w:rPr>
          <w:spacing w:val="-64"/>
        </w:rPr>
      </w:r>
      <w:r>
        <w:rPr/>
        <w:t>的金额。但是，按照本集团收回到期款项的程序，被减记的金融资产仍可能受到执行活动的影响。</w:t>
      </w:r>
    </w:p>
    <w:p>
      <w:pPr>
        <w:spacing w:line="240" w:lineRule="auto" w:before="11"/>
        <w:rPr>
          <w:rFonts w:ascii="宋体" w:hAnsi="宋体" w:cs="宋体" w:eastAsia="宋体" w:hint="default"/>
          <w:sz w:val="17"/>
          <w:szCs w:val="17"/>
        </w:rPr>
      </w:pPr>
    </w:p>
    <w:p>
      <w:pPr>
        <w:pStyle w:val="BodyText"/>
        <w:spacing w:line="240" w:lineRule="auto"/>
        <w:ind w:right="0"/>
        <w:jc w:val="both"/>
      </w:pPr>
      <w:r>
        <w:rPr/>
        <w:t>已减记的金融资产以后又收回的，作为减值损失的转回计入收回当期的损益。</w:t>
      </w:r>
    </w:p>
    <w:p>
      <w:pPr>
        <w:spacing w:line="240" w:lineRule="auto" w:before="5"/>
        <w:rPr>
          <w:rFonts w:ascii="宋体" w:hAnsi="宋体" w:cs="宋体" w:eastAsia="宋体" w:hint="default"/>
          <w:sz w:val="22"/>
          <w:szCs w:val="22"/>
        </w:rPr>
      </w:pPr>
    </w:p>
    <w:p>
      <w:pPr>
        <w:pStyle w:val="BodyText"/>
        <w:spacing w:line="508" w:lineRule="auto"/>
        <w:ind w:right="3554"/>
        <w:jc w:val="left"/>
      </w:pPr>
      <w:r>
        <w:rPr/>
        <w:t>（</w:t>
      </w:r>
      <w:r>
        <w:rPr>
          <w:rFonts w:ascii="Times New Roman" w:hAnsi="Times New Roman" w:cs="Times New Roman" w:eastAsia="Times New Roman" w:hint="default"/>
        </w:rPr>
        <w:t>7</w:t>
      </w:r>
      <w:r>
        <w:rPr/>
        <w:t>）金融资产转移 金融资产转移，是指将金融资产让与或交付给该金融资产发行方以外的另一方（转入方）。</w:t>
      </w:r>
    </w:p>
    <w:p>
      <w:pPr>
        <w:pStyle w:val="BodyText"/>
        <w:spacing w:line="316" w:lineRule="auto" w:before="91"/>
        <w:ind w:right="1044"/>
        <w:jc w:val="both"/>
      </w:pPr>
      <w:r>
        <w:rPr>
          <w:spacing w:val="-2"/>
        </w:rPr>
        <w:t>本集团已将金融资产所有权上几乎所有的风险和报酬转移给转入方的，终止确认该金融资产；保留了金融资产所有权上几乎</w:t>
      </w:r>
      <w:r>
        <w:rPr>
          <w:spacing w:val="-63"/>
        </w:rPr>
        <w:t> </w:t>
      </w:r>
      <w:r>
        <w:rPr>
          <w:spacing w:val="-63"/>
        </w:rPr>
      </w:r>
      <w:r>
        <w:rPr/>
        <w:t>所有的风险和报酬的，不终止确认该金融资产。</w:t>
      </w:r>
    </w:p>
    <w:p>
      <w:pPr>
        <w:spacing w:line="240" w:lineRule="auto" w:before="13"/>
        <w:rPr>
          <w:rFonts w:ascii="宋体" w:hAnsi="宋体" w:cs="宋体" w:eastAsia="宋体" w:hint="default"/>
          <w:sz w:val="17"/>
          <w:szCs w:val="17"/>
        </w:rPr>
      </w:pPr>
    </w:p>
    <w:p>
      <w:pPr>
        <w:pStyle w:val="BodyText"/>
        <w:spacing w:line="316" w:lineRule="auto"/>
        <w:ind w:right="0"/>
        <w:jc w:val="left"/>
      </w:pPr>
      <w:r>
        <w:rPr>
          <w:spacing w:val="-4"/>
        </w:rPr>
        <w:t>本集团既没有转移也没有保留金融资产所有权上几乎所有的风险和报酬的，分别下列情况处理：放弃了对该金融资产控制的，</w:t>
      </w:r>
      <w:r>
        <w:rPr>
          <w:spacing w:val="-44"/>
        </w:rPr>
        <w:t> </w:t>
      </w:r>
      <w:r>
        <w:rPr>
          <w:spacing w:val="-44"/>
        </w:rPr>
      </w:r>
      <w:r>
        <w:rPr>
          <w:spacing w:val="-2"/>
        </w:rPr>
        <w:t>终止确认该金融资产并确认产生的资产和负债；未放弃对该金融资产控制的，按照其继续涉入所转移金融资产的程度确认有</w:t>
      </w:r>
      <w:r>
        <w:rPr>
          <w:spacing w:val="-64"/>
        </w:rPr>
        <w:t> </w:t>
      </w:r>
      <w:r>
        <w:rPr>
          <w:spacing w:val="-64"/>
        </w:rPr>
      </w:r>
      <w:r>
        <w:rPr/>
        <w:t>关金融资产，并相应确认有关负债。</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8</w:t>
      </w:r>
      <w:r>
        <w:rPr/>
        <w:t>）金融资产和金融负债的抵销</w:t>
      </w:r>
    </w:p>
    <w:p>
      <w:pPr>
        <w:spacing w:line="240" w:lineRule="auto" w:before="4"/>
        <w:rPr>
          <w:rFonts w:ascii="宋体" w:hAnsi="宋体" w:cs="宋体" w:eastAsia="宋体" w:hint="default"/>
          <w:sz w:val="21"/>
          <w:szCs w:val="21"/>
        </w:rPr>
      </w:pPr>
    </w:p>
    <w:p>
      <w:pPr>
        <w:pStyle w:val="BodyText"/>
        <w:spacing w:line="316" w:lineRule="auto"/>
        <w:ind w:right="1132"/>
        <w:jc w:val="both"/>
      </w:pPr>
      <w:r>
        <w:rPr>
          <w:spacing w:val="-2"/>
        </w:rPr>
        <w:t>当本集团具有抵销已确认金融资产和金融负债的法定权利，且目前可执行该种法定权利，同时本集团计划以净额结算或同时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t>对于应收票据无论是否存在重大融资成分，本集团始终按照相当于整个存续期内预期信用损失的金额计量其损失准备。</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22"/>
        <w:jc w:val="left"/>
      </w:pPr>
      <w:r>
        <w:rPr>
          <w:spacing w:val="-2"/>
        </w:rPr>
        <w:t>当单项金融资产无法以合理成本评估预期信用损失的信息时，本集团依据信用风险特征对应收票据和应收账款划分组合，在</w:t>
      </w:r>
      <w:r>
        <w:rPr>
          <w:spacing w:val="-64"/>
        </w:rPr>
        <w:t> </w:t>
      </w:r>
      <w:r>
        <w:rPr>
          <w:spacing w:val="-64"/>
        </w:rPr>
      </w:r>
      <w:r>
        <w:rPr/>
        <w:t>组合基础上计算预期信用损失，确定组合的依据如下：</w:t>
      </w:r>
    </w:p>
    <w:p>
      <w:pPr>
        <w:spacing w:line="240" w:lineRule="auto" w:before="12"/>
        <w:rPr>
          <w:rFonts w:ascii="宋体" w:hAnsi="宋体" w:cs="宋体" w:eastAsia="宋体" w:hint="default"/>
          <w:sz w:val="17"/>
          <w:szCs w:val="17"/>
        </w:rPr>
      </w:pPr>
    </w:p>
    <w:p>
      <w:pPr>
        <w:pStyle w:val="BodyText"/>
        <w:spacing w:line="240" w:lineRule="auto"/>
        <w:ind w:right="1122"/>
        <w:jc w:val="left"/>
      </w:pPr>
      <w:r>
        <w:rPr/>
        <w:t>应收票据</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应收票据组合</w:t>
      </w:r>
      <w:r>
        <w:rPr>
          <w:rFonts w:ascii="Times New Roman" w:hAnsi="Times New Roman" w:cs="Times New Roman" w:eastAsia="Times New Roman" w:hint="default"/>
        </w:rPr>
        <w:t>1</w:t>
      </w:r>
      <w:r>
        <w:rPr/>
        <w:t>：银行承兑汇票</w:t>
      </w:r>
    </w:p>
    <w:p>
      <w:pPr>
        <w:spacing w:line="240" w:lineRule="auto" w:before="4"/>
        <w:rPr>
          <w:rFonts w:ascii="宋体" w:hAnsi="宋体" w:cs="宋体" w:eastAsia="宋体" w:hint="default"/>
          <w:sz w:val="21"/>
          <w:szCs w:val="21"/>
        </w:rPr>
      </w:pPr>
    </w:p>
    <w:p>
      <w:pPr>
        <w:pStyle w:val="BodyText"/>
        <w:spacing w:line="240" w:lineRule="auto"/>
        <w:ind w:left="273" w:right="1122"/>
        <w:jc w:val="left"/>
      </w:pPr>
      <w:r>
        <w:rPr/>
        <w:t>·  应收票据组合</w:t>
      </w:r>
      <w:r>
        <w:rPr>
          <w:rFonts w:ascii="Times New Roman" w:hAnsi="Times New Roman" w:cs="Times New Roman" w:eastAsia="Times New Roman" w:hint="default"/>
        </w:rPr>
        <w:t>2</w:t>
      </w:r>
      <w:r>
        <w:rPr/>
        <w:t>：商业承兑汇票</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对于划分为组合的应收票据，本集团参考历史信用损失经验，结合当前状况以及对未来经济状况的预测，通过违约风险敞口</w:t>
      </w:r>
      <w:r>
        <w:rPr>
          <w:spacing w:val="-63"/>
        </w:rPr>
        <w:t> </w:t>
      </w:r>
      <w:r>
        <w:rPr>
          <w:spacing w:val="-63"/>
        </w:rPr>
      </w:r>
      <w:r>
        <w:rPr/>
        <w:t>和整个存续期预期信用损失率，计算预期信用损失。</w:t>
      </w:r>
    </w:p>
    <w:p>
      <w:pPr>
        <w:spacing w:line="240" w:lineRule="auto" w:before="11"/>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对于应收账款无论是否存在重大融资成分，本集团始终按照相当于整个存续期内预期信用损失的金额计量其损失准备。</w:t>
      </w:r>
    </w:p>
    <w:p>
      <w:pPr>
        <w:spacing w:line="240" w:lineRule="auto" w:before="5"/>
        <w:rPr>
          <w:rFonts w:ascii="宋体" w:hAnsi="宋体" w:cs="宋体" w:eastAsia="宋体" w:hint="default"/>
          <w:sz w:val="22"/>
          <w:szCs w:val="22"/>
        </w:rPr>
      </w:pPr>
    </w:p>
    <w:p>
      <w:pPr>
        <w:pStyle w:val="BodyText"/>
        <w:spacing w:line="316" w:lineRule="auto"/>
        <w:ind w:right="1122"/>
        <w:jc w:val="left"/>
      </w:pPr>
      <w:r>
        <w:rPr>
          <w:spacing w:val="-2"/>
        </w:rPr>
        <w:t>当单项金融资产无法以合理成本评估预期信用损失的信息时，本集团依据信用风险特征对应收票据和应收账款划分组合，在</w:t>
      </w:r>
      <w:r>
        <w:rPr>
          <w:spacing w:val="-64"/>
        </w:rPr>
        <w:t> </w:t>
      </w:r>
      <w:r>
        <w:rPr>
          <w:spacing w:val="-64"/>
        </w:rPr>
      </w:r>
      <w:r>
        <w:rPr/>
        <w:t>组合基础上计算预期信用损失，确定组合的依据如下：</w:t>
      </w:r>
    </w:p>
    <w:p>
      <w:pPr>
        <w:spacing w:line="240" w:lineRule="auto" w:before="12"/>
        <w:rPr>
          <w:rFonts w:ascii="宋体" w:hAnsi="宋体" w:cs="宋体" w:eastAsia="宋体" w:hint="default"/>
          <w:sz w:val="17"/>
          <w:szCs w:val="17"/>
        </w:rPr>
      </w:pPr>
    </w:p>
    <w:p>
      <w:pPr>
        <w:pStyle w:val="BodyText"/>
        <w:spacing w:line="240" w:lineRule="auto"/>
        <w:ind w:right="1122"/>
        <w:jc w:val="left"/>
      </w:pPr>
      <w:r>
        <w:rPr/>
        <w:t>应收账款</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应收账款组合</w:t>
      </w:r>
      <w:r>
        <w:rPr>
          <w:rFonts w:ascii="Times New Roman" w:hAnsi="Times New Roman" w:cs="Times New Roman" w:eastAsia="Times New Roman" w:hint="default"/>
        </w:rPr>
        <w:t>1</w:t>
      </w:r>
      <w:r>
        <w:rPr/>
        <w:t>：软件与信息技术服务业务客户</w:t>
      </w:r>
    </w:p>
    <w:p>
      <w:pPr>
        <w:spacing w:line="240" w:lineRule="auto" w:before="4"/>
        <w:rPr>
          <w:rFonts w:ascii="宋体" w:hAnsi="宋体" w:cs="宋体" w:eastAsia="宋体" w:hint="default"/>
          <w:sz w:val="21"/>
          <w:szCs w:val="21"/>
        </w:rPr>
      </w:pPr>
    </w:p>
    <w:p>
      <w:pPr>
        <w:pStyle w:val="BodyText"/>
        <w:spacing w:line="240" w:lineRule="auto"/>
        <w:ind w:left="213" w:right="1122"/>
        <w:jc w:val="left"/>
      </w:pPr>
      <w:r>
        <w:rPr/>
        <w:t>·  应收账款组合</w:t>
      </w:r>
      <w:r>
        <w:rPr>
          <w:rFonts w:ascii="Times New Roman" w:hAnsi="Times New Roman" w:cs="Times New Roman" w:eastAsia="Times New Roman" w:hint="default"/>
        </w:rPr>
        <w:t>2</w:t>
      </w:r>
      <w:r>
        <w:rPr/>
        <w:t>：供应链业务客户</w:t>
      </w:r>
    </w:p>
    <w:p>
      <w:pPr>
        <w:pStyle w:val="BodyText"/>
        <w:spacing w:line="510" w:lineRule="atLeast" w:before="18"/>
        <w:ind w:right="1122" w:firstLine="120"/>
        <w:jc w:val="left"/>
      </w:pPr>
      <w:r>
        <w:rPr/>
        <w:t>· 应收账款组合</w:t>
      </w:r>
      <w:r>
        <w:rPr>
          <w:rFonts w:ascii="Times New Roman" w:hAnsi="Times New Roman" w:cs="Times New Roman" w:eastAsia="Times New Roman" w:hint="default"/>
        </w:rPr>
        <w:t>3</w:t>
      </w:r>
      <w:r>
        <w:rPr/>
        <w:t>：合并范围内关联方 </w:t>
      </w:r>
      <w:r>
        <w:rPr>
          <w:spacing w:val="-2"/>
        </w:rPr>
        <w:t>对于划分为组合的应收账款，本集团参考历史信用损失经验，结合当前状况以及对未来经济状况的预测，编制应收账款账龄</w:t>
      </w:r>
    </w:p>
    <w:p>
      <w:pPr>
        <w:pStyle w:val="BodyText"/>
        <w:spacing w:line="240" w:lineRule="auto" w:before="76"/>
        <w:ind w:right="1122"/>
        <w:jc w:val="left"/>
      </w:pPr>
      <w:r>
        <w:rPr>
          <w:rFonts w:ascii="Times New Roman" w:hAnsi="Times New Roman" w:cs="Times New Roman" w:eastAsia="Times New Roman" w:hint="default"/>
        </w:rPr>
        <w:t>/</w:t>
      </w:r>
      <w:r>
        <w:rPr/>
        <w:t>逾期天数与整个存续期预期信用损失率对照表，计算预期信用损失。</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13</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338" w:lineRule="auto"/>
        <w:ind w:right="1122"/>
        <w:jc w:val="left"/>
      </w:pPr>
      <w:r>
        <w:rPr/>
        <w:t>其他应收款的预期信用损失的确定方法及会计处理方法 </w:t>
      </w:r>
      <w:r>
        <w:rPr>
          <w:spacing w:val="-2"/>
        </w:rPr>
        <w:t>本集团依据信用风险特征将其他应收款划分为若干组合，在组合基础上计算预期信用损失，本集团通过违约风险敞口和未来</w:t>
      </w:r>
      <w:r>
        <w:rPr>
          <w:spacing w:val="-64"/>
        </w:rPr>
        <w:t> </w:t>
      </w:r>
      <w:r>
        <w:rPr>
          <w:spacing w:val="-64"/>
        </w:rPr>
      </w:r>
      <w:r>
        <w:rPr>
          <w:rFonts w:ascii="Times New Roman" w:hAnsi="Times New Roman" w:cs="Times New Roman" w:eastAsia="Times New Roman" w:hint="default"/>
        </w:rPr>
        <w:t>12</w:t>
      </w:r>
      <w:r>
        <w:rPr/>
        <w:t>月内或整个存续期预期信用损失率，计算预期信用损失。确定组合的依据如下：</w:t>
      </w:r>
    </w:p>
    <w:p>
      <w:pPr>
        <w:spacing w:line="240" w:lineRule="auto" w:before="1"/>
        <w:rPr>
          <w:rFonts w:ascii="宋体" w:hAnsi="宋体" w:cs="宋体" w:eastAsia="宋体" w:hint="default"/>
          <w:sz w:val="15"/>
          <w:szCs w:val="15"/>
        </w:rPr>
      </w:pPr>
    </w:p>
    <w:p>
      <w:pPr>
        <w:pStyle w:val="BodyText"/>
        <w:spacing w:line="240" w:lineRule="auto"/>
        <w:ind w:left="213" w:right="1122"/>
        <w:jc w:val="left"/>
      </w:pPr>
      <w:r>
        <w:rPr/>
        <w:t>·  其他应收款组合</w:t>
      </w:r>
      <w:r>
        <w:rPr>
          <w:rFonts w:ascii="Times New Roman" w:hAnsi="Times New Roman" w:cs="Times New Roman" w:eastAsia="Times New Roman" w:hint="default"/>
        </w:rPr>
        <w:t>1</w:t>
      </w:r>
      <w:r>
        <w:rPr/>
        <w:t>：合并范围内关联方</w:t>
      </w:r>
    </w:p>
    <w:p>
      <w:pPr>
        <w:spacing w:line="240" w:lineRule="auto" w:before="4"/>
        <w:rPr>
          <w:rFonts w:ascii="宋体" w:hAnsi="宋体" w:cs="宋体" w:eastAsia="宋体" w:hint="default"/>
          <w:sz w:val="21"/>
          <w:szCs w:val="21"/>
        </w:rPr>
      </w:pPr>
    </w:p>
    <w:p>
      <w:pPr>
        <w:pStyle w:val="BodyText"/>
        <w:spacing w:line="240" w:lineRule="auto"/>
        <w:ind w:left="213" w:right="1122"/>
        <w:jc w:val="left"/>
      </w:pPr>
      <w:r>
        <w:rPr/>
        <w:t>·  其他应收款组合</w:t>
      </w:r>
      <w:r>
        <w:rPr>
          <w:rFonts w:ascii="Times New Roman" w:hAnsi="Times New Roman" w:cs="Times New Roman" w:eastAsia="Times New Roman" w:hint="default"/>
        </w:rPr>
        <w:t>2</w:t>
      </w:r>
      <w:r>
        <w:rPr/>
        <w:t>：其他款项</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14</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508" w:lineRule="auto"/>
        <w:ind w:right="6794"/>
        <w:jc w:val="left"/>
      </w:pPr>
      <w:r>
        <w:rPr/>
        <w:t>（</w:t>
      </w:r>
      <w:r>
        <w:rPr>
          <w:rFonts w:ascii="Times New Roman" w:hAnsi="Times New Roman" w:cs="Times New Roman" w:eastAsia="Times New Roman" w:hint="default"/>
        </w:rPr>
        <w:t>1</w:t>
      </w:r>
      <w:r>
        <w:rPr/>
        <w:t>）存货的分类 本集团存货分为原材料、库存商品、发出商品等。</w:t>
      </w:r>
    </w:p>
    <w:p>
      <w:pPr>
        <w:pStyle w:val="BodyText"/>
        <w:spacing w:line="508" w:lineRule="auto" w:before="91"/>
        <w:ind w:right="3914"/>
        <w:jc w:val="left"/>
      </w:pPr>
      <w:r>
        <w:rPr/>
        <w:t>（</w:t>
      </w:r>
      <w:r>
        <w:rPr>
          <w:rFonts w:ascii="Times New Roman" w:hAnsi="Times New Roman" w:cs="Times New Roman" w:eastAsia="Times New Roman" w:hint="default"/>
        </w:rPr>
        <w:t>2</w:t>
      </w:r>
      <w:r>
        <w:rPr/>
        <w:t>）发出存货的计价方法 本集团存货取得时按实际成本计价。原材料、库存商品等发出时采用加权平均法计价。</w:t>
      </w:r>
    </w:p>
    <w:p>
      <w:pPr>
        <w:spacing w:after="0" w:line="508"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w:t>
      </w:r>
      <w:r>
        <w:rPr>
          <w:rFonts w:ascii="Times New Roman" w:hAnsi="Times New Roman" w:cs="Times New Roman" w:eastAsia="Times New Roman" w:hint="default"/>
        </w:rPr>
        <w:t>3</w:t>
      </w:r>
      <w:r>
        <w:rPr/>
        <w:t>）存货可变现净值的确定依据及存货跌价准备的计提方法</w:t>
      </w:r>
    </w:p>
    <w:p>
      <w:pPr>
        <w:spacing w:line="240" w:lineRule="auto" w:before="4"/>
        <w:rPr>
          <w:rFonts w:ascii="宋体" w:hAnsi="宋体" w:cs="宋体" w:eastAsia="宋体" w:hint="default"/>
          <w:sz w:val="21"/>
          <w:szCs w:val="21"/>
        </w:rPr>
      </w:pPr>
    </w:p>
    <w:p>
      <w:pPr>
        <w:pStyle w:val="BodyText"/>
        <w:spacing w:line="316" w:lineRule="auto"/>
        <w:ind w:right="1130"/>
        <w:jc w:val="both"/>
      </w:pPr>
      <w:r>
        <w:rPr>
          <w:spacing w:val="-2"/>
        </w:rPr>
        <w:t>存货可变现净值是按存货的估计售价减去至完工时估计将要发生的成本、估计的销售费用以及相关税费后的金额。在确定存</w:t>
      </w:r>
      <w:r>
        <w:rPr>
          <w:spacing w:val="-64"/>
        </w:rPr>
        <w:t> </w:t>
      </w:r>
      <w:r>
        <w:rPr>
          <w:spacing w:val="-64"/>
        </w:rPr>
      </w:r>
      <w:r>
        <w:rPr/>
        <w:t>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资产负债表日，存货成本高于其可变现净值的，计提存货跌价准备。本集团通常按照单个存货项目计提存货跌价准备，资产</w:t>
      </w:r>
      <w:r>
        <w:rPr>
          <w:spacing w:val="-64"/>
        </w:rPr>
        <w:t> </w:t>
      </w:r>
      <w:r>
        <w:rPr>
          <w:spacing w:val="-64"/>
        </w:rPr>
      </w:r>
      <w:r>
        <w:rPr/>
        <w:t>负债表日，以前减记存货价值的影响因素已经消失的，存货跌价准备在原已计提的金额内转回。</w:t>
      </w:r>
    </w:p>
    <w:p>
      <w:pPr>
        <w:spacing w:line="240" w:lineRule="auto" w:before="12"/>
        <w:rPr>
          <w:rFonts w:ascii="宋体" w:hAnsi="宋体" w:cs="宋体" w:eastAsia="宋体" w:hint="default"/>
          <w:sz w:val="17"/>
          <w:szCs w:val="17"/>
        </w:rPr>
      </w:pPr>
    </w:p>
    <w:p>
      <w:pPr>
        <w:pStyle w:val="BodyText"/>
        <w:spacing w:line="508" w:lineRule="auto"/>
        <w:ind w:right="7694"/>
        <w:jc w:val="left"/>
      </w:pPr>
      <w:r>
        <w:rPr/>
        <w:t>（</w:t>
      </w:r>
      <w:r>
        <w:rPr>
          <w:rFonts w:ascii="Times New Roman" w:hAnsi="Times New Roman" w:cs="Times New Roman" w:eastAsia="Times New Roman" w:hint="default"/>
        </w:rPr>
        <w:t>4</w:t>
      </w:r>
      <w:r>
        <w:rPr/>
        <w:t>）存货的盘存制 本集团存货盘存制度采用永续盘存制。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6"/>
          <w:szCs w:val="16"/>
        </w:rPr>
      </w:pPr>
    </w:p>
    <w:p>
      <w:pPr>
        <w:pStyle w:val="Heading4"/>
        <w:spacing w:line="240" w:lineRule="auto"/>
        <w:ind w:right="0"/>
        <w:jc w:val="both"/>
        <w:rPr>
          <w:b w:val="0"/>
          <w:bCs w:val="0"/>
        </w:rPr>
      </w:pPr>
      <w:r>
        <w:rPr>
          <w:rFonts w:ascii="Times New Roman" w:hAnsi="Times New Roman" w:cs="Times New Roman" w:eastAsia="Times New Roman" w:hint="default"/>
        </w:rPr>
        <w:t>15</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31"/>
        <w:jc w:val="both"/>
      </w:pPr>
      <w:r>
        <w:rPr>
          <w:spacing w:val="-2"/>
        </w:rPr>
        <w:t>对于债权投资本集团按照投资的性质，根据交易对手和风险敞口的各种类型，通过违约风险敞口和未来</w:t>
      </w:r>
      <w:r>
        <w:rPr>
          <w:rFonts w:ascii="Times New Roman" w:hAnsi="Times New Roman" w:cs="Times New Roman" w:eastAsia="Times New Roman" w:hint="default"/>
          <w:spacing w:val="-2"/>
        </w:rPr>
        <w:t>12</w:t>
      </w:r>
      <w:r>
        <w:rPr>
          <w:spacing w:val="-2"/>
        </w:rPr>
        <w:t>个月内或整个存续</w:t>
      </w:r>
      <w:r>
        <w:rPr>
          <w:spacing w:val="-61"/>
        </w:rPr>
        <w:t> </w:t>
      </w:r>
      <w:r>
        <w:rPr>
          <w:spacing w:val="-61"/>
        </w:rPr>
      </w:r>
      <w:r>
        <w:rPr/>
        <w:t>期预期信用损失率，计算预期信用损失。</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2"/>
        <w:ind w:right="0"/>
        <w:jc w:val="both"/>
        <w:rPr>
          <w:b w:val="0"/>
          <w:bCs w:val="0"/>
        </w:rPr>
      </w:pPr>
      <w:r>
        <w:rPr>
          <w:rFonts w:ascii="Times New Roman" w:hAnsi="Times New Roman" w:cs="Times New Roman" w:eastAsia="Times New Roman" w:hint="default"/>
        </w:rPr>
        <w:t>16</w:t>
      </w:r>
      <w:r>
        <w:rPr/>
        <w:t>、其他债权投资</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8"/>
        <w:jc w:val="both"/>
      </w:pPr>
      <w:r>
        <w:rPr>
          <w:spacing w:val="-2"/>
        </w:rPr>
        <w:t>对于其他债权投资，本集团按照投资的性质，根据交易对手和风险敞口的各种类型，通过违约风险敞口和未来</w:t>
      </w:r>
      <w:r>
        <w:rPr>
          <w:rFonts w:ascii="Times New Roman" w:hAnsi="Times New Roman" w:cs="Times New Roman" w:eastAsia="Times New Roman" w:hint="default"/>
          <w:spacing w:val="-2"/>
        </w:rPr>
        <w:t>12</w:t>
      </w:r>
      <w:r>
        <w:rPr>
          <w:spacing w:val="-2"/>
        </w:rPr>
        <w:t>个月内或整</w:t>
      </w:r>
      <w:r>
        <w:rPr>
          <w:spacing w:val="-60"/>
        </w:rPr>
        <w:t> </w:t>
      </w:r>
      <w:r>
        <w:rPr>
          <w:spacing w:val="-60"/>
        </w:rPr>
      </w:r>
      <w:r>
        <w:rPr/>
        <w:t>个存续期预期信用损失率，计算预期信用损失。</w:t>
      </w:r>
    </w:p>
    <w:p>
      <w:pPr>
        <w:spacing w:line="240" w:lineRule="auto" w:before="10"/>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长期股权投资包括对子公司、合营企业和联营企业的权益性投资。本集团能够对被投资单位施加重大影响的，为本集团的联</w:t>
      </w:r>
      <w:r>
        <w:rPr>
          <w:spacing w:val="-63"/>
        </w:rPr>
        <w:t> </w:t>
      </w:r>
      <w:r>
        <w:rPr>
          <w:spacing w:val="-63"/>
        </w:rPr>
      </w:r>
      <w:r>
        <w:rPr/>
        <w:t>营企业。</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）初始投资成本确定</w:t>
      </w:r>
    </w:p>
    <w:p>
      <w:pPr>
        <w:spacing w:line="240" w:lineRule="auto" w:before="4"/>
        <w:rPr>
          <w:rFonts w:ascii="宋体" w:hAnsi="宋体" w:cs="宋体" w:eastAsia="宋体" w:hint="default"/>
          <w:sz w:val="21"/>
          <w:szCs w:val="21"/>
        </w:rPr>
      </w:pPr>
    </w:p>
    <w:p>
      <w:pPr>
        <w:pStyle w:val="BodyText"/>
        <w:spacing w:line="319" w:lineRule="auto"/>
        <w:ind w:right="1129"/>
        <w:jc w:val="both"/>
      </w:pPr>
      <w:r>
        <w:rPr>
          <w:spacing w:val="-2"/>
        </w:rPr>
        <w:t>形成企业合并的长期股权投资：同一控制下企业合并取得的长期股权投资，在合并日按照取得被合并方所有者权益在最终控</w:t>
      </w:r>
      <w:r>
        <w:rPr>
          <w:spacing w:val="-64"/>
        </w:rPr>
        <w:t> </w:t>
      </w:r>
      <w:r>
        <w:rPr>
          <w:spacing w:val="-64"/>
        </w:rPr>
      </w:r>
      <w:r>
        <w:rPr>
          <w:spacing w:val="-2"/>
        </w:rPr>
        <w:t>制方合并财务报表中的账面价值份额作为投资成本；非同一控制下企业合并取得的长期股权投资，按照合并成本作为长期股</w:t>
      </w:r>
      <w:r>
        <w:rPr>
          <w:spacing w:val="-64"/>
        </w:rPr>
        <w:t> </w:t>
      </w:r>
      <w:r>
        <w:rPr>
          <w:spacing w:val="-64"/>
        </w:rPr>
      </w:r>
      <w:r>
        <w:rPr/>
        <w:t>权投资的投资成本。</w:t>
      </w:r>
    </w:p>
    <w:p>
      <w:pPr>
        <w:spacing w:line="240" w:lineRule="auto" w:before="11"/>
        <w:rPr>
          <w:rFonts w:ascii="宋体" w:hAnsi="宋体" w:cs="宋体" w:eastAsia="宋体" w:hint="default"/>
          <w:sz w:val="17"/>
          <w:szCs w:val="17"/>
        </w:rPr>
      </w:pPr>
    </w:p>
    <w:p>
      <w:pPr>
        <w:pStyle w:val="BodyText"/>
        <w:spacing w:line="316" w:lineRule="auto"/>
        <w:ind w:right="1129"/>
        <w:jc w:val="both"/>
      </w:pPr>
      <w:r>
        <w:rPr>
          <w:spacing w:val="-2"/>
        </w:rPr>
        <w:t>对于其他方式取得的长期股权投资：支付现金取得的长期股权投资，按照实际支付的购买价款作为初始投资成本；发行权益</w:t>
      </w:r>
      <w:r>
        <w:rPr>
          <w:spacing w:val="-62"/>
        </w:rPr>
        <w:t> </w:t>
      </w:r>
      <w:r>
        <w:rPr>
          <w:spacing w:val="-62"/>
        </w:rPr>
      </w:r>
      <w:r>
        <w:rPr/>
        <w:t>性证券取得的长期股权投资，以发行权益性证券的公允价值作为初始投资成本。</w:t>
      </w:r>
    </w:p>
    <w:p>
      <w:pPr>
        <w:spacing w:line="240" w:lineRule="auto" w:before="12"/>
        <w:rPr>
          <w:rFonts w:ascii="宋体" w:hAnsi="宋体" w:cs="宋体" w:eastAsia="宋体" w:hint="default"/>
          <w:sz w:val="17"/>
          <w:szCs w:val="17"/>
        </w:rPr>
      </w:pPr>
    </w:p>
    <w:p>
      <w:pPr>
        <w:pStyle w:val="BodyText"/>
        <w:spacing w:line="508" w:lineRule="auto"/>
        <w:ind w:right="1133"/>
        <w:jc w:val="both"/>
      </w:pPr>
      <w:r>
        <w:rPr/>
        <w:t>（</w:t>
      </w:r>
      <w:r>
        <w:rPr>
          <w:rFonts w:ascii="Times New Roman" w:hAnsi="Times New Roman" w:cs="Times New Roman" w:eastAsia="Times New Roman" w:hint="default"/>
        </w:rPr>
        <w:t>2</w:t>
      </w:r>
      <w:r>
        <w:rPr/>
        <w:t>）后续计量及损益确认方法 对子公司的投资，采用成本法核算，除非投资符合持有待售的条件；对联营企业和合营企业的投资，采用权益法核算。</w:t>
      </w:r>
    </w:p>
    <w:p>
      <w:pPr>
        <w:pStyle w:val="BodyText"/>
        <w:spacing w:line="316" w:lineRule="auto" w:before="91"/>
        <w:ind w:right="1131"/>
        <w:jc w:val="both"/>
      </w:pPr>
      <w:r>
        <w:rPr>
          <w:spacing w:val="-2"/>
        </w:rPr>
        <w:t>采用成本法核算的长期股权投资，除取得投资时实际支付的价款或对价中包含的已宣告但尚未发放的现金股利或利润外，被</w:t>
      </w:r>
      <w:r>
        <w:rPr>
          <w:spacing w:val="-64"/>
        </w:rPr>
        <w:t> </w:t>
      </w:r>
      <w:r>
        <w:rPr>
          <w:spacing w:val="-64"/>
        </w:rPr>
      </w:r>
      <w:r>
        <w:rPr/>
        <w:t>投资单位宣告分派的现金股利或利润，确认为投资收益计入当期损益。</w:t>
      </w:r>
    </w:p>
    <w:p>
      <w:pPr>
        <w:spacing w:line="240" w:lineRule="auto" w:before="13"/>
        <w:rPr>
          <w:rFonts w:ascii="宋体" w:hAnsi="宋体" w:cs="宋体" w:eastAsia="宋体" w:hint="default"/>
          <w:sz w:val="17"/>
          <w:szCs w:val="17"/>
        </w:rPr>
      </w:pPr>
    </w:p>
    <w:p>
      <w:pPr>
        <w:pStyle w:val="BodyText"/>
        <w:spacing w:line="316" w:lineRule="auto"/>
        <w:ind w:right="1131"/>
        <w:jc w:val="both"/>
      </w:pPr>
      <w:r>
        <w:rPr>
          <w:spacing w:val="-2"/>
        </w:rPr>
        <w:t>采用权益法核算的长期股权投资，初始投资成本大于投资时应享有被投资单位可辨认净资产公允价值份额的，不调整长期股</w:t>
      </w:r>
      <w:r>
        <w:rPr>
          <w:spacing w:val="-62"/>
        </w:rPr>
        <w:t> </w:t>
      </w:r>
      <w:r>
        <w:rPr>
          <w:spacing w:val="-62"/>
        </w:rPr>
      </w:r>
      <w:r>
        <w:rPr>
          <w:spacing w:val="-2"/>
        </w:rPr>
        <w:t>权投资的投资成本；初始投资成本小于投资时应享有被投资单位可辨认净资产公允价值份额的，对长期股权投资的账面价值</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进行调整，差额计入投资当期的损益。</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3"/>
        </w:rPr>
        <w:t> </w:t>
      </w:r>
      <w:r>
        <w:rPr>
          <w:spacing w:val="-63"/>
        </w:rPr>
      </w:r>
      <w:r>
        <w:rPr>
          <w:spacing w:val="-2"/>
        </w:rPr>
        <w:t>权投资的账面价值；被投资单位除净损益、其他综合收益和利润分配以外所有者权益的其他变动，调整长期股权投资的账面</w:t>
      </w:r>
      <w:r>
        <w:rPr>
          <w:spacing w:val="-63"/>
        </w:rPr>
        <w:t> </w:t>
      </w:r>
      <w:r>
        <w:rPr>
          <w:spacing w:val="-63"/>
        </w:rPr>
      </w:r>
      <w:r>
        <w:rPr>
          <w:spacing w:val="-2"/>
        </w:rPr>
        <w:t>价值并计入资本公积（其他资本公积）。在确认应享有被投资单位净损益的份额时，以取得投资时被投资单位各项可辨认资</w:t>
      </w:r>
      <w:r>
        <w:rPr>
          <w:spacing w:val="-63"/>
        </w:rPr>
        <w:t> </w:t>
      </w:r>
      <w:r>
        <w:rPr>
          <w:spacing w:val="-63"/>
        </w:rPr>
      </w:r>
      <w:r>
        <w:rPr/>
        <w:t>产等的公允价值为基础，并按照本集团的会计政策及会计期间，对被投资单位的净利润进行调整后确认。</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因追加投资等原因能够对被投资单位施加重大影响或实施共同控制但不构成控制的，在转换日，按照原股权的公允价值加上</w:t>
      </w:r>
      <w:r>
        <w:rPr>
          <w:spacing w:val="-64"/>
        </w:rPr>
        <w:t> </w:t>
      </w:r>
      <w:r>
        <w:rPr>
          <w:spacing w:val="-64"/>
        </w:rPr>
      </w:r>
      <w:r>
        <w:rPr>
          <w:spacing w:val="-2"/>
        </w:rPr>
        <w:t>新增投资成本之和，作为改按权益法核算的初始投资成本。原股权于转换日的公允价值与账面价值之间的差额，以及原计入</w:t>
      </w:r>
      <w:r>
        <w:rPr>
          <w:spacing w:val="-63"/>
        </w:rPr>
        <w:t> </w:t>
      </w:r>
      <w:r>
        <w:rPr>
          <w:spacing w:val="-63"/>
        </w:rPr>
      </w:r>
      <w:r>
        <w:rPr/>
        <w:t>其他综合收益的累计公允价值变动转入改按权益法核算的当期损益。</w:t>
      </w:r>
    </w:p>
    <w:p>
      <w:pPr>
        <w:spacing w:line="240" w:lineRule="auto" w:before="13"/>
        <w:rPr>
          <w:rFonts w:ascii="宋体" w:hAnsi="宋体" w:cs="宋体" w:eastAsia="宋体" w:hint="default"/>
          <w:sz w:val="17"/>
          <w:szCs w:val="17"/>
        </w:rPr>
      </w:pPr>
    </w:p>
    <w:p>
      <w:pPr>
        <w:pStyle w:val="BodyText"/>
        <w:spacing w:line="312" w:lineRule="auto"/>
        <w:ind w:right="1130"/>
        <w:jc w:val="both"/>
      </w:pPr>
      <w:r>
        <w:rPr>
          <w:spacing w:val="-2"/>
        </w:rPr>
        <w:t>因处置部分股权投资等原因丧失了对被投资单位的共同控制或重大影响的，处置后的剩余股权在丧失共同控制或重大影响之</w:t>
      </w:r>
      <w:r>
        <w:rPr>
          <w:spacing w:val="-63"/>
        </w:rPr>
        <w:t> </w:t>
      </w:r>
      <w:r>
        <w:rPr>
          <w:spacing w:val="-63"/>
        </w:rPr>
      </w:r>
      <w:r>
        <w:rPr>
          <w:spacing w:val="-2"/>
        </w:rPr>
        <w:t>日改按《企业会计准则第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金融工具确认和计量》进行会计处理，公允价值与账面价值之间的差额计入当期损益。原股</w:t>
      </w:r>
      <w:r>
        <w:rPr>
          <w:spacing w:val="-63"/>
        </w:rPr>
        <w:t> </w:t>
      </w:r>
      <w:r>
        <w:rPr>
          <w:spacing w:val="-63"/>
        </w:rPr>
      </w:r>
      <w:r>
        <w:rPr>
          <w:spacing w:val="-2"/>
        </w:rPr>
        <w:t>权投资因采用权益法核算而确认的其他综合收益，在终止采用权益法核算时采用与被投资单位直接处置相关资产或负债相同</w:t>
      </w:r>
      <w:r>
        <w:rPr>
          <w:spacing w:val="-64"/>
        </w:rPr>
        <w:t> </w:t>
      </w:r>
      <w:r>
        <w:rPr>
          <w:spacing w:val="-64"/>
        </w:rPr>
      </w:r>
      <w:r>
        <w:rPr/>
        <w:t>的基础进行会计处理；原股权投资相关的其他所有者权益变动转入当期损益。</w:t>
      </w:r>
    </w:p>
    <w:p>
      <w:pPr>
        <w:spacing w:line="240" w:lineRule="auto" w:before="3"/>
        <w:rPr>
          <w:rFonts w:ascii="宋体" w:hAnsi="宋体" w:cs="宋体" w:eastAsia="宋体" w:hint="default"/>
          <w:sz w:val="18"/>
          <w:szCs w:val="18"/>
        </w:rPr>
      </w:pPr>
    </w:p>
    <w:p>
      <w:pPr>
        <w:pStyle w:val="BodyText"/>
        <w:spacing w:line="312" w:lineRule="auto"/>
        <w:ind w:right="1130"/>
        <w:jc w:val="both"/>
      </w:pPr>
      <w:r>
        <w:rPr>
          <w:spacing w:val="-2"/>
        </w:rPr>
        <w:t>因处置部分股权投资等原因丧失了对被投资单位的控制的，处置后的剩余股权能够对被投资单位实施共同控制或施加重大影</w:t>
      </w:r>
      <w:r>
        <w:rPr>
          <w:spacing w:val="-64"/>
        </w:rPr>
        <w:t> </w:t>
      </w:r>
      <w:r>
        <w:rPr>
          <w:spacing w:val="-64"/>
        </w:rPr>
      </w:r>
      <w:r>
        <w:rPr>
          <w:spacing w:val="-2"/>
        </w:rPr>
        <w:t>响的，改按权益法核算，并对该剩余股权视同自取得时即采用权益法核算进行调整；处置后的剩余股权不能对被投资单位实</w:t>
      </w:r>
      <w:r>
        <w:rPr>
          <w:spacing w:val="-65"/>
        </w:rPr>
        <w:t> </w:t>
      </w:r>
      <w:r>
        <w:rPr>
          <w:spacing w:val="-65"/>
        </w:rPr>
      </w:r>
      <w:r>
        <w:rPr>
          <w:spacing w:val="-2"/>
        </w:rPr>
        <w:t>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金融工具确认和计量》的有关规定进行会计处理，其在丧失控</w:t>
      </w:r>
      <w:r>
        <w:rPr>
          <w:spacing w:val="-61"/>
        </w:rPr>
        <w:t> </w:t>
      </w:r>
      <w:r>
        <w:rPr>
          <w:spacing w:val="-61"/>
        </w:rPr>
      </w:r>
      <w:r>
        <w:rPr/>
        <w:t>制之日的公允价值与账面价值之间的差额计入当期损益。</w:t>
      </w:r>
    </w:p>
    <w:p>
      <w:pPr>
        <w:spacing w:line="240" w:lineRule="auto" w:before="3"/>
        <w:rPr>
          <w:rFonts w:ascii="宋体" w:hAnsi="宋体" w:cs="宋体" w:eastAsia="宋体" w:hint="default"/>
          <w:sz w:val="18"/>
          <w:szCs w:val="18"/>
        </w:rPr>
      </w:pPr>
    </w:p>
    <w:p>
      <w:pPr>
        <w:pStyle w:val="BodyText"/>
        <w:spacing w:line="319" w:lineRule="auto"/>
        <w:ind w:right="1133"/>
        <w:jc w:val="both"/>
      </w:pP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4"/>
        </w:rPr>
        <w:t> </w:t>
      </w:r>
      <w:r>
        <w:rPr>
          <w:spacing w:val="-64"/>
        </w:rPr>
      </w:r>
      <w:r>
        <w:rPr/>
        <w:t>投资原账面价值之间的差额计入当期损益；然后，按照新的持股比例视同自取得投资时即采用权益法核算进行调整。</w:t>
      </w:r>
    </w:p>
    <w:p>
      <w:pPr>
        <w:spacing w:line="240" w:lineRule="auto" w:before="11"/>
        <w:rPr>
          <w:rFonts w:ascii="宋体" w:hAnsi="宋体" w:cs="宋体" w:eastAsia="宋体" w:hint="default"/>
          <w:sz w:val="17"/>
          <w:szCs w:val="17"/>
        </w:rPr>
      </w:pPr>
    </w:p>
    <w:p>
      <w:pPr>
        <w:pStyle w:val="BodyText"/>
        <w:spacing w:line="316" w:lineRule="auto"/>
        <w:ind w:right="1133"/>
        <w:jc w:val="both"/>
      </w:pPr>
      <w:r>
        <w:rPr>
          <w:spacing w:val="-2"/>
        </w:rPr>
        <w:t>本集团与联营企业及合营企业之间发生的未实现内部交易损益按照持股比例计算归属于本集团的部分，在抵销基础上确认投</w:t>
      </w:r>
      <w:r>
        <w:rPr>
          <w:spacing w:val="-64"/>
        </w:rPr>
        <w:t> </w:t>
      </w:r>
      <w:r>
        <w:rPr>
          <w:spacing w:val="-64"/>
        </w:rPr>
      </w:r>
      <w:r>
        <w:rPr/>
        <w:t>资损益。但本集团与被投资单位发生的未实现内部交易损失，属于所转让资产减值损失的，不予以抵销。</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3</w:t>
      </w:r>
      <w:r>
        <w:rPr/>
        <w:t>）确定对被投资单位具有共同控制、重大影响的依据</w:t>
      </w:r>
    </w:p>
    <w:p>
      <w:pPr>
        <w:spacing w:line="240" w:lineRule="auto" w:before="4"/>
        <w:rPr>
          <w:rFonts w:ascii="宋体" w:hAnsi="宋体" w:cs="宋体" w:eastAsia="宋体" w:hint="default"/>
          <w:sz w:val="21"/>
          <w:szCs w:val="21"/>
        </w:rPr>
      </w:pPr>
    </w:p>
    <w:p>
      <w:pPr>
        <w:pStyle w:val="BodyText"/>
        <w:spacing w:line="319" w:lineRule="auto"/>
        <w:ind w:right="1130"/>
        <w:jc w:val="both"/>
      </w:pP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能决策。在判断是否存在共同控制时，首先判断是否由所有参与方或参与方组合集体控制该安排，其次再判断该安排相关活</w:t>
      </w:r>
      <w:r>
        <w:rPr>
          <w:spacing w:val="-63"/>
        </w:rPr>
        <w:t> </w:t>
      </w:r>
      <w:r>
        <w:rPr>
          <w:spacing w:val="-63"/>
        </w:rPr>
      </w:r>
      <w:r>
        <w:rPr>
          <w:spacing w:val="-2"/>
        </w:rPr>
        <w:t>动的决策是否必须经过这些集体控制该安排的参与方一致同意。如果所有参与方或一组参与方必须一致行动才能决定某项安</w:t>
      </w:r>
      <w:r>
        <w:rPr>
          <w:spacing w:val="-63"/>
        </w:rPr>
        <w:t> </w:t>
      </w:r>
      <w:r>
        <w:rPr>
          <w:spacing w:val="-63"/>
        </w:rPr>
      </w:r>
      <w:r>
        <w:rPr>
          <w:spacing w:val="-2"/>
        </w:rPr>
        <w:t>排的相关活动，则认为所有参与方或一组参与方集体控制该安排；如果存在两个或两个以上的参与方组合能够集体控制某项</w:t>
      </w:r>
      <w:r>
        <w:rPr>
          <w:spacing w:val="-64"/>
        </w:rPr>
        <w:t> </w:t>
      </w:r>
      <w:r>
        <w:rPr>
          <w:spacing w:val="-64"/>
        </w:rPr>
      </w:r>
      <w:r>
        <w:rPr/>
        <w:t>安排的，不构成共同控制。判断是否存在共同控制时，不考虑享有的保护性权利。</w:t>
      </w:r>
    </w:p>
    <w:p>
      <w:pPr>
        <w:spacing w:line="240" w:lineRule="auto" w:before="11"/>
        <w:rPr>
          <w:rFonts w:ascii="宋体" w:hAnsi="宋体" w:cs="宋体" w:eastAsia="宋体" w:hint="default"/>
          <w:sz w:val="17"/>
          <w:szCs w:val="17"/>
        </w:rPr>
      </w:pPr>
    </w:p>
    <w:p>
      <w:pPr>
        <w:pStyle w:val="BodyText"/>
        <w:spacing w:line="316" w:lineRule="auto"/>
        <w:ind w:right="1132"/>
        <w:jc w:val="both"/>
      </w:pPr>
      <w:r>
        <w:rPr>
          <w:spacing w:val="-2"/>
        </w:rPr>
        <w:t>重大影响，是指投资方对被投资单位的财务和经营政策有参与决策的权力，但并不能够控制或者与其他方一起共同控制这些</w:t>
      </w:r>
      <w:r>
        <w:rPr>
          <w:spacing w:val="-64"/>
        </w:rPr>
        <w:t> </w:t>
      </w:r>
      <w:r>
        <w:rPr>
          <w:spacing w:val="-64"/>
        </w:rPr>
      </w:r>
      <w:r>
        <w:rPr>
          <w:spacing w:val="-2"/>
        </w:rPr>
        <w:t>政策的制定。在确定能否对被投资单位施加重大影响时，考虑投资方直接或间接持有被投资单位的表决权股份以及投资方及</w:t>
      </w:r>
      <w:r>
        <w:rPr>
          <w:spacing w:val="-64"/>
        </w:rPr>
        <w:t> </w:t>
      </w:r>
      <w:r>
        <w:rPr>
          <w:spacing w:val="-64"/>
        </w:rPr>
      </w:r>
      <w:r>
        <w:rPr>
          <w:spacing w:val="-2"/>
        </w:rPr>
        <w:t>其他方持有的当期可执行潜在表决权在假定转换为对被投资方单位的股权后产生的影响，包括被投资单位发行的当期可转换</w:t>
      </w:r>
      <w:r>
        <w:rPr>
          <w:spacing w:val="-63"/>
        </w:rPr>
        <w:t> </w:t>
      </w:r>
      <w:r>
        <w:rPr>
          <w:spacing w:val="-63"/>
        </w:rPr>
      </w:r>
      <w:r>
        <w:rPr/>
        <w:t>的认股权证、股份期权及可转换公司债券等的影响。</w:t>
      </w:r>
    </w:p>
    <w:p>
      <w:pPr>
        <w:spacing w:line="240" w:lineRule="auto" w:before="12"/>
        <w:rPr>
          <w:rFonts w:ascii="宋体" w:hAnsi="宋体" w:cs="宋体" w:eastAsia="宋体" w:hint="default"/>
          <w:sz w:val="17"/>
          <w:szCs w:val="17"/>
        </w:rPr>
      </w:pPr>
    </w:p>
    <w:p>
      <w:pPr>
        <w:pStyle w:val="BodyText"/>
        <w:spacing w:line="307" w:lineRule="auto"/>
        <w:ind w:right="113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的表决权股份时，一般认为对被投资单位具</w:t>
      </w:r>
      <w:r>
        <w:rPr>
          <w:spacing w:val="-85"/>
        </w:rPr>
        <w:t> </w:t>
      </w:r>
      <w:r>
        <w:rPr>
          <w:spacing w:val="-85"/>
        </w:rPr>
      </w:r>
      <w:r>
        <w:rPr>
          <w:spacing w:val="-2"/>
        </w:rPr>
        <w:t>有重大影响，除非有明确证据表明该种情况下不能参与被投资单位的生产经营决策，不形成重大影响；本集团拥有被投资单</w:t>
      </w:r>
      <w:r>
        <w:rPr>
          <w:spacing w:val="-63"/>
        </w:rPr>
        <w:t> </w:t>
      </w:r>
      <w:r>
        <w:rPr>
          <w:spacing w:val="-63"/>
        </w:rPr>
      </w:r>
      <w:r>
        <w:rPr>
          <w:spacing w:val="-1"/>
        </w:rPr>
        <w:t>位</w:t>
      </w:r>
      <w:r>
        <w:rPr>
          <w:rFonts w:ascii="Times New Roman" w:hAnsi="Times New Roman" w:cs="Times New Roman" w:eastAsia="Times New Roman" w:hint="default"/>
          <w:spacing w:val="-1"/>
        </w:rPr>
        <w:t>20%</w:t>
      </w:r>
      <w:r>
        <w:rPr>
          <w:spacing w:val="-1"/>
        </w:rPr>
        <w:t>（不含）以下的表决权股份时，一般不认为对被投资单位具有重大影响，除非有明确证据表明该种情况下能够参与被</w:t>
      </w:r>
      <w:r>
        <w:rPr/>
        <w:t> 投资单位的生产经营决策，形成重大影响。</w:t>
      </w:r>
    </w:p>
    <w:p>
      <w:pPr>
        <w:spacing w:line="240" w:lineRule="auto" w:before="7"/>
        <w:rPr>
          <w:rFonts w:ascii="宋体" w:hAnsi="宋体" w:cs="宋体" w:eastAsia="宋体" w:hint="default"/>
          <w:sz w:val="18"/>
          <w:szCs w:val="18"/>
        </w:rPr>
      </w:pPr>
    </w:p>
    <w:p>
      <w:pPr>
        <w:pStyle w:val="BodyText"/>
        <w:spacing w:line="240" w:lineRule="auto"/>
        <w:ind w:right="0"/>
        <w:jc w:val="both"/>
      </w:pPr>
      <w:r>
        <w:rPr/>
        <w:t>（</w:t>
      </w:r>
      <w:r>
        <w:rPr>
          <w:rFonts w:ascii="Times New Roman" w:hAnsi="Times New Roman" w:cs="Times New Roman" w:eastAsia="Times New Roman" w:hint="default"/>
        </w:rPr>
        <w:t>4</w:t>
      </w:r>
      <w:r>
        <w:rPr/>
        <w:t>）减值测试方法及减值准备计提方法</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对子公司、联营企业及合营企业的投资，其计提资产减值的方法参见本附注五、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rPr>
        <w:t>18</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1"/>
        <w:jc w:val="both"/>
      </w:pPr>
      <w:r>
        <w:rPr/>
        <w:t>本集团固定资产是指为生产商品、提供劳务、出租或经营管理而持有的，使用寿命超过一个会计年度的有形资产。</w:t>
      </w:r>
      <w:r>
        <w:rPr>
          <w:spacing w:val="10"/>
        </w:rPr>
        <w:t> </w:t>
      </w:r>
      <w:r>
        <w:rPr/>
        <w:t>与该固</w:t>
      </w:r>
      <w:r>
        <w:rPr/>
        <w:t> 定资产有关的经济利益很可能流入企业，并且该固定资产的成本能够可靠地计量时，固定资产才能予以确认。</w:t>
      </w:r>
      <w:r>
        <w:rPr>
          <w:spacing w:val="9"/>
        </w:rPr>
        <w:t> </w:t>
      </w:r>
      <w:r>
        <w:rPr/>
        <w:t>本集团固定</w:t>
      </w:r>
      <w:r>
        <w:rPr/>
        <w:t> 资产按照取得时的实际成本进行初始计量。</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2.38%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当本集团租入的固定资产符合下列一项或数项标准时，确认为融资租入固定资产：</w:t>
      </w:r>
      <w:r>
        <w:rPr>
          <w:spacing w:val="20"/>
        </w:rPr>
        <w:t> </w:t>
      </w:r>
      <w:r>
        <w:rPr/>
        <w:t>①在租赁期届满时，租赁资产的所有权</w:t>
      </w:r>
      <w:r>
        <w:rPr/>
        <w:t> 转移给本集团。</w:t>
      </w:r>
      <w:r>
        <w:rPr>
          <w:spacing w:val="49"/>
        </w:rPr>
        <w:t> </w:t>
      </w:r>
      <w:r>
        <w:rPr/>
        <w:t>②本集团有购买租赁资产的选择权，所订立的购买价款预计将远低于行使选择权时租赁资产的公允价值，</w:t>
      </w:r>
      <w:r>
        <w:rPr/>
        <w:t> 因而在租赁开始日就可以合理确定本集团将会行使这种选择权。</w:t>
      </w:r>
      <w:r>
        <w:rPr>
          <w:spacing w:val="17"/>
        </w:rPr>
        <w:t> </w:t>
      </w:r>
      <w:r>
        <w:rPr/>
        <w:t>③即使资产的所有权不转移，但租赁期占租赁资产使用寿</w:t>
      </w:r>
      <w:r>
        <w:rPr/>
        <w:t> 命的大部分。 ④本集团在租赁开始日的最低租赁付款额现值，几乎相当于租赁开始日租赁资产公允价值。</w:t>
      </w:r>
      <w:r>
        <w:rPr>
          <w:spacing w:val="9"/>
        </w:rPr>
        <w:t> </w:t>
      </w:r>
      <w:r>
        <w:rPr/>
        <w:t>⑤租赁资产性</w:t>
      </w:r>
      <w:r>
        <w:rPr/>
        <w:t> 质特殊，如果不作较大改造，只有本集团才能使用。</w:t>
      </w:r>
      <w:r>
        <w:rPr>
          <w:spacing w:val="21"/>
        </w:rPr>
        <w:t> </w:t>
      </w:r>
      <w:r>
        <w:rPr/>
        <w:t>融资租赁租入的固定资产，按租赁开始日租赁资产公允价值与最低租</w:t>
      </w:r>
      <w:r>
        <w:rPr/>
        <w:t> 赁付款额的现值两者中较低者，作为入账价值。最低租赁付款额作为长期应付款的入账价值，其差额作为未确认融资费用。 </w:t>
      </w:r>
      <w:r>
        <w:rPr>
          <w:spacing w:val="-2"/>
        </w:rPr>
        <w:t>在租赁谈判和签订租赁合同过程中发生的，可归属于租赁项目的手续费、律师费、差旅费、印花税等初始直接费用，计入租</w:t>
      </w:r>
      <w:r>
        <w:rPr>
          <w:spacing w:val="-67"/>
        </w:rPr>
        <w:t> </w:t>
      </w:r>
      <w:r>
        <w:rPr>
          <w:spacing w:val="-67"/>
        </w:rPr>
      </w:r>
      <w:r>
        <w:rPr/>
        <w:t>入资产价值。未确认融资费用在租赁期内各个期间采用实际利率法进行分摊。</w:t>
      </w:r>
      <w:r>
        <w:rPr>
          <w:spacing w:val="17"/>
        </w:rPr>
        <w:t> </w:t>
      </w:r>
      <w:r>
        <w:rPr/>
        <w:t>融资租入的固定资产采用与自有固定资产一</w:t>
      </w:r>
      <w:r>
        <w:rPr/>
        <w:t> </w:t>
      </w:r>
      <w:r>
        <w:rPr>
          <w:spacing w:val="-4"/>
        </w:rPr>
        <w:t>致的政策计提租赁资产折旧。能够合理确定租赁期届满时将会取得租赁资产所有权的，在租赁资产尚可使用年限内计提折旧；</w:t>
      </w:r>
      <w:r>
        <w:rPr>
          <w:spacing w:val="-44"/>
        </w:rPr>
        <w:t> </w:t>
      </w:r>
      <w:r>
        <w:rPr>
          <w:spacing w:val="-44"/>
        </w:rPr>
      </w:r>
      <w:r>
        <w:rPr/>
        <w:t>无法合理确定租赁期届满时能够取得租赁资产所有权的，在租赁期与租赁资产尚可使用年限两者中较短的期间内计提折旧。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1122"/>
        <w:jc w:val="left"/>
        <w:rPr>
          <w:b w:val="0"/>
          <w:bCs w:val="0"/>
        </w:rPr>
      </w:pPr>
      <w:r>
        <w:rPr>
          <w:rFonts w:ascii="Times New Roman" w:hAnsi="Times New Roman" w:cs="Times New Roman" w:eastAsia="Times New Roman" w:hint="default"/>
        </w:rPr>
        <w:t>19</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jc w:val="left"/>
      </w:pPr>
      <w:r>
        <w:rPr>
          <w:spacing w:val="-2"/>
        </w:rPr>
        <w:t>本集团在建工程成本按实际工程支出确定，包括在建期间发生的各项必要工程支出、工程达到预定可使用状态前的应予资本</w:t>
      </w:r>
      <w:r>
        <w:rPr>
          <w:spacing w:val="-64"/>
        </w:rPr>
        <w:t> </w:t>
      </w:r>
      <w:r>
        <w:rPr>
          <w:spacing w:val="-64"/>
        </w:rPr>
      </w:r>
      <w:r>
        <w:rPr/>
        <w:t>化的借款费用以及其他相关费用等。</w:t>
      </w:r>
    </w:p>
    <w:p>
      <w:pPr>
        <w:spacing w:line="240" w:lineRule="auto" w:before="13"/>
        <w:rPr>
          <w:rFonts w:ascii="宋体" w:hAnsi="宋体" w:cs="宋体" w:eastAsia="宋体" w:hint="default"/>
          <w:sz w:val="17"/>
          <w:szCs w:val="17"/>
        </w:rPr>
      </w:pPr>
    </w:p>
    <w:p>
      <w:pPr>
        <w:pStyle w:val="BodyText"/>
        <w:spacing w:line="240" w:lineRule="auto"/>
        <w:ind w:right="1122"/>
        <w:jc w:val="left"/>
      </w:pPr>
      <w:r>
        <w:rPr/>
        <w:t>在建工程在达到预定可使用状态时转入固定资产。</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在建工程计提资产减值方法参见本附注五、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4"/>
        <w:spacing w:line="240" w:lineRule="auto"/>
        <w:ind w:right="1122"/>
        <w:jc w:val="left"/>
        <w:rPr>
          <w:b w:val="0"/>
          <w:bCs w:val="0"/>
        </w:rPr>
      </w:pPr>
      <w:r>
        <w:rPr>
          <w:rFonts w:ascii="Times New Roman" w:hAnsi="Times New Roman" w:cs="Times New Roman" w:eastAsia="Times New Roman" w:hint="default"/>
        </w:rPr>
        <w:t>20</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w:t>
      </w:r>
      <w:r>
        <w:rPr>
          <w:rFonts w:ascii="Times New Roman" w:hAnsi="Times New Roman" w:cs="Times New Roman" w:eastAsia="Times New Roman" w:hint="default"/>
        </w:rPr>
        <w:t>1</w:t>
      </w:r>
      <w:r>
        <w:rPr/>
        <w:t>）借款费用资本化的确认原则</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本集团发生的借款费用，可直接归属于符合资本化条件的资产的购建或者生产的，予以资本化，计入相关资产成本；其他借</w:t>
      </w:r>
      <w:r>
        <w:rPr>
          <w:spacing w:val="-64"/>
        </w:rPr>
        <w:t> </w:t>
      </w:r>
      <w:r>
        <w:rPr>
          <w:spacing w:val="-64"/>
        </w:rPr>
      </w:r>
      <w:r>
        <w:rPr/>
        <w:t>款费用，在发生时根据其发生额确认为费用，计入当期损益。借款费用同时满足下列条件的，开始资本化：</w:t>
      </w:r>
    </w:p>
    <w:p>
      <w:pPr>
        <w:spacing w:line="240" w:lineRule="auto" w:before="13"/>
        <w:rPr>
          <w:rFonts w:ascii="宋体" w:hAnsi="宋体" w:cs="宋体" w:eastAsia="宋体" w:hint="default"/>
          <w:sz w:val="17"/>
          <w:szCs w:val="17"/>
        </w:rPr>
      </w:pPr>
    </w:p>
    <w:p>
      <w:pPr>
        <w:pStyle w:val="BodyText"/>
        <w:spacing w:line="316" w:lineRule="auto"/>
        <w:ind w:right="1124"/>
        <w:jc w:val="left"/>
      </w:pPr>
      <w:r>
        <w:rPr/>
        <w:t>① 资产支出已经发生，资产支出包括为购建或者生产符合资本化条件的资产而以支付现金、转移非现金资产或者承担带息</w:t>
      </w:r>
      <w:r>
        <w:rPr>
          <w:spacing w:val="-85"/>
        </w:rPr>
        <w:t> </w:t>
      </w:r>
      <w:r>
        <w:rPr>
          <w:spacing w:val="-85"/>
        </w:rPr>
      </w:r>
      <w:r>
        <w:rPr/>
        <w:t>债务形式发生的支出；</w:t>
      </w:r>
    </w:p>
    <w:p>
      <w:pPr>
        <w:spacing w:line="240" w:lineRule="auto" w:before="12"/>
        <w:rPr>
          <w:rFonts w:ascii="宋体" w:hAnsi="宋体" w:cs="宋体" w:eastAsia="宋体" w:hint="default"/>
          <w:sz w:val="17"/>
          <w:szCs w:val="17"/>
        </w:rPr>
      </w:pPr>
    </w:p>
    <w:p>
      <w:pPr>
        <w:pStyle w:val="BodyText"/>
        <w:spacing w:line="240" w:lineRule="auto"/>
        <w:ind w:right="1122"/>
        <w:jc w:val="left"/>
      </w:pPr>
      <w:r>
        <w:rPr/>
        <w:t>②</w:t>
      </w:r>
      <w:r>
        <w:rPr>
          <w:spacing w:val="-18"/>
        </w:rPr>
        <w:t> </w:t>
      </w:r>
      <w:r>
        <w:rPr/>
        <w:t>借款费用已经发生；</w:t>
      </w:r>
    </w:p>
    <w:p>
      <w:pPr>
        <w:spacing w:line="240" w:lineRule="auto" w:before="5"/>
        <w:rPr>
          <w:rFonts w:ascii="宋体" w:hAnsi="宋体" w:cs="宋体" w:eastAsia="宋体" w:hint="default"/>
          <w:sz w:val="22"/>
          <w:szCs w:val="22"/>
        </w:rPr>
      </w:pPr>
    </w:p>
    <w:p>
      <w:pPr>
        <w:pStyle w:val="BodyText"/>
        <w:spacing w:line="240" w:lineRule="auto"/>
        <w:ind w:right="1122"/>
        <w:jc w:val="left"/>
      </w:pPr>
      <w:r>
        <w:rPr/>
        <w:t>③</w:t>
      </w:r>
      <w:r>
        <w:rPr>
          <w:spacing w:val="-18"/>
        </w:rPr>
        <w:t> </w:t>
      </w:r>
      <w:r>
        <w:rPr/>
        <w:t>为使资产达到预定可使用或者可销售状态所必要的购建或者生产活动已经开始。</w:t>
      </w:r>
    </w:p>
    <w:p>
      <w:pPr>
        <w:spacing w:line="240" w:lineRule="auto" w:before="5"/>
        <w:rPr>
          <w:rFonts w:ascii="宋体" w:hAnsi="宋体" w:cs="宋体" w:eastAsia="宋体" w:hint="default"/>
          <w:sz w:val="22"/>
          <w:szCs w:val="22"/>
        </w:rPr>
      </w:pPr>
    </w:p>
    <w:p>
      <w:pPr>
        <w:pStyle w:val="BodyText"/>
        <w:spacing w:line="240" w:lineRule="auto"/>
        <w:ind w:right="1122"/>
        <w:jc w:val="left"/>
      </w:pPr>
      <w:r>
        <w:rPr/>
        <w:t>（</w:t>
      </w:r>
      <w:r>
        <w:rPr>
          <w:rFonts w:ascii="Times New Roman" w:hAnsi="Times New Roman" w:cs="Times New Roman" w:eastAsia="Times New Roman" w:hint="default"/>
        </w:rPr>
        <w:t>2</w:t>
      </w:r>
      <w:r>
        <w:rPr/>
        <w:t>）借款费用资本化期间</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本集团购建或者生产符合资本化条件的资产达到预定可使用或者可销售状态时，借款费用停止资本化。在符合资本化条件的</w:t>
      </w:r>
      <w:r>
        <w:rPr>
          <w:spacing w:val="-64"/>
        </w:rPr>
        <w:t> </w:t>
      </w:r>
      <w:r>
        <w:rPr>
          <w:spacing w:val="-64"/>
        </w:rPr>
      </w:r>
      <w:r>
        <w:rPr/>
        <w:t>资产达到预定可使用或者可销售状态之后所发生的借款费用，在发生时根据其发生额确认为费用，计入当期损益。</w:t>
      </w:r>
    </w:p>
    <w:p>
      <w:pPr>
        <w:spacing w:line="240" w:lineRule="auto" w:before="13"/>
        <w:rPr>
          <w:rFonts w:ascii="宋体" w:hAnsi="宋体" w:cs="宋体" w:eastAsia="宋体" w:hint="default"/>
          <w:sz w:val="17"/>
          <w:szCs w:val="17"/>
        </w:rPr>
      </w:pPr>
    </w:p>
    <w:p>
      <w:pPr>
        <w:pStyle w:val="BodyText"/>
        <w:spacing w:line="300" w:lineRule="auto"/>
        <w:ind w:right="1124"/>
        <w:jc w:val="left"/>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个月的，暂停借款费用的资本化；正</w:t>
      </w:r>
      <w:r>
        <w:rPr>
          <w:spacing w:val="-83"/>
        </w:rPr>
        <w:t> </w:t>
      </w:r>
      <w:r>
        <w:rPr>
          <w:spacing w:val="-83"/>
        </w:rPr>
      </w:r>
      <w:r>
        <w:rPr/>
        <w:t>常中断期间的借款费用继续资本化。</w:t>
      </w:r>
    </w:p>
    <w:p>
      <w:pPr>
        <w:spacing w:line="240" w:lineRule="auto" w:before="12"/>
        <w:rPr>
          <w:rFonts w:ascii="宋体" w:hAnsi="宋体" w:cs="宋体" w:eastAsia="宋体" w:hint="default"/>
          <w:sz w:val="18"/>
          <w:szCs w:val="18"/>
        </w:rPr>
      </w:pPr>
    </w:p>
    <w:p>
      <w:pPr>
        <w:pStyle w:val="BodyText"/>
        <w:spacing w:line="240" w:lineRule="auto"/>
        <w:ind w:right="1122"/>
        <w:jc w:val="left"/>
      </w:pPr>
      <w:r>
        <w:rPr/>
        <w:t>（</w:t>
      </w:r>
      <w:r>
        <w:rPr>
          <w:rFonts w:ascii="Times New Roman" w:hAnsi="Times New Roman" w:cs="Times New Roman" w:eastAsia="Times New Roman" w:hint="default"/>
        </w:rPr>
        <w:t>3</w:t>
      </w:r>
      <w:r>
        <w:rPr/>
        <w:t>）借款费用资本化率以及资本化金额的计算方法</w:t>
      </w:r>
    </w:p>
    <w:p>
      <w:pPr>
        <w:spacing w:line="240" w:lineRule="auto" w:before="4"/>
        <w:rPr>
          <w:rFonts w:ascii="宋体" w:hAnsi="宋体" w:cs="宋体" w:eastAsia="宋体" w:hint="default"/>
          <w:sz w:val="21"/>
          <w:szCs w:val="21"/>
        </w:rPr>
      </w:pPr>
    </w:p>
    <w:p>
      <w:pPr>
        <w:pStyle w:val="BodyText"/>
        <w:spacing w:line="316" w:lineRule="auto"/>
        <w:ind w:right="1034"/>
        <w:jc w:val="left"/>
      </w:pPr>
      <w:r>
        <w:rPr>
          <w:spacing w:val="-2"/>
        </w:rPr>
        <w:t>专门借款当期实际发生的利息费用，减去尚未动用的借款资金存入银行取得的利息收入或进行暂时性投资取得的投资收益后</w:t>
      </w:r>
      <w:r>
        <w:rPr>
          <w:spacing w:val="-63"/>
        </w:rPr>
        <w:t> </w:t>
      </w:r>
      <w:r>
        <w:rPr>
          <w:spacing w:val="-63"/>
        </w:rPr>
      </w:r>
      <w:r>
        <w:rPr/>
        <w:t>的金额予以资本化；一般借款根据累计资产支出超过专门借款部分的资产支出加权平均数乘以所占用一般借款的资本化率， 确定资本化金额。资本化率根据一般借款的加权平均利率计算确定。</w:t>
      </w:r>
    </w:p>
    <w:p>
      <w:pPr>
        <w:spacing w:line="240" w:lineRule="auto" w:before="12"/>
        <w:rPr>
          <w:rFonts w:ascii="宋体" w:hAnsi="宋体" w:cs="宋体" w:eastAsia="宋体" w:hint="default"/>
          <w:sz w:val="17"/>
          <w:szCs w:val="17"/>
        </w:rPr>
      </w:pPr>
    </w:p>
    <w:p>
      <w:pPr>
        <w:pStyle w:val="BodyText"/>
        <w:spacing w:line="240" w:lineRule="auto"/>
        <w:ind w:right="1122"/>
        <w:jc w:val="left"/>
      </w:pPr>
      <w:r>
        <w:rPr/>
        <w:t>资本化期间内，外币专门借款的汇兑差额全部予以资本化；外币一般借款的汇兑差额计入当期损益。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4"/>
        <w:spacing w:line="240" w:lineRule="auto"/>
        <w:ind w:right="1122"/>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本集团无形资产包括土地使用权、专利权、软件著作权、外购软件等。</w:t>
      </w:r>
    </w:p>
    <w:p>
      <w:pPr>
        <w:spacing w:line="240" w:lineRule="auto" w:before="5"/>
        <w:rPr>
          <w:rFonts w:ascii="宋体" w:hAnsi="宋体" w:cs="宋体" w:eastAsia="宋体" w:hint="default"/>
          <w:sz w:val="22"/>
          <w:szCs w:val="22"/>
        </w:rPr>
      </w:pPr>
    </w:p>
    <w:p>
      <w:pPr>
        <w:pStyle w:val="BodyText"/>
        <w:spacing w:line="319" w:lineRule="auto"/>
        <w:ind w:right="1044"/>
        <w:jc w:val="both"/>
      </w:pPr>
      <w:r>
        <w:rPr>
          <w:spacing w:val="-4"/>
        </w:rPr>
        <w:t>无形资产按照成本进行初始计量，并于取得无形资产时分析判断其使用寿命。使用寿命为有限的，自无形资产可供使用时起，</w:t>
      </w:r>
      <w:r>
        <w:rPr>
          <w:spacing w:val="-44"/>
        </w:rPr>
        <w:t> </w:t>
      </w:r>
      <w:r>
        <w:rPr>
          <w:spacing w:val="-44"/>
        </w:rPr>
      </w:r>
      <w:r>
        <w:rPr/>
        <w:t>采用能反映与该资产有关的经济利益的预期实现方式的摊销方法，在预计使用年限内摊销；无法可靠确定预期实现方式的， 采用直线法摊销；使用寿命不确定的无形资产，不作摊销。</w:t>
      </w:r>
    </w:p>
    <w:p>
      <w:pPr>
        <w:spacing w:after="0" w:line="319"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使用寿命有限的无形资产摊销方法如下：</w:t>
      </w:r>
    </w:p>
    <w:p>
      <w:pPr>
        <w:spacing w:line="240" w:lineRule="auto" w:before="4"/>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802"/>
        <w:gridCol w:w="4183"/>
        <w:gridCol w:w="1297"/>
      </w:tblGrid>
      <w:tr>
        <w:trPr>
          <w:trHeight w:val="265" w:hRule="exact"/>
        </w:trPr>
        <w:tc>
          <w:tcPr>
            <w:tcW w:w="3802" w:type="dxa"/>
            <w:tcBorders>
              <w:top w:val="nil" w:sz="6" w:space="0" w:color="auto"/>
              <w:left w:val="nil" w:sz="6" w:space="0" w:color="auto"/>
              <w:bottom w:val="single" w:sz="6" w:space="0" w:color="000000"/>
              <w:right w:val="nil" w:sz="6" w:space="0" w:color="auto"/>
            </w:tcBorders>
          </w:tcPr>
          <w:p>
            <w:pPr>
              <w:pStyle w:val="TableParagraph"/>
              <w:spacing w:line="180" w:lineRule="exact"/>
              <w:ind w:left="12"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4183" w:type="dxa"/>
            <w:tcBorders>
              <w:top w:val="nil" w:sz="6" w:space="0" w:color="auto"/>
              <w:left w:val="nil" w:sz="6" w:space="0" w:color="auto"/>
              <w:bottom w:val="single" w:sz="6" w:space="0" w:color="000000"/>
              <w:right w:val="nil" w:sz="6" w:space="0" w:color="auto"/>
            </w:tcBorders>
          </w:tcPr>
          <w:p>
            <w:pPr>
              <w:pStyle w:val="TableParagraph"/>
              <w:spacing w:line="180" w:lineRule="exact"/>
              <w:ind w:right="568"/>
              <w:jc w:val="right"/>
              <w:rPr>
                <w:rFonts w:ascii="宋体" w:hAnsi="宋体" w:cs="宋体" w:eastAsia="宋体" w:hint="default"/>
                <w:sz w:val="18"/>
                <w:szCs w:val="18"/>
              </w:rPr>
            </w:pPr>
            <w:r>
              <w:rPr>
                <w:rFonts w:ascii="宋体" w:hAnsi="宋体" w:cs="宋体" w:eastAsia="宋体" w:hint="default"/>
                <w:b/>
                <w:bCs/>
                <w:w w:val="95"/>
                <w:sz w:val="18"/>
                <w:szCs w:val="18"/>
              </w:rPr>
              <w:t>使用年限</w:t>
            </w:r>
            <w:r>
              <w:rPr>
                <w:rFonts w:ascii="宋体" w:hAnsi="宋体" w:cs="宋体" w:eastAsia="宋体" w:hint="default"/>
                <w:sz w:val="18"/>
                <w:szCs w:val="18"/>
              </w:rPr>
            </w:r>
          </w:p>
        </w:tc>
        <w:tc>
          <w:tcPr>
            <w:tcW w:w="1297" w:type="dxa"/>
            <w:tcBorders>
              <w:top w:val="nil" w:sz="6" w:space="0" w:color="auto"/>
              <w:left w:val="nil" w:sz="6" w:space="0" w:color="auto"/>
              <w:bottom w:val="single" w:sz="6" w:space="0" w:color="000000"/>
              <w:right w:val="nil" w:sz="6" w:space="0" w:color="auto"/>
            </w:tcBorders>
          </w:tcPr>
          <w:p>
            <w:pPr>
              <w:pStyle w:val="TableParagraph"/>
              <w:spacing w:line="180" w:lineRule="exact"/>
              <w:ind w:right="5"/>
              <w:jc w:val="right"/>
              <w:rPr>
                <w:rFonts w:ascii="宋体" w:hAnsi="宋体" w:cs="宋体" w:eastAsia="宋体" w:hint="default"/>
                <w:sz w:val="18"/>
                <w:szCs w:val="18"/>
              </w:rPr>
            </w:pPr>
            <w:r>
              <w:rPr>
                <w:rFonts w:ascii="宋体" w:hAnsi="宋体" w:cs="宋体" w:eastAsia="宋体" w:hint="default"/>
                <w:b/>
                <w:bCs/>
                <w:w w:val="95"/>
                <w:sz w:val="18"/>
                <w:szCs w:val="18"/>
              </w:rPr>
              <w:t>摊销方法</w:t>
            </w:r>
            <w:r>
              <w:rPr>
                <w:rFonts w:ascii="宋体" w:hAnsi="宋体" w:cs="宋体" w:eastAsia="宋体" w:hint="default"/>
                <w:sz w:val="18"/>
                <w:szCs w:val="18"/>
              </w:rPr>
            </w:r>
          </w:p>
        </w:tc>
      </w:tr>
      <w:tr>
        <w:trPr>
          <w:trHeight w:val="338" w:hRule="exact"/>
        </w:trPr>
        <w:tc>
          <w:tcPr>
            <w:tcW w:w="3802"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left="1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183"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10"/>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36" w:hRule="exact"/>
        </w:trPr>
        <w:tc>
          <w:tcPr>
            <w:tcW w:w="3802"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18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38" w:hRule="exact"/>
        </w:trPr>
        <w:tc>
          <w:tcPr>
            <w:tcW w:w="3802"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418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36" w:hRule="exact"/>
        </w:trPr>
        <w:tc>
          <w:tcPr>
            <w:tcW w:w="3802"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4183"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65"/>
              <w:jc w:val="righ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c>
          <w:tcPr>
            <w:tcW w:w="1297" w:type="dxa"/>
            <w:tcBorders>
              <w:top w:val="single" w:sz="6" w:space="0" w:color="000000"/>
              <w:left w:val="nil" w:sz="6" w:space="0" w:color="auto"/>
              <w:bottom w:val="single" w:sz="6" w:space="0" w:color="000000"/>
              <w:right w:val="nil" w:sz="6" w:space="0" w:color="auto"/>
            </w:tcBorders>
          </w:tcPr>
          <w:p>
            <w:pPr>
              <w:pStyle w:val="TableParagraph"/>
              <w:spacing w:line="240" w:lineRule="auto" w:before="8"/>
              <w:ind w:right="5"/>
              <w:jc w:val="right"/>
              <w:rPr>
                <w:rFonts w:ascii="宋体" w:hAnsi="宋体" w:cs="宋体" w:eastAsia="宋体" w:hint="default"/>
                <w:sz w:val="18"/>
                <w:szCs w:val="18"/>
              </w:rPr>
            </w:pPr>
            <w:r>
              <w:rPr>
                <w:rFonts w:ascii="宋体" w:hAnsi="宋体" w:cs="宋体" w:eastAsia="宋体" w:hint="default"/>
                <w:sz w:val="18"/>
                <w:szCs w:val="18"/>
              </w:rPr>
              <w:t>直线法</w:t>
            </w:r>
          </w:p>
        </w:tc>
      </w:tr>
    </w:tbl>
    <w:p>
      <w:pPr>
        <w:spacing w:line="240" w:lineRule="auto" w:before="5"/>
        <w:rPr>
          <w:rFonts w:ascii="宋体" w:hAnsi="宋体" w:cs="宋体" w:eastAsia="宋体" w:hint="default"/>
          <w:sz w:val="6"/>
          <w:szCs w:val="6"/>
        </w:rPr>
      </w:pPr>
    </w:p>
    <w:p>
      <w:pPr>
        <w:pStyle w:val="BodyText"/>
        <w:spacing w:line="316" w:lineRule="auto" w:before="44"/>
        <w:ind w:right="0"/>
        <w:jc w:val="left"/>
      </w:pPr>
      <w:r>
        <w:rPr>
          <w:spacing w:val="-4"/>
        </w:rPr>
        <w:t>本集团于每年年度终了，对使用寿命有限的无形资产的使用寿命及摊销方法进行复核，与以前估计不同的，调整原先估计数，</w:t>
      </w:r>
      <w:r>
        <w:rPr>
          <w:spacing w:val="-44"/>
        </w:rPr>
        <w:t> </w:t>
      </w:r>
      <w:r>
        <w:rPr>
          <w:spacing w:val="-44"/>
        </w:rPr>
      </w:r>
      <w:r>
        <w:rPr/>
        <w:t>并按会计估计变更处理。</w:t>
      </w:r>
    </w:p>
    <w:p>
      <w:pPr>
        <w:spacing w:line="240" w:lineRule="auto" w:before="13"/>
        <w:rPr>
          <w:rFonts w:ascii="宋体" w:hAnsi="宋体" w:cs="宋体" w:eastAsia="宋体" w:hint="default"/>
          <w:sz w:val="17"/>
          <w:szCs w:val="17"/>
        </w:rPr>
      </w:pPr>
    </w:p>
    <w:p>
      <w:pPr>
        <w:pStyle w:val="BodyText"/>
        <w:spacing w:line="537" w:lineRule="auto"/>
        <w:ind w:right="1394"/>
        <w:jc w:val="left"/>
      </w:pPr>
      <w:r>
        <w:rPr/>
        <w:t>资产负债表日预计某项无形资产已经不能给企业带来未来经济利益的，将该项无形资产的账面价值全部转入当期损益。 无形资产计提资产减值方法参见本附注五、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530" w:lineRule="auto" w:before="152"/>
        <w:ind w:left="152" w:right="4814" w:firstLine="0"/>
        <w:jc w:val="left"/>
        <w:rPr>
          <w:rFonts w:ascii="宋体" w:hAnsi="宋体" w:cs="宋体" w:eastAsia="宋体" w:hint="default"/>
          <w:sz w:val="18"/>
          <w:szCs w:val="18"/>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75"/>
        <w:ind w:right="0"/>
        <w:jc w:val="left"/>
      </w:pPr>
      <w:r>
        <w:rPr>
          <w:spacing w:val="-4"/>
        </w:rPr>
        <w:t>开发阶段的支出，同时满足下列条件的，才能予以资本化，即：完成该无形资产以使其能够使用或出售在技术上具有可行性；</w:t>
      </w:r>
      <w:r>
        <w:rPr>
          <w:spacing w:val="-46"/>
        </w:rPr>
        <w:t> </w:t>
      </w:r>
      <w:r>
        <w:rPr>
          <w:spacing w:val="-46"/>
        </w:rPr>
      </w:r>
      <w:r>
        <w:rPr>
          <w:spacing w:val="-2"/>
        </w:rPr>
        <w:t>具有完成该无形资产并使用或出售的意图；无形资产产生经济利益的方式，包括能够证明运用该无形资产生产的产品存在市</w:t>
      </w:r>
      <w:r>
        <w:rPr>
          <w:spacing w:val="-64"/>
        </w:rPr>
        <w:t> </w:t>
      </w:r>
      <w:r>
        <w:rPr>
          <w:spacing w:val="-64"/>
        </w:rPr>
      </w:r>
      <w:r>
        <w:rPr>
          <w:spacing w:val="-2"/>
        </w:rPr>
        <w:t>场或无形资产自身存在市场，无形资产将在内部使用的，能够证明其有用性；有足够的技术、财务资源和其他资源支持，以</w:t>
      </w:r>
      <w:r>
        <w:rPr>
          <w:spacing w:val="-67"/>
        </w:rPr>
        <w:t> </w:t>
      </w:r>
      <w:r>
        <w:rPr>
          <w:spacing w:val="-67"/>
        </w:rPr>
      </w:r>
      <w:r>
        <w:rPr>
          <w:spacing w:val="-2"/>
        </w:rPr>
        <w:t>完成该无形资产的开发，并有能力使用或出售该无形资产；归属于该无形资产开发阶段的支出能够可靠地计量。不满足上述</w:t>
      </w:r>
      <w:r>
        <w:rPr>
          <w:spacing w:val="-63"/>
        </w:rPr>
        <w:t> </w:t>
      </w:r>
      <w:r>
        <w:rPr>
          <w:spacing w:val="-63"/>
        </w:rPr>
      </w:r>
      <w:r>
        <w:rPr/>
        <w:t>条件的开发支出计入当期损益。</w:t>
      </w:r>
    </w:p>
    <w:p>
      <w:pPr>
        <w:spacing w:line="240" w:lineRule="auto" w:before="12"/>
        <w:rPr>
          <w:rFonts w:ascii="宋体" w:hAnsi="宋体" w:cs="宋体" w:eastAsia="宋体" w:hint="default"/>
          <w:sz w:val="17"/>
          <w:szCs w:val="17"/>
        </w:rPr>
      </w:pPr>
    </w:p>
    <w:p>
      <w:pPr>
        <w:pStyle w:val="BodyText"/>
        <w:spacing w:line="537" w:lineRule="auto"/>
        <w:ind w:right="1122"/>
        <w:jc w:val="left"/>
      </w:pPr>
      <w:r>
        <w:rPr/>
        <w:t>本集团研究开发项目在满足上述条件，通过技术可行性及经济可行性研究，形成项目立项后，进入开发阶段。 已资本化的开发阶段的支出在资产负债表上列示为开发支出，自该项目达到预定用途之日转为无形资产。 具体研发项目的资本化条件：</w:t>
      </w:r>
    </w:p>
    <w:p>
      <w:pPr>
        <w:pStyle w:val="BodyText"/>
        <w:spacing w:line="316" w:lineRule="auto" w:before="70"/>
        <w:ind w:right="1122"/>
        <w:jc w:val="left"/>
      </w:pPr>
      <w:r>
        <w:rPr>
          <w:spacing w:val="-2"/>
        </w:rPr>
        <w:t>本集团在项目前期进行市场调研、走访客户，了解需求并撰写《项目研究立项书》，在该阶段，由于存在不确定性，将其划</w:t>
      </w:r>
      <w:r>
        <w:rPr>
          <w:spacing w:val="-72"/>
        </w:rPr>
        <w:t> </w:t>
      </w:r>
      <w:r>
        <w:rPr>
          <w:spacing w:val="-72"/>
        </w:rPr>
      </w:r>
      <w:r>
        <w:rPr/>
        <w:t>为研究阶段。研究阶段的支出，于发生时计入当期损益。</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项目立项后，本集团对项目进行可行性分析，包括分析该项目完成形成无形资产后是否在技术上具有使用或出售的可行性和</w:t>
      </w:r>
      <w:r>
        <w:rPr>
          <w:spacing w:val="-64"/>
        </w:rPr>
        <w:t> </w:t>
      </w:r>
      <w:r>
        <w:rPr>
          <w:spacing w:val="-64"/>
        </w:rPr>
      </w:r>
      <w:r>
        <w:rPr>
          <w:spacing w:val="-2"/>
        </w:rPr>
        <w:t>意图；分析无形资产产生利益的方式；分析本集团是否有足够的技术，财务资源和其他资源，有能力完成该项无形资产的开</w:t>
      </w:r>
      <w:r>
        <w:rPr>
          <w:spacing w:val="-65"/>
        </w:rPr>
        <w:t> </w:t>
      </w:r>
      <w:r>
        <w:rPr>
          <w:spacing w:val="-65"/>
        </w:rPr>
      </w:r>
      <w:r>
        <w:rPr>
          <w:spacing w:val="-2"/>
        </w:rPr>
        <w:t>发，分析归属于该项无形资产开发阶段的支出是否能够可靠计量。并将以上分析记录在项目可行性报告中，得出项目可行性</w:t>
      </w:r>
      <w:r>
        <w:rPr>
          <w:spacing w:val="-63"/>
        </w:rPr>
        <w:t> </w:t>
      </w:r>
      <w:r>
        <w:rPr>
          <w:spacing w:val="-63"/>
        </w:rPr>
      </w:r>
      <w:r>
        <w:rPr/>
        <w:t>结论的项目，开发阶段的支出给予在资本化否则，计入当期损益。</w:t>
      </w:r>
    </w:p>
    <w:p>
      <w:pPr>
        <w:spacing w:line="240" w:lineRule="auto" w:before="10"/>
        <w:rPr>
          <w:rFonts w:ascii="宋体" w:hAnsi="宋体" w:cs="宋体" w:eastAsia="宋体" w:hint="default"/>
          <w:sz w:val="22"/>
          <w:szCs w:val="22"/>
        </w:rPr>
      </w:pPr>
    </w:p>
    <w:p>
      <w:pPr>
        <w:pStyle w:val="Heading4"/>
        <w:spacing w:line="240" w:lineRule="auto"/>
        <w:ind w:right="1122"/>
        <w:jc w:val="left"/>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122"/>
        <w:jc w:val="left"/>
      </w:pPr>
      <w:r>
        <w:rPr>
          <w:spacing w:val="-2"/>
        </w:rPr>
        <w:t>对子公司、联营企业和合营企业的长期股权投资、固定资产、在建工程、无形资产、商誉等（存货、递延所得税资产、金融</w:t>
      </w:r>
      <w:r>
        <w:rPr>
          <w:spacing w:val="-68"/>
        </w:rPr>
        <w:t> </w:t>
      </w:r>
      <w:r>
        <w:rPr>
          <w:spacing w:val="-68"/>
        </w:rPr>
      </w:r>
      <w:r>
        <w:rPr/>
        <w:t>资产除外）的资产减值，按以下方法确定：</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1"/>
        <w:jc w:val="both"/>
      </w:pPr>
      <w:r>
        <w:rPr>
          <w:spacing w:val="-2"/>
        </w:rPr>
        <w:t>于资产负债表日判断资产是否存在可能发生减值的迹象，存在减值迹象的，本集团将估计其可收回金额，进行减值测试。对</w:t>
      </w:r>
      <w:r>
        <w:rPr>
          <w:spacing w:val="-64"/>
        </w:rPr>
        <w:t> </w:t>
      </w:r>
      <w:r>
        <w:rPr>
          <w:spacing w:val="-64"/>
        </w:rPr>
      </w:r>
      <w:r>
        <w:rPr>
          <w:spacing w:val="-2"/>
        </w:rPr>
        <w:t>因企业合并所形成的商誉、使用寿命不确定的无形资产和尚未达到可使用状态的无形资产无论是否存在减值迹象，每年都进</w:t>
      </w:r>
      <w:r>
        <w:rPr>
          <w:spacing w:val="-64"/>
        </w:rPr>
        <w:t> </w:t>
      </w:r>
      <w:r>
        <w:rPr>
          <w:spacing w:val="-64"/>
        </w:rPr>
      </w:r>
      <w:r>
        <w:rPr/>
        <w:t>行减值测试。</w:t>
      </w:r>
    </w:p>
    <w:p>
      <w:pPr>
        <w:spacing w:line="240" w:lineRule="auto" w:before="12"/>
        <w:rPr>
          <w:rFonts w:ascii="宋体" w:hAnsi="宋体" w:cs="宋体" w:eastAsia="宋体" w:hint="default"/>
          <w:sz w:val="17"/>
          <w:szCs w:val="17"/>
        </w:rPr>
      </w:pPr>
    </w:p>
    <w:p>
      <w:pPr>
        <w:pStyle w:val="BodyText"/>
        <w:spacing w:line="316" w:lineRule="auto"/>
        <w:ind w:right="1132"/>
        <w:jc w:val="both"/>
      </w:pPr>
      <w:r>
        <w:rPr>
          <w:spacing w:val="-2"/>
        </w:rPr>
        <w:t>可收回金额根据资产的公允价值减去处置费用后的净额与资产预计未来现金流量的现值两者之间较高者确定。本集团以单项</w:t>
      </w:r>
      <w:r>
        <w:rPr>
          <w:spacing w:val="-64"/>
        </w:rPr>
        <w:t> </w:t>
      </w:r>
      <w:r>
        <w:rPr>
          <w:spacing w:val="-64"/>
        </w:rPr>
      </w:r>
      <w:r>
        <w:rPr>
          <w:spacing w:val="-2"/>
        </w:rPr>
        <w:t>资产为基础估计其可收回金额；难以对单项资产的可收回金额进行估计的，以该资产所属的资产组为基础确定资产组的可收</w:t>
      </w:r>
      <w:r>
        <w:rPr>
          <w:spacing w:val="-63"/>
        </w:rPr>
        <w:t> </w:t>
      </w:r>
      <w:r>
        <w:rPr>
          <w:spacing w:val="-63"/>
        </w:rPr>
      </w:r>
      <w:r>
        <w:rPr/>
        <w:t>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当资产或资产组的可收回金额低于其账面价值时，本集团将其账面价值减记至可收回金额，减记的金额计入当期损益，同时</w:t>
      </w:r>
      <w:r>
        <w:rPr>
          <w:spacing w:val="-65"/>
        </w:rPr>
        <w:t> </w:t>
      </w:r>
      <w:r>
        <w:rPr>
          <w:spacing w:val="-65"/>
        </w:rPr>
      </w:r>
      <w:r>
        <w:rPr/>
        <w:t>计提相应的资产减值准备。</w:t>
      </w:r>
    </w:p>
    <w:p>
      <w:pPr>
        <w:spacing w:line="240" w:lineRule="auto" w:before="13"/>
        <w:rPr>
          <w:rFonts w:ascii="宋体" w:hAnsi="宋体" w:cs="宋体" w:eastAsia="宋体" w:hint="default"/>
          <w:sz w:val="17"/>
          <w:szCs w:val="17"/>
        </w:rPr>
      </w:pPr>
    </w:p>
    <w:p>
      <w:pPr>
        <w:pStyle w:val="BodyText"/>
        <w:spacing w:line="316" w:lineRule="auto"/>
        <w:ind w:right="1128"/>
        <w:jc w:val="both"/>
      </w:pPr>
      <w:r>
        <w:rPr>
          <w:spacing w:val="-2"/>
        </w:rPr>
        <w:t>就商誉的减值测试而言，对于因企业合并形成的商誉的账面价值，自购买日起按照合理的方法分摊至相关的资产组；难以分</w:t>
      </w:r>
      <w:r>
        <w:rPr>
          <w:spacing w:val="-63"/>
        </w:rPr>
        <w:t> </w:t>
      </w:r>
      <w:r>
        <w:rPr>
          <w:spacing w:val="-63"/>
        </w:rPr>
      </w:r>
      <w:r>
        <w:rPr>
          <w:spacing w:val="-2"/>
        </w:rPr>
        <w:t>摊至相关的资产组的，将其分摊至相关的资产组组合。相关的资产组或资产组组合，是能够从企业合并的协同效应中受益的</w:t>
      </w:r>
      <w:r>
        <w:rPr>
          <w:spacing w:val="-61"/>
        </w:rPr>
        <w:t> </w:t>
      </w:r>
      <w:r>
        <w:rPr>
          <w:spacing w:val="-61"/>
        </w:rPr>
      </w:r>
      <w:r>
        <w:rPr/>
        <w:t>资产组或者资产组组合，且不大于本集团确定的报告分部。</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减值测试时，如与商誉相关的资产组或者资产组组合存在减值迹象的，首先对不包含商誉的资产组或者资产组组合进行减值</w:t>
      </w:r>
      <w:r>
        <w:rPr>
          <w:spacing w:val="-64"/>
        </w:rPr>
        <w:t> </w:t>
      </w:r>
      <w:r>
        <w:rPr>
          <w:spacing w:val="-64"/>
        </w:rPr>
      </w:r>
      <w:r>
        <w:rPr>
          <w:spacing w:val="-2"/>
        </w:rPr>
        <w:t>测试，计算可收回金额，确认相应的减值损失。然后对包含商誉的资产组或者资产组组合进行减值测试，比较其账面价值与</w:t>
      </w:r>
      <w:r>
        <w:rPr>
          <w:spacing w:val="-64"/>
        </w:rPr>
        <w:t> </w:t>
      </w:r>
      <w:r>
        <w:rPr>
          <w:spacing w:val="-64"/>
        </w:rPr>
      </w:r>
      <w:r>
        <w:rPr/>
        <w:t>可收回金额，如可收回金额低于账面价值的，确认商誉的减值损失。</w:t>
      </w:r>
    </w:p>
    <w:p>
      <w:pPr>
        <w:spacing w:line="240" w:lineRule="auto" w:before="12"/>
        <w:rPr>
          <w:rFonts w:ascii="宋体" w:hAnsi="宋体" w:cs="宋体" w:eastAsia="宋体" w:hint="default"/>
          <w:sz w:val="17"/>
          <w:szCs w:val="17"/>
        </w:rPr>
      </w:pPr>
    </w:p>
    <w:p>
      <w:pPr>
        <w:pStyle w:val="BodyText"/>
        <w:spacing w:line="240" w:lineRule="auto"/>
        <w:ind w:right="0"/>
        <w:jc w:val="both"/>
      </w:pPr>
      <w:r>
        <w:rPr/>
        <w:t>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42"/>
        <w:jc w:val="both"/>
      </w:pPr>
      <w:r>
        <w:rPr>
          <w:spacing w:val="-4"/>
        </w:rPr>
        <w:t>本集团发生的长期待摊费用按实际成本计价，并按预计受益期限平均摊销。对不能使以后会计期间受益的长期待摊费用项目，</w:t>
      </w:r>
      <w:r>
        <w:rPr>
          <w:spacing w:val="-42"/>
        </w:rPr>
        <w:t> </w:t>
      </w:r>
      <w:r>
        <w:rPr>
          <w:spacing w:val="-42"/>
        </w:rPr>
      </w:r>
      <w:r>
        <w:rPr/>
        <w:t>其摊余价值全部计入当期损益。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本集团在职工提供服务的会计期间，将实际发生的职工工资、奖金、按规定的基准和比例为职工缴纳的医疗保险费、工伤保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险费和生育保险费等社会保险费和住房公积金，确认为负债，并计入当期损益或相关资产成本。如果该负债预期在职工提供</w:t>
      </w:r>
      <w:r>
        <w:rPr>
          <w:spacing w:val="-63"/>
        </w:rPr>
        <w:t> </w:t>
      </w:r>
      <w:r>
        <w:rPr>
          <w:spacing w:val="-63"/>
        </w:rPr>
      </w:r>
      <w:r>
        <w:rPr/>
        <w:t>相关服务的年度报告期结束后十二个月内不能完全支付，且财务影响重大的，则该负债将以折现后的金额计量。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3"/>
          <w:szCs w:val="1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both"/>
      </w:pPr>
      <w:r>
        <w:rPr>
          <w:spacing w:val="-2"/>
        </w:rPr>
        <w:t>离职后福利计划包括设定提存计划和设定受益计划。其中，设定提存计划，是指向独立的基金缴存固定费用后，企业不再承</w:t>
      </w:r>
      <w:r>
        <w:rPr>
          <w:spacing w:val="-63"/>
        </w:rPr>
        <w:t> </w:t>
      </w:r>
      <w:r>
        <w:rPr>
          <w:spacing w:val="-63"/>
        </w:rPr>
      </w:r>
      <w:r>
        <w:rPr/>
        <w:t>担进一步支付义务的离职后福利计划。本公司仅涉及设定提存计划。</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537" w:lineRule="auto" w:before="44"/>
        <w:ind w:right="6974"/>
        <w:jc w:val="left"/>
      </w:pPr>
      <w:r>
        <w:rPr/>
        <w:t>设定提存计划 设定提存计划包括基本养老保险、失业保险等。</w:t>
      </w:r>
    </w:p>
    <w:p>
      <w:pPr>
        <w:pStyle w:val="BodyText"/>
        <w:spacing w:line="240" w:lineRule="auto" w:before="69"/>
        <w:ind w:right="0"/>
        <w:jc w:val="both"/>
      </w:pPr>
      <w:r>
        <w:rPr/>
        <w:t>在职工提供服务的会计期间，根据设定提存计划计算的应缴存金额确认为负债，并计入当期损益或相关资产成本。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jc w:val="left"/>
      </w:pPr>
      <w:r>
        <w:rPr>
          <w:spacing w:val="-2"/>
        </w:rPr>
        <w:t>本集团向职工提供辞退福利的，在下列两者孰早日确认辞退福利产生的职工薪酬负债，并计入当期损益：本集团不能单方面</w:t>
      </w:r>
      <w:r>
        <w:rPr>
          <w:spacing w:val="-63"/>
        </w:rPr>
        <w:t> </w:t>
      </w:r>
      <w:r>
        <w:rPr>
          <w:spacing w:val="-63"/>
        </w:rPr>
      </w:r>
      <w:r>
        <w:rPr/>
        <w:t>撤回因解除劳动关系计划或裁减建议所提供的辞退福利时；本集团确认与涉及支付辞退福利的重组相关的成本或费用时。</w:t>
      </w:r>
    </w:p>
    <w:p>
      <w:pPr>
        <w:spacing w:line="240" w:lineRule="auto" w:before="13"/>
        <w:rPr>
          <w:rFonts w:ascii="宋体" w:hAnsi="宋体" w:cs="宋体" w:eastAsia="宋体" w:hint="default"/>
          <w:sz w:val="17"/>
          <w:szCs w:val="17"/>
        </w:rPr>
      </w:pPr>
    </w:p>
    <w:p>
      <w:pPr>
        <w:pStyle w:val="BodyText"/>
        <w:spacing w:line="316" w:lineRule="auto"/>
        <w:ind w:right="1130"/>
        <w:jc w:val="both"/>
      </w:pPr>
      <w:r>
        <w:rPr>
          <w:spacing w:val="-2"/>
        </w:rPr>
        <w:t>实行职工内部退休计划的，在正式退休日之前的经济补偿，属于辞退福利，自职工停止提供服务日至正常退休日期间，拟支</w:t>
      </w:r>
      <w:r>
        <w:rPr>
          <w:spacing w:val="-65"/>
        </w:rPr>
        <w:t> </w:t>
      </w:r>
      <w:r>
        <w:rPr>
          <w:spacing w:val="-65"/>
        </w:rPr>
      </w:r>
      <w:r>
        <w:rPr>
          <w:spacing w:val="-2"/>
        </w:rPr>
        <w:t>付的内退职工工资和缴纳的社会保险费等一次性计入当期损益。正式退休日期之后的经济补偿（如正常养老退休金），按照</w:t>
      </w:r>
      <w:r>
        <w:rPr>
          <w:spacing w:val="-66"/>
        </w:rPr>
        <w:t> </w:t>
      </w:r>
      <w:r>
        <w:rPr>
          <w:spacing w:val="-66"/>
        </w:rPr>
      </w:r>
      <w:r>
        <w:rPr/>
        <w:t>离职后福利处理。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both"/>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本集团向职工提供的其他长期职工福利，符合设定提存计划条件的，按照上述关于设定提存计划的有关规定进行处理。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如果与或有事项相关的义务同时符合以下条件，本集团将其确认为预计负债：</w:t>
      </w:r>
    </w:p>
    <w:p>
      <w:pPr>
        <w:spacing w:line="240" w:lineRule="auto" w:before="5"/>
        <w:rPr>
          <w:rFonts w:ascii="宋体" w:hAnsi="宋体" w:cs="宋体" w:eastAsia="宋体" w:hint="default"/>
          <w:sz w:val="22"/>
          <w:szCs w:val="22"/>
        </w:rPr>
      </w:pPr>
    </w:p>
    <w:p>
      <w:pPr>
        <w:pStyle w:val="BodyText"/>
        <w:spacing w:line="240" w:lineRule="auto"/>
        <w:ind w:right="0"/>
        <w:jc w:val="both"/>
      </w:pPr>
      <w:r>
        <w:rPr/>
        <w:t>（</w:t>
      </w:r>
      <w:r>
        <w:rPr>
          <w:rFonts w:ascii="Times New Roman" w:hAnsi="Times New Roman" w:cs="Times New Roman" w:eastAsia="Times New Roman" w:hint="default"/>
        </w:rPr>
        <w:t>1</w:t>
      </w:r>
      <w:r>
        <w:rPr/>
        <w:t>）该义务是本集团承担的现时义务；</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2</w:t>
      </w:r>
      <w:r>
        <w:rPr/>
        <w:t>）该义务的履行很可能导致经济利益流出本集团；</w:t>
      </w:r>
    </w:p>
    <w:p>
      <w:pPr>
        <w:spacing w:line="240" w:lineRule="auto" w:before="4"/>
        <w:rPr>
          <w:rFonts w:ascii="宋体" w:hAnsi="宋体" w:cs="宋体" w:eastAsia="宋体" w:hint="default"/>
          <w:sz w:val="21"/>
          <w:szCs w:val="21"/>
        </w:rPr>
      </w:pPr>
    </w:p>
    <w:p>
      <w:pPr>
        <w:pStyle w:val="BodyText"/>
        <w:spacing w:line="240" w:lineRule="auto"/>
        <w:ind w:right="0"/>
        <w:jc w:val="both"/>
      </w:pPr>
      <w:r>
        <w:rPr/>
        <w:t>（</w:t>
      </w:r>
      <w:r>
        <w:rPr>
          <w:rFonts w:ascii="Times New Roman" w:hAnsi="Times New Roman" w:cs="Times New Roman" w:eastAsia="Times New Roman" w:hint="default"/>
        </w:rPr>
        <w:t>3</w:t>
      </w:r>
      <w:r>
        <w:rPr/>
        <w:t>）该义务的金额能够可靠地计量。</w:t>
      </w:r>
    </w:p>
    <w:p>
      <w:pPr>
        <w:spacing w:line="240" w:lineRule="auto" w:before="5"/>
        <w:rPr>
          <w:rFonts w:ascii="宋体" w:hAnsi="宋体" w:cs="宋体" w:eastAsia="宋体" w:hint="default"/>
          <w:sz w:val="21"/>
          <w:szCs w:val="21"/>
        </w:rPr>
      </w:pPr>
    </w:p>
    <w:p>
      <w:pPr>
        <w:pStyle w:val="BodyText"/>
        <w:spacing w:line="316" w:lineRule="auto"/>
        <w:ind w:right="1130"/>
        <w:jc w:val="both"/>
      </w:pPr>
      <w:r>
        <w:rPr>
          <w:spacing w:val="-2"/>
        </w:rPr>
        <w:t>预计负债按照履行相关现时义务所需支出的最佳估计数进行初始计量，并综合考虑与或有事项有关的风险、不确定性和货币</w:t>
      </w:r>
      <w:r>
        <w:rPr>
          <w:spacing w:val="-64"/>
        </w:rPr>
        <w:t> </w:t>
      </w:r>
      <w:r>
        <w:rPr>
          <w:spacing w:val="-64"/>
        </w:rPr>
      </w:r>
      <w:r>
        <w:rPr>
          <w:spacing w:val="-2"/>
        </w:rPr>
        <w:t>时间价值等因素。货币时间价值影响重大的，通过对相关未来现金流出进行折现后确定最佳估计数。本集团于资产负债表日</w:t>
      </w:r>
      <w:r>
        <w:rPr>
          <w:spacing w:val="-63"/>
        </w:rPr>
        <w:t> </w:t>
      </w:r>
      <w:r>
        <w:rPr>
          <w:spacing w:val="-63"/>
        </w:rPr>
      </w:r>
      <w:r>
        <w:rPr/>
        <w:t>对预计负债的账面价值进行复核，并对账面价值进行调整以反映当前最佳估计数。</w:t>
      </w:r>
    </w:p>
    <w:p>
      <w:pPr>
        <w:spacing w:line="240" w:lineRule="auto" w:before="12"/>
        <w:rPr>
          <w:rFonts w:ascii="宋体" w:hAnsi="宋体" w:cs="宋体" w:eastAsia="宋体" w:hint="default"/>
          <w:sz w:val="17"/>
          <w:szCs w:val="17"/>
        </w:rPr>
      </w:pPr>
    </w:p>
    <w:p>
      <w:pPr>
        <w:pStyle w:val="BodyText"/>
        <w:spacing w:line="316" w:lineRule="auto"/>
        <w:ind w:right="1122"/>
        <w:jc w:val="left"/>
      </w:pPr>
      <w:r>
        <w:rPr>
          <w:spacing w:val="-2"/>
        </w:rPr>
        <w:t>如果清偿已确认预计负债所需支出全部或部分预期由第三方或其他方补偿，则补偿金额只能在基本确定能收到时，作为资产</w:t>
      </w:r>
      <w:r>
        <w:rPr>
          <w:spacing w:val="-64"/>
        </w:rPr>
        <w:t> </w:t>
      </w:r>
      <w:r>
        <w:rPr>
          <w:spacing w:val="-64"/>
        </w:rPr>
      </w:r>
      <w:r>
        <w:rPr/>
        <w:t>单独确认。确认的补偿金额不超过所确认负债的账面价值。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9"/>
        <w:ind w:right="0"/>
        <w:jc w:val="both"/>
        <w:rPr>
          <w:b w:val="0"/>
          <w:bCs w:val="0"/>
        </w:rPr>
      </w:pPr>
      <w:r>
        <w:rPr>
          <w:rFonts w:ascii="Times New Roman" w:hAnsi="Times New Roman" w:cs="Times New Roman" w:eastAsia="Times New Roman" w:hint="default"/>
        </w:rPr>
        <w:t>26</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right="0"/>
        <w:jc w:val="both"/>
      </w:pPr>
      <w:r>
        <w:rPr/>
        <w:t>（</w:t>
      </w:r>
      <w:r>
        <w:rPr>
          <w:rFonts w:ascii="Times New Roman" w:hAnsi="Times New Roman" w:cs="Times New Roman" w:eastAsia="Times New Roman" w:hint="default"/>
        </w:rPr>
        <w:t>1</w:t>
      </w:r>
      <w:r>
        <w:rPr/>
        <w:t>）一般原则</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①销售商品</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在已将商品所有权上的主要风险和报酬转移给购货方，既没有保留通常与所有权相联系的继续管理权，也没有对已售商品实</w:t>
      </w:r>
      <w:r>
        <w:rPr>
          <w:spacing w:val="-64"/>
        </w:rPr>
        <w:t> </w:t>
      </w:r>
      <w:r>
        <w:rPr>
          <w:spacing w:val="-64"/>
        </w:rPr>
      </w:r>
      <w:r>
        <w:rPr>
          <w:spacing w:val="-2"/>
        </w:rPr>
        <w:t>施有效控制，收入的金额能够可靠地计量，相关的经济利益很可能流入企业，相关的已发生或将发生的成本能够可靠地计量</w:t>
      </w:r>
      <w:r>
        <w:rPr>
          <w:spacing w:val="-63"/>
        </w:rPr>
        <w:t> </w:t>
      </w:r>
      <w:r>
        <w:rPr>
          <w:spacing w:val="-63"/>
        </w:rPr>
      </w:r>
      <w:r>
        <w:rPr/>
        <w:t>时，确认商品销售收入的实现。</w:t>
      </w:r>
    </w:p>
    <w:p>
      <w:pPr>
        <w:spacing w:line="240" w:lineRule="auto" w:before="12"/>
        <w:rPr>
          <w:rFonts w:ascii="宋体" w:hAnsi="宋体" w:cs="宋体" w:eastAsia="宋体" w:hint="default"/>
          <w:sz w:val="17"/>
          <w:szCs w:val="17"/>
        </w:rPr>
      </w:pPr>
    </w:p>
    <w:p>
      <w:pPr>
        <w:pStyle w:val="BodyText"/>
        <w:spacing w:line="537" w:lineRule="auto"/>
        <w:ind w:right="2834"/>
        <w:jc w:val="left"/>
      </w:pPr>
      <w:r>
        <w:rPr/>
        <w:t>②提供劳务 对在提供劳务交易的结果能够可靠估计的情况下，本公司于资产负债表日按完工百分比法确认收入。 劳务交易的完工进度按已经发生的劳务成本占估计总成本的比例确定。</w:t>
      </w:r>
    </w:p>
    <w:p>
      <w:pPr>
        <w:pStyle w:val="BodyText"/>
        <w:spacing w:line="240" w:lineRule="auto" w:before="70"/>
        <w:ind w:right="1122"/>
        <w:jc w:val="left"/>
      </w:pPr>
      <w:r>
        <w:rPr/>
        <w:t>提供劳务交易的结果能够可靠估计是指同时满足：</w:t>
      </w:r>
      <w:r>
        <w:rPr>
          <w:rFonts w:ascii="Times New Roman" w:hAnsi="Times New Roman" w:cs="Times New Roman" w:eastAsia="Times New Roman" w:hint="default"/>
        </w:rPr>
        <w:t>A</w:t>
      </w:r>
      <w:r>
        <w:rPr/>
        <w:t>、收入的金额能够可靠地计量；</w:t>
      </w:r>
      <w:r>
        <w:rPr>
          <w:rFonts w:ascii="Times New Roman" w:hAnsi="Times New Roman" w:cs="Times New Roman" w:eastAsia="Times New Roman" w:hint="default"/>
        </w:rPr>
        <w:t>B</w:t>
      </w:r>
      <w:r>
        <w:rPr/>
        <w:t>、相关的经济利益很可能流入企业；</w:t>
      </w:r>
    </w:p>
    <w:p>
      <w:pPr>
        <w:pStyle w:val="BodyText"/>
        <w:spacing w:line="240" w:lineRule="auto" w:before="63"/>
        <w:ind w:right="1122"/>
        <w:jc w:val="left"/>
      </w:pPr>
      <w:r>
        <w:rPr>
          <w:rFonts w:ascii="Times New Roman" w:hAnsi="Times New Roman" w:cs="Times New Roman" w:eastAsia="Times New Roman" w:hint="default"/>
        </w:rPr>
        <w:t>C</w:t>
      </w:r>
      <w:r>
        <w:rPr/>
        <w:t>、交易的完工程度能够可靠地确定；</w:t>
      </w:r>
      <w:r>
        <w:rPr>
          <w:rFonts w:ascii="Times New Roman" w:hAnsi="Times New Roman" w:cs="Times New Roman" w:eastAsia="Times New Roman" w:hint="default"/>
        </w:rPr>
        <w:t>D</w:t>
      </w:r>
      <w:r>
        <w:rPr/>
        <w:t>、交易中已发生和将发生的成本能够可靠地计量。</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如果提供劳务交易的结果不能够可靠估计，则按已经发生并预计能够得到补偿的劳务成本金额确认提供的劳务收入，并将已</w:t>
      </w:r>
      <w:r>
        <w:rPr>
          <w:spacing w:val="-64"/>
        </w:rPr>
        <w:t> </w:t>
      </w:r>
      <w:r>
        <w:rPr>
          <w:spacing w:val="-64"/>
        </w:rPr>
      </w:r>
      <w:r>
        <w:rPr/>
        <w:t>发生的劳务成本作为当期费用。已经发生的劳务成本如预计不能得到补偿的，则不确认收入。</w:t>
      </w:r>
    </w:p>
    <w:p>
      <w:pPr>
        <w:spacing w:line="240" w:lineRule="auto" w:before="12"/>
        <w:rPr>
          <w:rFonts w:ascii="宋体" w:hAnsi="宋体" w:cs="宋体" w:eastAsia="宋体" w:hint="default"/>
          <w:sz w:val="17"/>
          <w:szCs w:val="17"/>
        </w:rPr>
      </w:pPr>
    </w:p>
    <w:p>
      <w:pPr>
        <w:pStyle w:val="BodyText"/>
        <w:spacing w:line="537" w:lineRule="auto"/>
        <w:ind w:right="3194"/>
        <w:jc w:val="left"/>
      </w:pPr>
      <w:r>
        <w:rPr/>
        <w:t>③让渡资产使用权 与资产使用权让渡相关的经济利益能够流入及收入的金额能够可靠地计量时，本公司确认收入。</w:t>
      </w:r>
    </w:p>
    <w:p>
      <w:pPr>
        <w:pStyle w:val="BodyText"/>
        <w:spacing w:line="508" w:lineRule="auto" w:before="69"/>
        <w:ind w:right="8054"/>
        <w:jc w:val="left"/>
      </w:pPr>
      <w:r>
        <w:rPr/>
        <w:t>（</w:t>
      </w:r>
      <w:r>
        <w:rPr>
          <w:rFonts w:ascii="Times New Roman" w:hAnsi="Times New Roman" w:cs="Times New Roman" w:eastAsia="Times New Roman" w:hint="default"/>
        </w:rPr>
        <w:t>2</w:t>
      </w:r>
      <w:r>
        <w:rPr/>
        <w:t>）具体方法 本集团收入确认的具体方法如下：</w:t>
      </w:r>
    </w:p>
    <w:p>
      <w:pPr>
        <w:pStyle w:val="BodyText"/>
        <w:spacing w:line="240" w:lineRule="auto" w:before="91"/>
        <w:ind w:right="1122"/>
        <w:jc w:val="left"/>
      </w:pPr>
      <w:r>
        <w:rPr/>
        <w:t>①软件产品收入</w:t>
      </w:r>
    </w:p>
    <w:p>
      <w:pPr>
        <w:spacing w:line="240" w:lineRule="auto" w:before="5"/>
        <w:rPr>
          <w:rFonts w:ascii="宋体" w:hAnsi="宋体" w:cs="宋体" w:eastAsia="宋体" w:hint="default"/>
          <w:sz w:val="22"/>
          <w:szCs w:val="22"/>
        </w:rPr>
      </w:pPr>
    </w:p>
    <w:p>
      <w:pPr>
        <w:pStyle w:val="BodyText"/>
        <w:spacing w:line="316" w:lineRule="auto"/>
        <w:ind w:right="1122"/>
        <w:jc w:val="left"/>
      </w:pPr>
      <w:r>
        <w:rPr>
          <w:spacing w:val="-2"/>
        </w:rPr>
        <w:t>软件产品包括自行开发研制软件产品和定制开发软件产品。自行开发研制软件产品是指拥有自主知识产权、无差异化、可批</w:t>
      </w:r>
      <w:r>
        <w:rPr>
          <w:spacing w:val="-65"/>
        </w:rPr>
        <w:t> </w:t>
      </w:r>
      <w:r>
        <w:rPr>
          <w:spacing w:val="-65"/>
        </w:rPr>
      </w:r>
      <w:r>
        <w:rPr/>
        <w:t>量复制的软件产品；定制开发软件产品是指公司根据买方的实际需求进行定制、开发的软件产品。</w:t>
      </w:r>
    </w:p>
    <w:p>
      <w:pPr>
        <w:spacing w:line="240" w:lineRule="auto" w:before="12"/>
        <w:rPr>
          <w:rFonts w:ascii="宋体" w:hAnsi="宋体" w:cs="宋体" w:eastAsia="宋体" w:hint="default"/>
          <w:sz w:val="17"/>
          <w:szCs w:val="17"/>
        </w:rPr>
      </w:pPr>
    </w:p>
    <w:p>
      <w:pPr>
        <w:pStyle w:val="BodyText"/>
        <w:spacing w:line="316" w:lineRule="auto"/>
        <w:ind w:right="1034"/>
        <w:jc w:val="left"/>
      </w:pPr>
      <w:r>
        <w:rPr>
          <w:spacing w:val="-2"/>
        </w:rPr>
        <w:t>自行开发研制软件产品的销售，公司在软件产品的重要风险和报酬已转移给买方，取得相关的验收单后，不再对其实施继续</w:t>
      </w:r>
      <w:r>
        <w:rPr>
          <w:spacing w:val="-63"/>
        </w:rPr>
        <w:t> </w:t>
      </w:r>
      <w:r>
        <w:rPr>
          <w:spacing w:val="-63"/>
        </w:rPr>
      </w:r>
      <w:r>
        <w:rPr/>
        <w:t>管理权和实际控制权，相关的收入已经收到或取得了收款的证据，并且与其有关的成本能够可靠地计量时，确认销售收入。</w:t>
      </w:r>
    </w:p>
    <w:p>
      <w:pPr>
        <w:spacing w:line="240" w:lineRule="auto" w:before="12"/>
        <w:rPr>
          <w:rFonts w:ascii="宋体" w:hAnsi="宋体" w:cs="宋体" w:eastAsia="宋体" w:hint="default"/>
          <w:sz w:val="17"/>
          <w:szCs w:val="17"/>
        </w:rPr>
      </w:pPr>
    </w:p>
    <w:p>
      <w:pPr>
        <w:pStyle w:val="BodyText"/>
        <w:spacing w:line="240" w:lineRule="auto"/>
        <w:ind w:right="1122"/>
        <w:jc w:val="left"/>
      </w:pPr>
      <w:r>
        <w:rPr/>
        <w:t>定制开发软件项目按合同约定在项目实施完成、交付、并经对方验收合格后确认收入。</w:t>
      </w:r>
    </w:p>
    <w:p>
      <w:pPr>
        <w:spacing w:line="240" w:lineRule="auto" w:before="5"/>
        <w:rPr>
          <w:rFonts w:ascii="宋体" w:hAnsi="宋体" w:cs="宋体" w:eastAsia="宋体" w:hint="default"/>
          <w:sz w:val="22"/>
          <w:szCs w:val="22"/>
        </w:rPr>
      </w:pPr>
    </w:p>
    <w:p>
      <w:pPr>
        <w:pStyle w:val="BodyText"/>
        <w:spacing w:line="537" w:lineRule="auto"/>
        <w:ind w:right="4094"/>
        <w:jc w:val="left"/>
      </w:pPr>
      <w:r>
        <w:rPr/>
        <w:t>②技术服务收入 技术服务是指公司为客户提供的技术支持、技术咨询、技术开发、系统维护等服务。</w:t>
      </w:r>
    </w:p>
    <w:p>
      <w:pPr>
        <w:pStyle w:val="BodyText"/>
        <w:spacing w:line="316" w:lineRule="auto" w:before="69"/>
        <w:ind w:right="1122"/>
        <w:jc w:val="left"/>
      </w:pPr>
      <w:r>
        <w:rPr>
          <w:spacing w:val="-2"/>
        </w:rPr>
        <w:t>技术服务收入的确认原则及方法为：在劳务已经提供，按合同约定取得验收单、收到价款或取得收取款项的证据时，确认劳</w:t>
      </w:r>
      <w:r>
        <w:rPr>
          <w:spacing w:val="-64"/>
        </w:rPr>
        <w:t> </w:t>
      </w:r>
      <w:r>
        <w:rPr>
          <w:spacing w:val="-64"/>
        </w:rPr>
      </w:r>
      <w:r>
        <w:rPr/>
        <w:t>务收入。一定期限的维护合同，按合同期限平均确认收入。</w:t>
      </w:r>
    </w:p>
    <w:p>
      <w:pPr>
        <w:spacing w:line="240" w:lineRule="auto" w:before="12"/>
        <w:rPr>
          <w:rFonts w:ascii="宋体" w:hAnsi="宋体" w:cs="宋体" w:eastAsia="宋体" w:hint="default"/>
          <w:sz w:val="17"/>
          <w:szCs w:val="17"/>
        </w:rPr>
      </w:pPr>
    </w:p>
    <w:p>
      <w:pPr>
        <w:pStyle w:val="BodyText"/>
        <w:spacing w:line="537" w:lineRule="auto"/>
        <w:ind w:right="5354"/>
        <w:jc w:val="left"/>
      </w:pPr>
      <w:r>
        <w:rPr/>
        <w:t>③系统集成收入 系统集成收入是指公司为客户提供采购、安装实施等集成服务业务。</w:t>
      </w:r>
    </w:p>
    <w:p>
      <w:pPr>
        <w:pStyle w:val="BodyText"/>
        <w:spacing w:line="319" w:lineRule="auto" w:before="69"/>
        <w:ind w:right="1122"/>
        <w:jc w:val="left"/>
      </w:pPr>
      <w:r>
        <w:rPr>
          <w:spacing w:val="-2"/>
        </w:rPr>
        <w:t>系统集成收入的确认原则及方法为：按照销售合同的约定，在完成总体工作，并经过客户总体验收后，确认系统集成销售收</w:t>
      </w:r>
      <w:r>
        <w:rPr>
          <w:spacing w:val="-64"/>
        </w:rPr>
        <w:t> </w:t>
      </w:r>
      <w:r>
        <w:rPr>
          <w:spacing w:val="-64"/>
        </w:rPr>
      </w:r>
      <w:r>
        <w:rPr/>
        <w:t>入。</w:t>
      </w:r>
    </w:p>
    <w:p>
      <w:pPr>
        <w:spacing w:after="0" w:line="319"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0"/>
        <w:jc w:val="both"/>
        <w:rPr>
          <w:b w:val="0"/>
          <w:bCs w:val="0"/>
        </w:rPr>
      </w:pPr>
      <w:r>
        <w:rPr>
          <w:rFonts w:ascii="Times New Roman" w:hAnsi="Times New Roman" w:cs="Times New Roman" w:eastAsia="Times New Roman" w:hint="default"/>
        </w:rPr>
        <w:t>27</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政府补助在满足政府补助所附条件并能够收到时确认。</w:t>
      </w:r>
    </w:p>
    <w:p>
      <w:pPr>
        <w:spacing w:line="240" w:lineRule="auto" w:before="5"/>
        <w:rPr>
          <w:rFonts w:ascii="宋体" w:hAnsi="宋体" w:cs="宋体" w:eastAsia="宋体" w:hint="default"/>
          <w:sz w:val="22"/>
          <w:szCs w:val="22"/>
        </w:rPr>
      </w:pPr>
    </w:p>
    <w:p>
      <w:pPr>
        <w:pStyle w:val="BodyText"/>
        <w:spacing w:line="316" w:lineRule="auto"/>
        <w:ind w:right="1131"/>
        <w:jc w:val="both"/>
      </w:pPr>
      <w:r>
        <w:rPr>
          <w:spacing w:val="-2"/>
        </w:rPr>
        <w:t>对于货币性资产的政府补助，按照收到或应收的金额计量。对于非货币性资产的政府补助，按照公允价值计量；公允价值不</w:t>
      </w:r>
      <w:r>
        <w:rPr>
          <w:spacing w:val="-64"/>
        </w:rPr>
        <w:t> </w:t>
      </w:r>
      <w:r>
        <w:rPr>
          <w:spacing w:val="-64"/>
        </w:rPr>
      </w:r>
      <w:r>
        <w:rPr/>
        <w:t>能够可靠取得的，按照名义金额</w:t>
      </w:r>
      <w:r>
        <w:rPr>
          <w:rFonts w:ascii="Times New Roman" w:hAnsi="Times New Roman" w:cs="Times New Roman" w:eastAsia="Times New Roman" w:hint="default"/>
        </w:rPr>
        <w:t>1</w:t>
      </w:r>
      <w:r>
        <w:rPr/>
        <w:t>元计量。</w:t>
      </w:r>
    </w:p>
    <w:p>
      <w:pPr>
        <w:spacing w:line="240" w:lineRule="auto" w:before="6"/>
        <w:rPr>
          <w:rFonts w:ascii="宋体" w:hAnsi="宋体" w:cs="宋体" w:eastAsia="宋体" w:hint="default"/>
          <w:sz w:val="16"/>
          <w:szCs w:val="16"/>
        </w:rPr>
      </w:pPr>
    </w:p>
    <w:p>
      <w:pPr>
        <w:pStyle w:val="BodyText"/>
        <w:spacing w:line="316" w:lineRule="auto"/>
        <w:ind w:right="1044"/>
        <w:jc w:val="both"/>
      </w:pPr>
      <w:r>
        <w:rPr>
          <w:spacing w:val="-2"/>
        </w:rPr>
        <w:t>与资产相关的政府补助，是指本集团取得的、用于购建或以其他方式形成长期资产的政府补助；除此之外，作为与收益相关</w:t>
      </w:r>
      <w:r>
        <w:rPr>
          <w:spacing w:val="-64"/>
        </w:rPr>
        <w:t> </w:t>
      </w:r>
      <w:r>
        <w:rPr>
          <w:spacing w:val="-64"/>
        </w:rPr>
      </w:r>
      <w:r>
        <w:rPr/>
        <w:t>的政府补助。</w:t>
      </w:r>
    </w:p>
    <w:p>
      <w:pPr>
        <w:spacing w:line="240" w:lineRule="auto" w:before="12"/>
        <w:rPr>
          <w:rFonts w:ascii="宋体" w:hAnsi="宋体" w:cs="宋体" w:eastAsia="宋体" w:hint="default"/>
          <w:sz w:val="17"/>
          <w:szCs w:val="17"/>
        </w:rPr>
      </w:pPr>
    </w:p>
    <w:p>
      <w:pPr>
        <w:pStyle w:val="BodyText"/>
        <w:spacing w:line="316" w:lineRule="auto"/>
        <w:ind w:right="1044"/>
        <w:jc w:val="both"/>
      </w:pPr>
      <w:r>
        <w:rPr>
          <w:spacing w:val="-4"/>
        </w:rPr>
        <w:t>对于政府文件未明确规定补助对象的，能够形成长期资产的，与资产价值相对应的政府补助部分作为与资产相关的政府补助，</w:t>
      </w:r>
      <w:r>
        <w:rPr>
          <w:spacing w:val="-44"/>
        </w:rPr>
        <w:t> </w:t>
      </w:r>
      <w:r>
        <w:rPr>
          <w:spacing w:val="-44"/>
        </w:rPr>
      </w:r>
      <w:r>
        <w:rPr/>
        <w:t>其余部分作为与收益相关的政府补助；难以区分的，将政府补助整体作为与收益相关的政府补助。</w:t>
      </w:r>
    </w:p>
    <w:p>
      <w:pPr>
        <w:spacing w:line="240" w:lineRule="auto" w:before="13"/>
        <w:rPr>
          <w:rFonts w:ascii="宋体" w:hAnsi="宋体" w:cs="宋体" w:eastAsia="宋体" w:hint="default"/>
          <w:sz w:val="17"/>
          <w:szCs w:val="17"/>
        </w:rPr>
      </w:pPr>
    </w:p>
    <w:p>
      <w:pPr>
        <w:pStyle w:val="BodyText"/>
        <w:spacing w:line="316" w:lineRule="auto"/>
        <w:ind w:right="1129"/>
        <w:jc w:val="both"/>
      </w:pPr>
      <w:r>
        <w:rPr>
          <w:spacing w:val="-2"/>
        </w:rPr>
        <w:t>与资产相关的政府补助，冲减相关资产的账面价值，或者确认为递延收益在相关资产使用期限内按照合理、系统的方法分期</w:t>
      </w:r>
      <w:r>
        <w:rPr>
          <w:spacing w:val="-63"/>
        </w:rPr>
        <w:t> </w:t>
      </w:r>
      <w:r>
        <w:rPr>
          <w:spacing w:val="-63"/>
        </w:rPr>
      </w:r>
      <w:r>
        <w:rPr>
          <w:spacing w:val="-2"/>
        </w:rPr>
        <w:t>计入损益。与收益相关的政府补助，用于补偿已发生的相关成本费用或损失的，计入当期损益或冲减相关成本；用于补偿以</w:t>
      </w:r>
      <w:r>
        <w:rPr>
          <w:spacing w:val="-65"/>
        </w:rPr>
        <w:t> </w:t>
      </w:r>
      <w:r>
        <w:rPr>
          <w:spacing w:val="-65"/>
        </w:rPr>
      </w:r>
      <w:r>
        <w:rPr>
          <w:spacing w:val="-2"/>
        </w:rPr>
        <w:t>后期间的相关成本费用或损失的，则计入递延收益，于相关成本费用或损失确认期间计入当期损益或冲减相关成本。按照名</w:t>
      </w:r>
      <w:r>
        <w:rPr>
          <w:spacing w:val="-66"/>
        </w:rPr>
        <w:t> </w:t>
      </w:r>
      <w:r>
        <w:rPr>
          <w:spacing w:val="-66"/>
        </w:rPr>
      </w:r>
      <w:r>
        <w:rPr/>
        <w:t>义金额计量的政府补助，直接计入当期损益。本集团对相同或类似的政府补助业务，采用一致的方法处理。</w:t>
      </w:r>
    </w:p>
    <w:p>
      <w:pPr>
        <w:spacing w:line="240" w:lineRule="auto" w:before="12"/>
        <w:rPr>
          <w:rFonts w:ascii="宋体" w:hAnsi="宋体" w:cs="宋体" w:eastAsia="宋体" w:hint="default"/>
          <w:sz w:val="17"/>
          <w:szCs w:val="17"/>
        </w:rPr>
      </w:pPr>
    </w:p>
    <w:p>
      <w:pPr>
        <w:pStyle w:val="BodyText"/>
        <w:spacing w:line="316" w:lineRule="auto"/>
        <w:ind w:right="1129"/>
        <w:jc w:val="both"/>
      </w:pPr>
      <w:r>
        <w:rPr>
          <w:spacing w:val="-2"/>
        </w:rPr>
        <w:t>与日常活动相关的政府补助，按照经济业务实质，计入其他收益或冲减相关成本费用。与日常活动无关的政府补助，计入营</w:t>
      </w:r>
      <w:r>
        <w:rPr>
          <w:spacing w:val="-64"/>
        </w:rPr>
        <w:t> </w:t>
      </w:r>
      <w:r>
        <w:rPr>
          <w:spacing w:val="-64"/>
        </w:rPr>
      </w:r>
      <w:r>
        <w:rPr/>
        <w:t>业外收支。</w:t>
      </w:r>
    </w:p>
    <w:p>
      <w:pPr>
        <w:spacing w:line="240" w:lineRule="auto" w:before="12"/>
        <w:rPr>
          <w:rFonts w:ascii="宋体" w:hAnsi="宋体" w:cs="宋体" w:eastAsia="宋体" w:hint="default"/>
          <w:sz w:val="17"/>
          <w:szCs w:val="17"/>
        </w:rPr>
      </w:pPr>
    </w:p>
    <w:p>
      <w:pPr>
        <w:pStyle w:val="BodyText"/>
        <w:spacing w:line="316" w:lineRule="auto"/>
        <w:ind w:right="1131"/>
        <w:jc w:val="both"/>
      </w:pPr>
      <w:r>
        <w:rPr>
          <w:spacing w:val="-2"/>
        </w:rPr>
        <w:t>已确认的政府补助需要返还时，初始确认时冲减相关资产账面价值的，调整资产账面价值；存在相关递延收益余额的，冲减</w:t>
      </w:r>
      <w:r>
        <w:rPr>
          <w:spacing w:val="-64"/>
        </w:rPr>
        <w:t> </w:t>
      </w:r>
      <w:r>
        <w:rPr>
          <w:spacing w:val="-64"/>
        </w:rPr>
      </w:r>
      <w:r>
        <w:rPr/>
        <w:t>相关递延收益账面余额，超出部分计入当期损益；属于其他情况的，直接计入当期损益。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0"/>
        <w:jc w:val="both"/>
        <w:rPr>
          <w:b w:val="0"/>
          <w:bCs w:val="0"/>
        </w:rPr>
      </w:pP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50"/>
        <w:jc w:val="both"/>
      </w:pPr>
      <w:r>
        <w:rPr>
          <w:spacing w:val="-2"/>
        </w:rPr>
        <w:t>所得税包括当期所得税和递延所得税。除由于企业合并产生的调整商誉，或与直接计入所有者权益的交易或者事项相关的递</w:t>
      </w:r>
      <w:r>
        <w:rPr>
          <w:spacing w:val="-64"/>
        </w:rPr>
        <w:t> </w:t>
      </w:r>
      <w:r>
        <w:rPr>
          <w:spacing w:val="-64"/>
        </w:rPr>
      </w:r>
      <w:r>
        <w:rPr/>
        <w:t>延所得税计入所有者权益外，均作为所得税费用计入当期损益。</w:t>
      </w:r>
    </w:p>
    <w:p>
      <w:pPr>
        <w:spacing w:line="240" w:lineRule="auto" w:before="12"/>
        <w:rPr>
          <w:rFonts w:ascii="宋体" w:hAnsi="宋体" w:cs="宋体" w:eastAsia="宋体" w:hint="default"/>
          <w:sz w:val="17"/>
          <w:szCs w:val="17"/>
        </w:rPr>
      </w:pPr>
    </w:p>
    <w:p>
      <w:pPr>
        <w:pStyle w:val="BodyText"/>
        <w:spacing w:line="537" w:lineRule="auto"/>
        <w:ind w:right="1050"/>
        <w:jc w:val="both"/>
      </w:pPr>
      <w:r>
        <w:rPr/>
        <w:t>本集团根据资产、负债于资产负债表日的账面价值与计税基础之间的暂时性差异，采用资产负债表债务法确认递延所得税。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BodyText"/>
        <w:spacing w:line="300" w:lineRule="auto" w:before="69"/>
        <w:ind w:right="1133"/>
        <w:jc w:val="both"/>
      </w:pPr>
      <w:r>
        <w:rPr/>
        <w:t>（</w:t>
      </w:r>
      <w:r>
        <w:rPr>
          <w:rFonts w:ascii="Times New Roman" w:hAnsi="Times New Roman" w:cs="Times New Roman" w:eastAsia="Times New Roman" w:hint="default"/>
        </w:rPr>
        <w:t>1</w:t>
      </w:r>
      <w:r>
        <w:rPr/>
        <w:t>）商誉的初始确认，或者具有以下特征的交易中产生的资产或负债的初始确认：该交易不是企业合并，并且交易发生时</w:t>
      </w:r>
      <w:r>
        <w:rPr>
          <w:spacing w:val="-84"/>
        </w:rPr>
        <w:t> </w:t>
      </w:r>
      <w:r>
        <w:rPr>
          <w:spacing w:val="-84"/>
        </w:rPr>
      </w:r>
      <w:r>
        <w:rPr/>
        <w:t>既不影响会计利润也不影响应纳税所得额；</w:t>
      </w:r>
    </w:p>
    <w:p>
      <w:pPr>
        <w:spacing w:line="240" w:lineRule="auto" w:before="12"/>
        <w:rPr>
          <w:rFonts w:ascii="宋体" w:hAnsi="宋体" w:cs="宋体" w:eastAsia="宋体" w:hint="default"/>
          <w:sz w:val="18"/>
          <w:szCs w:val="18"/>
        </w:rPr>
      </w:pPr>
    </w:p>
    <w:p>
      <w:pPr>
        <w:pStyle w:val="BodyText"/>
        <w:spacing w:line="300" w:lineRule="auto"/>
        <w:ind w:right="1129"/>
        <w:jc w:val="both"/>
      </w:pPr>
      <w:r>
        <w:rPr/>
        <w:t>（</w:t>
      </w:r>
      <w:r>
        <w:rPr>
          <w:rFonts w:ascii="Times New Roman" w:hAnsi="Times New Roman" w:cs="Times New Roman" w:eastAsia="Times New Roman" w:hint="default"/>
        </w:rPr>
        <w:t>2</w:t>
      </w:r>
      <w:r>
        <w:rPr/>
        <w:t>）对于与子公司、合营企业及联营企业投资相关的应纳税暂时性差异，该暂时性差异转回的时间能够控制并且该暂时性</w:t>
      </w:r>
      <w:r>
        <w:rPr>
          <w:spacing w:val="-84"/>
        </w:rPr>
        <w:t> </w:t>
      </w:r>
      <w:r>
        <w:rPr>
          <w:spacing w:val="-84"/>
        </w:rPr>
      </w:r>
      <w:r>
        <w:rPr/>
        <w:t>差异在可预见的未来很可能不会转回。</w:t>
      </w:r>
    </w:p>
    <w:p>
      <w:pPr>
        <w:spacing w:line="240" w:lineRule="auto" w:before="12"/>
        <w:rPr>
          <w:rFonts w:ascii="宋体" w:hAnsi="宋体" w:cs="宋体" w:eastAsia="宋体" w:hint="default"/>
          <w:sz w:val="18"/>
          <w:szCs w:val="18"/>
        </w:rPr>
      </w:pPr>
    </w:p>
    <w:p>
      <w:pPr>
        <w:pStyle w:val="BodyText"/>
        <w:spacing w:line="316" w:lineRule="auto"/>
        <w:ind w:right="1129"/>
        <w:jc w:val="both"/>
      </w:pPr>
      <w:r>
        <w:rPr>
          <w:spacing w:val="-2"/>
        </w:rPr>
        <w:t>对于可抵扣暂时性差异、能够结转以后年度的可抵扣亏损和税款抵减，本集团以很可能取得用来抵扣可抵扣暂时性差异、可</w:t>
      </w:r>
      <w:r>
        <w:rPr>
          <w:spacing w:val="-62"/>
        </w:rPr>
        <w:t> </w:t>
      </w:r>
      <w:r>
        <w:rPr>
          <w:spacing w:val="-62"/>
        </w:rPr>
      </w:r>
      <w:r>
        <w:rPr>
          <w:spacing w:val="-2"/>
        </w:rPr>
        <w:t>抵扣亏损和税款抵减的未来应纳税所得额为限，确认由此产生的递延所得税资产，除非该可抵扣暂时性差异是在以下交易中</w:t>
      </w:r>
      <w:r>
        <w:rPr>
          <w:spacing w:val="-64"/>
        </w:rPr>
        <w:t> </w:t>
      </w:r>
      <w:r>
        <w:rPr>
          <w:spacing w:val="-64"/>
        </w:rPr>
      </w:r>
      <w:r>
        <w:rPr/>
        <w:t>产生的：</w:t>
      </w:r>
    </w:p>
    <w:p>
      <w:pPr>
        <w:spacing w:line="240" w:lineRule="auto" w:before="13"/>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）该交易不是企业合并，并且交易发生时既不影响会计利润也不影响应纳税所得额；</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9"/>
        <w:jc w:val="both"/>
      </w:pPr>
      <w:r>
        <w:rPr/>
        <w:t>（</w:t>
      </w:r>
      <w:r>
        <w:rPr>
          <w:rFonts w:ascii="Times New Roman" w:hAnsi="Times New Roman" w:cs="Times New Roman" w:eastAsia="Times New Roman" w:hint="default"/>
        </w:rPr>
        <w:t>2</w:t>
      </w:r>
      <w:r>
        <w:rPr/>
        <w:t>）对于与子公司、合营企业及联营企业投资相关的可抵扣暂时性差异，同时满足下列条件的，确认相应的递延所得税资</w:t>
      </w:r>
      <w:r>
        <w:rPr>
          <w:spacing w:val="-84"/>
        </w:rPr>
        <w:t> </w:t>
      </w:r>
      <w:r>
        <w:rPr>
          <w:spacing w:val="-84"/>
        </w:rPr>
      </w:r>
      <w:r>
        <w:rPr/>
        <w:t>产：暂时性差异在可预见的未来很可能转回，且未来很可能获得用来抵扣可抵扣暂时性差异的应纳税所得额。</w:t>
      </w:r>
    </w:p>
    <w:p>
      <w:pPr>
        <w:spacing w:line="240" w:lineRule="auto" w:before="12"/>
        <w:rPr>
          <w:rFonts w:ascii="宋体" w:hAnsi="宋体" w:cs="宋体" w:eastAsia="宋体" w:hint="default"/>
          <w:sz w:val="18"/>
          <w:szCs w:val="18"/>
        </w:rPr>
      </w:pPr>
    </w:p>
    <w:p>
      <w:pPr>
        <w:pStyle w:val="BodyText"/>
        <w:spacing w:line="316" w:lineRule="auto"/>
        <w:ind w:right="1129"/>
        <w:jc w:val="both"/>
      </w:pPr>
      <w:r>
        <w:rPr>
          <w:spacing w:val="-2"/>
        </w:rPr>
        <w:t>于资产负债表日，本集团对递延所得税资产和递延所得税负债，按照预期收回该资产或清偿该负债期间的适用税率计量，并</w:t>
      </w:r>
      <w:r>
        <w:rPr>
          <w:spacing w:val="-62"/>
        </w:rPr>
        <w:t> </w:t>
      </w:r>
      <w:r>
        <w:rPr>
          <w:spacing w:val="-62"/>
        </w:rPr>
      </w:r>
      <w:r>
        <w:rPr/>
        <w:t>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right="1051"/>
        <w:jc w:val="both"/>
      </w:pPr>
      <w:r>
        <w:rPr>
          <w:spacing w:val="-2"/>
        </w:rPr>
        <w:t>于资产负债表日，本集团对递延所得税资产的账面价值进行复核。如果未来期间很可能无法获得足够的应纳税所得额用以抵</w:t>
      </w:r>
      <w:r>
        <w:rPr>
          <w:spacing w:val="-64"/>
        </w:rPr>
        <w:t> </w:t>
      </w:r>
      <w:r>
        <w:rPr>
          <w:spacing w:val="-64"/>
        </w:rPr>
      </w:r>
      <w:r>
        <w:rPr/>
        <w:t>扣递延所得税资产的利益，减记递延所得税资产的账面价值。在很可能获得足够的应纳税所得额时，减记的金额予以转回。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29</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both"/>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spacing w:line="240" w:lineRule="auto" w:before="12"/>
        <w:rPr>
          <w:rFonts w:ascii="宋体" w:hAnsi="宋体" w:cs="宋体" w:eastAsia="宋体" w:hint="default"/>
          <w:sz w:val="17"/>
          <w:szCs w:val="17"/>
        </w:rPr>
      </w:pPr>
    </w:p>
    <w:p>
      <w:pPr>
        <w:pStyle w:val="BodyText"/>
        <w:spacing w:line="508" w:lineRule="auto"/>
        <w:ind w:right="1754"/>
        <w:jc w:val="left"/>
      </w:pPr>
      <w:r>
        <w:rPr/>
        <w:t>（</w:t>
      </w:r>
      <w:r>
        <w:rPr>
          <w:rFonts w:ascii="Times New Roman" w:hAnsi="Times New Roman" w:cs="Times New Roman" w:eastAsia="Times New Roman" w:hint="default"/>
        </w:rPr>
        <w:t>1</w:t>
      </w:r>
      <w:r>
        <w:rPr/>
        <w:t>）本集团作为出租人 经营租赁中的租金，本集团在租赁期内各个期间按照直线法确认当期损益。发生的初始直接费用，计入当期损益。</w:t>
      </w:r>
    </w:p>
    <w:p>
      <w:pPr>
        <w:pStyle w:val="BodyText"/>
        <w:spacing w:line="240" w:lineRule="auto" w:before="91"/>
        <w:ind w:right="0"/>
        <w:jc w:val="both"/>
      </w:pPr>
      <w:r>
        <w:rPr/>
        <w:t>（</w:t>
      </w:r>
      <w:r>
        <w:rPr>
          <w:rFonts w:ascii="Times New Roman" w:hAnsi="Times New Roman" w:cs="Times New Roman" w:eastAsia="Times New Roman" w:hint="default"/>
        </w:rPr>
        <w:t>2</w:t>
      </w:r>
      <w:r>
        <w:rPr/>
        <w:t>）本集团作为承租人</w:t>
      </w:r>
    </w:p>
    <w:p>
      <w:pPr>
        <w:spacing w:line="240" w:lineRule="auto" w:before="4"/>
        <w:rPr>
          <w:rFonts w:ascii="宋体" w:hAnsi="宋体" w:cs="宋体" w:eastAsia="宋体" w:hint="default"/>
          <w:sz w:val="21"/>
          <w:szCs w:val="21"/>
        </w:rPr>
      </w:pPr>
    </w:p>
    <w:p>
      <w:pPr>
        <w:pStyle w:val="BodyText"/>
        <w:spacing w:line="316" w:lineRule="auto"/>
        <w:ind w:right="1133"/>
        <w:jc w:val="both"/>
      </w:pPr>
      <w:r>
        <w:rPr>
          <w:spacing w:val="-2"/>
        </w:rPr>
        <w:t>经营租赁中的租金，本集团在租赁期内各个期间按照直线法计入相关资产成本或当期损益；发生的初始直接费用，计入当期</w:t>
      </w:r>
      <w:r>
        <w:rPr>
          <w:spacing w:val="-66"/>
        </w:rPr>
        <w:t> </w:t>
      </w:r>
      <w:r>
        <w:rPr>
          <w:spacing w:val="-66"/>
        </w:rPr>
      </w:r>
      <w:r>
        <w:rPr/>
        <w:t>损益。</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本集团将实质上转移了与资产所有权有关的全部风险和报酬的租赁确认为融资租赁，除融资租赁之外的其他租赁确认为经营</w:t>
      </w:r>
      <w:r>
        <w:rPr>
          <w:spacing w:val="-64"/>
        </w:rPr>
        <w:t> </w:t>
      </w:r>
      <w:r>
        <w:rPr>
          <w:spacing w:val="-64"/>
        </w:rPr>
      </w:r>
      <w:r>
        <w:rPr/>
        <w:t>租赁。</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1</w:t>
      </w:r>
      <w:r>
        <w:rPr/>
        <w:t>）本集团作为出租人</w:t>
      </w:r>
    </w:p>
    <w:p>
      <w:pPr>
        <w:spacing w:line="240" w:lineRule="auto" w:before="5"/>
        <w:rPr>
          <w:rFonts w:ascii="宋体" w:hAnsi="宋体" w:cs="宋体" w:eastAsia="宋体" w:hint="default"/>
          <w:sz w:val="21"/>
          <w:szCs w:val="21"/>
        </w:rPr>
      </w:pPr>
    </w:p>
    <w:p>
      <w:pPr>
        <w:pStyle w:val="BodyText"/>
        <w:spacing w:line="316" w:lineRule="auto"/>
        <w:ind w:right="1132"/>
        <w:jc w:val="both"/>
      </w:pPr>
      <w:r>
        <w:rPr>
          <w:spacing w:val="-2"/>
        </w:rPr>
        <w:t>融资租赁中，在租赁期开始日本集团按最低租赁收款额与初始直接费用之和作为应收融资租赁款的入账价值，同时记录未担</w:t>
      </w:r>
      <w:r>
        <w:rPr>
          <w:spacing w:val="-64"/>
        </w:rPr>
        <w:t> </w:t>
      </w:r>
      <w:r>
        <w:rPr>
          <w:spacing w:val="-64"/>
        </w:rPr>
      </w:r>
      <w:r>
        <w:rPr>
          <w:spacing w:val="-2"/>
        </w:rPr>
        <w:t>保余值；将最低租赁收款额、初始直接费用及未担保余值之和与其现值之和的差额确认为未实现融资收益。未实现融资收益</w:t>
      </w:r>
      <w:r>
        <w:rPr>
          <w:spacing w:val="-65"/>
        </w:rPr>
        <w:t> </w:t>
      </w:r>
      <w:r>
        <w:rPr>
          <w:spacing w:val="-65"/>
        </w:rPr>
      </w:r>
      <w:r>
        <w:rPr/>
        <w:t>在租赁期内各个期间采用实际利率法计算确认当期的融资收入。</w:t>
      </w:r>
    </w:p>
    <w:p>
      <w:pPr>
        <w:spacing w:line="240" w:lineRule="auto" w:before="12"/>
        <w:rPr>
          <w:rFonts w:ascii="宋体" w:hAnsi="宋体" w:cs="宋体" w:eastAsia="宋体" w:hint="default"/>
          <w:sz w:val="17"/>
          <w:szCs w:val="17"/>
        </w:rPr>
      </w:pPr>
    </w:p>
    <w:p>
      <w:pPr>
        <w:pStyle w:val="BodyText"/>
        <w:spacing w:line="240" w:lineRule="auto"/>
        <w:ind w:right="0"/>
        <w:jc w:val="both"/>
      </w:pPr>
      <w:r>
        <w:rPr/>
        <w:t>（</w:t>
      </w:r>
      <w:r>
        <w:rPr>
          <w:rFonts w:ascii="Times New Roman" w:hAnsi="Times New Roman" w:cs="Times New Roman" w:eastAsia="Times New Roman" w:hint="default"/>
        </w:rPr>
        <w:t>2</w:t>
      </w:r>
      <w:r>
        <w:rPr/>
        <w:t>）本集团作为承租人</w:t>
      </w:r>
    </w:p>
    <w:p>
      <w:pPr>
        <w:spacing w:line="240" w:lineRule="auto" w:before="4"/>
        <w:rPr>
          <w:rFonts w:ascii="宋体" w:hAnsi="宋体" w:cs="宋体" w:eastAsia="宋体" w:hint="default"/>
          <w:sz w:val="21"/>
          <w:szCs w:val="21"/>
        </w:rPr>
      </w:pPr>
    </w:p>
    <w:p>
      <w:pPr>
        <w:pStyle w:val="BodyText"/>
        <w:spacing w:line="316" w:lineRule="auto"/>
        <w:ind w:right="1130"/>
        <w:jc w:val="both"/>
      </w:pPr>
      <w:r>
        <w:rPr>
          <w:spacing w:val="-2"/>
        </w:rPr>
        <w:t>融资租赁中，在租赁期开始日本集团将租赁资产公允价值与最低租赁付款额现值两者中较低者作为租入资产的入账价值，将</w:t>
      </w:r>
      <w:r>
        <w:rPr>
          <w:spacing w:val="-64"/>
        </w:rPr>
        <w:t> </w:t>
      </w:r>
      <w:r>
        <w:rPr>
          <w:spacing w:val="-64"/>
        </w:rPr>
      </w:r>
      <w:r>
        <w:rPr>
          <w:spacing w:val="-2"/>
        </w:rPr>
        <w:t>最低租赁付款额作为长期应付款的入账价值，其差额作为未确认融资费用。初始直接费用计入租入资产价值。未确认融资费</w:t>
      </w:r>
      <w:r>
        <w:rPr>
          <w:spacing w:val="-63"/>
        </w:rPr>
        <w:t> </w:t>
      </w:r>
      <w:r>
        <w:rPr>
          <w:spacing w:val="-63"/>
        </w:rPr>
      </w:r>
      <w:r>
        <w:rPr>
          <w:spacing w:val="-2"/>
        </w:rPr>
        <w:t>用在租赁期内各个期间采用实际利率法计算确认当期的融资费用。本集团采用与自有固定资产相一致的折旧政策计提租赁资</w:t>
      </w:r>
      <w:r>
        <w:rPr>
          <w:spacing w:val="-64"/>
        </w:rPr>
        <w:t> </w:t>
      </w:r>
      <w:r>
        <w:rPr>
          <w:spacing w:val="-64"/>
        </w:rPr>
      </w:r>
      <w:r>
        <w:rPr/>
        <w:t>产折旧。</w:t>
      </w:r>
    </w:p>
    <w:p>
      <w:pPr>
        <w:spacing w:after="0" w:line="31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jc w:val="left"/>
      </w:pPr>
      <w:r>
        <w:rPr>
          <w:spacing w:val="-2"/>
        </w:rPr>
        <w:t>本集团根据历史经验和其它因素，包括对未来事项的合理预期，对所采用的重要会计估计和关键假设进行持续的评价。很可</w:t>
      </w:r>
      <w:r>
        <w:rPr>
          <w:spacing w:val="-63"/>
        </w:rPr>
        <w:t> </w:t>
      </w:r>
      <w:r>
        <w:rPr>
          <w:spacing w:val="-63"/>
        </w:rPr>
      </w:r>
      <w:r>
        <w:rPr/>
        <w:t>能导致下一会计年度资产和负债的账面价值出现重大调整风险的重要会计估计和关键假设列示如下：</w:t>
      </w:r>
    </w:p>
    <w:p>
      <w:pPr>
        <w:spacing w:line="240" w:lineRule="auto" w:before="12"/>
        <w:rPr>
          <w:rFonts w:ascii="宋体" w:hAnsi="宋体" w:cs="宋体" w:eastAsia="宋体" w:hint="default"/>
          <w:sz w:val="17"/>
          <w:szCs w:val="17"/>
        </w:rPr>
      </w:pPr>
    </w:p>
    <w:p>
      <w:pPr>
        <w:pStyle w:val="BodyText"/>
        <w:spacing w:line="240" w:lineRule="auto"/>
        <w:ind w:right="1122"/>
        <w:jc w:val="left"/>
      </w:pPr>
      <w:r>
        <w:rPr/>
        <w:t>应收账款预期信用损失的计量</w:t>
      </w:r>
    </w:p>
    <w:p>
      <w:pPr>
        <w:spacing w:line="240" w:lineRule="auto" w:before="5"/>
        <w:rPr>
          <w:rFonts w:ascii="宋体" w:hAnsi="宋体" w:cs="宋体" w:eastAsia="宋体" w:hint="default"/>
          <w:sz w:val="22"/>
          <w:szCs w:val="22"/>
        </w:rPr>
      </w:pPr>
    </w:p>
    <w:p>
      <w:pPr>
        <w:pStyle w:val="BodyText"/>
        <w:spacing w:line="316" w:lineRule="auto"/>
        <w:ind w:right="1034"/>
        <w:jc w:val="left"/>
      </w:pPr>
      <w:r>
        <w:rPr>
          <w:spacing w:val="-2"/>
        </w:rPr>
        <w:t>本集团通过应收账款违约风险敞口和预期信用损失率计算应收账款预期信用损失，并基于违约概率和违约损失率确定预期信</w:t>
      </w:r>
      <w:r>
        <w:rPr>
          <w:spacing w:val="-64"/>
        </w:rPr>
        <w:t> </w:t>
      </w:r>
      <w:r>
        <w:rPr>
          <w:spacing w:val="-64"/>
        </w:rPr>
      </w:r>
      <w:r>
        <w:rPr>
          <w:spacing w:val="-2"/>
        </w:rPr>
        <w:t>用损失率。在确定预期信用损失率时，本集团使用内部历史信用损失经验等数据，并结合当前状况和前瞻性信息对历史数据</w:t>
      </w:r>
      <w:r>
        <w:rPr>
          <w:spacing w:val="-63"/>
        </w:rPr>
        <w:t> </w:t>
      </w:r>
      <w:r>
        <w:rPr>
          <w:spacing w:val="-63"/>
        </w:rPr>
      </w:r>
      <w:r>
        <w:rPr/>
        <w:t>进行调整。在考虑前瞻性信息时，本集团使用的指标包括经济下滑的风险、外部市场环境、技术环境和客户情况的变化等。</w:t>
      </w:r>
      <w:r>
        <w:rPr/>
        <w:t> 本集团定期监控并复核与预期信用损失计算相关的假设。</w:t>
      </w:r>
    </w:p>
    <w:p>
      <w:pPr>
        <w:spacing w:line="240" w:lineRule="auto" w:before="13"/>
        <w:rPr>
          <w:rFonts w:ascii="宋体" w:hAnsi="宋体" w:cs="宋体" w:eastAsia="宋体" w:hint="default"/>
          <w:sz w:val="17"/>
          <w:szCs w:val="17"/>
        </w:rPr>
      </w:pPr>
    </w:p>
    <w:p>
      <w:pPr>
        <w:pStyle w:val="BodyText"/>
        <w:spacing w:line="240" w:lineRule="auto"/>
        <w:ind w:right="1122"/>
        <w:jc w:val="left"/>
      </w:pPr>
      <w:r>
        <w:rPr/>
        <w:t>商誉减值</w:t>
      </w:r>
    </w:p>
    <w:p>
      <w:pPr>
        <w:spacing w:line="240" w:lineRule="auto" w:before="5"/>
        <w:rPr>
          <w:rFonts w:ascii="宋体" w:hAnsi="宋体" w:cs="宋体" w:eastAsia="宋体" w:hint="default"/>
          <w:sz w:val="22"/>
          <w:szCs w:val="22"/>
        </w:rPr>
      </w:pPr>
    </w:p>
    <w:p>
      <w:pPr>
        <w:pStyle w:val="BodyText"/>
        <w:spacing w:line="316" w:lineRule="auto"/>
        <w:ind w:right="1122"/>
        <w:jc w:val="left"/>
      </w:pPr>
      <w:r>
        <w:rPr>
          <w:spacing w:val="-2"/>
        </w:rPr>
        <w:t>本集团至少每年评估商誉是否发生减值。这要求对分配了商誉的资产组的使用价值进行估计。估计使用价值时，本集团需要</w:t>
      </w:r>
      <w:r>
        <w:rPr>
          <w:spacing w:val="-66"/>
        </w:rPr>
        <w:t> </w:t>
      </w:r>
      <w:r>
        <w:rPr>
          <w:spacing w:val="-66"/>
        </w:rPr>
      </w:r>
      <w:r>
        <w:rPr/>
        <w:t>估计未来来自资产组的现金流量，同时选择恰当的折现率计算未来现金流量的现值。</w:t>
      </w:r>
    </w:p>
    <w:p>
      <w:pPr>
        <w:spacing w:line="240" w:lineRule="auto" w:before="12"/>
        <w:rPr>
          <w:rFonts w:ascii="宋体" w:hAnsi="宋体" w:cs="宋体" w:eastAsia="宋体" w:hint="default"/>
          <w:sz w:val="17"/>
          <w:szCs w:val="17"/>
        </w:rPr>
      </w:pPr>
    </w:p>
    <w:p>
      <w:pPr>
        <w:pStyle w:val="BodyText"/>
        <w:spacing w:line="537" w:lineRule="auto"/>
        <w:ind w:right="1122"/>
        <w:jc w:val="left"/>
      </w:pPr>
      <w:r>
        <w:rPr/>
        <w:t>开发支出 确定资本化的金额时，管理层必须做出有关资产的预期未来现金的产生、应采用的折现率以及预计受益期间的假设。 递延所得税资产</w:t>
      </w:r>
    </w:p>
    <w:p>
      <w:pPr>
        <w:pStyle w:val="BodyText"/>
        <w:spacing w:line="319" w:lineRule="auto" w:before="69"/>
        <w:ind w:right="1122"/>
        <w:jc w:val="left"/>
      </w:pPr>
      <w:r>
        <w:rPr>
          <w:spacing w:val="-2"/>
        </w:rPr>
        <w:t>在很有可能有足够的应纳税利润来抵扣亏损的限度内，应就所有未利用的税务亏损确认递延所得税资产。这需要管理层运用</w:t>
      </w:r>
      <w:r>
        <w:rPr>
          <w:spacing w:val="-63"/>
        </w:rPr>
        <w:t> </w:t>
      </w:r>
      <w:r>
        <w:rPr>
          <w:spacing w:val="-63"/>
        </w:rPr>
      </w:r>
      <w:r>
        <w:rPr/>
        <w:t>大量的判断来估计未来应纳税利润发生的时间和金额，结合纳税筹划策略，以决定应确认的递延所得税资产的金额。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17"/>
        <w:ind w:right="1122"/>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年颁布了《企业会计准则</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w:t>
            </w:r>
            <w:r>
              <w:rPr>
                <w:rFonts w:ascii="宋体" w:hAnsi="宋体" w:cs="宋体" w:eastAsia="宋体" w:hint="default"/>
                <w:spacing w:val="-46"/>
                <w:sz w:val="18"/>
                <w:szCs w:val="18"/>
              </w:rPr>
              <w:t>量</w:t>
            </w: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pacing w:val="-137"/>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w:t>
            </w:r>
          </w:p>
          <w:p>
            <w:pPr>
              <w:pStyle w:val="TableParagraph"/>
              <w:spacing w:line="300" w:lineRule="auto" w:before="63"/>
              <w:ind w:left="24" w:right="82"/>
              <w:jc w:val="both"/>
              <w:rPr>
                <w:rFonts w:ascii="宋体" w:hAnsi="宋体" w:cs="宋体" w:eastAsia="宋体" w:hint="default"/>
                <w:sz w:val="18"/>
                <w:szCs w:val="18"/>
              </w:rPr>
            </w:pPr>
            <w:r>
              <w:rPr>
                <w:rFonts w:ascii="宋体" w:hAnsi="宋体" w:cs="宋体" w:eastAsia="宋体" w:hint="default"/>
                <w:spacing w:val="-6"/>
                <w:sz w:val="18"/>
                <w:szCs w:val="18"/>
              </w:rPr>
              <w:t>会计（修订）》及《企业会计准则第</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42"/>
                <w:sz w:val="18"/>
                <w:szCs w:val="18"/>
              </w:rPr>
              <w:t> </w:t>
            </w:r>
            <w:r>
              <w:rPr>
                <w:rFonts w:ascii="宋体" w:hAnsi="宋体" w:cs="宋体" w:eastAsia="宋体" w:hint="default"/>
                <w:spacing w:val="-10"/>
                <w:w w:val="99"/>
                <w:sz w:val="18"/>
                <w:szCs w:val="18"/>
              </w:rPr>
              <w:t>号</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金融工具列报（修订）》（以下统称</w:t>
            </w:r>
            <w:r>
              <w:rPr>
                <w:rFonts w:ascii="Times New Roman" w:hAnsi="Times New Roman" w:cs="Times New Roman" w:eastAsia="Times New Roman" w:hint="default"/>
                <w:spacing w:val="-10"/>
                <w:w w:val="99"/>
                <w:sz w:val="18"/>
                <w:szCs w:val="18"/>
              </w:rPr>
              <w:t>"</w:t>
            </w:r>
            <w:r>
              <w:rPr>
                <w:rFonts w:ascii="Times New Roman" w:hAnsi="Times New Roman" w:cs="Times New Roman" w:eastAsia="Times New Roman" w:hint="default"/>
                <w:spacing w:val="-27"/>
                <w:w w:val="99"/>
                <w:sz w:val="18"/>
                <w:szCs w:val="18"/>
              </w:rPr>
              <w:t> </w:t>
            </w: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5pt;mso-position-horizontal-relative:char;mso-position-vertical-relative:line" coordorigin="0,0" coordsize="3181,469">
                  <v:group style="position:absolute;left:0;top:0;width:3181;height:469" coordorigin="0,0" coordsize="3181,469">
                    <v:shape style="position:absolute;left:0;top:0;width:3181;height:469" coordorigin="0,0" coordsize="3181,469"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届董事会第十次会议，批准自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300" w:lineRule="auto" w:before="63"/>
              <w:ind w:left="23" w:right="9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日起执行新金融工具准则，对会计 政策相关内容进行了调整</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468" w:lineRule="exact"/>
              <w:ind w:right="-53"/>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6"/>
          <w:szCs w:val="6"/>
        </w:rPr>
      </w:pPr>
    </w:p>
    <w:p>
      <w:pPr>
        <w:pStyle w:val="BodyText"/>
        <w:spacing w:line="300" w:lineRule="auto" w:before="44"/>
        <w:ind w:right="1131"/>
        <w:jc w:val="both"/>
      </w:pPr>
      <w:r>
        <w:rPr/>
        <w:pict>
          <v:shape style="position:absolute;margin-left:210.387009pt;margin-top:-117.868286pt;width:165.2pt;height:113.2pt;mso-position-horizontal-relative:page;mso-position-vertical-relative:paragraph;z-index:-1200856"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6"/>
                    <w:ind w:left="0" w:right="0"/>
                    <w:jc w:val="left"/>
                  </w:pPr>
                  <w:r>
                    <w:rPr/>
                    <w:t>、</w:t>
                  </w:r>
                </w:p>
              </w:txbxContent>
            </v:textbox>
            <w10:wrap type="none"/>
          </v:shape>
        </w:pict>
      </w:r>
      <w:r>
        <w:rPr>
          <w:spacing w:val="-2"/>
        </w:rPr>
        <w:t>根据财政部</w:t>
      </w:r>
      <w:r>
        <w:rPr>
          <w:rFonts w:ascii="Times New Roman" w:hAnsi="Times New Roman" w:cs="Times New Roman" w:eastAsia="Times New Roman" w:hint="default"/>
          <w:spacing w:val="-2"/>
        </w:rPr>
        <w:t>2017</w:t>
      </w:r>
      <w:r>
        <w:rPr>
          <w:spacing w:val="-2"/>
        </w:rPr>
        <w:t>年颁布的《企业会计准则第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金融工具确认和计量（修订）》、《企业会计准则第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w:t>
      </w:r>
      <w:r>
        <w:rPr>
          <w:spacing w:val="-62"/>
        </w:rPr>
        <w:t> </w:t>
      </w:r>
      <w:r>
        <w:rPr>
          <w:spacing w:val="-62"/>
        </w:rPr>
      </w:r>
      <w:r>
        <w:rPr>
          <w:spacing w:val="-5"/>
        </w:rPr>
        <w:t>转移（修订）》、《企业会计准则第</w:t>
      </w:r>
      <w:r>
        <w:rPr>
          <w:rFonts w:ascii="Times New Roman" w:hAnsi="Times New Roman" w:cs="Times New Roman" w:eastAsia="Times New Roman" w:hint="default"/>
          <w:spacing w:val="-5"/>
        </w:rPr>
        <w:t>24</w:t>
      </w:r>
      <w:r>
        <w:rPr>
          <w:spacing w:val="-5"/>
        </w:rPr>
        <w:t>号</w:t>
      </w:r>
      <w:r>
        <w:rPr>
          <w:rFonts w:ascii="Times New Roman" w:hAnsi="Times New Roman" w:cs="Times New Roman" w:eastAsia="Times New Roman" w:hint="default"/>
          <w:spacing w:val="-5"/>
        </w:rPr>
        <w:t>——</w:t>
      </w:r>
      <w:r>
        <w:rPr>
          <w:spacing w:val="-5"/>
        </w:rPr>
        <w:t>套期会计（修订）》及《企业会计准则第</w:t>
      </w:r>
      <w:r>
        <w:rPr>
          <w:rFonts w:ascii="Times New Roman" w:hAnsi="Times New Roman" w:cs="Times New Roman" w:eastAsia="Times New Roman" w:hint="default"/>
          <w:spacing w:val="-5"/>
        </w:rPr>
        <w:t>37</w:t>
      </w:r>
      <w:r>
        <w:rPr>
          <w:spacing w:val="-5"/>
        </w:rPr>
        <w:t>号</w:t>
      </w:r>
      <w:r>
        <w:rPr>
          <w:rFonts w:ascii="Times New Roman" w:hAnsi="Times New Roman" w:cs="Times New Roman" w:eastAsia="Times New Roman" w:hint="default"/>
          <w:spacing w:val="-5"/>
        </w:rPr>
        <w:t>——</w:t>
      </w:r>
      <w:r>
        <w:rPr>
          <w:spacing w:val="-5"/>
        </w:rPr>
        <w:t>金融工具列报（修订）》（以</w:t>
      </w:r>
      <w:r>
        <w:rPr>
          <w:spacing w:val="-76"/>
        </w:rPr>
        <w:t> </w:t>
      </w:r>
      <w:r>
        <w:rPr>
          <w:spacing w:val="-76"/>
        </w:rPr>
      </w:r>
      <w:r>
        <w:rPr/>
        <w:t>下统称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），有关报表项目调整如下：</w:t>
      </w:r>
    </w:p>
    <w:p>
      <w:pPr>
        <w:spacing w:line="240" w:lineRule="auto" w:before="7"/>
        <w:rPr>
          <w:rFonts w:ascii="宋体" w:hAnsi="宋体" w:cs="宋体" w:eastAsia="宋体" w:hint="default"/>
          <w:sz w:val="17"/>
          <w:szCs w:val="17"/>
        </w:rPr>
      </w:pPr>
    </w:p>
    <w:p>
      <w:pPr>
        <w:pStyle w:val="BodyText"/>
        <w:spacing w:line="240" w:lineRule="auto"/>
        <w:ind w:right="0"/>
        <w:jc w:val="both"/>
      </w:pPr>
      <w:r>
        <w:rPr/>
        <w:t>①新金融工具准则</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7" w:lineRule="auto" w:before="44"/>
        <w:ind w:right="1130"/>
        <w:jc w:val="both"/>
      </w:pPr>
      <w:r>
        <w:rPr/>
        <w:t>新金融工具准则要求根据管理金融资产的业务模式和金融资产的合同现金流量特征，将金融资产划分为以下三类：（</w:t>
      </w:r>
      <w:r>
        <w:rPr>
          <w:rFonts w:ascii="Times New Roman" w:hAnsi="Times New Roman" w:cs="Times New Roman" w:eastAsia="Times New Roman" w:hint="default"/>
        </w:rPr>
        <w:t>1</w:t>
      </w:r>
      <w:r>
        <w:rPr/>
        <w:t>）以</w:t>
      </w:r>
      <w:r>
        <w:rPr>
          <w:spacing w:val="-82"/>
        </w:rPr>
        <w:t> </w:t>
      </w:r>
      <w:r>
        <w:rPr>
          <w:spacing w:val="-2"/>
        </w:rPr>
        <w:t>摊余成本计量的金融资产；（</w:t>
      </w:r>
      <w:r>
        <w:rPr>
          <w:rFonts w:ascii="Times New Roman" w:hAnsi="Times New Roman" w:cs="Times New Roman" w:eastAsia="Times New Roman" w:hint="default"/>
          <w:spacing w:val="-2"/>
        </w:rPr>
        <w:t>2</w:t>
      </w:r>
      <w:r>
        <w:rPr>
          <w:spacing w:val="-2"/>
        </w:rPr>
        <w:t>）以公允价值计量且其变动计入其他综合收益的金融资产；（</w:t>
      </w:r>
      <w:r>
        <w:rPr>
          <w:rFonts w:ascii="Times New Roman" w:hAnsi="Times New Roman" w:cs="Times New Roman" w:eastAsia="Times New Roman" w:hint="default"/>
          <w:spacing w:val="-2"/>
        </w:rPr>
        <w:t>3</w:t>
      </w:r>
      <w:r>
        <w:rPr>
          <w:spacing w:val="-2"/>
        </w:rPr>
        <w:t>）以公允价值计量且其变动计</w:t>
      </w:r>
      <w:r>
        <w:rPr>
          <w:spacing w:val="-65"/>
        </w:rPr>
        <w:t> </w:t>
      </w:r>
      <w:r>
        <w:rPr>
          <w:spacing w:val="-65"/>
        </w:rPr>
      </w:r>
      <w:r>
        <w:rPr>
          <w:spacing w:val="-2"/>
        </w:rPr>
        <w:t>入当期损益的金融资产。混合合同包含的主合同属于金融资产的，不应从该混合合同中分拆嵌入衍生工具，而应当将该混合</w:t>
      </w:r>
      <w:r>
        <w:rPr>
          <w:spacing w:val="-63"/>
        </w:rPr>
        <w:t> </w:t>
      </w:r>
      <w:r>
        <w:rPr>
          <w:spacing w:val="-63"/>
        </w:rPr>
      </w:r>
      <w:r>
        <w:rPr/>
        <w:t>合同作为一个整体适用金融资产分类的相关规定。</w:t>
      </w:r>
    </w:p>
    <w:p>
      <w:pPr>
        <w:spacing w:line="240" w:lineRule="auto" w:before="7"/>
        <w:rPr>
          <w:rFonts w:ascii="宋体" w:hAnsi="宋体" w:cs="宋体" w:eastAsia="宋体" w:hint="default"/>
          <w:sz w:val="18"/>
          <w:szCs w:val="18"/>
        </w:rPr>
      </w:pPr>
    </w:p>
    <w:p>
      <w:pPr>
        <w:pStyle w:val="BodyText"/>
        <w:spacing w:line="240" w:lineRule="auto"/>
        <w:ind w:right="0"/>
        <w:jc w:val="both"/>
      </w:pPr>
      <w:r>
        <w:rPr/>
        <w:t>采用新金融工具准则对本集团金融负债的会计政策并无重大影响。</w:t>
      </w:r>
    </w:p>
    <w:p>
      <w:pPr>
        <w:spacing w:line="240" w:lineRule="auto" w:before="5"/>
        <w:rPr>
          <w:rFonts w:ascii="宋体" w:hAnsi="宋体" w:cs="宋体" w:eastAsia="宋体" w:hint="default"/>
          <w:sz w:val="22"/>
          <w:szCs w:val="22"/>
        </w:rPr>
      </w:pPr>
    </w:p>
    <w:p>
      <w:pPr>
        <w:pStyle w:val="BodyText"/>
        <w:spacing w:line="300" w:lineRule="auto"/>
        <w:ind w:right="1131"/>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日，本集团没有将任何金融资产或金融负债指定为以公允价值计量且其变动计入当期损益的金融资产或金融负</w:t>
      </w:r>
      <w:r>
        <w:rPr>
          <w:spacing w:val="-11"/>
        </w:rPr>
        <w:t> </w:t>
      </w:r>
      <w:r>
        <w:rPr>
          <w:spacing w:val="-11"/>
        </w:rPr>
      </w:r>
      <w:r>
        <w:rPr/>
        <w:t>债，也没有撤销之前的指定。</w:t>
      </w:r>
    </w:p>
    <w:p>
      <w:pPr>
        <w:spacing w:line="240" w:lineRule="auto" w:before="12"/>
        <w:rPr>
          <w:rFonts w:ascii="宋体" w:hAnsi="宋体" w:cs="宋体" w:eastAsia="宋体" w:hint="default"/>
          <w:sz w:val="18"/>
          <w:szCs w:val="18"/>
        </w:rPr>
      </w:pPr>
    </w:p>
    <w:p>
      <w:pPr>
        <w:pStyle w:val="BodyText"/>
        <w:spacing w:line="300" w:lineRule="auto"/>
        <w:ind w:right="1131"/>
        <w:jc w:val="both"/>
      </w:pPr>
      <w:r>
        <w:rPr/>
        <w:t>新金融工具准则以</w:t>
      </w:r>
      <w:r>
        <w:rPr>
          <w:rFonts w:ascii="Times New Roman" w:hAnsi="Times New Roman" w:cs="Times New Roman" w:eastAsia="Times New Roman" w:hint="default"/>
        </w:rPr>
        <w:t>“</w:t>
      </w:r>
      <w:r>
        <w:rPr/>
        <w:t>预期信用损失法</w:t>
      </w:r>
      <w:r>
        <w:rPr>
          <w:rFonts w:ascii="Times New Roman" w:hAnsi="Times New Roman" w:cs="Times New Roman" w:eastAsia="Times New Roman" w:hint="default"/>
        </w:rPr>
        <w:t>”</w:t>
      </w:r>
      <w:r>
        <w:rPr/>
        <w:t>替代了原金融工具准则规定的、根据实际已发生减值损失确认减值准备的方法。</w:t>
      </w:r>
      <w:r>
        <w:rPr>
          <w:rFonts w:ascii="Times New Roman" w:hAnsi="Times New Roman" w:cs="Times New Roman" w:eastAsia="Times New Roman" w:hint="default"/>
        </w:rPr>
        <w:t>“</w:t>
      </w:r>
      <w:r>
        <w:rPr/>
        <w:t>预期</w:t>
      </w:r>
      <w:r>
        <w:rPr>
          <w:spacing w:val="-54"/>
        </w:rPr>
        <w:t> </w:t>
      </w:r>
      <w:r>
        <w:rPr/>
        <w:t>信用损失法</w:t>
      </w:r>
      <w:r>
        <w:rPr>
          <w:rFonts w:ascii="Times New Roman" w:hAnsi="Times New Roman" w:cs="Times New Roman" w:eastAsia="Times New Roman" w:hint="default"/>
        </w:rPr>
        <w:t>”</w:t>
      </w:r>
      <w:r>
        <w:rPr/>
        <w:t>模型要求持续评估金融资产的信用风险，因此在新金融工具准则下，本集团信用损失的确认时点早于原金融工</w:t>
      </w:r>
      <w:r>
        <w:rPr>
          <w:spacing w:val="-76"/>
        </w:rPr>
        <w:t> </w:t>
      </w:r>
      <w:r>
        <w:rPr>
          <w:spacing w:val="-76"/>
        </w:rPr>
      </w:r>
      <w:r>
        <w:rPr/>
        <w:t>具准则。</w:t>
      </w:r>
    </w:p>
    <w:p>
      <w:pPr>
        <w:spacing w:line="240" w:lineRule="auto" w:before="12"/>
        <w:rPr>
          <w:rFonts w:ascii="宋体" w:hAnsi="宋体" w:cs="宋体" w:eastAsia="宋体" w:hint="default"/>
          <w:sz w:val="18"/>
          <w:szCs w:val="18"/>
        </w:rPr>
      </w:pPr>
    </w:p>
    <w:p>
      <w:pPr>
        <w:pStyle w:val="BodyText"/>
        <w:spacing w:line="240" w:lineRule="auto"/>
        <w:ind w:right="0"/>
        <w:jc w:val="both"/>
      </w:pPr>
      <w:r>
        <w:rPr/>
        <w:t>本集团以预期信用损失为基础，对下列项目进行减值会计处理并确认损失准备：</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以摊余成本计量的金融资产；</w:t>
      </w:r>
    </w:p>
    <w:p>
      <w:pPr>
        <w:spacing w:line="240" w:lineRule="auto" w:before="5"/>
        <w:rPr>
          <w:rFonts w:ascii="宋体" w:hAnsi="宋体" w:cs="宋体" w:eastAsia="宋体" w:hint="default"/>
          <w:sz w:val="22"/>
          <w:szCs w:val="22"/>
        </w:rPr>
      </w:pPr>
    </w:p>
    <w:p>
      <w:pPr>
        <w:pStyle w:val="BodyText"/>
        <w:spacing w:line="240" w:lineRule="auto"/>
        <w:ind w:left="273" w:right="1122"/>
        <w:jc w:val="left"/>
      </w:pPr>
      <w:r>
        <w:rPr/>
        <w:t>·  以公允价值计量且其变动计入其他综合收益的应收款项和债权投资；</w:t>
      </w:r>
    </w:p>
    <w:p>
      <w:pPr>
        <w:spacing w:line="240" w:lineRule="auto" w:before="5"/>
        <w:rPr>
          <w:rFonts w:ascii="宋体" w:hAnsi="宋体" w:cs="宋体" w:eastAsia="宋体" w:hint="default"/>
          <w:sz w:val="22"/>
          <w:szCs w:val="22"/>
        </w:rPr>
      </w:pPr>
    </w:p>
    <w:p>
      <w:pPr>
        <w:pStyle w:val="BodyText"/>
        <w:spacing w:line="309" w:lineRule="auto"/>
        <w:ind w:right="1034"/>
        <w:jc w:val="left"/>
      </w:pPr>
      <w:r>
        <w:rPr>
          <w:spacing w:val="-2"/>
        </w:rPr>
        <w:t>本集团按照新金融工具准则的规定，除某些特定情形外，对金融工具的分类和计量（含减值）进行追溯调整，将金融工具原</w:t>
      </w:r>
      <w:r>
        <w:rPr>
          <w:spacing w:val="-66"/>
        </w:rPr>
        <w:t> </w:t>
      </w:r>
      <w:r>
        <w:rPr>
          <w:spacing w:val="-66"/>
        </w:rPr>
      </w:r>
      <w:r>
        <w:rPr>
          <w:spacing w:val="-3"/>
        </w:rPr>
        <w:t>账面价值和在新金融工具准则施行日（即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日）的新账面价值之间的差额计入</w:t>
      </w:r>
      <w:r>
        <w:rPr>
          <w:rFonts w:ascii="Times New Roman" w:hAnsi="Times New Roman" w:cs="Times New Roman" w:eastAsia="Times New Roman" w:hint="default"/>
          <w:spacing w:val="-3"/>
        </w:rPr>
        <w:t>2019</w:t>
      </w:r>
      <w:r>
        <w:rPr>
          <w:spacing w:val="-3"/>
        </w:rPr>
        <w:t>年年初留存收益或其他综合收益。</w:t>
      </w:r>
      <w:r>
        <w:rPr>
          <w:spacing w:val="-87"/>
        </w:rPr>
        <w:t> </w:t>
      </w:r>
      <w:r>
        <w:rPr/>
        <w:t>同时，本集团未对比较财务报表数据进行调整。</w:t>
      </w:r>
    </w:p>
    <w:p>
      <w:pPr>
        <w:pStyle w:val="BodyText"/>
        <w:spacing w:line="240" w:lineRule="auto" w:before="144"/>
        <w:ind w:right="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日，金融资产按照原金融工具准则和新金融工具准则的规定进行分类和计量的结果对比如下：</w:t>
      </w:r>
    </w:p>
    <w:p>
      <w:pPr>
        <w:spacing w:line="240" w:lineRule="auto" w:before="9"/>
        <w:rPr>
          <w:rFonts w:ascii="宋体" w:hAnsi="宋体" w:cs="宋体" w:eastAsia="宋体" w:hint="default"/>
          <w:sz w:val="20"/>
          <w:szCs w:val="20"/>
        </w:rPr>
      </w:pPr>
    </w:p>
    <w:tbl>
      <w:tblPr>
        <w:tblW w:w="0" w:type="auto"/>
        <w:jc w:val="left"/>
        <w:tblInd w:w="145" w:type="dxa"/>
        <w:tblLayout w:type="fixed"/>
        <w:tblCellMar>
          <w:top w:w="0" w:type="dxa"/>
          <w:left w:w="0" w:type="dxa"/>
          <w:bottom w:w="0" w:type="dxa"/>
          <w:right w:w="0" w:type="dxa"/>
        </w:tblCellMar>
        <w:tblLook w:val="01E0"/>
      </w:tblPr>
      <w:tblGrid>
        <w:gridCol w:w="1052"/>
        <w:gridCol w:w="2158"/>
        <w:gridCol w:w="1843"/>
        <w:gridCol w:w="1275"/>
        <w:gridCol w:w="1985"/>
        <w:gridCol w:w="1992"/>
        <w:gridCol w:w="82"/>
      </w:tblGrid>
      <w:tr>
        <w:trPr>
          <w:trHeight w:val="350" w:hRule="exact"/>
        </w:trPr>
        <w:tc>
          <w:tcPr>
            <w:tcW w:w="5053" w:type="dxa"/>
            <w:gridSpan w:val="3"/>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2900" w:right="0"/>
              <w:jc w:val="left"/>
              <w:rPr>
                <w:rFonts w:ascii="宋体" w:hAnsi="宋体" w:cs="宋体" w:eastAsia="宋体" w:hint="default"/>
                <w:sz w:val="18"/>
                <w:szCs w:val="18"/>
              </w:rPr>
            </w:pPr>
            <w:r>
              <w:rPr>
                <w:rFonts w:ascii="宋体" w:hAnsi="宋体" w:cs="宋体" w:eastAsia="宋体" w:hint="default"/>
                <w:b/>
                <w:bCs/>
                <w:sz w:val="18"/>
                <w:szCs w:val="18"/>
              </w:rPr>
              <w:t>原金融工具准则</w:t>
            </w:r>
            <w:r>
              <w:rPr>
                <w:rFonts w:ascii="宋体" w:hAnsi="宋体" w:cs="宋体" w:eastAsia="宋体" w:hint="default"/>
                <w:sz w:val="18"/>
                <w:szCs w:val="18"/>
              </w:rPr>
            </w:r>
          </w:p>
        </w:tc>
        <w:tc>
          <w:tcPr>
            <w:tcW w:w="5334" w:type="dxa"/>
            <w:gridSpan w:val="4"/>
            <w:tcBorders>
              <w:top w:val="single" w:sz="6" w:space="0" w:color="000000"/>
              <w:left w:val="single" w:sz="6" w:space="0" w:color="000000"/>
              <w:bottom w:val="single" w:sz="8" w:space="0" w:color="000000"/>
              <w:right w:val="nil" w:sz="6" w:space="0" w:color="auto"/>
            </w:tcBorders>
          </w:tcPr>
          <w:p>
            <w:pPr>
              <w:pStyle w:val="TableParagraph"/>
              <w:spacing w:line="240" w:lineRule="auto" w:before="17"/>
              <w:ind w:left="3039" w:right="0"/>
              <w:jc w:val="left"/>
              <w:rPr>
                <w:rFonts w:ascii="宋体" w:hAnsi="宋体" w:cs="宋体" w:eastAsia="宋体" w:hint="default"/>
                <w:sz w:val="18"/>
                <w:szCs w:val="18"/>
              </w:rPr>
            </w:pPr>
            <w:r>
              <w:rPr>
                <w:rFonts w:ascii="宋体" w:hAnsi="宋体" w:cs="宋体" w:eastAsia="宋体" w:hint="default"/>
                <w:b/>
                <w:bCs/>
                <w:sz w:val="18"/>
                <w:szCs w:val="18"/>
              </w:rPr>
              <w:t>新金融工具准则</w:t>
            </w:r>
            <w:r>
              <w:rPr>
                <w:rFonts w:ascii="宋体" w:hAnsi="宋体" w:cs="宋体" w:eastAsia="宋体" w:hint="default"/>
                <w:sz w:val="18"/>
                <w:szCs w:val="18"/>
              </w:rPr>
            </w:r>
          </w:p>
        </w:tc>
      </w:tr>
      <w:tr>
        <w:trPr>
          <w:trHeight w:val="346" w:hRule="exact"/>
        </w:trPr>
        <w:tc>
          <w:tcPr>
            <w:tcW w:w="1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right="168"/>
              <w:jc w:val="righ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1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551"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621"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1015" w:right="0"/>
              <w:jc w:val="left"/>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13"/>
              <w:ind w:left="628"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82" w:type="dxa"/>
            <w:vMerge w:val="restart"/>
            <w:tcBorders>
              <w:top w:val="single" w:sz="8" w:space="0" w:color="000000"/>
              <w:left w:val="nil" w:sz="6" w:space="0" w:color="auto"/>
              <w:right w:val="nil" w:sz="6" w:space="0" w:color="auto"/>
            </w:tcBorders>
          </w:tcPr>
          <w:p>
            <w:pPr/>
          </w:p>
        </w:tc>
      </w:tr>
      <w:tr>
        <w:trPr>
          <w:trHeight w:val="972" w:hRule="exact"/>
        </w:trPr>
        <w:tc>
          <w:tcPr>
            <w:tcW w:w="1052" w:type="dxa"/>
            <w:vMerge w:val="restart"/>
            <w:tcBorders>
              <w:top w:val="single" w:sz="8" w:space="0" w:color="000000"/>
              <w:left w:val="single" w:sz="6" w:space="0" w:color="000000"/>
              <w:right w:val="single" w:sz="6" w:space="0" w:color="000000"/>
            </w:tcBorders>
          </w:tcPr>
          <w:p>
            <w:pPr>
              <w:pStyle w:val="TableParagraph"/>
              <w:spacing w:line="316" w:lineRule="auto" w:before="15"/>
              <w:ind w:left="4" w:right="130"/>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2158"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以公允价值计量且其变动 </w:t>
            </w:r>
            <w:r>
              <w:rPr>
                <w:rFonts w:ascii="宋体" w:hAnsi="宋体" w:cs="宋体" w:eastAsia="宋体" w:hint="default"/>
                <w:spacing w:val="-2"/>
                <w:sz w:val="18"/>
                <w:szCs w:val="18"/>
              </w:rPr>
              <w:t>计入其他综合收益（债务工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 w:right="177"/>
              <w:jc w:val="left"/>
              <w:rPr>
                <w:rFonts w:ascii="宋体" w:hAnsi="宋体" w:cs="宋体" w:eastAsia="宋体" w:hint="default"/>
                <w:sz w:val="18"/>
                <w:szCs w:val="18"/>
              </w:rPr>
            </w:pPr>
            <w:r>
              <w:rPr>
                <w:rFonts w:ascii="宋体" w:hAnsi="宋体" w:cs="宋体" w:eastAsia="宋体" w:hint="default"/>
                <w:sz w:val="18"/>
                <w:szCs w:val="18"/>
              </w:rPr>
              <w:t>其他非流动金 融资产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658" w:hRule="exact"/>
        </w:trPr>
        <w:tc>
          <w:tcPr>
            <w:tcW w:w="1052" w:type="dxa"/>
            <w:vMerge/>
            <w:tcBorders>
              <w:left w:val="single" w:sz="6" w:space="0" w:color="000000"/>
              <w:right w:val="single" w:sz="6" w:space="0" w:color="000000"/>
            </w:tcBorders>
          </w:tcPr>
          <w:p>
            <w:pPr/>
          </w:p>
        </w:tc>
        <w:tc>
          <w:tcPr>
            <w:tcW w:w="2158" w:type="dxa"/>
            <w:vMerge w:val="restart"/>
            <w:tcBorders>
              <w:top w:val="single" w:sz="8" w:space="0" w:color="000000"/>
              <w:left w:val="single" w:sz="6" w:space="0" w:color="000000"/>
              <w:right w:val="single" w:sz="6" w:space="0" w:color="000000"/>
            </w:tcBorders>
          </w:tcPr>
          <w:p>
            <w:pPr>
              <w:pStyle w:val="TableParagraph"/>
              <w:spacing w:line="316" w:lineRule="auto" w:before="13"/>
              <w:ind w:left="2" w:right="2"/>
              <w:jc w:val="left"/>
              <w:rPr>
                <w:rFonts w:ascii="宋体" w:hAnsi="宋体" w:cs="宋体" w:eastAsia="宋体" w:hint="default"/>
                <w:sz w:val="18"/>
                <w:szCs w:val="18"/>
              </w:rPr>
            </w:pPr>
            <w:r>
              <w:rPr>
                <w:rFonts w:ascii="宋体" w:hAnsi="宋体" w:cs="宋体" w:eastAsia="宋体" w:hint="default"/>
                <w:sz w:val="18"/>
                <w:szCs w:val="18"/>
              </w:rPr>
              <w:t>以公允价值计量且其变动 </w:t>
            </w:r>
            <w:r>
              <w:rPr>
                <w:rFonts w:ascii="宋体" w:hAnsi="宋体" w:cs="宋体" w:eastAsia="宋体" w:hint="default"/>
                <w:spacing w:val="-2"/>
                <w:sz w:val="18"/>
                <w:szCs w:val="18"/>
              </w:rPr>
              <w:t>计入其他综合收益（权益工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w:t>
            </w:r>
          </w:p>
        </w:tc>
        <w:tc>
          <w:tcPr>
            <w:tcW w:w="1843" w:type="dxa"/>
            <w:vMerge w:val="restart"/>
            <w:tcBorders>
              <w:top w:val="single" w:sz="8" w:space="0" w:color="000000"/>
              <w:left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2" w:right="177"/>
              <w:jc w:val="left"/>
              <w:rPr>
                <w:rFonts w:ascii="宋体" w:hAnsi="宋体" w:cs="宋体" w:eastAsia="宋体" w:hint="default"/>
                <w:sz w:val="18"/>
                <w:szCs w:val="18"/>
              </w:rPr>
            </w:pPr>
            <w:r>
              <w:rPr>
                <w:rFonts w:ascii="宋体" w:hAnsi="宋体" w:cs="宋体" w:eastAsia="宋体" w:hint="default"/>
                <w:sz w:val="18"/>
                <w:szCs w:val="18"/>
              </w:rPr>
              <w:t>交易性金融资 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661" w:hRule="exact"/>
        </w:trPr>
        <w:tc>
          <w:tcPr>
            <w:tcW w:w="1052" w:type="dxa"/>
            <w:vMerge/>
            <w:tcBorders>
              <w:left w:val="single" w:sz="6" w:space="0" w:color="000000"/>
              <w:right w:val="single" w:sz="6" w:space="0" w:color="000000"/>
            </w:tcBorders>
          </w:tcPr>
          <w:p>
            <w:pPr/>
          </w:p>
        </w:tc>
        <w:tc>
          <w:tcPr>
            <w:tcW w:w="2158" w:type="dxa"/>
            <w:vMerge/>
            <w:tcBorders>
              <w:left w:val="single" w:sz="6" w:space="0" w:color="000000"/>
              <w:bottom w:val="single" w:sz="8" w:space="0" w:color="000000"/>
              <w:right w:val="single" w:sz="6" w:space="0" w:color="000000"/>
            </w:tcBorders>
          </w:tcPr>
          <w:p>
            <w:pPr/>
          </w:p>
        </w:tc>
        <w:tc>
          <w:tcPr>
            <w:tcW w:w="1843" w:type="dxa"/>
            <w:vMerge/>
            <w:tcBorders>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15"/>
              <w:ind w:left="2" w:right="177"/>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15"/>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658" w:hRule="exact"/>
        </w:trPr>
        <w:tc>
          <w:tcPr>
            <w:tcW w:w="1052" w:type="dxa"/>
            <w:vMerge/>
            <w:tcBorders>
              <w:left w:val="single" w:sz="6" w:space="0" w:color="000000"/>
              <w:right w:val="single" w:sz="6" w:space="0" w:color="000000"/>
            </w:tcBorders>
          </w:tcPr>
          <w:p>
            <w:pPr/>
          </w:p>
        </w:tc>
        <w:tc>
          <w:tcPr>
            <w:tcW w:w="2158" w:type="dxa"/>
            <w:vMerge w:val="restart"/>
            <w:tcBorders>
              <w:top w:val="single" w:sz="8" w:space="0" w:color="000000"/>
              <w:left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以成本计量（权益工具）</w:t>
            </w:r>
          </w:p>
        </w:tc>
        <w:tc>
          <w:tcPr>
            <w:tcW w:w="1843" w:type="dxa"/>
            <w:vMerge w:val="restart"/>
            <w:tcBorders>
              <w:top w:val="single" w:sz="8" w:space="0" w:color="000000"/>
              <w:left w:val="single" w:sz="6" w:space="0" w:color="000000"/>
              <w:right w:val="single" w:sz="6" w:space="0" w:color="000000"/>
            </w:tcBorders>
          </w:tcPr>
          <w:p>
            <w:pPr>
              <w:pStyle w:val="TableParagraph"/>
              <w:spacing w:line="240" w:lineRule="auto" w:before="55"/>
              <w:ind w:left="880" w:right="0"/>
              <w:jc w:val="left"/>
              <w:rPr>
                <w:rFonts w:ascii="Times New Roman" w:hAnsi="Times New Roman" w:cs="Times New Roman" w:eastAsia="Times New Roman" w:hint="default"/>
                <w:sz w:val="18"/>
                <w:szCs w:val="18"/>
              </w:rPr>
            </w:pPr>
            <w:r>
              <w:rPr>
                <w:rFonts w:ascii="Times New Roman"/>
                <w:sz w:val="18"/>
              </w:rPr>
              <w:t>6,387,524.43</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2" w:right="177"/>
              <w:jc w:val="left"/>
              <w:rPr>
                <w:rFonts w:ascii="宋体" w:hAnsi="宋体" w:cs="宋体" w:eastAsia="宋体" w:hint="default"/>
                <w:sz w:val="18"/>
                <w:szCs w:val="18"/>
              </w:rPr>
            </w:pPr>
            <w:r>
              <w:rPr>
                <w:rFonts w:ascii="宋体" w:hAnsi="宋体" w:cs="宋体" w:eastAsia="宋体" w:hint="default"/>
                <w:sz w:val="18"/>
                <w:szCs w:val="18"/>
              </w:rPr>
              <w:t>其他非流动金 融资产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660" w:hRule="exact"/>
        </w:trPr>
        <w:tc>
          <w:tcPr>
            <w:tcW w:w="1052" w:type="dxa"/>
            <w:vMerge/>
            <w:tcBorders>
              <w:left w:val="single" w:sz="6" w:space="0" w:color="000000"/>
              <w:bottom w:val="single" w:sz="8" w:space="0" w:color="000000"/>
              <w:right w:val="single" w:sz="6" w:space="0" w:color="000000"/>
            </w:tcBorders>
          </w:tcPr>
          <w:p>
            <w:pPr/>
          </w:p>
        </w:tc>
        <w:tc>
          <w:tcPr>
            <w:tcW w:w="2158" w:type="dxa"/>
            <w:vMerge/>
            <w:tcBorders>
              <w:left w:val="single" w:sz="6" w:space="0" w:color="000000"/>
              <w:bottom w:val="single" w:sz="8" w:space="0" w:color="000000"/>
              <w:right w:val="single" w:sz="6" w:space="0" w:color="000000"/>
            </w:tcBorders>
          </w:tcPr>
          <w:p>
            <w:pPr/>
          </w:p>
        </w:tc>
        <w:tc>
          <w:tcPr>
            <w:tcW w:w="1843" w:type="dxa"/>
            <w:vMerge/>
            <w:tcBorders>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2" w:right="177"/>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5"/>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6,387,524.43</w:t>
            </w:r>
          </w:p>
        </w:tc>
        <w:tc>
          <w:tcPr>
            <w:tcW w:w="82" w:type="dxa"/>
            <w:vMerge/>
            <w:tcBorders>
              <w:left w:val="nil" w:sz="6" w:space="0" w:color="auto"/>
              <w:right w:val="nil" w:sz="6" w:space="0" w:color="auto"/>
            </w:tcBorders>
          </w:tcPr>
          <w:p>
            <w:pPr/>
          </w:p>
        </w:tc>
      </w:tr>
      <w:tr>
        <w:trPr>
          <w:trHeight w:val="348" w:hRule="exact"/>
        </w:trPr>
        <w:tc>
          <w:tcPr>
            <w:tcW w:w="1052" w:type="dxa"/>
            <w:vMerge w:val="restart"/>
            <w:tcBorders>
              <w:top w:val="single" w:sz="8" w:space="0" w:color="000000"/>
              <w:left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58" w:type="dxa"/>
            <w:vMerge w:val="restart"/>
            <w:tcBorders>
              <w:top w:val="single" w:sz="8" w:space="0" w:color="000000"/>
              <w:left w:val="single" w:sz="6"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8" w:space="0" w:color="000000"/>
              <w:left w:val="single" w:sz="6" w:space="0" w:color="000000"/>
              <w:right w:val="single" w:sz="6" w:space="0" w:color="000000"/>
            </w:tcBorders>
          </w:tcPr>
          <w:p>
            <w:pPr>
              <w:pStyle w:val="TableParagraph"/>
              <w:spacing w:line="240" w:lineRule="auto" w:before="55"/>
              <w:ind w:left="880" w:right="0"/>
              <w:jc w:val="left"/>
              <w:rPr>
                <w:rFonts w:ascii="Times New Roman" w:hAnsi="Times New Roman" w:cs="Times New Roman" w:eastAsia="Times New Roman" w:hint="default"/>
                <w:sz w:val="18"/>
                <w:szCs w:val="18"/>
              </w:rPr>
            </w:pPr>
            <w:r>
              <w:rPr>
                <w:rFonts w:ascii="Times New Roman"/>
                <w:sz w:val="18"/>
              </w:rPr>
              <w:t>4,391,819.00</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pacing w:val="-1"/>
                <w:sz w:val="18"/>
              </w:rPr>
              <w:t>4,391,819.00</w:t>
            </w:r>
          </w:p>
        </w:tc>
        <w:tc>
          <w:tcPr>
            <w:tcW w:w="82" w:type="dxa"/>
            <w:vMerge/>
            <w:tcBorders>
              <w:left w:val="nil" w:sz="6" w:space="0" w:color="auto"/>
              <w:right w:val="nil" w:sz="6" w:space="0" w:color="auto"/>
            </w:tcBorders>
          </w:tcPr>
          <w:p>
            <w:pPr/>
          </w:p>
        </w:tc>
      </w:tr>
      <w:tr>
        <w:trPr>
          <w:trHeight w:val="658" w:hRule="exact"/>
        </w:trPr>
        <w:tc>
          <w:tcPr>
            <w:tcW w:w="1052" w:type="dxa"/>
            <w:vMerge/>
            <w:tcBorders>
              <w:left w:val="single" w:sz="6" w:space="0" w:color="000000"/>
              <w:bottom w:val="single" w:sz="8" w:space="0" w:color="000000"/>
              <w:right w:val="single" w:sz="6" w:space="0" w:color="000000"/>
            </w:tcBorders>
          </w:tcPr>
          <w:p>
            <w:pPr/>
          </w:p>
        </w:tc>
        <w:tc>
          <w:tcPr>
            <w:tcW w:w="2158" w:type="dxa"/>
            <w:vMerge/>
            <w:tcBorders>
              <w:left w:val="single" w:sz="6" w:space="0" w:color="000000"/>
              <w:bottom w:val="single" w:sz="8" w:space="0" w:color="000000"/>
              <w:right w:val="single" w:sz="6" w:space="0" w:color="000000"/>
            </w:tcBorders>
          </w:tcPr>
          <w:p>
            <w:pPr/>
          </w:p>
        </w:tc>
        <w:tc>
          <w:tcPr>
            <w:tcW w:w="1843" w:type="dxa"/>
            <w:vMerge/>
            <w:tcBorders>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6" w:lineRule="auto" w:before="13"/>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348" w:hRule="exact"/>
        </w:trPr>
        <w:tc>
          <w:tcPr>
            <w:tcW w:w="1052" w:type="dxa"/>
            <w:vMerge w:val="restart"/>
            <w:tcBorders>
              <w:top w:val="single" w:sz="8" w:space="0" w:color="000000"/>
              <w:left w:val="single" w:sz="6"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58" w:type="dxa"/>
            <w:vMerge w:val="restart"/>
            <w:tcBorders>
              <w:top w:val="single" w:sz="8" w:space="0" w:color="000000"/>
              <w:left w:val="single" w:sz="6"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vMerge w:val="restart"/>
            <w:tcBorders>
              <w:top w:val="single" w:sz="8" w:space="0" w:color="000000"/>
              <w:left w:val="single" w:sz="6" w:space="0" w:color="000000"/>
              <w:right w:val="single" w:sz="6" w:space="0" w:color="000000"/>
            </w:tcBorders>
          </w:tcPr>
          <w:p>
            <w:pPr>
              <w:pStyle w:val="TableParagraph"/>
              <w:spacing w:line="240" w:lineRule="auto" w:before="57"/>
              <w:ind w:left="698" w:right="0"/>
              <w:jc w:val="left"/>
              <w:rPr>
                <w:rFonts w:ascii="Times New Roman" w:hAnsi="Times New Roman" w:cs="Times New Roman" w:eastAsia="Times New Roman" w:hint="default"/>
                <w:sz w:val="18"/>
                <w:szCs w:val="18"/>
              </w:rPr>
            </w:pPr>
            <w:r>
              <w:rPr>
                <w:rFonts w:ascii="Times New Roman"/>
                <w:sz w:val="18"/>
              </w:rPr>
              <w:t>923,158,434.26</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pacing w:val="-1"/>
                <w:sz w:val="18"/>
              </w:rPr>
              <w:t>896,924,410.05</w:t>
            </w:r>
          </w:p>
        </w:tc>
        <w:tc>
          <w:tcPr>
            <w:tcW w:w="82" w:type="dxa"/>
            <w:vMerge/>
            <w:tcBorders>
              <w:left w:val="nil" w:sz="6" w:space="0" w:color="auto"/>
              <w:right w:val="nil" w:sz="6" w:space="0" w:color="auto"/>
            </w:tcBorders>
          </w:tcPr>
          <w:p>
            <w:pPr/>
          </w:p>
        </w:tc>
      </w:tr>
      <w:tr>
        <w:trPr>
          <w:trHeight w:val="658" w:hRule="exact"/>
        </w:trPr>
        <w:tc>
          <w:tcPr>
            <w:tcW w:w="1052" w:type="dxa"/>
            <w:vMerge/>
            <w:tcBorders>
              <w:left w:val="single" w:sz="6" w:space="0" w:color="000000"/>
              <w:bottom w:val="single" w:sz="8" w:space="0" w:color="000000"/>
              <w:right w:val="single" w:sz="6" w:space="0" w:color="000000"/>
            </w:tcBorders>
          </w:tcPr>
          <w:p>
            <w:pPr/>
          </w:p>
        </w:tc>
        <w:tc>
          <w:tcPr>
            <w:tcW w:w="2158" w:type="dxa"/>
            <w:vMerge/>
            <w:tcBorders>
              <w:left w:val="single" w:sz="6" w:space="0" w:color="000000"/>
              <w:bottom w:val="single" w:sz="8" w:space="0" w:color="000000"/>
              <w:right w:val="single" w:sz="6" w:space="0" w:color="000000"/>
            </w:tcBorders>
          </w:tcPr>
          <w:p>
            <w:pPr/>
          </w:p>
        </w:tc>
        <w:tc>
          <w:tcPr>
            <w:tcW w:w="1843" w:type="dxa"/>
            <w:vMerge/>
            <w:tcBorders>
              <w:left w:val="single" w:sz="6" w:space="0" w:color="000000"/>
              <w:bottom w:val="single" w:sz="8" w:space="0" w:color="000000"/>
              <w:right w:val="single" w:sz="6" w:space="0" w:color="000000"/>
            </w:tcBorders>
          </w:tcPr>
          <w:p>
            <w:pP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319" w:lineRule="auto" w:before="13"/>
              <w:ind w:left="4" w:right="164"/>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5"/>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right w:val="nil" w:sz="6" w:space="0" w:color="auto"/>
            </w:tcBorders>
          </w:tcPr>
          <w:p>
            <w:pPr/>
          </w:p>
        </w:tc>
      </w:tr>
      <w:tr>
        <w:trPr>
          <w:trHeight w:val="348" w:hRule="exact"/>
        </w:trPr>
        <w:tc>
          <w:tcPr>
            <w:tcW w:w="105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130"/>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215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pacing w:val="-1"/>
                <w:sz w:val="18"/>
              </w:rPr>
              <w:t>19,400,403.77</w:t>
            </w:r>
          </w:p>
        </w:tc>
        <w:tc>
          <w:tcPr>
            <w:tcW w:w="127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9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7"/>
              <w:ind w:right="5"/>
              <w:jc w:val="right"/>
              <w:rPr>
                <w:rFonts w:ascii="Times New Roman" w:hAnsi="Times New Roman" w:cs="Times New Roman" w:eastAsia="Times New Roman" w:hint="default"/>
                <w:sz w:val="18"/>
                <w:szCs w:val="18"/>
              </w:rPr>
            </w:pPr>
            <w:r>
              <w:rPr>
                <w:rFonts w:ascii="Times New Roman"/>
                <w:sz w:val="18"/>
              </w:rPr>
              <w:t>--</w:t>
            </w:r>
          </w:p>
        </w:tc>
        <w:tc>
          <w:tcPr>
            <w:tcW w:w="82" w:type="dxa"/>
            <w:vMerge/>
            <w:tcBorders>
              <w:left w:val="nil" w:sz="6" w:space="0" w:color="auto"/>
              <w:bottom w:val="nil" w:sz="6" w:space="0" w:color="auto"/>
              <w:right w:val="nil" w:sz="6" w:space="0" w:color="auto"/>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52"/>
        <w:gridCol w:w="2158"/>
        <w:gridCol w:w="1843"/>
        <w:gridCol w:w="1275"/>
        <w:gridCol w:w="1985"/>
        <w:gridCol w:w="1992"/>
      </w:tblGrid>
      <w:tr>
        <w:trPr>
          <w:trHeight w:val="351" w:hRule="exact"/>
        </w:trPr>
        <w:tc>
          <w:tcPr>
            <w:tcW w:w="1052" w:type="dxa"/>
            <w:tcBorders>
              <w:top w:val="single" w:sz="6" w:space="0" w:color="000000"/>
              <w:left w:val="single" w:sz="6" w:space="0" w:color="000000"/>
              <w:bottom w:val="single" w:sz="8" w:space="0" w:color="000000"/>
              <w:right w:val="single" w:sz="6" w:space="0" w:color="000000"/>
            </w:tcBorders>
          </w:tcPr>
          <w:p>
            <w:pPr/>
          </w:p>
        </w:tc>
        <w:tc>
          <w:tcPr>
            <w:tcW w:w="2158" w:type="dxa"/>
            <w:tcBorders>
              <w:top w:val="single" w:sz="6" w:space="0" w:color="000000"/>
              <w:left w:val="single" w:sz="6" w:space="0" w:color="000000"/>
              <w:bottom w:val="single" w:sz="8" w:space="0" w:color="000000"/>
              <w:right w:val="single" w:sz="6" w:space="0" w:color="000000"/>
            </w:tcBorders>
          </w:tcPr>
          <w:p>
            <w:pPr/>
          </w:p>
        </w:tc>
        <w:tc>
          <w:tcPr>
            <w:tcW w:w="1843" w:type="dxa"/>
            <w:tcBorders>
              <w:top w:val="single" w:sz="6" w:space="0" w:color="000000"/>
              <w:left w:val="single" w:sz="6" w:space="0" w:color="000000"/>
              <w:bottom w:val="single" w:sz="8" w:space="0" w:color="000000"/>
              <w:right w:val="single" w:sz="6" w:space="0" w:color="000000"/>
            </w:tcBorders>
          </w:tcPr>
          <w:p>
            <w:pPr/>
          </w:p>
        </w:tc>
        <w:tc>
          <w:tcPr>
            <w:tcW w:w="127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99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60"/>
              <w:ind w:left="943" w:right="0"/>
              <w:jc w:val="left"/>
              <w:rPr>
                <w:rFonts w:ascii="Times New Roman" w:hAnsi="Times New Roman" w:cs="Times New Roman" w:eastAsia="Times New Roman" w:hint="default"/>
                <w:sz w:val="18"/>
                <w:szCs w:val="18"/>
              </w:rPr>
            </w:pPr>
            <w:r>
              <w:rPr>
                <w:rFonts w:ascii="Times New Roman"/>
                <w:sz w:val="18"/>
              </w:rPr>
              <w:t>19,400,403.77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right="1122"/>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日，执行新金融工具准则时金融工具分类和账面价值调节表如下：</w:t>
      </w:r>
    </w:p>
    <w:p>
      <w:pPr>
        <w:spacing w:line="240" w:lineRule="auto" w:before="9"/>
        <w:rPr>
          <w:rFonts w:ascii="宋体" w:hAnsi="宋体" w:cs="宋体" w:eastAsia="宋体" w:hint="default"/>
          <w:sz w:val="20"/>
          <w:szCs w:val="20"/>
        </w:rPr>
      </w:pPr>
    </w:p>
    <w:tbl>
      <w:tblPr>
        <w:tblW w:w="0" w:type="auto"/>
        <w:jc w:val="left"/>
        <w:tblInd w:w="138" w:type="dxa"/>
        <w:tblLayout w:type="fixed"/>
        <w:tblCellMar>
          <w:top w:w="0" w:type="dxa"/>
          <w:left w:w="0" w:type="dxa"/>
          <w:bottom w:w="0" w:type="dxa"/>
          <w:right w:w="0" w:type="dxa"/>
        </w:tblCellMar>
        <w:tblLook w:val="01E0"/>
      </w:tblPr>
      <w:tblGrid>
        <w:gridCol w:w="2095"/>
        <w:gridCol w:w="2531"/>
        <w:gridCol w:w="1546"/>
        <w:gridCol w:w="1497"/>
        <w:gridCol w:w="1628"/>
      </w:tblGrid>
      <w:tr>
        <w:trPr>
          <w:trHeight w:val="660" w:hRule="exact"/>
        </w:trPr>
        <w:tc>
          <w:tcPr>
            <w:tcW w:w="2095"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449"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31"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349"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352"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256"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497"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254"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628"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54"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2531" w:type="dxa"/>
            <w:tcBorders>
              <w:top w:val="single" w:sz="8" w:space="0" w:color="000000"/>
              <w:left w:val="nil" w:sz="6" w:space="0" w:color="auto"/>
              <w:bottom w:val="single" w:sz="8" w:space="0" w:color="000000"/>
              <w:right w:val="nil" w:sz="6" w:space="0" w:color="auto"/>
            </w:tcBorders>
          </w:tcPr>
          <w:p>
            <w:pPr/>
          </w:p>
        </w:tc>
        <w:tc>
          <w:tcPr>
            <w:tcW w:w="1546" w:type="dxa"/>
            <w:tcBorders>
              <w:top w:val="single" w:sz="8" w:space="0" w:color="000000"/>
              <w:left w:val="nil" w:sz="6" w:space="0" w:color="auto"/>
              <w:bottom w:val="single" w:sz="8" w:space="0" w:color="000000"/>
              <w:right w:val="nil" w:sz="6" w:space="0" w:color="auto"/>
            </w:tcBorders>
          </w:tcPr>
          <w:p>
            <w:pPr/>
          </w:p>
        </w:tc>
        <w:tc>
          <w:tcPr>
            <w:tcW w:w="1497" w:type="dxa"/>
            <w:tcBorders>
              <w:top w:val="single" w:sz="8" w:space="0" w:color="000000"/>
              <w:left w:val="nil" w:sz="6" w:space="0" w:color="auto"/>
              <w:bottom w:val="single" w:sz="8" w:space="0" w:color="000000"/>
              <w:right w:val="nil" w:sz="6" w:space="0" w:color="auto"/>
            </w:tcBorders>
          </w:tcPr>
          <w:p>
            <w:pPr/>
          </w:p>
        </w:tc>
        <w:tc>
          <w:tcPr>
            <w:tcW w:w="1628"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4"/>
              <w:jc w:val="right"/>
              <w:rPr>
                <w:rFonts w:ascii="Times New Roman" w:hAnsi="Times New Roman" w:cs="Times New Roman" w:eastAsia="Times New Roman" w:hint="default"/>
                <w:sz w:val="18"/>
                <w:szCs w:val="18"/>
              </w:rPr>
            </w:pPr>
            <w:r>
              <w:rPr>
                <w:rFonts w:ascii="Times New Roman"/>
                <w:spacing w:val="-1"/>
                <w:sz w:val="18"/>
              </w:rPr>
              <w:t>4,391,819.00</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18"/>
                <w:szCs w:val="18"/>
              </w:rPr>
            </w:pPr>
            <w:r>
              <w:rPr>
                <w:rFonts w:ascii="Times New Roman"/>
                <w:sz w:val="18"/>
              </w:rPr>
              <w:t>--</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4,391,819.00</w:t>
            </w:r>
          </w:p>
        </w:tc>
      </w:tr>
      <w:tr>
        <w:trPr>
          <w:trHeight w:val="346"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7"/>
              <w:jc w:val="right"/>
              <w:rPr>
                <w:rFonts w:ascii="Times New Roman" w:hAnsi="Times New Roman" w:cs="Times New Roman" w:eastAsia="Times New Roman" w:hint="default"/>
                <w:sz w:val="18"/>
                <w:szCs w:val="18"/>
              </w:rPr>
            </w:pPr>
            <w:r>
              <w:rPr>
                <w:rFonts w:ascii="Times New Roman"/>
                <w:spacing w:val="-1"/>
                <w:sz w:val="18"/>
              </w:rPr>
              <w:t>923,158,434.26</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4"/>
              <w:jc w:val="right"/>
              <w:rPr>
                <w:rFonts w:ascii="Times New Roman" w:hAnsi="Times New Roman" w:cs="Times New Roman" w:eastAsia="Times New Roman" w:hint="default"/>
                <w:sz w:val="18"/>
                <w:szCs w:val="18"/>
              </w:rPr>
            </w:pPr>
            <w:r>
              <w:rPr>
                <w:rFonts w:ascii="Times New Roman"/>
                <w:spacing w:val="-1"/>
                <w:sz w:val="18"/>
              </w:rPr>
              <w:t>-26,234,024.21</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896,924,410.05</w:t>
            </w:r>
          </w:p>
        </w:tc>
      </w:tr>
      <w:tr>
        <w:trPr>
          <w:trHeight w:val="349"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6"/>
              <w:ind w:left="2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254"/>
              <w:jc w:val="right"/>
              <w:rPr>
                <w:rFonts w:ascii="Times New Roman" w:hAnsi="Times New Roman" w:cs="Times New Roman" w:eastAsia="Times New Roman" w:hint="default"/>
                <w:sz w:val="18"/>
                <w:szCs w:val="18"/>
              </w:rPr>
            </w:pPr>
            <w:r>
              <w:rPr>
                <w:rFonts w:ascii="Times New Roman"/>
                <w:spacing w:val="-1"/>
                <w:sz w:val="18"/>
              </w:rPr>
              <w:t>19,400,403.77</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62"/>
              <w:jc w:val="right"/>
              <w:rPr>
                <w:rFonts w:ascii="Times New Roman" w:hAnsi="Times New Roman" w:cs="Times New Roman" w:eastAsia="Times New Roman" w:hint="default"/>
                <w:sz w:val="18"/>
                <w:szCs w:val="18"/>
              </w:rPr>
            </w:pPr>
            <w:r>
              <w:rPr>
                <w:rFonts w:ascii="Times New Roman"/>
                <w:sz w:val="18"/>
              </w:rPr>
              <w:t>--</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8"/>
              <w:ind w:right="7"/>
              <w:jc w:val="right"/>
              <w:rPr>
                <w:rFonts w:ascii="Times New Roman" w:hAnsi="Times New Roman" w:cs="Times New Roman" w:eastAsia="Times New Roman" w:hint="default"/>
                <w:sz w:val="18"/>
                <w:szCs w:val="18"/>
              </w:rPr>
            </w:pPr>
            <w:r>
              <w:rPr>
                <w:rFonts w:ascii="Times New Roman"/>
                <w:spacing w:val="-1"/>
                <w:sz w:val="18"/>
              </w:rPr>
              <w:t>19,400,403.77</w:t>
            </w:r>
          </w:p>
        </w:tc>
      </w:tr>
      <w:tr>
        <w:trPr>
          <w:trHeight w:val="346"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7"/>
              <w:jc w:val="right"/>
              <w:rPr>
                <w:rFonts w:ascii="Times New Roman" w:hAnsi="Times New Roman" w:cs="Times New Roman" w:eastAsia="Times New Roman" w:hint="default"/>
                <w:sz w:val="18"/>
                <w:szCs w:val="18"/>
              </w:rPr>
            </w:pPr>
            <w:r>
              <w:rPr>
                <w:rFonts w:ascii="Times New Roman"/>
                <w:spacing w:val="-1"/>
                <w:sz w:val="18"/>
              </w:rPr>
              <w:t>6,387,524.43</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283" w:right="0"/>
              <w:jc w:val="left"/>
              <w:rPr>
                <w:rFonts w:ascii="Times New Roman" w:hAnsi="Times New Roman" w:cs="Times New Roman" w:eastAsia="Times New Roman" w:hint="default"/>
                <w:sz w:val="18"/>
                <w:szCs w:val="18"/>
              </w:rPr>
            </w:pPr>
            <w:r>
              <w:rPr>
                <w:rFonts w:ascii="Times New Roman"/>
                <w:sz w:val="18"/>
              </w:rPr>
              <w:t>-6,387,524.43</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2"/>
              <w:jc w:val="right"/>
              <w:rPr>
                <w:rFonts w:ascii="Times New Roman" w:hAnsi="Times New Roman" w:cs="Times New Roman" w:eastAsia="Times New Roman" w:hint="default"/>
                <w:sz w:val="18"/>
                <w:szCs w:val="18"/>
              </w:rPr>
            </w:pPr>
            <w:r>
              <w:rPr>
                <w:rFonts w:ascii="Times New Roman"/>
                <w:sz w:val="18"/>
              </w:rPr>
              <w:t>--</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4"/>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2"/>
              <w:jc w:val="right"/>
              <w:rPr>
                <w:rFonts w:ascii="Times New Roman" w:hAnsi="Times New Roman" w:cs="Times New Roman" w:eastAsia="Times New Roman" w:hint="default"/>
                <w:sz w:val="18"/>
                <w:szCs w:val="18"/>
              </w:rPr>
            </w:pPr>
            <w:r>
              <w:rPr>
                <w:rFonts w:ascii="Times New Roman"/>
                <w:spacing w:val="-1"/>
                <w:sz w:val="18"/>
              </w:rPr>
              <w:t>6,387,524.43</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62"/>
              <w:jc w:val="right"/>
              <w:rPr>
                <w:rFonts w:ascii="Times New Roman" w:hAnsi="Times New Roman" w:cs="Times New Roman" w:eastAsia="Times New Roman" w:hint="default"/>
                <w:sz w:val="18"/>
                <w:szCs w:val="18"/>
              </w:rPr>
            </w:pPr>
            <w:r>
              <w:rPr>
                <w:rFonts w:ascii="Times New Roman"/>
                <w:sz w:val="18"/>
              </w:rPr>
              <w:t>--</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6,387,524.43</w:t>
            </w: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4"/>
              <w:jc w:val="right"/>
              <w:rPr>
                <w:rFonts w:ascii="Times New Roman" w:hAnsi="Times New Roman" w:cs="Times New Roman" w:eastAsia="Times New Roman" w:hint="default"/>
                <w:sz w:val="18"/>
                <w:szCs w:val="18"/>
              </w:rPr>
            </w:pPr>
            <w:r>
              <w:rPr>
                <w:rFonts w:ascii="Times New Roman"/>
                <w:spacing w:val="-1"/>
                <w:sz w:val="18"/>
              </w:rPr>
              <w:t>41,175,989.90</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1"/>
              <w:jc w:val="right"/>
              <w:rPr>
                <w:rFonts w:ascii="Times New Roman" w:hAnsi="Times New Roman" w:cs="Times New Roman" w:eastAsia="Times New Roman" w:hint="default"/>
                <w:sz w:val="18"/>
                <w:szCs w:val="18"/>
              </w:rPr>
            </w:pPr>
            <w:r>
              <w:rPr>
                <w:rFonts w:ascii="Times New Roman"/>
                <w:spacing w:val="-1"/>
                <w:sz w:val="18"/>
              </w:rPr>
              <w:t>3,729,600.09</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44,905,589.99</w:t>
            </w:r>
          </w:p>
        </w:tc>
      </w:tr>
      <w:tr>
        <w:trPr>
          <w:trHeight w:val="346"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531" w:type="dxa"/>
            <w:tcBorders>
              <w:top w:val="single" w:sz="8" w:space="0" w:color="000000"/>
              <w:left w:val="nil" w:sz="6" w:space="0" w:color="auto"/>
              <w:bottom w:val="single" w:sz="8" w:space="0" w:color="000000"/>
              <w:right w:val="nil" w:sz="6" w:space="0" w:color="auto"/>
            </w:tcBorders>
          </w:tcPr>
          <w:p>
            <w:pPr/>
          </w:p>
        </w:tc>
        <w:tc>
          <w:tcPr>
            <w:tcW w:w="1546" w:type="dxa"/>
            <w:tcBorders>
              <w:top w:val="single" w:sz="8" w:space="0" w:color="000000"/>
              <w:left w:val="nil" w:sz="6" w:space="0" w:color="auto"/>
              <w:bottom w:val="single" w:sz="8" w:space="0" w:color="000000"/>
              <w:right w:val="nil" w:sz="6" w:space="0" w:color="auto"/>
            </w:tcBorders>
          </w:tcPr>
          <w:p>
            <w:pPr/>
          </w:p>
        </w:tc>
        <w:tc>
          <w:tcPr>
            <w:tcW w:w="1497" w:type="dxa"/>
            <w:tcBorders>
              <w:top w:val="single" w:sz="8" w:space="0" w:color="000000"/>
              <w:left w:val="nil" w:sz="6" w:space="0" w:color="auto"/>
              <w:bottom w:val="single" w:sz="8" w:space="0" w:color="000000"/>
              <w:right w:val="nil" w:sz="6" w:space="0" w:color="auto"/>
            </w:tcBorders>
          </w:tcPr>
          <w:p>
            <w:pPr/>
          </w:p>
        </w:tc>
        <w:tc>
          <w:tcPr>
            <w:tcW w:w="1628"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4"/>
              <w:jc w:val="right"/>
              <w:rPr>
                <w:rFonts w:ascii="Times New Roman" w:hAnsi="Times New Roman" w:cs="Times New Roman" w:eastAsia="Times New Roman" w:hint="default"/>
                <w:sz w:val="18"/>
                <w:szCs w:val="18"/>
              </w:rPr>
            </w:pPr>
            <w:r>
              <w:rPr>
                <w:rFonts w:ascii="Times New Roman"/>
                <w:spacing w:val="-1"/>
                <w:sz w:val="18"/>
              </w:rPr>
              <w:t>58,245,413.31</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62"/>
              <w:jc w:val="right"/>
              <w:rPr>
                <w:rFonts w:ascii="Times New Roman" w:hAnsi="Times New Roman" w:cs="Times New Roman" w:eastAsia="Times New Roman" w:hint="default"/>
                <w:sz w:val="18"/>
                <w:szCs w:val="18"/>
              </w:rPr>
            </w:pPr>
            <w:r>
              <w:rPr>
                <w:rFonts w:ascii="Times New Roman"/>
                <w:spacing w:val="-1"/>
                <w:sz w:val="18"/>
              </w:rPr>
              <w:t>-1,383,760.85</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56,861,652.46</w:t>
            </w:r>
          </w:p>
        </w:tc>
      </w:tr>
      <w:tr>
        <w:trPr>
          <w:trHeight w:val="346"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4"/>
              <w:jc w:val="right"/>
              <w:rPr>
                <w:rFonts w:ascii="Times New Roman" w:hAnsi="Times New Roman" w:cs="Times New Roman" w:eastAsia="Times New Roman" w:hint="default"/>
                <w:sz w:val="18"/>
                <w:szCs w:val="18"/>
              </w:rPr>
            </w:pPr>
            <w:r>
              <w:rPr>
                <w:rFonts w:ascii="Times New Roman"/>
                <w:spacing w:val="-1"/>
                <w:sz w:val="18"/>
              </w:rPr>
              <w:t>442,632,321.86</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3"/>
              <w:jc w:val="right"/>
              <w:rPr>
                <w:rFonts w:ascii="Times New Roman" w:hAnsi="Times New Roman" w:cs="Times New Roman" w:eastAsia="Times New Roman" w:hint="default"/>
                <w:sz w:val="18"/>
                <w:szCs w:val="18"/>
              </w:rPr>
            </w:pPr>
            <w:r>
              <w:rPr>
                <w:rFonts w:ascii="Times New Roman"/>
                <w:spacing w:val="-1"/>
                <w:sz w:val="18"/>
              </w:rPr>
              <w:t>-21,119,154.58</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421,513,167.28</w:t>
            </w:r>
          </w:p>
        </w:tc>
      </w:tr>
      <w:tr>
        <w:trPr>
          <w:trHeight w:val="348" w:hRule="exact"/>
        </w:trPr>
        <w:tc>
          <w:tcPr>
            <w:tcW w:w="20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3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4"/>
              <w:jc w:val="right"/>
              <w:rPr>
                <w:rFonts w:ascii="Times New Roman" w:hAnsi="Times New Roman" w:cs="Times New Roman" w:eastAsia="Times New Roman" w:hint="default"/>
                <w:sz w:val="18"/>
                <w:szCs w:val="18"/>
              </w:rPr>
            </w:pPr>
            <w:r>
              <w:rPr>
                <w:rFonts w:ascii="Times New Roman"/>
                <w:spacing w:val="-1"/>
                <w:sz w:val="18"/>
              </w:rPr>
              <w:t>3,109,824.72</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52"/>
              <w:jc w:val="right"/>
              <w:rPr>
                <w:rFonts w:ascii="Times New Roman" w:hAnsi="Times New Roman" w:cs="Times New Roman" w:eastAsia="Times New Roman" w:hint="default"/>
                <w:sz w:val="18"/>
                <w:szCs w:val="18"/>
              </w:rPr>
            </w:pPr>
            <w:r>
              <w:rPr>
                <w:rFonts w:ascii="Times New Roman"/>
                <w:sz w:val="18"/>
              </w:rPr>
              <w:t>--</w:t>
            </w:r>
          </w:p>
        </w:tc>
        <w:tc>
          <w:tcPr>
            <w:tcW w:w="149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61"/>
              <w:jc w:val="right"/>
              <w:rPr>
                <w:rFonts w:ascii="Times New Roman" w:hAnsi="Times New Roman" w:cs="Times New Roman" w:eastAsia="Times New Roman" w:hint="default"/>
                <w:sz w:val="18"/>
                <w:szCs w:val="18"/>
              </w:rPr>
            </w:pPr>
            <w:r>
              <w:rPr>
                <w:rFonts w:ascii="Times New Roman"/>
                <w:spacing w:val="-1"/>
                <w:sz w:val="18"/>
              </w:rPr>
              <w:t>-1,508.69</w:t>
            </w:r>
          </w:p>
        </w:tc>
        <w:tc>
          <w:tcPr>
            <w:tcW w:w="162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3,108,316.03</w:t>
            </w:r>
          </w:p>
        </w:tc>
      </w:tr>
    </w:tbl>
    <w:p>
      <w:pPr>
        <w:spacing w:line="240" w:lineRule="auto" w:before="5"/>
        <w:rPr>
          <w:rFonts w:ascii="宋体" w:hAnsi="宋体" w:cs="宋体" w:eastAsia="宋体" w:hint="default"/>
          <w:sz w:val="6"/>
          <w:szCs w:val="6"/>
        </w:rPr>
      </w:pPr>
    </w:p>
    <w:p>
      <w:pPr>
        <w:pStyle w:val="BodyText"/>
        <w:spacing w:line="300" w:lineRule="auto" w:before="44"/>
        <w:ind w:right="1122"/>
        <w:jc w:val="left"/>
      </w:pPr>
      <w:r>
        <w:rPr/>
        <w:t>本集团将根据原金融工具准则计量的</w:t>
      </w:r>
      <w:r>
        <w:rPr>
          <w:rFonts w:ascii="Times New Roman" w:hAnsi="Times New Roman" w:cs="Times New Roman" w:eastAsia="Times New Roman" w:hint="default"/>
        </w:rPr>
        <w:t>2018</w:t>
      </w:r>
      <w:r>
        <w:rPr/>
        <w:t>年年末损失准备与根据新金融工具准则确定的</w:t>
      </w:r>
      <w:r>
        <w:rPr>
          <w:rFonts w:ascii="Times New Roman" w:hAnsi="Times New Roman" w:cs="Times New Roman" w:eastAsia="Times New Roman" w:hint="default"/>
        </w:rPr>
        <w:t>2019</w:t>
      </w:r>
      <w:r>
        <w:rPr/>
        <w:t>年年初损失准备之间的调节表</w:t>
      </w:r>
      <w:r>
        <w:rPr>
          <w:spacing w:val="-6"/>
        </w:rPr>
        <w:t> </w:t>
      </w:r>
      <w:r>
        <w:rPr>
          <w:spacing w:val="-6"/>
        </w:rPr>
      </w:r>
      <w:r>
        <w:rPr/>
        <w:t>列示如下：</w:t>
      </w:r>
    </w:p>
    <w:p>
      <w:pPr>
        <w:spacing w:line="240" w:lineRule="auto" w:before="4"/>
        <w:rPr>
          <w:rFonts w:ascii="宋体" w:hAnsi="宋体" w:cs="宋体" w:eastAsia="宋体" w:hint="default"/>
          <w:sz w:val="18"/>
          <w:szCs w:val="18"/>
        </w:rPr>
      </w:pPr>
    </w:p>
    <w:tbl>
      <w:tblPr>
        <w:tblW w:w="0" w:type="auto"/>
        <w:jc w:val="left"/>
        <w:tblInd w:w="152" w:type="dxa"/>
        <w:tblLayout w:type="fixed"/>
        <w:tblCellMar>
          <w:top w:w="0" w:type="dxa"/>
          <w:left w:w="0" w:type="dxa"/>
          <w:bottom w:w="0" w:type="dxa"/>
          <w:right w:w="0" w:type="dxa"/>
        </w:tblCellMar>
        <w:tblLook w:val="01E0"/>
      </w:tblPr>
      <w:tblGrid>
        <w:gridCol w:w="2114"/>
        <w:gridCol w:w="2463"/>
        <w:gridCol w:w="1335"/>
        <w:gridCol w:w="1546"/>
        <w:gridCol w:w="1718"/>
      </w:tblGrid>
      <w:tr>
        <w:trPr>
          <w:trHeight w:val="662" w:hRule="exact"/>
        </w:trPr>
        <w:tc>
          <w:tcPr>
            <w:tcW w:w="2114"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434" w:right="0"/>
              <w:jc w:val="left"/>
              <w:rPr>
                <w:rFonts w:ascii="宋体" w:hAnsi="宋体" w:cs="宋体" w:eastAsia="宋体" w:hint="default"/>
                <w:sz w:val="18"/>
                <w:szCs w:val="18"/>
              </w:rPr>
            </w:pPr>
            <w:r>
              <w:rPr>
                <w:rFonts w:ascii="宋体" w:hAnsi="宋体" w:cs="宋体" w:eastAsia="宋体" w:hint="default"/>
                <w:b/>
                <w:bCs/>
                <w:sz w:val="18"/>
                <w:szCs w:val="18"/>
              </w:rPr>
              <w:t>计量类别</w:t>
            </w:r>
            <w:r>
              <w:rPr>
                <w:rFonts w:ascii="宋体" w:hAnsi="宋体" w:cs="宋体" w:eastAsia="宋体" w:hint="default"/>
                <w:sz w:val="18"/>
                <w:szCs w:val="18"/>
              </w:rPr>
            </w:r>
          </w:p>
        </w:tc>
        <w:tc>
          <w:tcPr>
            <w:tcW w:w="2463"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124" w:right="0"/>
              <w:jc w:val="center"/>
              <w:rPr>
                <w:rFonts w:ascii="宋体" w:hAnsi="宋体" w:cs="宋体" w:eastAsia="宋体" w:hint="default"/>
                <w:sz w:val="18"/>
                <w:szCs w:val="18"/>
              </w:rPr>
            </w:pPr>
            <w:r>
              <w:rPr>
                <w:rFonts w:ascii="宋体" w:hAnsi="宋体" w:cs="宋体" w:eastAsia="宋体" w:hint="default"/>
                <w:b/>
                <w:bCs/>
                <w:sz w:val="18"/>
                <w:szCs w:val="18"/>
              </w:rPr>
              <w:t>调整前账面金额</w:t>
            </w:r>
            <w:r>
              <w:rPr>
                <w:rFonts w:ascii="宋体" w:hAnsi="宋体" w:cs="宋体" w:eastAsia="宋体" w:hint="default"/>
                <w:sz w:val="18"/>
                <w:szCs w:val="18"/>
              </w:rPr>
            </w:r>
          </w:p>
          <w:p>
            <w:pPr>
              <w:pStyle w:val="TableParagraph"/>
              <w:spacing w:line="240" w:lineRule="auto" w:before="76"/>
              <w:ind w:left="127"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335"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188" w:right="0"/>
              <w:jc w:val="left"/>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546"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248"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1718"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185" w:right="0"/>
              <w:jc w:val="left"/>
              <w:rPr>
                <w:rFonts w:ascii="宋体" w:hAnsi="宋体" w:cs="宋体" w:eastAsia="宋体" w:hint="default"/>
                <w:sz w:val="18"/>
                <w:szCs w:val="18"/>
              </w:rPr>
            </w:pPr>
            <w:r>
              <w:rPr>
                <w:rFonts w:ascii="宋体" w:hAnsi="宋体" w:cs="宋体" w:eastAsia="宋体" w:hint="default"/>
                <w:b/>
                <w:bCs/>
                <w:sz w:val="18"/>
                <w:szCs w:val="18"/>
              </w:rPr>
              <w:t>调整后账面金额</w:t>
            </w:r>
            <w:r>
              <w:rPr>
                <w:rFonts w:ascii="宋体" w:hAnsi="宋体" w:cs="宋体" w:eastAsia="宋体" w:hint="default"/>
                <w:sz w:val="18"/>
                <w:szCs w:val="18"/>
              </w:rPr>
            </w:r>
          </w:p>
          <w:p>
            <w:pPr>
              <w:pStyle w:val="TableParagraph"/>
              <w:spacing w:line="240" w:lineRule="auto" w:before="76"/>
              <w:ind w:left="94"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211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2463"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86"/>
              <w:jc w:val="right"/>
              <w:rPr>
                <w:rFonts w:ascii="Times New Roman" w:hAnsi="Times New Roman" w:cs="Times New Roman" w:eastAsia="Times New Roman" w:hint="default"/>
                <w:sz w:val="18"/>
                <w:szCs w:val="18"/>
              </w:rPr>
            </w:pPr>
            <w:r>
              <w:rPr>
                <w:rFonts w:ascii="Times New Roman"/>
                <w:spacing w:val="-1"/>
                <w:sz w:val="18"/>
              </w:rPr>
              <w:t>229,308,406.33</w:t>
            </w:r>
          </w:p>
        </w:tc>
        <w:tc>
          <w:tcPr>
            <w:tcW w:w="133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46"/>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95"/>
              <w:jc w:val="right"/>
              <w:rPr>
                <w:rFonts w:ascii="Times New Roman" w:hAnsi="Times New Roman" w:cs="Times New Roman" w:eastAsia="Times New Roman" w:hint="default"/>
                <w:sz w:val="18"/>
                <w:szCs w:val="18"/>
              </w:rPr>
            </w:pPr>
            <w:r>
              <w:rPr>
                <w:rFonts w:ascii="Times New Roman"/>
                <w:spacing w:val="-1"/>
                <w:sz w:val="18"/>
              </w:rPr>
              <w:t>26,234,024.21</w:t>
            </w:r>
          </w:p>
        </w:tc>
        <w:tc>
          <w:tcPr>
            <w:tcW w:w="171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255,542,430.54</w:t>
            </w:r>
          </w:p>
        </w:tc>
      </w:tr>
      <w:tr>
        <w:trPr>
          <w:trHeight w:val="348" w:hRule="exact"/>
        </w:trPr>
        <w:tc>
          <w:tcPr>
            <w:tcW w:w="211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2463"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86"/>
              <w:jc w:val="right"/>
              <w:rPr>
                <w:rFonts w:ascii="Times New Roman" w:hAnsi="Times New Roman" w:cs="Times New Roman" w:eastAsia="Times New Roman" w:hint="default"/>
                <w:sz w:val="18"/>
                <w:szCs w:val="18"/>
              </w:rPr>
            </w:pPr>
            <w:r>
              <w:rPr>
                <w:rFonts w:ascii="Times New Roman"/>
                <w:spacing w:val="-1"/>
                <w:sz w:val="18"/>
              </w:rPr>
              <w:t>6,617,264.27</w:t>
            </w:r>
          </w:p>
        </w:tc>
        <w:tc>
          <w:tcPr>
            <w:tcW w:w="133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46"/>
              <w:jc w:val="right"/>
              <w:rPr>
                <w:rFonts w:ascii="Times New Roman" w:hAnsi="Times New Roman" w:cs="Times New Roman" w:eastAsia="Times New Roman" w:hint="default"/>
                <w:sz w:val="18"/>
                <w:szCs w:val="18"/>
              </w:rPr>
            </w:pPr>
            <w:r>
              <w:rPr>
                <w:rFonts w:ascii="Times New Roman"/>
                <w:sz w:val="18"/>
              </w:rPr>
              <w:t>--</w:t>
            </w:r>
          </w:p>
        </w:tc>
        <w:tc>
          <w:tcPr>
            <w:tcW w:w="154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92"/>
              <w:jc w:val="right"/>
              <w:rPr>
                <w:rFonts w:ascii="Times New Roman" w:hAnsi="Times New Roman" w:cs="Times New Roman" w:eastAsia="Times New Roman" w:hint="default"/>
                <w:sz w:val="18"/>
                <w:szCs w:val="18"/>
              </w:rPr>
            </w:pPr>
            <w:r>
              <w:rPr>
                <w:rFonts w:ascii="Times New Roman"/>
                <w:sz w:val="18"/>
              </w:rPr>
              <w:t>--</w:t>
            </w:r>
          </w:p>
        </w:tc>
        <w:tc>
          <w:tcPr>
            <w:tcW w:w="1718"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pacing w:val="-1"/>
                <w:sz w:val="18"/>
              </w:rPr>
              <w:t>6,617,264.27</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44"/>
        <w:ind w:right="0"/>
        <w:jc w:val="both"/>
      </w:pPr>
      <w:r>
        <w:rPr/>
        <w:t>②新债务重组准则</w:t>
      </w:r>
    </w:p>
    <w:p>
      <w:pPr>
        <w:spacing w:line="240" w:lineRule="auto" w:before="5"/>
        <w:rPr>
          <w:rFonts w:ascii="宋体" w:hAnsi="宋体" w:cs="宋体" w:eastAsia="宋体" w:hint="default"/>
          <w:sz w:val="22"/>
          <w:szCs w:val="22"/>
        </w:rPr>
      </w:pPr>
    </w:p>
    <w:p>
      <w:pPr>
        <w:pStyle w:val="BodyText"/>
        <w:spacing w:line="300" w:lineRule="auto"/>
        <w:ind w:right="1127"/>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日发布了《企业会计准则第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债务重组》（以下简称</w:t>
      </w:r>
      <w:r>
        <w:rPr>
          <w:rFonts w:ascii="Times New Roman" w:hAnsi="Times New Roman" w:cs="Times New Roman" w:eastAsia="Times New Roman" w:hint="default"/>
        </w:rPr>
        <w:t>” </w:t>
      </w:r>
      <w:r>
        <w:rPr/>
        <w:t>新债务重组准则</w:t>
      </w:r>
      <w:r>
        <w:rPr>
          <w:rFonts w:ascii="Times New Roman" w:hAnsi="Times New Roman" w:cs="Times New Roman" w:eastAsia="Times New Roman" w:hint="default"/>
        </w:rPr>
        <w:t>”)</w:t>
      </w:r>
      <w:r>
        <w:rPr/>
        <w:t>，修改了债务重组的</w:t>
      </w:r>
      <w:r>
        <w:rPr>
          <w:spacing w:val="-43"/>
        </w:rPr>
        <w:t> </w:t>
      </w:r>
      <w:r>
        <w:rPr>
          <w:spacing w:val="-43"/>
        </w:rPr>
      </w:r>
      <w:r>
        <w:rPr/>
        <w:t>定义，明确了债务重组中涉及金融工具的适用《企业会计准则第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金融工具确认和计量》等准则，明确了债权人受 让金融资产以外的资产初始按成本计量，明确债务人以资产清偿债务时不再区分资产处置损益与债务重组损益。</w:t>
      </w:r>
    </w:p>
    <w:p>
      <w:pPr>
        <w:spacing w:line="240" w:lineRule="auto" w:before="12"/>
        <w:rPr>
          <w:rFonts w:ascii="宋体" w:hAnsi="宋体" w:cs="宋体" w:eastAsia="宋体" w:hint="default"/>
          <w:sz w:val="18"/>
          <w:szCs w:val="18"/>
        </w:rPr>
      </w:pPr>
    </w:p>
    <w:p>
      <w:pPr>
        <w:pStyle w:val="BodyText"/>
        <w:spacing w:line="300" w:lineRule="auto"/>
        <w:ind w:right="1127"/>
        <w:jc w:val="both"/>
      </w:pPr>
      <w:r>
        <w:rPr/>
        <w:t>根据财会</w:t>
      </w:r>
      <w:r>
        <w:rPr>
          <w:rFonts w:ascii="Times New Roman" w:hAnsi="Times New Roman" w:cs="Times New Roman" w:eastAsia="Times New Roman" w:hint="default"/>
        </w:rPr>
        <w:t>[2019]6</w:t>
      </w:r>
      <w:r>
        <w:rPr/>
        <w:t>号文件的规定，</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t>项目不再包含债务重组中因处置非流动资产产生的利得或损</w:t>
      </w:r>
      <w:r>
        <w:rPr>
          <w:spacing w:val="2"/>
        </w:rPr>
        <w:t> </w:t>
      </w:r>
      <w:r>
        <w:rPr>
          <w:spacing w:val="2"/>
        </w:rPr>
      </w:r>
      <w:r>
        <w:rPr/>
        <w:t>失。</w:t>
      </w:r>
    </w:p>
    <w:p>
      <w:pPr>
        <w:spacing w:line="240" w:lineRule="auto" w:before="12"/>
        <w:rPr>
          <w:rFonts w:ascii="宋体" w:hAnsi="宋体" w:cs="宋体" w:eastAsia="宋体" w:hint="default"/>
          <w:sz w:val="18"/>
          <w:szCs w:val="18"/>
        </w:rPr>
      </w:pPr>
    </w:p>
    <w:p>
      <w:pPr>
        <w:pStyle w:val="BodyText"/>
        <w:spacing w:line="508" w:lineRule="auto"/>
        <w:ind w:right="1394"/>
        <w:jc w:val="left"/>
      </w:pPr>
      <w:r>
        <w:rPr/>
        <w:t>本集团对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日新发生的债务重组采用未来适用法处理，对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日以前发生的债务重组不进行追溯调整。 新债务重组准则对本集团财务状况和经营成果未造成影响。</w:t>
      </w:r>
    </w:p>
    <w:p>
      <w:pPr>
        <w:pStyle w:val="BodyText"/>
        <w:spacing w:line="240" w:lineRule="auto" w:before="91"/>
        <w:ind w:right="0"/>
        <w:jc w:val="both"/>
      </w:pPr>
      <w:r>
        <w:rPr/>
        <w:t>③新非货币性交换准则</w:t>
      </w:r>
    </w:p>
    <w:p>
      <w:pPr>
        <w:spacing w:line="240" w:lineRule="auto" w:before="5"/>
        <w:rPr>
          <w:rFonts w:ascii="宋体" w:hAnsi="宋体" w:cs="宋体" w:eastAsia="宋体" w:hint="default"/>
          <w:sz w:val="22"/>
          <w:szCs w:val="22"/>
        </w:rPr>
      </w:pPr>
    </w:p>
    <w:p>
      <w:pPr>
        <w:pStyle w:val="BodyText"/>
        <w:spacing w:line="300" w:lineRule="auto"/>
        <w:ind w:right="1133"/>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日发布了《企业会计准则第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非货币性资产交换》（以下简称</w:t>
      </w:r>
      <w:r>
        <w:rPr>
          <w:rFonts w:ascii="Times New Roman" w:hAnsi="Times New Roman" w:cs="Times New Roman" w:eastAsia="Times New Roman" w:hint="default"/>
        </w:rPr>
        <w:t>“</w:t>
      </w:r>
      <w:r>
        <w:rPr/>
        <w:t>新非货币性交换准则</w:t>
      </w:r>
      <w:r>
        <w:rPr>
          <w:rFonts w:ascii="Times New Roman" w:hAnsi="Times New Roman" w:cs="Times New Roman" w:eastAsia="Times New Roman" w:hint="default"/>
        </w:rPr>
        <w:t>”</w:t>
      </w:r>
      <w:r>
        <w:rPr/>
        <w:t>），明确了</w:t>
      </w:r>
      <w:r>
        <w:rPr>
          <w:spacing w:val="-70"/>
        </w:rPr>
        <w:t> </w:t>
      </w:r>
      <w:r>
        <w:rPr>
          <w:spacing w:val="-2"/>
        </w:rPr>
        <w:t>货币性资产和非货币性资产的概念和准则的适用范围，明确了非货币性资产交换的确认时点，明确了不同条件下非货币性资</w:t>
      </w:r>
    </w:p>
    <w:p>
      <w:pPr>
        <w:spacing w:after="0" w:line="30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1"/>
        <w:jc w:val="both"/>
      </w:pPr>
      <w:r>
        <w:rPr>
          <w:spacing w:val="-2"/>
        </w:rPr>
        <w:t>产交换的价值计量基础和核算方法及同时完善了相关信息披露要求。本集团对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日以后新发生的非货币性资产交换</w:t>
      </w:r>
      <w:r>
        <w:rPr>
          <w:spacing w:val="-60"/>
        </w:rPr>
        <w:t> </w:t>
      </w:r>
      <w:r>
        <w:rPr>
          <w:spacing w:val="-60"/>
        </w:rPr>
      </w:r>
      <w:r>
        <w:rPr/>
        <w:t>交易采用未来适用法处理，对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日以前发生的非货币性资产交换交易不进行追溯调整。</w:t>
      </w:r>
    </w:p>
    <w:p>
      <w:pPr>
        <w:spacing w:line="240" w:lineRule="auto" w:before="7"/>
        <w:rPr>
          <w:rFonts w:ascii="宋体" w:hAnsi="宋体" w:cs="宋体" w:eastAsia="宋体" w:hint="default"/>
          <w:sz w:val="17"/>
          <w:szCs w:val="17"/>
        </w:rPr>
      </w:pPr>
    </w:p>
    <w:p>
      <w:pPr>
        <w:pStyle w:val="BodyText"/>
        <w:spacing w:line="240" w:lineRule="auto"/>
        <w:ind w:right="0"/>
        <w:jc w:val="both"/>
      </w:pPr>
      <w:r>
        <w:rPr/>
        <w:t>新非货币性资产交换准则对本集团财务状况和经营成果未造成影响。</w:t>
      </w:r>
    </w:p>
    <w:p>
      <w:pPr>
        <w:spacing w:line="240" w:lineRule="auto" w:before="5"/>
        <w:rPr>
          <w:rFonts w:ascii="宋体" w:hAnsi="宋体" w:cs="宋体" w:eastAsia="宋体" w:hint="default"/>
          <w:sz w:val="22"/>
          <w:szCs w:val="22"/>
        </w:rPr>
      </w:pPr>
    </w:p>
    <w:p>
      <w:pPr>
        <w:pStyle w:val="BodyText"/>
        <w:spacing w:line="240" w:lineRule="auto"/>
        <w:ind w:right="0"/>
        <w:jc w:val="both"/>
      </w:pPr>
      <w:r>
        <w:rPr/>
        <w:t>④财务报表格式</w:t>
      </w:r>
    </w:p>
    <w:p>
      <w:pPr>
        <w:spacing w:line="240" w:lineRule="auto" w:before="5"/>
        <w:rPr>
          <w:rFonts w:ascii="宋体" w:hAnsi="宋体" w:cs="宋体" w:eastAsia="宋体" w:hint="default"/>
          <w:sz w:val="22"/>
          <w:szCs w:val="22"/>
        </w:rPr>
      </w:pPr>
    </w:p>
    <w:p>
      <w:pPr>
        <w:pStyle w:val="BodyText"/>
        <w:spacing w:line="300" w:lineRule="auto"/>
        <w:ind w:right="1128"/>
        <w:jc w:val="both"/>
      </w:pPr>
      <w:r>
        <w:rPr/>
        <w:t>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月发布了《财政部关于修订印发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[2019]6</w:t>
      </w:r>
      <w:r>
        <w:rPr/>
        <w:t>号），</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spacing w:val="-36"/>
        </w:rPr>
        <w:t> </w:t>
      </w:r>
      <w:r>
        <w:rPr/>
        <w:t>发布的《财政部关于修订印发</w:t>
      </w:r>
      <w:r>
        <w:rPr>
          <w:rFonts w:ascii="Times New Roman" w:hAnsi="Times New Roman" w:cs="Times New Roman" w:eastAsia="Times New Roman" w:hint="default"/>
        </w:rPr>
        <w:t>2018</w:t>
      </w:r>
      <w:r>
        <w:rPr/>
        <w:t>年度一般企业财务报表格式的通知》（财会</w:t>
      </w:r>
      <w:r>
        <w:rPr>
          <w:rFonts w:ascii="Times New Roman" w:hAnsi="Times New Roman" w:cs="Times New Roman" w:eastAsia="Times New Roman" w:hint="default"/>
        </w:rPr>
        <w:t>[2018]15</w:t>
      </w:r>
      <w:r>
        <w:rPr/>
        <w:t>号）同时废止；财政部于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spacing w:val="-33"/>
        </w:rPr>
        <w:t> </w:t>
      </w:r>
      <w:r>
        <w:rPr>
          <w:spacing w:val="-1"/>
        </w:rPr>
        <w:t>发布了《财政部关于修订印发合并财务报表格式（</w:t>
      </w:r>
      <w:r>
        <w:rPr>
          <w:rFonts w:ascii="Times New Roman" w:hAnsi="Times New Roman" w:cs="Times New Roman" w:eastAsia="Times New Roman" w:hint="default"/>
          <w:spacing w:val="-1"/>
        </w:rPr>
        <w:t>2019</w:t>
      </w:r>
      <w:r>
        <w:rPr>
          <w:spacing w:val="-1"/>
        </w:rPr>
        <w:t>版）的通知》（财会</w:t>
      </w:r>
      <w:r>
        <w:rPr>
          <w:rFonts w:ascii="Times New Roman" w:hAnsi="Times New Roman" w:cs="Times New Roman" w:eastAsia="Times New Roman" w:hint="default"/>
          <w:spacing w:val="-1"/>
        </w:rPr>
        <w:t>[2019]16</w:t>
      </w:r>
      <w:r>
        <w:rPr>
          <w:spacing w:val="-1"/>
        </w:rPr>
        <w:t>号），《财政部关于修订印发</w:t>
      </w:r>
      <w:r>
        <w:rPr>
          <w:rFonts w:ascii="Times New Roman" w:hAnsi="Times New Roman" w:cs="Times New Roman" w:eastAsia="Times New Roman" w:hint="default"/>
          <w:spacing w:val="-1"/>
        </w:rPr>
        <w:t>2018</w:t>
      </w:r>
      <w:r>
        <w:rPr>
          <w:spacing w:val="-1"/>
        </w:rPr>
        <w:t>年度</w:t>
      </w:r>
      <w:r>
        <w:rPr>
          <w:spacing w:val="-61"/>
        </w:rPr>
        <w:t> </w:t>
      </w:r>
      <w:r>
        <w:rPr>
          <w:spacing w:val="-2"/>
        </w:rPr>
        <w:t>合并财务报表格式的通知》（财会</w:t>
      </w:r>
      <w:r>
        <w:rPr>
          <w:rFonts w:ascii="Times New Roman" w:hAnsi="Times New Roman" w:cs="Times New Roman" w:eastAsia="Times New Roman" w:hint="default"/>
          <w:spacing w:val="-2"/>
        </w:rPr>
        <w:t>[2019]1</w:t>
      </w:r>
      <w:r>
        <w:rPr>
          <w:spacing w:val="-2"/>
        </w:rPr>
        <w:t>号）同时废止。根据财会</w:t>
      </w:r>
      <w:r>
        <w:rPr>
          <w:rFonts w:ascii="Times New Roman" w:hAnsi="Times New Roman" w:cs="Times New Roman" w:eastAsia="Times New Roman" w:hint="default"/>
          <w:spacing w:val="-2"/>
        </w:rPr>
        <w:t>[2019]6</w:t>
      </w:r>
      <w:r>
        <w:rPr>
          <w:spacing w:val="-2"/>
        </w:rPr>
        <w:t>号和财会</w:t>
      </w:r>
      <w:r>
        <w:rPr>
          <w:rFonts w:ascii="Times New Roman" w:hAnsi="Times New Roman" w:cs="Times New Roman" w:eastAsia="Times New Roman" w:hint="default"/>
          <w:spacing w:val="-2"/>
        </w:rPr>
        <w:t>[2019]16</w:t>
      </w:r>
      <w:r>
        <w:rPr>
          <w:spacing w:val="-2"/>
        </w:rPr>
        <w:t>号，本公司对财务报表格式进行</w:t>
      </w:r>
      <w:r>
        <w:rPr>
          <w:spacing w:val="-49"/>
        </w:rPr>
        <w:t> </w:t>
      </w:r>
      <w:r>
        <w:rPr>
          <w:spacing w:val="-49"/>
        </w:rPr>
      </w:r>
      <w:r>
        <w:rPr/>
        <w:t>了以下修订：</w:t>
      </w:r>
    </w:p>
    <w:p>
      <w:pPr>
        <w:spacing w:line="240" w:lineRule="auto" w:before="12"/>
        <w:rPr>
          <w:rFonts w:ascii="宋体" w:hAnsi="宋体" w:cs="宋体" w:eastAsia="宋体" w:hint="default"/>
          <w:sz w:val="18"/>
          <w:szCs w:val="18"/>
        </w:rPr>
      </w:pPr>
    </w:p>
    <w:p>
      <w:pPr>
        <w:pStyle w:val="BodyText"/>
        <w:spacing w:line="300" w:lineRule="auto"/>
        <w:ind w:right="1128"/>
        <w:jc w:val="both"/>
      </w:pPr>
      <w:r>
        <w:rPr>
          <w:spacing w:val="-2"/>
        </w:rPr>
        <w:t>资产负债表，将</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行项目拆分为</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；将</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行项目拆分为</w:t>
      </w:r>
      <w:r>
        <w:rPr>
          <w:rFonts w:ascii="Times New Roman" w:hAnsi="Times New Roman" w:cs="Times New Roman" w:eastAsia="Times New Roman" w:hint="default"/>
          <w:spacing w:val="-2"/>
        </w:rPr>
        <w:t>“</w:t>
      </w:r>
      <w:r>
        <w:rPr>
          <w:spacing w:val="-2"/>
        </w:rPr>
        <w:t>应付</w:t>
      </w:r>
      <w:r>
        <w:rPr>
          <w:spacing w:val="-55"/>
        </w:rPr>
        <w:t> </w:t>
      </w:r>
      <w:r>
        <w:rPr/>
        <w:t>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595,222,418.63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595,222,418.63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4,391,819.00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4,391,819.00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923,158,434.26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896,924,410.05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7" w:right="0"/>
              <w:jc w:val="left"/>
              <w:rPr>
                <w:rFonts w:ascii="Times New Roman" w:hAnsi="Times New Roman" w:cs="Times New Roman" w:eastAsia="Times New Roman" w:hint="default"/>
                <w:sz w:val="18"/>
                <w:szCs w:val="18"/>
              </w:rPr>
            </w:pPr>
            <w:r>
              <w:rPr>
                <w:rFonts w:ascii="Times New Roman"/>
                <w:sz w:val="18"/>
              </w:rPr>
              <w:t>-26,234,024.21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61,545,662.48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61,545,662.48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1"/>
              <w:jc w:val="right"/>
              <w:rPr>
                <w:rFonts w:ascii="宋体" w:hAnsi="宋体" w:cs="宋体" w:eastAsia="宋体" w:hint="default"/>
                <w:sz w:val="18"/>
                <w:szCs w:val="18"/>
              </w:rPr>
            </w:pPr>
            <w:r>
              <w:rPr>
                <w:rFonts w:ascii="宋体" w:hAnsi="宋体" w:cs="宋体" w:eastAsia="宋体" w:hint="default"/>
                <w:spacing w:val="-1"/>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19,400,403.77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19,400,403.77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87,813,241.31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87,813,241.31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162,417,727.01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162,417,727.01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1,853,949,706.46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1,827,715,682.25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-26,234,024.21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6,387,524.43</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-6,387,524.43</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101,568,366.20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101,568,366.20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6,387,524.43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95,489,397.15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71,724,078.50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71,724,078.50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119,384,375.59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119,384,375.59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57,262,066.86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57,262,066.86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82,754,563.28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82,754,563.28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9,979,439.75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9,979,439.75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41,175,989.90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44,905,589.99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3,729,600.09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141,080,354.00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141,080,354.00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726,806,155.66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730,535,755.75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3,729,600.09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2,580,755,862.12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2,558,251,438.00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-22,504,424.12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41,058,672.56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41,058,672.56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62,631,381.42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62,631,381.42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25,274,399.64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25,274,399.64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161,896,707.81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161,896,707.81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7,181,395.98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7,181,395.98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304,692,557.41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304,692,557.41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6,935,240.04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1,053,000.00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7,988,240.04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7,988,240.04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312,680,797.45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312,680,797.45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1,449,824,087.00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1,449,824,087.00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-1,614,467.50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-1,614,467.50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58,245,413.31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56,861,652.46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-1,383,760.85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442,632,321.86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421,513,167.28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-21,119,154.58</w:t>
            </w:r>
          </w:p>
        </w:tc>
      </w:tr>
      <w:tr>
        <w:trPr>
          <w:trHeight w:val="716"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2,264,965,239.95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2,242,462,324.52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-22,502,915.43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3,109,824.72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3,108,316.03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-1,508.69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2,268,075,064.67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2,245,570,640.55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-22,504,424.12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2,580,755,862.12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2,558,251,438.00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-22,504,424.12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340"/>
        <w:jc w:val="left"/>
      </w:pPr>
      <w:r>
        <w:rPr/>
        <w:t>调整情况说明 无</w:t>
      </w:r>
    </w:p>
    <w:p>
      <w:pPr>
        <w:pStyle w:val="BodyText"/>
        <w:spacing w:line="240" w:lineRule="auto" w:before="29"/>
        <w:ind w:right="-20"/>
        <w:jc w:val="left"/>
      </w:pP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252,649,239.79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252,649,239.79</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2,003,350.00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2,003,350.00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878,045,562.31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861,766,023.00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16,279,539.31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20,295,384.82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20,295,384.82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552,897,292.08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552,897,292.08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14,266,249.08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14,266,249.08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6,988,526.33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6,988,526.33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1,727,145,604.41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1,710,866,065.10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16,279,539.31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5,592,141.67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5,592,141.67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450,776,609.10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450,776,609.10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80,496,889.00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80,496,889.00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83,393,270.93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83,393,270.93</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40,658,238.58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40,658,238.58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9,764,895.94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9,764,895.94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33,145,473.02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35,587,403.91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2,441,930.89</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30,101,495.00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30,101,495.00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733,929,013.24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736,370,944.13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2,441,930.89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2,461,074,617.65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2,447,237,009.23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13,837,608.42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11,321,467.09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11,321,467.09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6,959,168.76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6,959,168.76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17,449,431.57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17,449,431.57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148,513,621.61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148,513,621.61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29,514,832.12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29,514,832.12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71"/>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213,758,521.15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213,758,521.15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6,935,240.04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6,935,240.04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220,693,761.19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220,693,761.19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1,449,824,087.00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1,449,824,087.00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58,245,413.31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56,861,652.46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1,383,760.85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416,433,470.87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403,979,623.30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12,453,847.57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2,240,380,856.46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2,226,543,248.04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13,837,608.42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2,461,074,617.65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2,447,237,009.23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13,837,608.42</w:t>
            </w:r>
          </w:p>
        </w:tc>
      </w:tr>
    </w:tbl>
    <w:p>
      <w:pPr>
        <w:pStyle w:val="BodyText"/>
        <w:spacing w:line="357" w:lineRule="auto" w:before="49"/>
        <w:ind w:right="9674"/>
        <w:jc w:val="left"/>
      </w:pPr>
      <w:r>
        <w:rPr/>
        <w:t>调整情况说明 无</w:t>
      </w:r>
    </w:p>
    <w:p>
      <w:pPr>
        <w:spacing w:line="240" w:lineRule="auto" w:before="7"/>
        <w:rPr>
          <w:rFonts w:ascii="宋体" w:hAnsi="宋体" w:cs="宋体" w:eastAsia="宋体" w:hint="default"/>
          <w:sz w:val="18"/>
          <w:szCs w:val="18"/>
        </w:rPr>
      </w:pPr>
    </w:p>
    <w:p>
      <w:pPr>
        <w:pStyle w:val="Heading2"/>
        <w:spacing w:line="240" w:lineRule="auto"/>
        <w:ind w:right="112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24</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实际应缴纳的流转税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实际应缴纳的流转税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1122"/>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江苏神州信源系统工程有限公司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上海北信源信息技术有限公司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北京中软华泰信息技术有限责任公司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北信源（马来西亚）信息技术公司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北信源国际有限公司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127"/>
        <w:jc w:val="left"/>
      </w:pPr>
      <w:r>
        <w:rPr/>
        <w:t>（</w:t>
      </w:r>
      <w:r>
        <w:rPr>
          <w:rFonts w:ascii="Times New Roman" w:hAnsi="Times New Roman" w:cs="Times New Roman" w:eastAsia="Times New Roman" w:hint="default"/>
        </w:rPr>
        <w:t>1</w:t>
      </w:r>
      <w:r>
        <w:rPr/>
        <w:t>）</w:t>
      </w:r>
      <w:r>
        <w:rPr>
          <w:spacing w:val="-19"/>
        </w:rPr>
        <w:t> </w:t>
      </w:r>
      <w:r>
        <w:rPr/>
        <w:t>增值税</w:t>
      </w:r>
      <w:r>
        <w:rPr/>
        <w:t> </w:t>
      </w:r>
      <w:r>
        <w:rPr>
          <w:spacing w:val="-1"/>
        </w:rPr>
        <w:t>根据国务院国发</w:t>
      </w:r>
      <w:r>
        <w:rPr>
          <w:rFonts w:ascii="Times New Roman" w:hAnsi="Times New Roman" w:cs="Times New Roman" w:eastAsia="Times New Roman" w:hint="default"/>
          <w:spacing w:val="-1"/>
        </w:rPr>
        <w:t>[2000]18</w:t>
      </w:r>
      <w:r>
        <w:rPr>
          <w:spacing w:val="-1"/>
        </w:rPr>
        <w:t>号文件《国务院关于印发</w:t>
      </w:r>
      <w:r>
        <w:rPr>
          <w:rFonts w:ascii="Times New Roman" w:hAnsi="Times New Roman" w:cs="Times New Roman" w:eastAsia="Times New Roman" w:hint="default"/>
          <w:spacing w:val="-1"/>
        </w:rPr>
        <w:t>&lt;</w:t>
      </w:r>
      <w:r>
        <w:rPr>
          <w:spacing w:val="-1"/>
        </w:rPr>
        <w:t>鼓励软件产业和集成电路产业发展若干政策</w:t>
      </w:r>
      <w:r>
        <w:rPr>
          <w:rFonts w:ascii="Times New Roman" w:hAnsi="Times New Roman" w:cs="Times New Roman" w:eastAsia="Times New Roman" w:hint="default"/>
          <w:spacing w:val="-1"/>
        </w:rPr>
        <w:t>&gt;</w:t>
      </w:r>
      <w:r>
        <w:rPr>
          <w:spacing w:val="-1"/>
        </w:rPr>
        <w:t>的通知》和财政部、国</w:t>
      </w:r>
    </w:p>
    <w:p>
      <w:pPr>
        <w:pStyle w:val="BodyText"/>
        <w:spacing w:line="230" w:lineRule="exact"/>
        <w:ind w:right="0"/>
        <w:jc w:val="left"/>
      </w:pPr>
      <w:r>
        <w:rPr/>
        <w:t>家税务总局、海关总署下发财税</w:t>
      </w:r>
      <w:r>
        <w:rPr>
          <w:rFonts w:ascii="Times New Roman" w:hAnsi="Times New Roman" w:cs="Times New Roman" w:eastAsia="Times New Roman" w:hint="default"/>
        </w:rPr>
        <w:t>[2000]25</w:t>
      </w:r>
      <w:r>
        <w:rPr/>
        <w:t>号文《关于鼓励软件产业和集成电路产业发展有关税收政策问题的通知》，</w:t>
      </w:r>
      <w:r>
        <w:rPr>
          <w:rFonts w:ascii="Times New Roman" w:hAnsi="Times New Roman" w:cs="Times New Roman" w:eastAsia="Times New Roman" w:hint="default"/>
        </w:rPr>
        <w:t>2010</w:t>
      </w:r>
      <w:r>
        <w:rPr/>
        <w:t>年</w:t>
      </w:r>
    </w:p>
    <w:p>
      <w:pPr>
        <w:pStyle w:val="BodyText"/>
        <w:spacing w:line="300" w:lineRule="auto" w:before="63"/>
        <w:ind w:right="0"/>
        <w:jc w:val="left"/>
      </w:pPr>
      <w:r>
        <w:rPr>
          <w:spacing w:val="-1"/>
        </w:rPr>
        <w:t>底以前，公司自行开发研制软件产品销售收入按</w:t>
      </w:r>
      <w:r>
        <w:rPr>
          <w:rFonts w:ascii="Times New Roman" w:hAnsi="Times New Roman" w:cs="Times New Roman" w:eastAsia="Times New Roman" w:hint="default"/>
          <w:spacing w:val="-1"/>
        </w:rPr>
        <w:t>17%</w:t>
      </w:r>
      <w:r>
        <w:rPr>
          <w:spacing w:val="-1"/>
        </w:rPr>
        <w:t>的法定税率计缴增值税，对实际税负超过</w:t>
      </w:r>
      <w:r>
        <w:rPr>
          <w:rFonts w:ascii="Times New Roman" w:hAnsi="Times New Roman" w:cs="Times New Roman" w:eastAsia="Times New Roman" w:hint="default"/>
          <w:spacing w:val="-1"/>
        </w:rPr>
        <w:t>3%</w:t>
      </w:r>
      <w:r>
        <w:rPr>
          <w:spacing w:val="-1"/>
        </w:rPr>
        <w:t>的部分实行即征即退政策。</w:t>
      </w:r>
      <w:r>
        <w:rPr>
          <w:spacing w:val="-59"/>
        </w:rPr>
        <w:t> </w:t>
      </w:r>
      <w:r>
        <w:rPr>
          <w:spacing w:val="-59"/>
        </w:rPr>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28</w:t>
      </w:r>
      <w:r>
        <w:rPr/>
        <w:t>日，国务院《关于印发进一步鼓励软件产业和集成电路产业发展若干政策的通知》（国发</w:t>
      </w:r>
      <w:r>
        <w:rPr>
          <w:rFonts w:ascii="Times New Roman" w:hAnsi="Times New Roman" w:cs="Times New Roman" w:eastAsia="Times New Roman" w:hint="default"/>
        </w:rPr>
        <w:t>[2011]4</w:t>
      </w:r>
      <w:r>
        <w:rPr/>
        <w:t>号）继续实施 上述软件增值税税收优惠政策。</w:t>
      </w:r>
    </w:p>
    <w:p>
      <w:pPr>
        <w:pStyle w:val="BodyText"/>
        <w:spacing w:line="240" w:lineRule="auto" w:before="72"/>
        <w:ind w:left="513" w:right="1122"/>
        <w:jc w:val="left"/>
      </w:pPr>
      <w:r>
        <w:rPr/>
        <w:t>（</w:t>
      </w:r>
      <w:r>
        <w:rPr>
          <w:rFonts w:ascii="Times New Roman" w:hAnsi="Times New Roman" w:cs="Times New Roman" w:eastAsia="Times New Roman" w:hint="default"/>
        </w:rPr>
        <w:t>2</w:t>
      </w:r>
      <w:r>
        <w:rPr/>
        <w:t>）所得税</w:t>
      </w:r>
    </w:p>
    <w:p>
      <w:pPr>
        <w:pStyle w:val="BodyText"/>
        <w:spacing w:line="300" w:lineRule="auto" w:before="103"/>
        <w:ind w:right="1130" w:firstLine="360"/>
        <w:jc w:val="both"/>
      </w:pPr>
      <w:r>
        <w:rPr>
          <w:spacing w:val="-2"/>
        </w:rPr>
        <w:t>①</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日，本公司取得了北京市科学技术委员会、北京市财政局、北京市国家税务局和北京市地方税务局联合</w:t>
      </w:r>
      <w:r>
        <w:rPr/>
        <w:t> 颁发的编号为</w:t>
      </w:r>
      <w:r>
        <w:rPr>
          <w:rFonts w:ascii="Times New Roman" w:hAnsi="Times New Roman" w:cs="Times New Roman" w:eastAsia="Times New Roman" w:hint="default"/>
        </w:rPr>
        <w:t>GR201711003777</w:t>
      </w:r>
      <w:r>
        <w:rPr/>
        <w:t>的《高新技术企业证书》。根据《中华人民共和国企业所得税法》、《中华人民共和国企业</w:t>
      </w:r>
      <w:r>
        <w:rPr>
          <w:spacing w:val="-73"/>
        </w:rPr>
        <w:t> </w:t>
      </w:r>
      <w:r>
        <w:rPr>
          <w:spacing w:val="-73"/>
        </w:rPr>
      </w:r>
      <w:r>
        <w:rPr/>
        <w:t>所得税暂行条例》以及《高新技术企业认定管理办法》的相关规定，</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年本公司减按</w:t>
      </w:r>
      <w:r>
        <w:rPr>
          <w:rFonts w:ascii="Times New Roman" w:hAnsi="Times New Roman" w:cs="Times New Roman" w:eastAsia="Times New Roman" w:hint="default"/>
        </w:rPr>
        <w:t>15%</w:t>
      </w:r>
      <w:r>
        <w:rPr/>
        <w:t>的税率缴纳所得税。</w:t>
      </w:r>
    </w:p>
    <w:p>
      <w:pPr>
        <w:pStyle w:val="BodyText"/>
        <w:spacing w:line="300" w:lineRule="auto" w:before="51"/>
        <w:ind w:right="1130" w:firstLine="360"/>
        <w:jc w:val="both"/>
      </w:pPr>
      <w:r>
        <w:rPr>
          <w:spacing w:val="-1"/>
        </w:rPr>
        <w:t>根据财政部、国家税务总局下发的财税</w:t>
      </w:r>
      <w:r>
        <w:rPr>
          <w:rFonts w:ascii="Times New Roman" w:hAnsi="Times New Roman" w:cs="Times New Roman" w:eastAsia="Times New Roman" w:hint="default"/>
          <w:spacing w:val="-1"/>
        </w:rPr>
        <w:t>[2012]27</w:t>
      </w:r>
      <w:r>
        <w:rPr>
          <w:spacing w:val="-1"/>
        </w:rPr>
        <w:t>号《财政部国家税务总局关于进一步鼓励软件产业和集成电路产业发展</w:t>
      </w:r>
      <w:r>
        <w:rPr/>
        <w:t> </w:t>
      </w:r>
      <w:r>
        <w:rPr>
          <w:spacing w:val="-1"/>
        </w:rPr>
        <w:t>企业所得税政策的通知》，国家规划布局内的重点软件企业和集成电路设计企业，如果当年未享受免税优惠的，可减按</w:t>
      </w:r>
      <w:r>
        <w:rPr>
          <w:rFonts w:ascii="Times New Roman" w:hAnsi="Times New Roman" w:cs="Times New Roman" w:eastAsia="Times New Roman" w:hint="default"/>
          <w:spacing w:val="-1"/>
        </w:rPr>
        <w:t>10%</w:t>
      </w:r>
      <w:r>
        <w:rPr>
          <w:rFonts w:ascii="Times New Roman" w:hAnsi="Times New Roman" w:cs="Times New Roman" w:eastAsia="Times New Roman" w:hint="default"/>
        </w:rPr>
        <w:t> </w:t>
      </w:r>
      <w:r>
        <w:rPr/>
        <w:t>的税率征收企业所得税。</w:t>
      </w:r>
    </w:p>
    <w:p>
      <w:pPr>
        <w:pStyle w:val="BodyText"/>
        <w:spacing w:line="300" w:lineRule="auto" w:before="72"/>
        <w:ind w:right="1129" w:firstLine="360"/>
        <w:jc w:val="both"/>
      </w:pPr>
      <w:r>
        <w:rPr>
          <w:spacing w:val="-2"/>
        </w:rPr>
        <w:t>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17</w:t>
      </w:r>
      <w:r>
        <w:rPr>
          <w:spacing w:val="-2"/>
        </w:rPr>
        <w:t>日，本公司之子公司江苏神州信源系统工程有限公司取得了江苏省科学技术厅、江苏省财政厅、江苏省</w:t>
      </w:r>
      <w:r>
        <w:rPr/>
        <w:t> 国家税务局和江苏省地方税务局联合颁发的编号为</w:t>
      </w:r>
      <w:r>
        <w:rPr>
          <w:rFonts w:ascii="Times New Roman" w:hAnsi="Times New Roman" w:cs="Times New Roman" w:eastAsia="Times New Roman" w:hint="default"/>
        </w:rPr>
        <w:t>GR201732001479</w:t>
      </w:r>
      <w:r>
        <w:rPr/>
        <w:t>的《高新技术企业证书》。根据《中华人民共和国企业</w:t>
      </w:r>
      <w:r>
        <w:rPr>
          <w:spacing w:val="-69"/>
        </w:rPr>
        <w:t> </w:t>
      </w:r>
      <w:r>
        <w:rPr>
          <w:spacing w:val="-69"/>
        </w:rPr>
      </w:r>
      <w:r>
        <w:rPr>
          <w:spacing w:val="-2"/>
        </w:rPr>
        <w:t>所得税法》、《中华人民共和国企业所得税暂行条例》以及《高新技术企业认定管理办法》的相关规定，</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spacing w:val="-2"/>
        </w:rPr>
        <w:t>年江</w:t>
      </w:r>
      <w:r>
        <w:rPr>
          <w:spacing w:val="-63"/>
        </w:rPr>
        <w:t> </w:t>
      </w:r>
      <w:r>
        <w:rPr/>
        <w:t>苏神州信源系统工程有限公司减按</w:t>
      </w:r>
      <w:r>
        <w:rPr>
          <w:rFonts w:ascii="Times New Roman" w:hAnsi="Times New Roman" w:cs="Times New Roman" w:eastAsia="Times New Roman" w:hint="default"/>
        </w:rPr>
        <w:t>15%</w:t>
      </w:r>
      <w:r>
        <w:rPr/>
        <w:t>的税率缴纳所得税。</w:t>
      </w:r>
    </w:p>
    <w:p>
      <w:pPr>
        <w:pStyle w:val="BodyText"/>
        <w:spacing w:line="300" w:lineRule="auto" w:before="53"/>
        <w:ind w:right="1131" w:firstLine="360"/>
        <w:jc w:val="both"/>
      </w:pPr>
      <w:r>
        <w:rPr/>
        <w:t>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日，本公司之子公司上海北信源信息技术有限公司取得了上海市科学技术委员会、上海市财政局、上海 市税务局联合颁发的编号为</w:t>
      </w:r>
      <w:r>
        <w:rPr>
          <w:rFonts w:ascii="Times New Roman" w:hAnsi="Times New Roman" w:cs="Times New Roman" w:eastAsia="Times New Roman" w:hint="default"/>
        </w:rPr>
        <w:t>GR201931000221</w:t>
      </w:r>
      <w:r>
        <w:rPr/>
        <w:t>的《高新技术企业证书》。根据《中华人民共和国企业所得税法》、《中华人</w:t>
      </w:r>
      <w:r>
        <w:rPr>
          <w:spacing w:val="-72"/>
        </w:rPr>
        <w:t> </w:t>
      </w:r>
      <w:r>
        <w:rPr>
          <w:spacing w:val="-72"/>
        </w:rPr>
      </w:r>
      <w:r>
        <w:rPr>
          <w:spacing w:val="-2"/>
        </w:rPr>
        <w:t>民共和国企业所得税暂行条例》以及《高新技术企业认定管理办法》的相关规定，</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2021</w:t>
      </w:r>
      <w:r>
        <w:rPr>
          <w:spacing w:val="-2"/>
        </w:rPr>
        <w:t>年上海北信源信息技术有限</w:t>
      </w:r>
      <w:r>
        <w:rPr>
          <w:spacing w:val="-59"/>
        </w:rPr>
        <w:t> </w:t>
      </w:r>
      <w:r>
        <w:rPr>
          <w:spacing w:val="-59"/>
        </w:rPr>
      </w:r>
      <w:r>
        <w:rPr/>
        <w:t>公司减按</w:t>
      </w:r>
      <w:r>
        <w:rPr>
          <w:rFonts w:ascii="Times New Roman" w:hAnsi="Times New Roman" w:cs="Times New Roman" w:eastAsia="Times New Roman" w:hint="default"/>
        </w:rPr>
        <w:t>15%</w:t>
      </w:r>
      <w:r>
        <w:rPr/>
        <w:t>的税率缴纳所得税。</w:t>
      </w:r>
    </w:p>
    <w:p>
      <w:pPr>
        <w:pStyle w:val="BodyText"/>
        <w:spacing w:line="300" w:lineRule="auto" w:before="51"/>
        <w:ind w:right="0" w:firstLine="360"/>
        <w:jc w:val="left"/>
      </w:pPr>
      <w:r>
        <w:rPr>
          <w:spacing w:val="-2"/>
        </w:rPr>
        <w:t>④</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w:t>
      </w:r>
      <w:r>
        <w:rPr>
          <w:spacing w:val="-2"/>
        </w:rPr>
        <w:t>日，本公司之子公司北京中软华泰信息技术有限责任公司取得了北京市科学技术委员会、北京市财政局、</w:t>
      </w:r>
      <w:r>
        <w:rPr/>
        <w:t> 北京市税务局联合颁发的编号为</w:t>
      </w:r>
      <w:r>
        <w:rPr>
          <w:rFonts w:ascii="Times New Roman" w:hAnsi="Times New Roman" w:cs="Times New Roman" w:eastAsia="Times New Roman" w:hint="default"/>
        </w:rPr>
        <w:t>GR201911008118</w:t>
      </w:r>
      <w:r>
        <w:rPr/>
        <w:t>的《高新技术企业证书》。根据《中华人民共和国企业所得税法》、《中</w:t>
      </w:r>
      <w:r>
        <w:rPr>
          <w:spacing w:val="-71"/>
        </w:rPr>
        <w:t> </w:t>
      </w:r>
      <w:r>
        <w:rPr>
          <w:spacing w:val="-71"/>
        </w:rPr>
      </w:r>
      <w:r>
        <w:rPr>
          <w:spacing w:val="-2"/>
        </w:rPr>
        <w:t>华人民共和国企业所得税暂行条例》以及《高新技术企业认定管理办法》的相关规定，</w:t>
      </w:r>
      <w:r>
        <w:rPr>
          <w:rFonts w:ascii="Times New Roman" w:hAnsi="Times New Roman" w:cs="Times New Roman" w:eastAsia="Times New Roman" w:hint="default"/>
          <w:spacing w:val="-2"/>
        </w:rPr>
        <w:t>2019</w:t>
      </w:r>
      <w:r>
        <w:rPr>
          <w:spacing w:val="-2"/>
        </w:rPr>
        <w:t>年至</w:t>
      </w:r>
      <w:r>
        <w:rPr>
          <w:rFonts w:ascii="Times New Roman" w:hAnsi="Times New Roman" w:cs="Times New Roman" w:eastAsia="Times New Roman" w:hint="default"/>
          <w:spacing w:val="-2"/>
        </w:rPr>
        <w:t>2021</w:t>
      </w:r>
      <w:r>
        <w:rPr>
          <w:spacing w:val="-2"/>
        </w:rPr>
        <w:t>年北京中软华泰信息技</w:t>
      </w:r>
      <w:r>
        <w:rPr>
          <w:spacing w:val="-58"/>
        </w:rPr>
        <w:t> </w:t>
      </w:r>
      <w:r>
        <w:rPr>
          <w:spacing w:val="-58"/>
        </w:rPr>
      </w:r>
      <w:r>
        <w:rPr/>
        <w:t>术有限责任公司减按</w:t>
      </w:r>
      <w:r>
        <w:rPr>
          <w:rFonts w:ascii="Times New Roman" w:hAnsi="Times New Roman" w:cs="Times New Roman" w:eastAsia="Times New Roman" w:hint="default"/>
        </w:rPr>
        <w:t>15%</w:t>
      </w:r>
      <w:r>
        <w:rPr/>
        <w:t>的税率缴纳所得税。</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BodyText"/>
        <w:spacing w:line="240" w:lineRule="auto"/>
        <w:ind w:right="1122"/>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101,408.31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97,919.41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242,787,142.01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590,721,261.22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1,806,145.74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4,403,238.00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244,694,696.06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595,222,418.63</w:t>
            </w:r>
            <w:r>
              <w:rPr>
                <w:rFonts w:ascii="Times New Roman"/>
                <w:sz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3,121,100.37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683,734.61</w:t>
            </w:r>
          </w:p>
        </w:tc>
      </w:tr>
    </w:tbl>
    <w:p>
      <w:pPr>
        <w:pStyle w:val="BodyText"/>
        <w:spacing w:line="240" w:lineRule="auto" w:before="49"/>
        <w:ind w:right="1122"/>
        <w:jc w:val="left"/>
      </w:pPr>
      <w:r>
        <w:rPr/>
        <w:t>其他说明</w:t>
      </w:r>
    </w:p>
    <w:p>
      <w:pPr>
        <w:pStyle w:val="BodyText"/>
        <w:spacing w:line="300" w:lineRule="auto" w:before="117"/>
        <w:ind w:right="0" w:firstLine="360"/>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日，本公司的使用权受到限制的货币资金为人民币</w:t>
      </w:r>
      <w:r>
        <w:rPr>
          <w:rFonts w:ascii="Times New Roman" w:hAnsi="Times New Roman" w:cs="Times New Roman" w:eastAsia="Times New Roman" w:hint="default"/>
          <w:spacing w:val="-1"/>
        </w:rPr>
        <w:t>1,806,145.74</w:t>
      </w:r>
      <w:r>
        <w:rPr>
          <w:spacing w:val="-1"/>
        </w:rPr>
        <w:t>元。其中：本公司向银行申请开具无条件、</w:t>
      </w:r>
      <w:r>
        <w:rPr/>
        <w:t> 不可撤销的担保函所存入的保函保证金及票据保证金分别为人民币</w:t>
      </w:r>
      <w:r>
        <w:rPr>
          <w:rFonts w:ascii="Times New Roman" w:hAnsi="Times New Roman" w:cs="Times New Roman" w:eastAsia="Times New Roman" w:hint="default"/>
        </w:rPr>
        <w:t>1,411,501.74</w:t>
      </w:r>
      <w:r>
        <w:rPr/>
        <w:t>元和人民币</w:t>
      </w:r>
      <w:r>
        <w:rPr>
          <w:rFonts w:ascii="Times New Roman" w:hAnsi="Times New Roman" w:cs="Times New Roman" w:eastAsia="Times New Roman" w:hint="default"/>
        </w:rPr>
        <w:t>394,644.00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7"/>
        <w:ind w:right="1122"/>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250,465,127.00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250,465,127.00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指定以公允价值计量且其变动计入当期 损益的金融资产</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250,465,127.00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1,421,471.00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4,115,819.00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5,114,385.39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6,535,856.39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4,391,819.00</w:t>
            </w: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7,436,83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900,974.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6,535,856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4,391,819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1,421,47</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19.11%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1,421,471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4,115,819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93.72%</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4,115,819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6,015,36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80.89%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900,974.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14.98%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5,114,385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6.28%</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18"/>
                <w:szCs w:val="18"/>
              </w:rPr>
            </w:pPr>
            <w:r>
              <w:rPr>
                <w:rFonts w:ascii="Times New Roman"/>
                <w:sz w:val="18"/>
              </w:rPr>
              <w:t>7,436,83</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1.00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900,974.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6,535,856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4,391,819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4,391,819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1122"/>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按组合计提坏账准备：商业承兑汇票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6,015,360.00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900,974.61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6,015,360.00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900,974.61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900,974.61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900,974.61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900,974.61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900,974.61</w:t>
            </w:r>
          </w:p>
        </w:tc>
      </w:tr>
    </w:tbl>
    <w:p>
      <w:pPr>
        <w:pStyle w:val="BodyText"/>
        <w:spacing w:line="240" w:lineRule="auto" w:before="49"/>
        <w:ind w:right="1122"/>
        <w:jc w:val="left"/>
      </w:pPr>
      <w:r>
        <w:rPr/>
        <w:t>其中本期坏账准备收回或转回金额重要的：</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279,020.00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1122"/>
        <w:jc w:val="left"/>
      </w:pPr>
      <w:r>
        <w:rPr/>
        <w:t>其他说明</w:t>
      </w:r>
    </w:p>
    <w:p>
      <w:pPr>
        <w:pStyle w:val="BodyText"/>
        <w:spacing w:line="240" w:lineRule="auto" w:before="115"/>
        <w:ind w:left="513" w:right="1122"/>
        <w:jc w:val="left"/>
      </w:pPr>
      <w:r>
        <w:rPr/>
        <w:t>期末本集团无因出票人未履约而将其转应收账款的票据。</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1122"/>
        <w:jc w:val="left"/>
      </w:pPr>
      <w:r>
        <w:rPr/>
        <w:t>其中重要的应收票据核销情况：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0"/>
        <w:ind w:left="513" w:right="5713" w:hanging="361"/>
        <w:jc w:val="left"/>
      </w:pPr>
      <w:r>
        <w:rPr/>
        <w:t>应收票据核销说明： 期末本集团无因出票人未履约而将其转入应收账款的票据。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49"/>
        <w:ind w:right="1122"/>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42,574,6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34,330,9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8,243,725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9,686,295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0.83%</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9,686,295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1,389,76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8,724.04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97.03%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333,781,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768.50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1,055,986</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,955.54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1,156,266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,708.59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259,342,2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896,924,41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0.05</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软件与信息技术 服务业务客户组合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1,357,98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9,413.48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94.81%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333,749,</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989.19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24.58%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1,024,239</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,424.29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1,156,266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,708.59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99.17%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259,342,2</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98.54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896,924,41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供应链业务客户组 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31,779,3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10.56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31,779.3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31,747,53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1,432,34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3,417.65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368,112,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737.11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1,064,230</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,680.54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1,165,953</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,003.59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269,028,5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93.54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23.07%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896,924,41</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0.05</w:t>
            </w:r>
          </w:p>
        </w:tc>
      </w:tr>
    </w:tbl>
    <w:p>
      <w:pPr>
        <w:pStyle w:val="BodyText"/>
        <w:spacing w:line="240" w:lineRule="auto" w:before="49"/>
        <w:ind w:right="1122"/>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广州三盾信息科技有限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29,816,725.00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21,573,000.00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收回可能性重大不确定</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北京嘉蓝宜兴科技发展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7,243,589.75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7,243,589.75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吉林省盛雀勤盈科技网 络服务有限公司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沈阳恩达工贸科技实业 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严重违法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北京浩瀚联鑫科技有限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北京国信慧通科技有限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失信被执行人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南京朗晟信息技术有限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经营异常、严重违法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北京中航兴业电子有限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188,320.00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广州深宏信息科技有限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159,526.00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159,526.00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北京世纪美加科技发展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北京百年育人电子技术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福建伊时代信息科技股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失信被执行人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天津易协和科技有限公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严重违法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42,574,693.61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34,330,968.61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按组合计提坏账准备：供应链业务客户组合</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31,779,310.56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31,779,310.56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31,779.31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按组合计提坏账准备：软件与信息技术服务业务客户组合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495,166,820.93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74,165,786.89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14.98%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323,027,357.67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64,942,422.69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252,301,051.39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63,406,986.80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25.13%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150,894,524.46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49,369,188.79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32.72%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87,674,726.36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40,279,411.25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45.94%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48,924,932.67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41,586,192.77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1,357,989,413.48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333,749,989.19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527,320,850.35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324,240,866.67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260,440,557.14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320,341,143.49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156,087,774.46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92,262,353.04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71,991,015.99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1,432,343,417.65</w:t>
            </w:r>
          </w:p>
        </w:tc>
      </w:tr>
    </w:tbl>
    <w:p>
      <w:pPr>
        <w:pStyle w:val="BodyText"/>
        <w:spacing w:line="240" w:lineRule="auto" w:before="49"/>
        <w:ind w:right="1122"/>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按信用风险特征 组合计提的应收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269,028,593.54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125,910,310.57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27,092,163.00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368,112,737.11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269,028,593.54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125,910,310.57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27,092,163.00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368,112,737.11</w:t>
            </w:r>
          </w:p>
        </w:tc>
      </w:tr>
    </w:tbl>
    <w:p>
      <w:pPr>
        <w:pStyle w:val="BodyText"/>
        <w:spacing w:line="240" w:lineRule="auto" w:before="49"/>
        <w:ind w:right="1122"/>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27,092,163.00</w:t>
            </w:r>
          </w:p>
        </w:tc>
      </w:tr>
    </w:tbl>
    <w:p>
      <w:pPr>
        <w:pStyle w:val="BodyText"/>
        <w:spacing w:line="240" w:lineRule="auto" w:before="49"/>
        <w:ind w:right="1122"/>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北京博纳盈创科技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7,402,158.00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西安中网未来网络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北京光影年华信息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哈尔滨金元宝科技 开发有限公司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1,572,900.00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0"/>
                <w:sz w:val="18"/>
                <w:szCs w:val="18"/>
              </w:rPr>
              <w:t>中蓝恒久（北京）科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贸有限公司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四川聚能创新通信 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浙江越润科技有限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北京信合创联科技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北京旺豆信息科技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711,200.00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温州联线网络科技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96"/>
              <w:jc w:val="center"/>
              <w:rPr>
                <w:rFonts w:ascii="宋体" w:hAnsi="宋体" w:cs="宋体" w:eastAsia="宋体" w:hint="default"/>
                <w:sz w:val="18"/>
                <w:szCs w:val="18"/>
              </w:rPr>
            </w:pPr>
            <w:r>
              <w:rPr>
                <w:rFonts w:ascii="宋体" w:hAnsi="宋体" w:cs="宋体" w:eastAsia="宋体" w:hint="default"/>
                <w:sz w:val="18"/>
                <w:szCs w:val="18"/>
              </w:rPr>
              <w:t>河南博宇创智软件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科技有限公司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北京杰网运维信息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河南省伟辰网络科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517,700.00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4,316,105.00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注销、吊销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27,092,163.00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4"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4"/>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pStyle w:val="BodyText"/>
        <w:spacing w:line="430" w:lineRule="atLeast" w:before="150"/>
        <w:ind w:right="1122"/>
        <w:jc w:val="left"/>
      </w:pPr>
      <w:r>
        <w:rPr/>
        <w:t>其他说明： </w:t>
      </w:r>
      <w:r>
        <w:rPr>
          <w:spacing w:val="15"/>
        </w:rPr>
        <w:t>按欠款方归集的应收账款期末余额前五名单位情况本期按欠款方归集的期末余额前五名应收账款汇总金额人民币</w:t>
      </w:r>
    </w:p>
    <w:p>
      <w:pPr>
        <w:pStyle w:val="BodyText"/>
        <w:spacing w:line="240" w:lineRule="auto" w:before="76"/>
        <w:ind w:right="1122"/>
        <w:jc w:val="left"/>
        <w:rPr>
          <w:rFonts w:ascii="Times New Roman" w:hAnsi="Times New Roman" w:cs="Times New Roman" w:eastAsia="Times New Roman" w:hint="default"/>
        </w:rPr>
      </w:pPr>
      <w:r>
        <w:rPr>
          <w:rFonts w:ascii="Times New Roman" w:hAnsi="Times New Roman" w:cs="Times New Roman" w:eastAsia="Times New Roman" w:hint="default"/>
        </w:rPr>
        <w:t>152,685,364.97</w:t>
      </w:r>
      <w:r>
        <w:rPr/>
        <w:t>元，占应收账款期末余额合计数的比例</w:t>
      </w:r>
      <w:r>
        <w:rPr>
          <w:rFonts w:ascii="Times New Roman" w:hAnsi="Times New Roman" w:cs="Times New Roman" w:eastAsia="Times New Roman" w:hint="default"/>
        </w:rPr>
        <w:t>10.66%</w:t>
      </w:r>
      <w:r>
        <w:rPr/>
        <w:t>，相应计提的坏账准备期末余额汇总金额人民币</w:t>
      </w:r>
      <w:r>
        <w:rPr>
          <w:rFonts w:ascii="Times New Roman" w:hAnsi="Times New Roman" w:cs="Times New Roman" w:eastAsia="Times New Roman" w:hint="default"/>
        </w:rPr>
        <w:t>46,365,466.47</w:t>
      </w:r>
    </w:p>
    <w:p>
      <w:pPr>
        <w:pStyle w:val="BodyText"/>
        <w:spacing w:line="240" w:lineRule="auto" w:before="63"/>
        <w:ind w:right="1122"/>
        <w:jc w:val="left"/>
      </w:pP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66,562,807.50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52,367,103.12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85.09%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2,521,933.04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6,803,443.86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5,316,515.95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2,375,115.50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74,401,256.49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61,545,662.48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960"/>
        <w:gridCol w:w="2323"/>
        <w:gridCol w:w="2127"/>
        <w:gridCol w:w="1205"/>
        <w:gridCol w:w="1668"/>
      </w:tblGrid>
      <w:tr>
        <w:trPr>
          <w:trHeight w:val="348" w:hRule="exact"/>
        </w:trPr>
        <w:tc>
          <w:tcPr>
            <w:tcW w:w="1960"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b/>
                <w:bCs/>
                <w:sz w:val="18"/>
                <w:szCs w:val="18"/>
              </w:rPr>
              <w:t>债权单位</w:t>
            </w:r>
            <w:r>
              <w:rPr>
                <w:rFonts w:ascii="宋体" w:hAnsi="宋体" w:cs="宋体" w:eastAsia="宋体" w:hint="default"/>
                <w:sz w:val="18"/>
                <w:szCs w:val="18"/>
              </w:rPr>
            </w:r>
          </w:p>
        </w:tc>
        <w:tc>
          <w:tcPr>
            <w:tcW w:w="2323"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right="491"/>
              <w:jc w:val="center"/>
              <w:rPr>
                <w:rFonts w:ascii="宋体" w:hAnsi="宋体" w:cs="宋体" w:eastAsia="宋体" w:hint="default"/>
                <w:sz w:val="18"/>
                <w:szCs w:val="18"/>
              </w:rPr>
            </w:pPr>
            <w:r>
              <w:rPr>
                <w:rFonts w:ascii="宋体" w:hAnsi="宋体" w:cs="宋体" w:eastAsia="宋体" w:hint="default"/>
                <w:b/>
                <w:bCs/>
                <w:sz w:val="18"/>
                <w:szCs w:val="18"/>
              </w:rPr>
              <w:t>债务单位</w:t>
            </w:r>
            <w:r>
              <w:rPr>
                <w:rFonts w:ascii="宋体" w:hAnsi="宋体" w:cs="宋体" w:eastAsia="宋体" w:hint="default"/>
                <w:sz w:val="18"/>
                <w:szCs w:val="18"/>
              </w:rPr>
            </w:r>
          </w:p>
        </w:tc>
        <w:tc>
          <w:tcPr>
            <w:tcW w:w="2127"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494"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1205"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1668"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425" w:right="0"/>
              <w:jc w:val="left"/>
              <w:rPr>
                <w:rFonts w:ascii="宋体" w:hAnsi="宋体" w:cs="宋体" w:eastAsia="宋体" w:hint="default"/>
                <w:sz w:val="18"/>
                <w:szCs w:val="18"/>
              </w:rPr>
            </w:pPr>
            <w:r>
              <w:rPr>
                <w:rFonts w:ascii="宋体" w:hAnsi="宋体" w:cs="宋体" w:eastAsia="宋体" w:hint="default"/>
                <w:b/>
                <w:bCs/>
                <w:sz w:val="18"/>
                <w:szCs w:val="18"/>
              </w:rPr>
              <w:t>未结算原因</w:t>
            </w:r>
            <w:r>
              <w:rPr>
                <w:rFonts w:ascii="宋体" w:hAnsi="宋体" w:cs="宋体" w:eastAsia="宋体" w:hint="default"/>
                <w:sz w:val="18"/>
                <w:szCs w:val="18"/>
              </w:rPr>
            </w:r>
          </w:p>
        </w:tc>
      </w:tr>
      <w:tr>
        <w:trPr>
          <w:trHeight w:val="348" w:hRule="exact"/>
        </w:trPr>
        <w:tc>
          <w:tcPr>
            <w:tcW w:w="196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spacing w:val="14"/>
                <w:sz w:val="18"/>
                <w:szCs w:val="18"/>
              </w:rPr>
              <w:t>江苏神州信源系统工程</w:t>
            </w:r>
            <w:r>
              <w:rPr>
                <w:rFonts w:ascii="宋体" w:hAnsi="宋体" w:cs="宋体" w:eastAsia="宋体" w:hint="default"/>
                <w:sz w:val="18"/>
                <w:szCs w:val="18"/>
              </w:rPr>
            </w:r>
          </w:p>
        </w:tc>
        <w:tc>
          <w:tcPr>
            <w:tcW w:w="2323"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488"/>
              <w:jc w:val="center"/>
              <w:rPr>
                <w:rFonts w:ascii="宋体" w:hAnsi="宋体" w:cs="宋体" w:eastAsia="宋体" w:hint="default"/>
                <w:sz w:val="18"/>
                <w:szCs w:val="18"/>
              </w:rPr>
            </w:pPr>
            <w:r>
              <w:rPr>
                <w:rFonts w:ascii="宋体" w:hAnsi="宋体" w:cs="宋体" w:eastAsia="宋体" w:hint="default"/>
                <w:sz w:val="18"/>
                <w:szCs w:val="18"/>
              </w:rPr>
              <w:t>徐州宏远建筑安装有限</w:t>
            </w:r>
          </w:p>
        </w:tc>
        <w:tc>
          <w:tcPr>
            <w:tcW w:w="212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1090" w:right="0"/>
              <w:jc w:val="left"/>
              <w:rPr>
                <w:rFonts w:ascii="Times New Roman" w:hAnsi="Times New Roman" w:cs="Times New Roman" w:eastAsia="Times New Roman" w:hint="default"/>
                <w:sz w:val="18"/>
                <w:szCs w:val="18"/>
              </w:rPr>
            </w:pPr>
            <w:r>
              <w:rPr>
                <w:rFonts w:ascii="Times New Roman"/>
                <w:sz w:val="18"/>
              </w:rPr>
              <w:t>2,300,000.00</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668"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91"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r>
        <w:rPr/>
        <w:pict>
          <v:group style="position:absolute;margin-left:55.200001pt;margin-top:55.559982pt;width:484.9pt;height:.1pt;mso-position-horizontal-relative:page;mso-position-vertical-relative:page;z-index:-1200832"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38" w:type="dxa"/>
        <w:tblLayout w:type="fixed"/>
        <w:tblCellMar>
          <w:top w:w="0" w:type="dxa"/>
          <w:left w:w="0" w:type="dxa"/>
          <w:bottom w:w="0" w:type="dxa"/>
          <w:right w:w="0" w:type="dxa"/>
        </w:tblCellMar>
        <w:tblLook w:val="01E0"/>
      </w:tblPr>
      <w:tblGrid>
        <w:gridCol w:w="1974"/>
        <w:gridCol w:w="2609"/>
        <w:gridCol w:w="1841"/>
        <w:gridCol w:w="1284"/>
        <w:gridCol w:w="1589"/>
      </w:tblGrid>
      <w:tr>
        <w:trPr>
          <w:trHeight w:val="687" w:hRule="exact"/>
        </w:trPr>
        <w:tc>
          <w:tcPr>
            <w:tcW w:w="1974"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26"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09"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41" w:type="dxa"/>
            <w:tcBorders>
              <w:top w:val="single" w:sz="6" w:space="0" w:color="000000"/>
              <w:left w:val="nil" w:sz="6" w:space="0" w:color="auto"/>
              <w:bottom w:val="single" w:sz="8" w:space="0" w:color="000000"/>
              <w:right w:val="nil" w:sz="6" w:space="0" w:color="auto"/>
            </w:tcBorders>
          </w:tcPr>
          <w:p>
            <w:pPr/>
          </w:p>
        </w:tc>
        <w:tc>
          <w:tcPr>
            <w:tcW w:w="1284" w:type="dxa"/>
            <w:tcBorders>
              <w:top w:val="single" w:sz="6" w:space="0" w:color="000000"/>
              <w:left w:val="nil" w:sz="6" w:space="0" w:color="auto"/>
              <w:bottom w:val="single" w:sz="8" w:space="0" w:color="000000"/>
              <w:right w:val="nil" w:sz="6" w:space="0" w:color="auto"/>
            </w:tcBorders>
          </w:tcPr>
          <w:p>
            <w:pPr/>
          </w:p>
        </w:tc>
        <w:tc>
          <w:tcPr>
            <w:tcW w:w="1589" w:type="dxa"/>
            <w:tcBorders>
              <w:top w:val="single" w:sz="6" w:space="0" w:color="000000"/>
              <w:left w:val="nil" w:sz="6" w:space="0" w:color="auto"/>
              <w:bottom w:val="single" w:sz="8" w:space="0" w:color="000000"/>
              <w:right w:val="nil" w:sz="6" w:space="0" w:color="auto"/>
            </w:tcBorders>
          </w:tcPr>
          <w:p>
            <w:pPr/>
          </w:p>
        </w:tc>
      </w:tr>
      <w:tr>
        <w:trPr>
          <w:trHeight w:val="658"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316" w:lineRule="auto" w:before="13"/>
              <w:ind w:left="26" w:right="1"/>
              <w:jc w:val="left"/>
              <w:rPr>
                <w:rFonts w:ascii="宋体" w:hAnsi="宋体" w:cs="宋体" w:eastAsia="宋体" w:hint="default"/>
                <w:sz w:val="18"/>
                <w:szCs w:val="18"/>
              </w:rPr>
            </w:pPr>
            <w:r>
              <w:rPr>
                <w:rFonts w:ascii="宋体" w:hAnsi="宋体" w:cs="宋体" w:eastAsia="宋体" w:hint="default"/>
                <w:spacing w:val="14"/>
                <w:sz w:val="18"/>
                <w:szCs w:val="18"/>
              </w:rPr>
              <w:t>江苏神州信源系统工程 </w:t>
            </w:r>
            <w:r>
              <w:rPr>
                <w:rFonts w:ascii="宋体" w:hAnsi="宋体" w:cs="宋体" w:eastAsia="宋体" w:hint="default"/>
                <w:sz w:val="18"/>
                <w:szCs w:val="18"/>
              </w:rPr>
              <w:t>有限公司</w:t>
            </w:r>
          </w:p>
        </w:tc>
        <w:tc>
          <w:tcPr>
            <w:tcW w:w="260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 w:right="0"/>
              <w:jc w:val="left"/>
              <w:rPr>
                <w:rFonts w:ascii="宋体" w:hAnsi="宋体" w:cs="宋体" w:eastAsia="宋体" w:hint="default"/>
                <w:sz w:val="18"/>
                <w:szCs w:val="18"/>
              </w:rPr>
            </w:pPr>
            <w:r>
              <w:rPr>
                <w:rFonts w:ascii="宋体" w:hAnsi="宋体" w:cs="宋体" w:eastAsia="宋体" w:hint="default"/>
                <w:sz w:val="18"/>
                <w:szCs w:val="18"/>
              </w:rPr>
              <w:t>宜昌恒畅物流有限公司</w:t>
            </w: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89"/>
              <w:jc w:val="right"/>
              <w:rPr>
                <w:rFonts w:ascii="Times New Roman" w:hAnsi="Times New Roman" w:cs="Times New Roman" w:eastAsia="Times New Roman" w:hint="default"/>
                <w:sz w:val="18"/>
                <w:szCs w:val="18"/>
              </w:rPr>
            </w:pPr>
            <w:r>
              <w:rPr>
                <w:rFonts w:ascii="Times New Roman"/>
                <w:spacing w:val="-1"/>
                <w:sz w:val="18"/>
              </w:rPr>
              <w:t>1,895,405.79</w:t>
            </w: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660"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58" w:right="0"/>
              <w:jc w:val="left"/>
              <w:rPr>
                <w:rFonts w:ascii="宋体" w:hAnsi="宋体" w:cs="宋体" w:eastAsia="宋体" w:hint="default"/>
                <w:sz w:val="18"/>
                <w:szCs w:val="18"/>
              </w:rPr>
            </w:pPr>
            <w:r>
              <w:rPr>
                <w:rFonts w:ascii="宋体" w:hAnsi="宋体" w:cs="宋体" w:eastAsia="宋体" w:hint="default"/>
                <w:sz w:val="18"/>
                <w:szCs w:val="18"/>
              </w:rPr>
              <w:t>江苏神州信源系统工程</w:t>
            </w:r>
          </w:p>
          <w:p>
            <w:pPr>
              <w:pStyle w:val="TableParagraph"/>
              <w:spacing w:line="240" w:lineRule="auto" w:before="76"/>
              <w:ind w:left="123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609"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3" w:right="0"/>
              <w:jc w:val="left"/>
              <w:rPr>
                <w:rFonts w:ascii="宋体" w:hAnsi="宋体" w:cs="宋体" w:eastAsia="宋体" w:hint="default"/>
                <w:sz w:val="18"/>
                <w:szCs w:val="18"/>
              </w:rPr>
            </w:pPr>
            <w:r>
              <w:rPr>
                <w:rFonts w:ascii="宋体" w:hAnsi="宋体" w:cs="宋体" w:eastAsia="宋体" w:hint="default"/>
                <w:sz w:val="18"/>
                <w:szCs w:val="18"/>
              </w:rPr>
              <w:t>南京软迅科技有限公司</w:t>
            </w: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1,152,188.47</w:t>
            </w:r>
          </w:p>
        </w:tc>
        <w:tc>
          <w:tcPr>
            <w:tcW w:w="128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77"/>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589"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48" w:hRule="exact"/>
        </w:trPr>
        <w:tc>
          <w:tcPr>
            <w:tcW w:w="197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2609" w:type="dxa"/>
            <w:tcBorders>
              <w:top w:val="single" w:sz="8" w:space="0" w:color="000000"/>
              <w:left w:val="nil" w:sz="6" w:space="0" w:color="auto"/>
              <w:bottom w:val="single" w:sz="8" w:space="0" w:color="000000"/>
              <w:right w:val="nil" w:sz="6" w:space="0" w:color="auto"/>
            </w:tcBorders>
          </w:tcPr>
          <w:p>
            <w:pPr/>
          </w:p>
        </w:tc>
        <w:tc>
          <w:tcPr>
            <w:tcW w:w="184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89"/>
              <w:jc w:val="right"/>
              <w:rPr>
                <w:rFonts w:ascii="Times New Roman" w:hAnsi="Times New Roman" w:cs="Times New Roman" w:eastAsia="Times New Roman" w:hint="default"/>
                <w:sz w:val="18"/>
                <w:szCs w:val="18"/>
              </w:rPr>
            </w:pPr>
            <w:r>
              <w:rPr>
                <w:rFonts w:ascii="Times New Roman"/>
                <w:b/>
                <w:spacing w:val="-1"/>
                <w:sz w:val="18"/>
              </w:rPr>
              <w:t>5,347,594.26</w:t>
            </w:r>
            <w:r>
              <w:rPr>
                <w:rFonts w:ascii="Times New Roman"/>
                <w:spacing w:val="-1"/>
                <w:sz w:val="18"/>
              </w:rPr>
            </w:r>
          </w:p>
        </w:tc>
        <w:tc>
          <w:tcPr>
            <w:tcW w:w="1284" w:type="dxa"/>
            <w:tcBorders>
              <w:top w:val="single" w:sz="8" w:space="0" w:color="000000"/>
              <w:left w:val="nil" w:sz="6" w:space="0" w:color="auto"/>
              <w:bottom w:val="single" w:sz="8" w:space="0" w:color="000000"/>
              <w:right w:val="nil" w:sz="6" w:space="0" w:color="auto"/>
            </w:tcBorders>
          </w:tcPr>
          <w:p>
            <w:pPr/>
          </w:p>
        </w:tc>
        <w:tc>
          <w:tcPr>
            <w:tcW w:w="1589" w:type="dxa"/>
            <w:tcBorders>
              <w:top w:val="single" w:sz="8" w:space="0" w:color="000000"/>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24"/>
        <w:jc w:val="right"/>
      </w:pPr>
      <w:r>
        <w:rPr>
          <w:spacing w:val="5"/>
        </w:rPr>
        <w:t>本期按欠款方归集的期末余额前五名预付款项汇总金额人民币</w:t>
      </w:r>
      <w:r>
        <w:rPr>
          <w:rFonts w:ascii="Times New Roman" w:hAnsi="Times New Roman" w:cs="Times New Roman" w:eastAsia="Times New Roman" w:hint="default"/>
          <w:spacing w:val="5"/>
        </w:rPr>
        <w:t>28,365,591.98</w:t>
      </w:r>
      <w:r>
        <w:rPr>
          <w:spacing w:val="5"/>
        </w:rPr>
        <w:t>元，占预付款项期末余额合计数的比例</w:t>
      </w:r>
      <w:r>
        <w:rPr/>
      </w:r>
    </w:p>
    <w:p>
      <w:pPr>
        <w:pStyle w:val="BodyText"/>
        <w:spacing w:line="240" w:lineRule="auto" w:before="63"/>
        <w:ind w:right="1122"/>
        <w:jc w:val="left"/>
      </w:pPr>
      <w:r>
        <w:rPr>
          <w:rFonts w:ascii="Times New Roman" w:hAnsi="Times New Roman" w:cs="Times New Roman" w:eastAsia="Times New Roman" w:hint="default"/>
        </w:rPr>
        <w:t>38.13%</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60" w:lineRule="auto" w:before="143"/>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27,037,788.69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27,037,788.69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19,400,403.77</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0"/>
        <w:ind w:right="1122"/>
        <w:jc w:val="left"/>
      </w:pPr>
      <w:r>
        <w:rPr/>
        <w:t>其他说明：</w:t>
      </w:r>
    </w:p>
    <w:p>
      <w:pPr>
        <w:spacing w:after="0" w:line="240" w:lineRule="auto"/>
        <w:jc w:val="left"/>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20,834,628.81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15,167,189.01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7,273,537.56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2,597,060.43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3,632,240.40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2,963,168.00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2,051,272.87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5,290,250.60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33,791,679.64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26,017,668.04</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5,894,619.75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722,644.52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6,617,264.27</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340,665.50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340,665.50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206,544.52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206,544.52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2,505.70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2,505.70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6,237,790.95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6,753,890.95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18,193,299.93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6,535,574.96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4,248,416.10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4,814,388.65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1,658,865.25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871,959.57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2,283,563.83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33,791,679.64</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6,617,264.27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340,665.50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206,544.52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6,753,890.95</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6,617,264.27</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7" w:right="0"/>
              <w:jc w:val="left"/>
              <w:rPr>
                <w:rFonts w:ascii="Times New Roman" w:hAnsi="Times New Roman" w:cs="Times New Roman" w:eastAsia="Times New Roman" w:hint="default"/>
                <w:sz w:val="18"/>
                <w:szCs w:val="18"/>
              </w:rPr>
            </w:pPr>
            <w:r>
              <w:rPr>
                <w:rFonts w:ascii="Times New Roman"/>
                <w:sz w:val="18"/>
              </w:rPr>
              <w:t>340,665.50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206,544.52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2,505.70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6,753,890.95</w:t>
            </w:r>
          </w:p>
        </w:tc>
      </w:tr>
    </w:tbl>
    <w:p>
      <w:pPr>
        <w:pStyle w:val="BodyText"/>
        <w:spacing w:line="240" w:lineRule="auto" w:before="49"/>
        <w:ind w:right="1122"/>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206,544.52</w:t>
            </w:r>
          </w:p>
        </w:tc>
      </w:tr>
    </w:tbl>
    <w:p>
      <w:pPr>
        <w:pStyle w:val="BodyText"/>
        <w:spacing w:line="240" w:lineRule="auto" w:before="49"/>
        <w:ind w:right="1122"/>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49"/>
        <w:ind w:right="8954"/>
        <w:jc w:val="left"/>
      </w:pPr>
      <w:r>
        <w:rPr/>
        <w:t>其他应收款核销说明：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马永清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43,000.00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中国人寿保险股份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150,360.70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四川省监狱管理局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2,599,502.00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334,036.01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徐州九夏信息科技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583,800.00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上海神润建设工程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66,360.00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12,818,502.00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1,177,556.71</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8"/>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是否已执行新收入准则</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38"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2"/>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7"/>
        <w:gridCol w:w="799"/>
        <w:gridCol w:w="797"/>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49"/>
        <w:ind w:right="1122"/>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2"/>
        <w:gridCol w:w="1404"/>
      </w:tblGrid>
      <w:tr>
        <w:trPr>
          <w:trHeight w:val="714"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15" w:right="63"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7"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1122"/>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50"/>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60"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3"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1122"/>
        <w:jc w:val="left"/>
      </w:pPr>
      <w:r>
        <w:rPr/>
        <w:t>按主要项目分类：</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4"/>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）存货期末余额中利息资本化率的情况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）存货受限情况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按项目披露受限存货情况：</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3"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）存货分类</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338" w:lineRule="auto" w:before="44"/>
        <w:ind w:right="-17"/>
        <w:jc w:val="left"/>
      </w:pPr>
      <w:r>
        <w:rPr/>
        <w:t>公司需遵守《深圳证券交易所行业信息披露指引第</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上市公司从事房地产业务》的披露要求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7894" w:space="93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2"/>
        <w:jc w:val="left"/>
      </w:pPr>
      <w:r>
        <w:rPr/>
        <w:t>按下列格式披露</w:t>
      </w:r>
      <w:r>
        <w:rPr>
          <w:rFonts w:ascii="Times New Roman" w:hAnsi="Times New Roman" w:cs="Times New Roman" w:eastAsia="Times New Roman" w:hint="default"/>
        </w:rPr>
        <w:t>“</w:t>
      </w:r>
      <w:r>
        <w:rPr/>
        <w:t>开发成本</w:t>
      </w:r>
      <w:r>
        <w:rPr>
          <w:rFonts w:ascii="Times New Roman" w:hAnsi="Times New Roman" w:cs="Times New Roman" w:eastAsia="Times New Roman" w:hint="default"/>
        </w:rPr>
        <w:t>”</w:t>
      </w:r>
      <w:r>
        <w:rPr/>
        <w:t>主要项目及其利息资本化情况：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5"/>
        <w:gridCol w:w="799"/>
        <w:gridCol w:w="797"/>
        <w:gridCol w:w="800"/>
        <w:gridCol w:w="797"/>
        <w:gridCol w:w="799"/>
        <w:gridCol w:w="797"/>
        <w:gridCol w:w="799"/>
        <w:gridCol w:w="797"/>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预计竣工 时间</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02" w:right="29" w:hanging="270"/>
              <w:jc w:val="left"/>
              <w:rPr>
                <w:rFonts w:ascii="宋体" w:hAnsi="宋体" w:cs="宋体" w:eastAsia="宋体" w:hint="default"/>
                <w:sz w:val="18"/>
                <w:szCs w:val="18"/>
              </w:rPr>
            </w:pPr>
            <w:r>
              <w:rPr>
                <w:rFonts w:ascii="宋体" w:hAnsi="宋体" w:cs="宋体" w:eastAsia="宋体" w:hint="default"/>
                <w:sz w:val="18"/>
                <w:szCs w:val="18"/>
              </w:rPr>
              <w:t>预计总投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本期转入 开发产品</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4"/>
              <w:jc w:val="left"/>
              <w:rPr>
                <w:rFonts w:ascii="宋体" w:hAnsi="宋体" w:cs="宋体" w:eastAsia="宋体" w:hint="default"/>
                <w:sz w:val="18"/>
                <w:szCs w:val="18"/>
              </w:rPr>
            </w:pPr>
            <w:r>
              <w:rPr>
                <w:rFonts w:ascii="宋体" w:hAnsi="宋体" w:cs="宋体" w:eastAsia="宋体" w:hint="default"/>
                <w:sz w:val="18"/>
                <w:szCs w:val="18"/>
              </w:rPr>
              <w:t>本期其他 减少金额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center"/>
              <w:rPr>
                <w:rFonts w:ascii="宋体" w:hAnsi="宋体" w:cs="宋体" w:eastAsia="宋体" w:hint="default"/>
                <w:sz w:val="18"/>
                <w:szCs w:val="18"/>
              </w:rPr>
            </w:pPr>
            <w:r>
              <w:rPr>
                <w:rFonts w:ascii="宋体" w:hAnsi="宋体" w:cs="宋体" w:eastAsia="宋体" w:hint="default"/>
                <w:sz w:val="18"/>
                <w:szCs w:val="18"/>
              </w:rPr>
              <w:t>本期（开 发成本） 增加</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center"/>
              <w:rPr>
                <w:rFonts w:ascii="宋体" w:hAnsi="宋体" w:cs="宋体" w:eastAsia="宋体" w:hint="default"/>
                <w:sz w:val="18"/>
                <w:szCs w:val="18"/>
              </w:rPr>
            </w:pPr>
            <w:r>
              <w:rPr>
                <w:rFonts w:ascii="宋体" w:hAnsi="宋体" w:cs="宋体" w:eastAsia="宋体" w:hint="default"/>
                <w:sz w:val="18"/>
                <w:szCs w:val="18"/>
              </w:rPr>
              <w:t>利息资本 化累计金 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其中：本 期利息资 本化金额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资金来源</w:t>
            </w:r>
          </w:p>
        </w:tc>
      </w:tr>
    </w:tbl>
    <w:p>
      <w:pPr>
        <w:pStyle w:val="BodyText"/>
        <w:spacing w:line="240" w:lineRule="auto" w:before="50"/>
        <w:ind w:right="1122"/>
        <w:jc w:val="left"/>
      </w:pPr>
      <w:r>
        <w:rPr/>
        <w:t>按下列格式项目披露</w:t>
      </w:r>
      <w:r>
        <w:rPr>
          <w:rFonts w:ascii="Times New Roman" w:hAnsi="Times New Roman" w:cs="Times New Roman" w:eastAsia="Times New Roman" w:hint="default"/>
        </w:rPr>
        <w:t>“</w:t>
      </w:r>
      <w:r>
        <w:rPr/>
        <w:t>开发产品</w:t>
      </w:r>
      <w:r>
        <w:rPr>
          <w:rFonts w:ascii="Times New Roman" w:hAnsi="Times New Roman" w:cs="Times New Roman" w:eastAsia="Times New Roman" w:hint="default"/>
        </w:rPr>
        <w:t>”</w:t>
      </w:r>
      <w:r>
        <w:rPr/>
        <w:t>主要项目信息：</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0"/>
        <w:gridCol w:w="936"/>
        <w:gridCol w:w="1143"/>
        <w:gridCol w:w="1171"/>
        <w:gridCol w:w="1169"/>
        <w:gridCol w:w="1404"/>
        <w:gridCol w:w="1402"/>
        <w:gridCol w:w="1404"/>
      </w:tblGrid>
      <w:tr>
        <w:trPr>
          <w:trHeight w:val="713" w:hRule="exact"/>
        </w:trPr>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15" w:right="63" w:hanging="449"/>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其中：本期利息 资本化金额</w:t>
            </w:r>
          </w:p>
        </w:tc>
      </w:tr>
    </w:tbl>
    <w:p>
      <w:pPr>
        <w:pStyle w:val="BodyText"/>
        <w:spacing w:line="240" w:lineRule="auto" w:before="49"/>
        <w:ind w:right="1122"/>
        <w:jc w:val="left"/>
      </w:pPr>
      <w:r>
        <w:rPr/>
        <w:t>按下列格式分项目披露</w:t>
      </w:r>
      <w:r>
        <w:rPr>
          <w:rFonts w:ascii="Times New Roman" w:hAnsi="Times New Roman" w:cs="Times New Roman" w:eastAsia="Times New Roman" w:hint="default"/>
        </w:rPr>
        <w:t>“</w:t>
      </w:r>
      <w:r>
        <w:rPr/>
        <w:t>分期收款开发产品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出租开发产品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周转房</w:t>
      </w:r>
      <w:r>
        <w:rPr>
          <w:rFonts w:ascii="Times New Roman" w:hAnsi="Times New Roman" w:cs="Times New Roman" w:eastAsia="Times New Roman" w:hint="default"/>
        </w:rPr>
        <w:t>”</w:t>
      </w:r>
      <w:r>
        <w:rPr/>
        <w:t>：</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29"/>
        <w:gridCol w:w="1784"/>
        <w:gridCol w:w="2153"/>
        <w:gridCol w:w="1654"/>
        <w:gridCol w:w="2650"/>
      </w:tblGrid>
      <w:tr>
        <w:trPr>
          <w:trHeight w:val="403"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6</w:t>
      </w:r>
      <w:r>
        <w:rPr/>
        <w:t>）存货跌价准备</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pStyle w:val="BodyText"/>
        <w:spacing w:line="360" w:lineRule="auto" w:before="44"/>
        <w:ind w:right="-20"/>
        <w:jc w:val="left"/>
      </w:pPr>
      <w:r>
        <w:rPr/>
        <w:t>按下列格式披露存货跌价准备金计提情况： 按性质分类：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573" w:space="525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2"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1122"/>
        <w:jc w:val="left"/>
      </w:pPr>
      <w:r>
        <w:rPr/>
        <w:t>按主要项目分类：</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898"/>
        <w:gridCol w:w="1196"/>
        <w:gridCol w:w="1063"/>
        <w:gridCol w:w="1330"/>
        <w:gridCol w:w="1462"/>
        <w:gridCol w:w="1196"/>
        <w:gridCol w:w="1063"/>
      </w:tblGrid>
      <w:tr>
        <w:trPr>
          <w:trHeight w:val="401" w:hRule="exact"/>
        </w:trPr>
        <w:tc>
          <w:tcPr>
            <w:tcW w:w="1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8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8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7</w:t>
      </w:r>
      <w:r>
        <w:rPr/>
        <w:t>）存货期末余额中利息资本化率的情况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8</w:t>
      </w:r>
      <w:r>
        <w:rPr/>
        <w:t>）存货受限情况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按项目披露受限存货情况：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38"/>
        <w:gridCol w:w="1822"/>
        <w:gridCol w:w="2504"/>
        <w:gridCol w:w="2504"/>
      </w:tblGrid>
      <w:tr>
        <w:trPr>
          <w:trHeight w:val="764" w:hRule="exact"/>
        </w:trPr>
        <w:tc>
          <w:tcPr>
            <w:tcW w:w="2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9</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10</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10,299,374.35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10,299,374.35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9,297,297.46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9,297,297.46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46,056,393.89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46,056,393.89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31,496,867.40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31,496,867.40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126,527,528.39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126,527,528.39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47,019,076.45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47,019,076.45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182,883,296.63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182,883,296.63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87,813,241.31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87,813,241.31</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11</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left="513" w:right="1122"/>
        <w:jc w:val="left"/>
      </w:pPr>
      <w:r>
        <w:rPr/>
        <w:t>期末，本公司经测试无需计提存货跌价准备。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8"/>
        <w:ind w:right="1122"/>
        <w:jc w:val="left"/>
        <w:rPr>
          <w:b w:val="0"/>
          <w:bCs w:val="0"/>
        </w:rPr>
      </w:pPr>
      <w:r>
        <w:rPr/>
        <w:t>（</w:t>
      </w:r>
      <w:r>
        <w:rPr>
          <w:rFonts w:ascii="Times New Roman" w:hAnsi="Times New Roman" w:cs="Times New Roman" w:eastAsia="Times New Roman" w:hint="default"/>
        </w:rPr>
        <w:t>12</w:t>
      </w:r>
      <w:r>
        <w:rPr/>
        <w:t>）存货期末余额含有借款费用资本化金额的说明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13</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334" w:hRule="exact"/>
        </w:trPr>
        <w:tc>
          <w:tcPr>
            <w:tcW w:w="4783"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left="112"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4"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left="112"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1020" w:right="0"/>
        </w:sectPr>
      </w:pPr>
    </w:p>
    <w:p>
      <w:pPr>
        <w:pStyle w:val="BodyText"/>
        <w:spacing w:line="240" w:lineRule="auto" w:before="44"/>
        <w:ind w:left="112" w:right="-20"/>
        <w:jc w:val="left"/>
      </w:pPr>
      <w:r>
        <w:rPr/>
        <w:t>是否已执行新收入准则</w:t>
      </w:r>
    </w:p>
    <w:p>
      <w:pPr>
        <w:pStyle w:val="BodyText"/>
        <w:spacing w:line="240" w:lineRule="auto" w:before="115"/>
        <w:ind w:left="112"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2" w:right="0"/>
        <w:jc w:val="left"/>
      </w:pPr>
      <w:r>
        <w:rPr/>
        <w:t>单位：</w:t>
      </w:r>
      <w:r>
        <w:rPr>
          <w:spacing w:val="1"/>
        </w:rPr>
        <w:t> </w:t>
      </w:r>
      <w:r>
        <w:rPr/>
        <w:t>元</w:t>
      </w:r>
    </w:p>
    <w:p>
      <w:pPr>
        <w:spacing w:after="0" w:line="240" w:lineRule="auto"/>
        <w:jc w:val="left"/>
        <w:sectPr>
          <w:type w:val="continuous"/>
          <w:pgSz w:w="11910" w:h="16840"/>
          <w:pgMar w:top="1060" w:bottom="116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100,317,808.00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14,565,558.55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9,288,961.68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1,649,603.27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1,910,187.19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留抵税金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1,218,578.14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116,548,050.01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162,417,727.01</w:t>
            </w:r>
          </w:p>
        </w:tc>
      </w:tr>
    </w:tbl>
    <w:p>
      <w:pPr>
        <w:pStyle w:val="BodyText"/>
        <w:spacing w:line="240" w:lineRule="auto" w:before="49"/>
        <w:ind w:left="112" w:right="0"/>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left="112" w:right="0"/>
        <w:jc w:val="left"/>
        <w:rPr>
          <w:b w:val="0"/>
          <w:bCs w:val="0"/>
        </w:rPr>
      </w:pPr>
      <w:r>
        <w:rPr>
          <w:rFonts w:ascii="Times New Roman" w:hAnsi="Times New Roman" w:cs="Times New Roman" w:eastAsia="Times New Roman" w:hint="default"/>
        </w:rPr>
        <w:t>10</w:t>
      </w:r>
      <w:r>
        <w:rPr/>
        <w:t>、长期股权投资</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41"/>
              <w:jc w:val="both"/>
              <w:rPr>
                <w:rFonts w:ascii="宋体" w:hAnsi="宋体" w:cs="宋体" w:eastAsia="宋体" w:hint="default"/>
                <w:sz w:val="18"/>
                <w:szCs w:val="18"/>
              </w:rPr>
            </w:pPr>
            <w:r>
              <w:rPr>
                <w:rFonts w:ascii="宋体" w:hAnsi="宋体" w:cs="宋体" w:eastAsia="宋体" w:hint="default"/>
                <w:sz w:val="18"/>
                <w:szCs w:val="18"/>
              </w:rPr>
              <w:t>北京辰信 领创信息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4,194,711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-2,408,32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1,786,391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.12</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嘉兴北源 投资合伙 企业（有 限合伙） </w:t>
            </w:r>
            <w:r>
              <w:rPr>
                <w:rFonts w:ascii="Times New Roman" w:hAnsi="Times New Roman" w:cs="Times New Roman" w:eastAsia="Times New Roman" w:hint="default"/>
                <w:sz w:val="18"/>
                <w:szCs w:val="18"/>
              </w:rPr>
              <w:t>(1)(3)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45,205,73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-1,359,41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75,046,32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北京信源 健和科技 有限责任 公司</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17,409,11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-5,071,05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15,338,05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北京双洲 科技有限 公司</w:t>
            </w:r>
            <w:r>
              <w:rPr>
                <w:rFonts w:ascii="Times New Roman" w:hAnsi="Times New Roman" w:cs="Times New Roman" w:eastAsia="Times New Roman"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5,247,011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746,064.5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5,993,075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深圳市金 城保密技 术有限公 司</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6,983,279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4,035,000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195,207.7</w:t>
            </w:r>
            <w:r>
              <w:rPr>
                <w:rFonts w:ascii="Times New Roman"/>
                <w:sz w:val="18"/>
              </w:rPr>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11,213,48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浙江华睿 北信源数 据信息产 业投资合 伙企业</w:t>
            </w:r>
          </w:p>
          <w:p>
            <w:pPr>
              <w:pStyle w:val="TableParagraph"/>
              <w:spacing w:line="316" w:lineRule="auto" w:before="17"/>
              <w:ind w:left="24"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w:t>
            </w:r>
            <w:r>
              <w:rPr>
                <w:rFonts w:ascii="宋体" w:hAnsi="宋体" w:cs="宋体" w:eastAsia="宋体" w:hint="default"/>
                <w:spacing w:val="-17"/>
                <w:sz w:val="18"/>
                <w:szCs w:val="18"/>
              </w:rPr>
              <w:t>伙）</w:t>
            </w:r>
            <w:r>
              <w:rPr>
                <w:rFonts w:ascii="Times New Roman" w:hAnsi="Times New Roman" w:cs="Times New Roman" w:eastAsia="Times New Roman" w:hint="default"/>
                <w:spacing w:val="-17"/>
                <w:sz w:val="18"/>
                <w:szCs w:val="18"/>
              </w:rPr>
              <w:t>(2)</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sz w:val="18"/>
                <w:szCs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13,031,22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3,512,184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9,871,802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国保联盟 信息安全 技术有限 公司</w:t>
            </w:r>
            <w:r>
              <w:rPr>
                <w:rFonts w:ascii="Times New Roman" w:hAnsi="Times New Roman" w:cs="Times New Roman" w:eastAsia="Times New Roman" w:hint="default"/>
                <w:sz w:val="18"/>
                <w:szCs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9,497,280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9,334,894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北京美络 克思科技 有限公司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w:t>
            </w:r>
            <w:r>
              <w:rPr>
                <w:rFonts w:ascii="Times New Roman"/>
                <w:spacing w:val="2"/>
                <w:sz w:val="18"/>
              </w:rPr>
              <w:t> </w:t>
            </w: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975,740.1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20,975,74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杭州安司 源科技有 限公司</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(2)</w:t>
            </w:r>
            <w:r>
              <w:rPr>
                <w:rFonts w:ascii="Times New Roman"/>
                <w:spacing w:val="2"/>
                <w:sz w:val="18"/>
              </w:rPr>
              <w:t> </w:t>
            </w: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101,568,3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66.20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159,159,7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70.06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101,568,3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67,835,00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3,512,184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-6,731,41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159,159,7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70.06</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其他说明</w:t>
      </w:r>
    </w:p>
    <w:p>
      <w:pPr>
        <w:pStyle w:val="BodyText"/>
        <w:spacing w:line="240" w:lineRule="auto" w:before="115"/>
        <w:ind w:left="513" w:right="1122"/>
        <w:jc w:val="left"/>
      </w:pPr>
      <w:r>
        <w:rPr/>
        <w:t>（</w:t>
      </w:r>
      <w:r>
        <w:rPr>
          <w:rFonts w:ascii="Times New Roman" w:hAnsi="Times New Roman" w:cs="Times New Roman" w:eastAsia="Times New Roman" w:hint="default"/>
        </w:rPr>
        <w:t>1</w:t>
      </w:r>
      <w:r>
        <w:rPr/>
        <w:t>）本公司在嘉兴北源投资合伙企业（有限合伙）（</w:t>
      </w:r>
      <w:r>
        <w:rPr>
          <w:rFonts w:ascii="Times New Roman" w:hAnsi="Times New Roman" w:cs="Times New Roman" w:eastAsia="Times New Roman" w:hint="default"/>
        </w:rPr>
        <w:t>“</w:t>
      </w:r>
      <w:r>
        <w:rPr/>
        <w:t>嘉兴北源</w:t>
      </w:r>
      <w:r>
        <w:rPr>
          <w:rFonts w:ascii="Times New Roman" w:hAnsi="Times New Roman" w:cs="Times New Roman" w:eastAsia="Times New Roman" w:hint="default"/>
        </w:rPr>
        <w:t>”</w:t>
      </w:r>
      <w:r>
        <w:rPr/>
        <w:t>）投资决策委员会派有一名委员，占投资决策</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122"/>
        <w:jc w:val="left"/>
      </w:pPr>
      <w:r>
        <w:rPr/>
        <w:t>委员会的四分之一席位，投资决策委员会为嘉兴北源的决策机构，其作出决议需要决策委员在内的决策委员总人数的 三分之二以上（不包括三分之二）委员同意通过方可生效，因而本公司对嘉兴北源具有重大影响。此外，尽管本公司 </w:t>
      </w:r>
      <w:r>
        <w:rPr>
          <w:spacing w:val="-3"/>
        </w:rPr>
        <w:t>持有嘉兴北源</w:t>
      </w:r>
      <w:r>
        <w:rPr>
          <w:rFonts w:ascii="Times New Roman" w:hAnsi="Times New Roman" w:cs="Times New Roman" w:eastAsia="Times New Roman" w:hint="default"/>
          <w:spacing w:val="-3"/>
        </w:rPr>
        <w:t>80%</w:t>
      </w:r>
      <w:r>
        <w:rPr>
          <w:spacing w:val="-3"/>
        </w:rPr>
        <w:t>的股权，但是本公司为嘉兴北源的有限合伙人，根据嘉兴北源合伙协议的决策机制和收益分配机制，</w:t>
      </w:r>
      <w:r>
        <w:rPr>
          <w:spacing w:val="-40"/>
        </w:rPr>
        <w:t> </w:t>
      </w:r>
      <w:r>
        <w:rPr>
          <w:spacing w:val="-40"/>
        </w:rPr>
      </w:r>
      <w:r>
        <w:rPr/>
        <w:t>本公司对嘉兴北源无控制权，因此本公司认为嘉兴北源为本公司之联营企业。</w:t>
      </w:r>
    </w:p>
    <w:p>
      <w:pPr>
        <w:pStyle w:val="BodyText"/>
        <w:spacing w:line="300" w:lineRule="auto" w:before="63"/>
        <w:ind w:right="1546" w:firstLine="360"/>
        <w:jc w:val="both"/>
      </w:pPr>
      <w:r>
        <w:rPr/>
        <w:t>（</w:t>
      </w:r>
      <w:r>
        <w:rPr>
          <w:rFonts w:ascii="Times New Roman" w:hAnsi="Times New Roman" w:cs="Times New Roman" w:eastAsia="Times New Roman" w:hint="default"/>
        </w:rPr>
        <w:t>2</w:t>
      </w:r>
      <w:r>
        <w:rPr/>
        <w:t>）本公司对该等被投资单位的持股比例低于</w:t>
      </w:r>
      <w:r>
        <w:rPr>
          <w:rFonts w:ascii="Times New Roman" w:hAnsi="Times New Roman" w:cs="Times New Roman" w:eastAsia="Times New Roman" w:hint="default"/>
        </w:rPr>
        <w:t>20%</w:t>
      </w:r>
      <w:r>
        <w:rPr/>
        <w:t>，但是本公司向其各派驻一名董事，占被投资单位董事会席 </w:t>
      </w:r>
      <w:r>
        <w:rPr>
          <w:spacing w:val="-3"/>
        </w:rPr>
        <w:t>位的五分之一或三分之一席位，对该被投资单位具有重大影响，因此本公司认为该等被投资单位为本公司之联营企业。</w:t>
      </w:r>
    </w:p>
    <w:p>
      <w:pPr>
        <w:pStyle w:val="BodyText"/>
        <w:spacing w:line="300" w:lineRule="auto" w:before="70"/>
        <w:ind w:right="1636" w:firstLine="360"/>
        <w:jc w:val="both"/>
      </w:pPr>
      <w:r>
        <w:rPr/>
        <w:t>（</w:t>
      </w:r>
      <w:r>
        <w:rPr>
          <w:rFonts w:ascii="Times New Roman" w:hAnsi="Times New Roman" w:cs="Times New Roman" w:eastAsia="Times New Roman" w:hint="default"/>
        </w:rPr>
        <w:t>3</w:t>
      </w:r>
      <w:r>
        <w:rPr/>
        <w:t>）本公司本年度以货币资金向嘉兴北源新增投资人民币</w:t>
      </w:r>
      <w:r>
        <w:rPr>
          <w:rFonts w:ascii="Times New Roman" w:hAnsi="Times New Roman" w:cs="Times New Roman" w:eastAsia="Times New Roman" w:hint="default"/>
        </w:rPr>
        <w:t>31,200,000.00</w:t>
      </w:r>
      <w:r>
        <w:rPr/>
        <w:t>元；向北京信源健和科技有限责任公司 新增投资人民币</w:t>
      </w:r>
      <w:r>
        <w:rPr>
          <w:rFonts w:ascii="Times New Roman" w:hAnsi="Times New Roman" w:cs="Times New Roman" w:eastAsia="Times New Roman" w:hint="default"/>
        </w:rPr>
        <w:t>3,000,000.00</w:t>
      </w:r>
      <w:r>
        <w:rPr/>
        <w:t>元；向深圳市金城保密技术有限公司新增投资人民币</w:t>
      </w:r>
      <w:r>
        <w:rPr>
          <w:rFonts w:ascii="Times New Roman" w:hAnsi="Times New Roman" w:cs="Times New Roman" w:eastAsia="Times New Roman" w:hint="default"/>
        </w:rPr>
        <w:t>4,035,000.00</w:t>
      </w:r>
      <w:r>
        <w:rPr/>
        <w:t>元。</w:t>
      </w:r>
    </w:p>
    <w:p>
      <w:pPr>
        <w:pStyle w:val="BodyText"/>
        <w:spacing w:line="309" w:lineRule="auto" w:before="53"/>
        <w:ind w:right="1632" w:firstLine="360"/>
        <w:jc w:val="both"/>
      </w:pPr>
      <w:r>
        <w:rPr>
          <w:spacing w:val="-2"/>
        </w:rPr>
        <w:t>（</w:t>
      </w:r>
      <w:r>
        <w:rPr>
          <w:rFonts w:ascii="Times New Roman" w:hAnsi="Times New Roman" w:cs="Times New Roman" w:eastAsia="Times New Roman" w:hint="default"/>
          <w:spacing w:val="-2"/>
        </w:rPr>
        <w:t>4</w:t>
      </w:r>
      <w:r>
        <w:rPr>
          <w:spacing w:val="-2"/>
        </w:rPr>
        <w:t>）本公司本年度以货币资金收购北京美络克思科技有限公司</w:t>
      </w:r>
      <w:r>
        <w:rPr>
          <w:rFonts w:ascii="Times New Roman" w:hAnsi="Times New Roman" w:cs="Times New Roman" w:eastAsia="Times New Roman" w:hint="default"/>
          <w:spacing w:val="-2"/>
        </w:rPr>
        <w:t>10%</w:t>
      </w:r>
      <w:r>
        <w:rPr>
          <w:spacing w:val="-2"/>
        </w:rPr>
        <w:t>的股权，新增投资人民币</w:t>
      </w:r>
      <w:r>
        <w:rPr>
          <w:rFonts w:ascii="Times New Roman" w:hAnsi="Times New Roman" w:cs="Times New Roman" w:eastAsia="Times New Roman" w:hint="default"/>
          <w:spacing w:val="-2"/>
        </w:rPr>
        <w:t>20,000,000.00</w:t>
      </w:r>
      <w:r>
        <w:rPr>
          <w:spacing w:val="-2"/>
        </w:rPr>
        <w:t>元人民</w:t>
      </w:r>
      <w:r>
        <w:rPr/>
        <w:t> </w:t>
      </w:r>
      <w:r>
        <w:rPr>
          <w:spacing w:val="-1"/>
        </w:rPr>
        <w:t>币；本公司之子公司嘉兴泽阳股权投资合伙企业（有限合伙）本年度以货币资金向杭州安司源科技有限公司新增投资</w:t>
      </w:r>
      <w:r>
        <w:rPr>
          <w:spacing w:val="-87"/>
        </w:rPr>
        <w:t> </w:t>
      </w:r>
      <w:r>
        <w:rPr>
          <w:spacing w:val="-87"/>
        </w:rPr>
      </w:r>
      <w:r>
        <w:rPr/>
        <w:t>人民币</w:t>
      </w:r>
      <w:r>
        <w:rPr>
          <w:rFonts w:ascii="Times New Roman" w:hAnsi="Times New Roman" w:cs="Times New Roman" w:eastAsia="Times New Roman" w:hint="default"/>
        </w:rPr>
        <w:t>9,600,000.00</w:t>
      </w:r>
      <w:r>
        <w:rPr/>
        <w:t>元。</w:t>
      </w:r>
    </w:p>
    <w:p>
      <w:pPr>
        <w:pStyle w:val="BodyText"/>
        <w:spacing w:line="300" w:lineRule="auto" w:before="46"/>
        <w:ind w:right="1630" w:firstLine="360"/>
        <w:jc w:val="both"/>
      </w:pPr>
      <w:r>
        <w:rPr/>
        <w:t>（</w:t>
      </w:r>
      <w:r>
        <w:rPr>
          <w:rFonts w:ascii="Times New Roman" w:hAnsi="Times New Roman" w:cs="Times New Roman" w:eastAsia="Times New Roman" w:hint="default"/>
        </w:rPr>
        <w:t>5</w:t>
      </w:r>
      <w:r>
        <w:rPr/>
        <w:t>）本年度浙江华睿北信源数据信息产业投资合伙企业（有限合伙）变更注册资本为人民币</w:t>
      </w:r>
      <w:r>
        <w:rPr>
          <w:rFonts w:ascii="Times New Roman" w:hAnsi="Times New Roman" w:cs="Times New Roman" w:eastAsia="Times New Roman" w:hint="default"/>
        </w:rPr>
        <w:t>181,000,000.00</w:t>
      </w:r>
      <w:r>
        <w:rPr/>
        <w:t>元， 本公司同比例减资</w:t>
      </w:r>
      <w:r>
        <w:rPr>
          <w:rFonts w:ascii="Times New Roman" w:hAnsi="Times New Roman" w:cs="Times New Roman" w:eastAsia="Times New Roman" w:hint="default"/>
        </w:rPr>
        <w:t>3,512,184.00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3"/>
          <w:szCs w:val="23"/>
        </w:rPr>
      </w:pPr>
    </w:p>
    <w:p>
      <w:pPr>
        <w:pStyle w:val="Heading4"/>
        <w:spacing w:line="240" w:lineRule="auto"/>
        <w:ind w:right="1122"/>
        <w:jc w:val="left"/>
        <w:rPr>
          <w:b w:val="0"/>
          <w:bCs w:val="0"/>
        </w:rPr>
      </w:pPr>
      <w:r>
        <w:rPr>
          <w:rFonts w:ascii="Times New Roman" w:hAnsi="Times New Roman" w:cs="Times New Roman" w:eastAsia="Times New Roman" w:hint="default"/>
        </w:rPr>
        <w:t>11</w:t>
      </w:r>
      <w:r>
        <w:rPr/>
        <w:t>、其他权益工具投资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杭州芸品绿信息科技有限公司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深圳可信计算技术有限公司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795,382.76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上海无寻网络科技有限公司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5,795,382.76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22"/>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49"/>
        <w:ind w:right="1122"/>
        <w:jc w:val="left"/>
      </w:pPr>
      <w:r>
        <w:rPr/>
        <w:t>其他说明：</w:t>
      </w:r>
    </w:p>
    <w:p>
      <w:pPr>
        <w:pStyle w:val="BodyText"/>
        <w:spacing w:line="240" w:lineRule="auto" w:before="117"/>
        <w:ind w:left="513" w:right="1122"/>
        <w:jc w:val="left"/>
      </w:pPr>
      <w:r>
        <w:rPr/>
        <w:t>（</w:t>
      </w:r>
      <w:r>
        <w:rPr>
          <w:rFonts w:ascii="Times New Roman" w:hAnsi="Times New Roman" w:cs="Times New Roman" w:eastAsia="Times New Roman" w:hint="default"/>
        </w:rPr>
        <w:t>1</w:t>
      </w:r>
      <w:r>
        <w:rPr/>
        <w:t>）本年度，深圳中软华泰信息技术有限公司更名为深圳可信计算技术有限公司。</w:t>
      </w:r>
    </w:p>
    <w:p>
      <w:pPr>
        <w:pStyle w:val="BodyText"/>
        <w:spacing w:line="340" w:lineRule="auto" w:before="101"/>
        <w:ind w:left="513" w:right="1622"/>
        <w:jc w:val="left"/>
      </w:pPr>
      <w:r>
        <w:rPr/>
        <w:t>（</w:t>
      </w:r>
      <w:r>
        <w:rPr>
          <w:rFonts w:ascii="Times New Roman" w:hAnsi="Times New Roman" w:cs="Times New Roman" w:eastAsia="Times New Roman" w:hint="default"/>
        </w:rPr>
        <w:t>2</w:t>
      </w:r>
      <w:r>
        <w:rPr/>
        <w:t>）上海无寻网络科技有限公司持续亏损预计未来难以盈利，本公司于</w:t>
      </w:r>
      <w:r>
        <w:rPr>
          <w:rFonts w:ascii="Times New Roman" w:hAnsi="Times New Roman" w:cs="Times New Roman" w:eastAsia="Times New Roman" w:hint="default"/>
        </w:rPr>
        <w:t>2019</w:t>
      </w:r>
      <w:r>
        <w:rPr/>
        <w:t>年末将其账面价值减记为零。 </w:t>
      </w:r>
      <w:r>
        <w:rPr>
          <w:spacing w:val="-1"/>
        </w:rPr>
        <w:t>以上是本集团出于战略目的而计划长期持有的投资，因此本集团将其指定为以公允价值计量且其变动计入其他综</w:t>
      </w:r>
    </w:p>
    <w:p>
      <w:pPr>
        <w:pStyle w:val="BodyText"/>
        <w:spacing w:line="240" w:lineRule="auto" w:before="1"/>
        <w:ind w:right="1122"/>
        <w:jc w:val="left"/>
      </w:pPr>
      <w:r>
        <w:rPr/>
        <w:t>合收益的金融资产。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Heading4"/>
        <w:spacing w:line="240" w:lineRule="auto"/>
        <w:ind w:right="1122"/>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91,194,849.69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95,489,397.15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91,194,849.69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电子及办公设备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71,874,920.08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60,492,969.66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16,100,478.25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148,696,276.05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6,919,839.93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659,289.09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7,579,129.02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6,919,839.93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659,289.09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7,579,129.02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477,503.30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101,542.08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780,909.96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201,864.58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101,542.08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303,406.66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477,503.30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477,503.30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71,397,416.78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67,412,809.59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16,557,902.76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w w:val="95"/>
                <w:sz w:val="18"/>
              </w:rPr>
              <w:t>126,365.98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155,494,495.11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4,428,005.56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36,328,509.83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12,343,942.35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106,421.16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53,206,878.90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1,700,714.87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8,375,416.12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1,204,735.27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11,325,501.88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1,696,107.11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8,371,224.32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1,196,881.58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11,308,848.63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）外币报表折算 差额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4,607.76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4,191.80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7,853.69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16,653.25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155,558.28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77,177.08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232,735.36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155,558.28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77,177.08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232,735.36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6,128,720.43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44,703,925.95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13,393,119.34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73,879.70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64,299,645.42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65,268,696.35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22,708,883.64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3,164,783.42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52,486.28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91,194,849.69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67,446,914.52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24,164,459.83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3,756,535.90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121,486.90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95,489,397.15</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22"/>
        <w:jc w:val="left"/>
      </w:pPr>
      <w:r>
        <w:rPr/>
        <w:t>其他说明</w:t>
      </w:r>
    </w:p>
    <w:p>
      <w:pPr>
        <w:pStyle w:val="BodyText"/>
        <w:spacing w:line="240" w:lineRule="auto" w:before="115"/>
        <w:ind w:left="513" w:right="1122"/>
        <w:jc w:val="left"/>
      </w:pPr>
      <w:r>
        <w:rPr/>
        <w:t>（</w:t>
      </w:r>
      <w:r>
        <w:rPr>
          <w:rFonts w:ascii="Times New Roman" w:hAnsi="Times New Roman" w:cs="Times New Roman" w:eastAsia="Times New Roman" w:hint="default"/>
        </w:rPr>
        <w:t>1</w:t>
      </w:r>
      <w:r>
        <w:rPr/>
        <w:t>）房屋及建筑物原值的其他减少为调整原暂估入账金额。</w:t>
      </w:r>
    </w:p>
    <w:p>
      <w:pPr>
        <w:pStyle w:val="BodyText"/>
        <w:spacing w:line="240" w:lineRule="auto" w:before="103"/>
        <w:ind w:left="513" w:right="1122"/>
        <w:jc w:val="left"/>
      </w:pPr>
      <w:r>
        <w:rPr/>
        <w:t>（</w:t>
      </w:r>
      <w:r>
        <w:rPr>
          <w:rFonts w:ascii="Times New Roman" w:hAnsi="Times New Roman" w:cs="Times New Roman" w:eastAsia="Times New Roman" w:hint="default"/>
        </w:rPr>
        <w:t>2</w:t>
      </w:r>
      <w:r>
        <w:rPr/>
        <w:t>）期末，本公司无未办妥产权证书的情况。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122,330,229.52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71,724,078.50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122,330,229.52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71,724,078.50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北信源（南京） 研发运营基地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122,330,229.52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122,330,229.52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71,724,078.50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71,724,078.50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122,330,229.52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122,330,229.52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71,724,078.50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71,724,078.50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北信源</w:t>
            </w:r>
          </w:p>
          <w:p>
            <w:pPr>
              <w:pStyle w:val="TableParagraph"/>
              <w:spacing w:line="316" w:lineRule="auto" w:before="74"/>
              <w:ind w:left="24" w:right="-22"/>
              <w:jc w:val="left"/>
              <w:rPr>
                <w:rFonts w:ascii="宋体" w:hAnsi="宋体" w:cs="宋体" w:eastAsia="宋体" w:hint="default"/>
                <w:sz w:val="18"/>
                <w:szCs w:val="18"/>
              </w:rPr>
            </w:pPr>
            <w:r>
              <w:rPr>
                <w:rFonts w:ascii="宋体" w:hAnsi="宋体" w:cs="宋体" w:eastAsia="宋体" w:hint="default"/>
                <w:sz w:val="18"/>
                <w:szCs w:val="18"/>
              </w:rPr>
              <w:t>（南京） 研发运 营基地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368,059,</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298.75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71,724,0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78.50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50,606,1</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51.02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122,330,</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229.52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33.24%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368,059,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298.75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71,724,0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50,606,1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51.02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122,330,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229.52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其他说明</w:t>
      </w:r>
    </w:p>
    <w:p>
      <w:pPr>
        <w:pStyle w:val="BodyText"/>
        <w:spacing w:line="300" w:lineRule="auto" w:before="117"/>
        <w:ind w:right="1633" w:firstLine="360"/>
        <w:jc w:val="both"/>
      </w:pPr>
      <w:r>
        <w:rPr>
          <w:spacing w:val="-1"/>
        </w:rPr>
        <w:t>说明：本公司第三届董事会第十七次临时会议、</w:t>
      </w:r>
      <w:r>
        <w:rPr>
          <w:rFonts w:ascii="Times New Roman" w:hAnsi="Times New Roman" w:cs="Times New Roman" w:eastAsia="Times New Roman" w:hint="default"/>
          <w:spacing w:val="-1"/>
        </w:rPr>
        <w:t>2019</w:t>
      </w:r>
      <w:r>
        <w:rPr>
          <w:spacing w:val="-1"/>
        </w:rPr>
        <w:t>年第三次临时股东大会审议通过《关于部分募集资金投资项</w:t>
      </w:r>
      <w:r>
        <w:rPr/>
        <w:t> 目延期的议案》和《关于变更部分募集资金用途的议案》，同意将非公开发行募集资金投资项目</w:t>
      </w:r>
      <w:r>
        <w:rPr>
          <w:rFonts w:ascii="Times New Roman" w:hAnsi="Times New Roman" w:cs="Times New Roman" w:eastAsia="Times New Roman" w:hint="default"/>
        </w:rPr>
        <w:t>“</w:t>
      </w:r>
      <w:r>
        <w:rPr/>
        <w:t>北信源（南京）研</w:t>
      </w:r>
      <w:r>
        <w:rPr>
          <w:spacing w:val="-41"/>
        </w:rPr>
        <w:t> </w:t>
      </w:r>
      <w:r>
        <w:rPr>
          <w:spacing w:val="-41"/>
        </w:rPr>
      </w:r>
      <w:r>
        <w:rPr>
          <w:spacing w:val="3"/>
        </w:rPr>
        <w:t>发运营基地</w:t>
      </w:r>
      <w:r>
        <w:rPr>
          <w:rFonts w:ascii="Times New Roman" w:hAnsi="Times New Roman" w:cs="Times New Roman" w:eastAsia="Times New Roman" w:hint="default"/>
          <w:spacing w:val="3"/>
        </w:rPr>
        <w:t>”</w:t>
      </w:r>
      <w:r>
        <w:rPr>
          <w:spacing w:val="3"/>
        </w:rPr>
        <w:t>的预计完工时间从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日调整为</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日，并将该项目中的暂未投入使用的募集资金</w:t>
      </w:r>
      <w:r>
        <w:rPr>
          <w:spacing w:val="-63"/>
        </w:rPr>
        <w:t> </w:t>
      </w:r>
      <w:r>
        <w:rPr>
          <w:rFonts w:ascii="Times New Roman" w:hAnsi="Times New Roman" w:cs="Times New Roman" w:eastAsia="Times New Roman" w:hint="default"/>
          <w:spacing w:val="-1"/>
        </w:rPr>
        <w:t>23,400.00</w:t>
      </w:r>
      <w:r>
        <w:rPr>
          <w:spacing w:val="-1"/>
        </w:rPr>
        <w:t>万元变更用于</w:t>
      </w:r>
      <w:r>
        <w:rPr>
          <w:rFonts w:ascii="Times New Roman" w:hAnsi="Times New Roman" w:cs="Times New Roman" w:eastAsia="Times New Roman" w:hint="default"/>
          <w:spacing w:val="-1"/>
        </w:rPr>
        <w:t>“</w:t>
      </w:r>
      <w:r>
        <w:rPr>
          <w:spacing w:val="-1"/>
        </w:rPr>
        <w:t>基于可信终端的安全管理平台</w:t>
      </w:r>
      <w:r>
        <w:rPr>
          <w:rFonts w:ascii="Times New Roman" w:hAnsi="Times New Roman" w:cs="Times New Roman" w:eastAsia="Times New Roman" w:hint="default"/>
          <w:spacing w:val="-1"/>
        </w:rPr>
        <w:t>”</w:t>
      </w:r>
      <w:r>
        <w:rPr>
          <w:spacing w:val="-1"/>
        </w:rPr>
        <w:t>建设。经过上述调整后，北信源（南京）研发运营基地项目的</w:t>
      </w:r>
      <w:r>
        <w:rPr>
          <w:spacing w:val="-68"/>
        </w:rPr>
        <w:t> </w:t>
      </w:r>
      <w:r>
        <w:rPr>
          <w:spacing w:val="-68"/>
        </w:rPr>
      </w:r>
      <w:r>
        <w:rPr/>
        <w:t>预算数变更为人民币</w:t>
      </w:r>
      <w:r>
        <w:rPr>
          <w:rFonts w:ascii="Times New Roman" w:hAnsi="Times New Roman" w:cs="Times New Roman" w:eastAsia="Times New Roman" w:hint="default"/>
        </w:rPr>
        <w:t>368,059,298.75</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41,985,454.03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70,250,147.74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16,097,856.57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152,789,343.34</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90,175,603.68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624,599.43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90,800,203.11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624,599.43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624,599.43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90,175,603.68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90,175,603.68</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24,455,885.00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41,985,454.03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160,425,751.42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16,722,456.00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243,589,546.45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1,508,112.95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10,546,886.96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18,135,290.74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3,214,677.10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33,404,967.75</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489,117.70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4,198,545.48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10,829,039.79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1,646,770.19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17,163,473.16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489,117.70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4,198,545.48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10,829,039.79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1,646,770.19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17,163,473.16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1,997,230.65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14,745,432.44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28,964,330.53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4,861,447.29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50,568,440.91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22,458,654.35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27,240,021.59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131,461,420.89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11,861,008.71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193,021,105.54</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22,947,772.05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31,438,567.07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52,114,857.00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12,883,179.47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119,384,375.59</w:t>
            </w:r>
          </w:p>
        </w:tc>
      </w:tr>
    </w:tbl>
    <w:p>
      <w:pPr>
        <w:pStyle w:val="BodyText"/>
        <w:spacing w:line="240" w:lineRule="auto" w:before="49"/>
        <w:ind w:right="1122"/>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78.49%</w:t>
      </w:r>
      <w:r>
        <w:rPr/>
        <w:t>。</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1122"/>
        <w:jc w:val="left"/>
      </w:pPr>
      <w:r>
        <w:rPr/>
        <w:t>其他说明：</w:t>
      </w:r>
    </w:p>
    <w:p>
      <w:pPr>
        <w:pStyle w:val="BodyText"/>
        <w:spacing w:line="240" w:lineRule="auto" w:before="115"/>
        <w:ind w:left="513" w:right="1122"/>
        <w:jc w:val="left"/>
      </w:pPr>
      <w:r>
        <w:rPr/>
        <w:t>期末，本公司无未办妥产权证书的情况。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3"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服务器安全 运营管理平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4,977,428.32</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4,977,428.32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信源</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CEMS</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统一平台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29,852,860.7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1,458,425.50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31,311,286.2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应急协调指 挥平台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22,431,777.7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17,138,175.4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39,569,953.2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信源豆豆应 用市场系统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9,993,950.00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9,993,950.00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北信源自主 可控安全套 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14,297,935.9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14,297,935.9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云文档安全 集中管控系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6,771,929.61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6,771,929.61</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z w:val="18"/>
                <w:szCs w:val="18"/>
              </w:rPr>
              <w:t>主机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EDR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6,832,812.03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6,832,812.03</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软著人工智 能联盟企业 服务平台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软著人工智 能联盟创新 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57,262,066.8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56,512,228.4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90,175,603.6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23,598,691.6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9"/>
        <w:ind w:right="1122"/>
        <w:jc w:val="left"/>
      </w:pPr>
      <w:r>
        <w:rPr/>
        <w:t>其他说明</w:t>
      </w:r>
    </w:p>
    <w:p>
      <w:pPr>
        <w:spacing w:line="240" w:lineRule="auto" w:before="4"/>
        <w:rPr>
          <w:rFonts w:ascii="宋体" w:hAnsi="宋体" w:cs="宋体" w:eastAsia="宋体" w:hint="default"/>
          <w:sz w:val="8"/>
          <w:szCs w:val="8"/>
        </w:rPr>
      </w:pPr>
    </w:p>
    <w:tbl>
      <w:tblPr>
        <w:tblW w:w="0" w:type="auto"/>
        <w:jc w:val="left"/>
        <w:tblInd w:w="152" w:type="dxa"/>
        <w:tblLayout w:type="fixed"/>
        <w:tblCellMar>
          <w:top w:w="0" w:type="dxa"/>
          <w:left w:w="0" w:type="dxa"/>
          <w:bottom w:w="0" w:type="dxa"/>
          <w:right w:w="0" w:type="dxa"/>
        </w:tblCellMar>
        <w:tblLook w:val="01E0"/>
      </w:tblPr>
      <w:tblGrid>
        <w:gridCol w:w="2962"/>
        <w:gridCol w:w="2595"/>
        <w:gridCol w:w="1985"/>
        <w:gridCol w:w="1580"/>
      </w:tblGrid>
      <w:tr>
        <w:trPr>
          <w:trHeight w:val="660" w:hRule="exact"/>
        </w:trPr>
        <w:tc>
          <w:tcPr>
            <w:tcW w:w="2962"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595"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right="358"/>
              <w:jc w:val="right"/>
              <w:rPr>
                <w:rFonts w:ascii="宋体" w:hAnsi="宋体" w:cs="宋体" w:eastAsia="宋体" w:hint="default"/>
                <w:sz w:val="18"/>
                <w:szCs w:val="18"/>
              </w:rPr>
            </w:pPr>
            <w:r>
              <w:rPr>
                <w:rFonts w:ascii="宋体" w:hAnsi="宋体" w:cs="宋体" w:eastAsia="宋体" w:hint="default"/>
                <w:b/>
                <w:bCs/>
                <w:w w:val="95"/>
                <w:sz w:val="18"/>
                <w:szCs w:val="18"/>
              </w:rPr>
              <w:t>资本化开始时点</w:t>
            </w:r>
            <w:r>
              <w:rPr>
                <w:rFonts w:ascii="宋体" w:hAnsi="宋体" w:cs="宋体" w:eastAsia="宋体" w:hint="default"/>
                <w:sz w:val="18"/>
                <w:szCs w:val="18"/>
              </w:rPr>
            </w:r>
          </w:p>
        </w:tc>
        <w:tc>
          <w:tcPr>
            <w:tcW w:w="1985"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271" w:right="0"/>
              <w:jc w:val="left"/>
              <w:rPr>
                <w:rFonts w:ascii="宋体" w:hAnsi="宋体" w:cs="宋体" w:eastAsia="宋体" w:hint="default"/>
                <w:sz w:val="18"/>
                <w:szCs w:val="18"/>
              </w:rPr>
            </w:pPr>
            <w:r>
              <w:rPr>
                <w:rFonts w:ascii="宋体" w:hAnsi="宋体" w:cs="宋体" w:eastAsia="宋体" w:hint="default"/>
                <w:b/>
                <w:bCs/>
                <w:sz w:val="18"/>
                <w:szCs w:val="18"/>
              </w:rPr>
              <w:t>资本化的具体依据</w:t>
            </w:r>
            <w:r>
              <w:rPr>
                <w:rFonts w:ascii="宋体" w:hAnsi="宋体" w:cs="宋体" w:eastAsia="宋体" w:hint="default"/>
                <w:sz w:val="18"/>
                <w:szCs w:val="18"/>
              </w:rPr>
            </w:r>
          </w:p>
        </w:tc>
        <w:tc>
          <w:tcPr>
            <w:tcW w:w="1580" w:type="dxa"/>
            <w:tcBorders>
              <w:top w:val="single" w:sz="6" w:space="0" w:color="000000"/>
              <w:left w:val="nil" w:sz="6" w:space="0" w:color="auto"/>
              <w:bottom w:val="single" w:sz="8" w:space="0" w:color="000000"/>
              <w:right w:val="nil" w:sz="6" w:space="0" w:color="auto"/>
            </w:tcBorders>
          </w:tcPr>
          <w:p>
            <w:pPr>
              <w:pStyle w:val="TableParagraph"/>
              <w:spacing w:line="316" w:lineRule="auto" w:before="17"/>
              <w:ind w:left="430" w:right="63" w:hanging="361"/>
              <w:jc w:val="left"/>
              <w:rPr>
                <w:rFonts w:ascii="宋体" w:hAnsi="宋体" w:cs="宋体" w:eastAsia="宋体" w:hint="default"/>
                <w:sz w:val="18"/>
                <w:szCs w:val="18"/>
              </w:rPr>
            </w:pPr>
            <w:r>
              <w:rPr>
                <w:rFonts w:ascii="宋体" w:hAnsi="宋体" w:cs="宋体" w:eastAsia="宋体" w:hint="default"/>
                <w:b/>
                <w:bCs/>
                <w:sz w:val="18"/>
                <w:szCs w:val="18"/>
              </w:rPr>
              <w:t>截至期末的研发进</w:t>
            </w:r>
            <w:r>
              <w:rPr>
                <w:rFonts w:ascii="宋体" w:hAnsi="宋体" w:cs="宋体" w:eastAsia="宋体" w:hint="default"/>
                <w:b/>
                <w:bCs/>
                <w:w w:val="99"/>
                <w:sz w:val="18"/>
                <w:szCs w:val="18"/>
              </w:rPr>
              <w:t> </w:t>
            </w:r>
            <w:r>
              <w:rPr>
                <w:rFonts w:ascii="宋体" w:hAnsi="宋体" w:cs="宋体" w:eastAsia="宋体" w:hint="default"/>
                <w:b/>
                <w:bCs/>
                <w:sz w:val="18"/>
                <w:szCs w:val="18"/>
              </w:rPr>
              <w:t>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8"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服务器安全运营管理平台</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1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985" w:type="dxa"/>
            <w:tcBorders>
              <w:top w:val="single" w:sz="8" w:space="0" w:color="000000"/>
              <w:left w:val="nil" w:sz="6" w:space="0" w:color="auto"/>
              <w:bottom w:val="nil" w:sz="6" w:space="0" w:color="auto"/>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346"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北信源 </w:t>
            </w:r>
            <w:r>
              <w:rPr>
                <w:rFonts w:ascii="Times New Roman" w:hAnsi="Times New Roman" w:cs="Times New Roman" w:eastAsia="Times New Roman" w:hint="default"/>
                <w:sz w:val="18"/>
                <w:szCs w:val="18"/>
              </w:rPr>
              <w:t>CEMS</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统一平台</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985" w:type="dxa"/>
            <w:tcBorders>
              <w:top w:val="nil" w:sz="6" w:space="0" w:color="auto"/>
              <w:left w:val="nil" w:sz="6" w:space="0" w:color="auto"/>
              <w:bottom w:val="nil" w:sz="6" w:space="0" w:color="auto"/>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348"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应急协调指挥平台</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985" w:type="dxa"/>
            <w:vMerge w:val="restart"/>
            <w:tcBorders>
              <w:top w:val="nil" w:sz="6" w:space="0" w:color="auto"/>
              <w:left w:val="nil" w:sz="6" w:space="0" w:color="auto"/>
              <w:right w:val="nil" w:sz="6" w:space="0" w:color="auto"/>
            </w:tcBorders>
          </w:tcPr>
          <w:p>
            <w:pPr>
              <w:pStyle w:val="TableParagraph"/>
              <w:spacing w:line="191" w:lineRule="exact"/>
              <w:ind w:left="11" w:right="0"/>
              <w:jc w:val="left"/>
              <w:rPr>
                <w:rFonts w:ascii="宋体" w:hAnsi="宋体" w:cs="宋体" w:eastAsia="宋体" w:hint="default"/>
                <w:sz w:val="18"/>
                <w:szCs w:val="18"/>
              </w:rPr>
            </w:pPr>
            <w:r>
              <w:rPr>
                <w:rFonts w:ascii="宋体" w:hAnsi="宋体" w:cs="宋体" w:eastAsia="宋体" w:hint="default"/>
                <w:spacing w:val="-2"/>
                <w:sz w:val="18"/>
                <w:szCs w:val="18"/>
              </w:rPr>
              <w:t>通过评审立项，项目开发</w:t>
            </w:r>
          </w:p>
          <w:p>
            <w:pPr>
              <w:pStyle w:val="TableParagraph"/>
              <w:spacing w:line="319" w:lineRule="auto" w:before="76"/>
              <w:ind w:left="184" w:right="5" w:hanging="173"/>
              <w:jc w:val="left"/>
              <w:rPr>
                <w:rFonts w:ascii="宋体" w:hAnsi="宋体" w:cs="宋体" w:eastAsia="宋体" w:hint="default"/>
                <w:sz w:val="18"/>
                <w:szCs w:val="18"/>
              </w:rPr>
            </w:pPr>
            <w:r>
              <w:rPr>
                <w:rFonts w:ascii="宋体" w:hAnsi="宋体" w:cs="宋体" w:eastAsia="宋体" w:hint="default"/>
                <w:spacing w:val="-2"/>
                <w:sz w:val="18"/>
                <w:szCs w:val="18"/>
              </w:rPr>
              <w:t>工作展开，完成开发设计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方案并达到预期要求</w:t>
            </w: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348"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信源豆豆应用市场系统</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985" w:type="dxa"/>
            <w:vMerge/>
            <w:tcBorders>
              <w:left w:val="nil" w:sz="6" w:space="0" w:color="auto"/>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3" w:right="0"/>
              <w:jc w:val="center"/>
              <w:rPr>
                <w:rFonts w:ascii="Times New Roman" w:hAnsi="Times New Roman" w:cs="Times New Roman" w:eastAsia="Times New Roman" w:hint="default"/>
                <w:sz w:val="18"/>
                <w:szCs w:val="18"/>
              </w:rPr>
            </w:pPr>
            <w:r>
              <w:rPr>
                <w:rFonts w:ascii="Times New Roman"/>
                <w:sz w:val="18"/>
              </w:rPr>
              <w:t>35.00</w:t>
            </w:r>
          </w:p>
        </w:tc>
      </w:tr>
      <w:tr>
        <w:trPr>
          <w:trHeight w:val="346"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北信源自主可控安全套件</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985" w:type="dxa"/>
            <w:vMerge/>
            <w:tcBorders>
              <w:left w:val="nil" w:sz="6" w:space="0" w:color="auto"/>
              <w:bottom w:val="nil" w:sz="6" w:space="0" w:color="auto"/>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348" w:hRule="exact"/>
        </w:trPr>
        <w:tc>
          <w:tcPr>
            <w:tcW w:w="2962"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云文档安全集中管控系统</w:t>
            </w:r>
          </w:p>
        </w:tc>
        <w:tc>
          <w:tcPr>
            <w:tcW w:w="2595"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985" w:type="dxa"/>
            <w:tcBorders>
              <w:top w:val="nil" w:sz="6" w:space="0" w:color="auto"/>
              <w:left w:val="nil" w:sz="6" w:space="0" w:color="auto"/>
              <w:bottom w:val="single" w:sz="8" w:space="0" w:color="000000"/>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3377"/>
        <w:gridCol w:w="2180"/>
        <w:gridCol w:w="1985"/>
        <w:gridCol w:w="1580"/>
      </w:tblGrid>
      <w:tr>
        <w:trPr>
          <w:trHeight w:val="687" w:hRule="exact"/>
        </w:trPr>
        <w:tc>
          <w:tcPr>
            <w:tcW w:w="3377"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sz w:val="18"/>
                <w:szCs w:val="18"/>
              </w:rPr>
              <w:t>主机</w:t>
            </w:r>
            <w:r>
              <w:rPr>
                <w:rFonts w:ascii="Times New Roman" w:hAnsi="Times New Roman" w:cs="Times New Roman" w:eastAsia="Times New Roman" w:hint="default"/>
                <w:sz w:val="18"/>
                <w:szCs w:val="18"/>
              </w:rPr>
              <w:t>EDR</w:t>
            </w:r>
            <w:r>
              <w:rPr>
                <w:rFonts w:ascii="宋体" w:hAnsi="宋体" w:cs="宋体" w:eastAsia="宋体" w:hint="default"/>
                <w:sz w:val="18"/>
                <w:szCs w:val="18"/>
              </w:rPr>
              <w:t>系统</w:t>
            </w:r>
          </w:p>
        </w:tc>
        <w:tc>
          <w:tcPr>
            <w:tcW w:w="2180"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right="509"/>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985" w:type="dxa"/>
            <w:tcBorders>
              <w:top w:val="single" w:sz="6" w:space="0" w:color="000000"/>
              <w:left w:val="nil" w:sz="6" w:space="0" w:color="auto"/>
              <w:bottom w:val="nil" w:sz="6" w:space="0" w:color="auto"/>
              <w:right w:val="nil" w:sz="6" w:space="0" w:color="auto"/>
            </w:tcBorders>
          </w:tcPr>
          <w:p>
            <w:pPr/>
          </w:p>
        </w:tc>
        <w:tc>
          <w:tcPr>
            <w:tcW w:w="1580" w:type="dxa"/>
            <w:tcBorders>
              <w:top w:val="single" w:sz="6" w:space="0" w:color="000000"/>
              <w:left w:val="nil" w:sz="6" w:space="0" w:color="auto"/>
              <w:bottom w:val="single" w:sz="8" w:space="0" w:color="000000"/>
              <w:right w:val="nil" w:sz="6" w:space="0" w:color="auto"/>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65.00</w:t>
            </w:r>
          </w:p>
        </w:tc>
      </w:tr>
      <w:tr>
        <w:trPr>
          <w:trHeight w:val="346"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sz w:val="18"/>
                <w:szCs w:val="18"/>
              </w:rPr>
              <w:t>软著人工智能联盟企业服务平台</w:t>
            </w:r>
          </w:p>
        </w:tc>
        <w:tc>
          <w:tcPr>
            <w:tcW w:w="218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985" w:type="dxa"/>
            <w:tcBorders>
              <w:top w:val="nil" w:sz="6" w:space="0" w:color="auto"/>
              <w:left w:val="nil" w:sz="6" w:space="0" w:color="auto"/>
              <w:bottom w:val="nil" w:sz="6" w:space="0" w:color="auto"/>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r>
        <w:trPr>
          <w:trHeight w:val="590" w:hRule="exact"/>
        </w:trPr>
        <w:tc>
          <w:tcPr>
            <w:tcW w:w="3377"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软著人工智能联盟创新系统</w:t>
            </w:r>
          </w:p>
        </w:tc>
        <w:tc>
          <w:tcPr>
            <w:tcW w:w="218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right="43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985" w:type="dxa"/>
            <w:tcBorders>
              <w:top w:val="nil" w:sz="6" w:space="0" w:color="auto"/>
              <w:left w:val="nil" w:sz="6" w:space="0" w:color="auto"/>
              <w:bottom w:val="single" w:sz="8" w:space="0" w:color="000000"/>
              <w:right w:val="nil" w:sz="6" w:space="0" w:color="auto"/>
            </w:tcBorders>
          </w:tcPr>
          <w:p>
            <w:pPr/>
          </w:p>
        </w:tc>
        <w:tc>
          <w:tcPr>
            <w:tcW w:w="158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3" w:right="0"/>
              <w:jc w:val="center"/>
              <w:rPr>
                <w:rFonts w:ascii="宋体" w:hAnsi="宋体" w:cs="宋体" w:eastAsia="宋体" w:hint="default"/>
                <w:sz w:val="18"/>
                <w:szCs w:val="18"/>
              </w:rPr>
            </w:pPr>
            <w:r>
              <w:rPr>
                <w:rFonts w:ascii="宋体" w:hAnsi="宋体" w:cs="宋体" w:eastAsia="宋体" w:hint="default"/>
                <w:sz w:val="18"/>
                <w:szCs w:val="18"/>
              </w:rPr>
              <w:t>已完成</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pict>
          <v:group style="position:absolute;margin-left:55.200001pt;margin-top:-94.19635pt;width:484.9pt;height:.1pt;mso-position-horizontal-relative:page;mso-position-vertical-relative:paragraph;z-index:-1200760" coordorigin="1104,-1884" coordsize="9698,2">
            <v:shape style="position:absolute;left:1104;top:-1884;width:9698;height:2" coordorigin="1104,-1884" coordsize="9698,0" path="m1104,-1884l10802,-1884e" filled="false" stroked="true" strokeweight=".72pt" strokecolor="#000000">
              <v:path arrowok="t"/>
            </v:shape>
            <w10:wrap type="none"/>
          </v:group>
        </w:pict>
      </w:r>
      <w:r>
        <w:rPr>
          <w:rFonts w:ascii="Times New Roman" w:hAnsi="Times New Roman" w:cs="Times New Roman" w:eastAsia="Times New Roman" w:hint="default"/>
        </w:rPr>
        <w:t>16</w:t>
      </w:r>
      <w:r>
        <w:rPr/>
        <w:t>、商誉</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82,754,563.28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82,754,563.28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82,754,563.28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82,754,563.28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left="513" w:right="1622" w:hanging="361"/>
        <w:jc w:val="left"/>
      </w:pPr>
      <w:r>
        <w:rPr/>
        <w:t>商誉所在资产组或资产组组合的相关信息 </w:t>
      </w:r>
      <w:r>
        <w:rPr>
          <w:spacing w:val="-1"/>
        </w:rPr>
        <w:t>说明：本年度本集团评估了包含商誉的资产组的可收回金额。资产组为本公司收购的北京中软华泰信息技术有限</w:t>
      </w:r>
    </w:p>
    <w:p>
      <w:pPr>
        <w:pStyle w:val="BodyText"/>
        <w:spacing w:line="222" w:lineRule="exact"/>
        <w:ind w:right="0"/>
        <w:jc w:val="both"/>
      </w:pPr>
      <w:r>
        <w:rPr/>
        <w:t>责任公司的相关长期资产。商誉的可收回金额按照资产组的预计未来现金流量的现值确定。</w:t>
      </w:r>
    </w:p>
    <w:p>
      <w:pPr>
        <w:pStyle w:val="BodyText"/>
        <w:spacing w:line="316" w:lineRule="auto" w:before="115"/>
        <w:ind w:right="1122"/>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240" w:lineRule="auto" w:before="59"/>
        <w:ind w:left="513" w:right="1122"/>
        <w:jc w:val="left"/>
      </w:pPr>
      <w:r>
        <w:rPr/>
        <w:t>管理层根据最近期的财务预算编制未来 </w:t>
      </w:r>
      <w:r>
        <w:rPr>
          <w:rFonts w:ascii="Times New Roman" w:hAnsi="Times New Roman" w:cs="Times New Roman" w:eastAsia="Times New Roman" w:hint="default"/>
        </w:rPr>
        <w:t>5  </w:t>
      </w:r>
      <w:r>
        <w:rPr/>
        <w:t>年（</w:t>
      </w:r>
      <w:r>
        <w:rPr>
          <w:rFonts w:ascii="Times New Roman" w:hAnsi="Times New Roman" w:cs="Times New Roman" w:eastAsia="Times New Roman" w:hint="default"/>
        </w:rPr>
        <w:t>“</w:t>
      </w:r>
      <w:r>
        <w:rPr/>
        <w:t>预算期</w:t>
      </w:r>
      <w:r>
        <w:rPr>
          <w:rFonts w:ascii="Times New Roman" w:hAnsi="Times New Roman" w:cs="Times New Roman" w:eastAsia="Times New Roman" w:hint="default"/>
        </w:rPr>
        <w:t>”</w:t>
      </w:r>
      <w:r>
        <w:rPr/>
        <w:t>）的现金流量预测，并推算之后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年（</w:t>
      </w:r>
      <w:r>
        <w:rPr>
          <w:rFonts w:ascii="Times New Roman" w:hAnsi="Times New Roman" w:cs="Times New Roman" w:eastAsia="Times New Roman" w:hint="default"/>
        </w:rPr>
        <w:t>“</w:t>
      </w:r>
      <w:r>
        <w:rPr/>
        <w:t>推算期</w:t>
      </w:r>
      <w:r>
        <w:rPr>
          <w:rFonts w:ascii="Times New Roman" w:hAnsi="Times New Roman" w:cs="Times New Roman" w:eastAsia="Times New Roman" w:hint="default"/>
        </w:rPr>
        <w:t>”</w:t>
      </w:r>
      <w:r>
        <w:rPr/>
        <w:t>）的现</w:t>
      </w:r>
    </w:p>
    <w:p>
      <w:pPr>
        <w:pStyle w:val="BodyText"/>
        <w:spacing w:line="300" w:lineRule="auto" w:before="63"/>
        <w:ind w:right="1618"/>
        <w:jc w:val="both"/>
      </w:pPr>
      <w:r>
        <w:rPr/>
        <w:t>金流量，预计未来现金流量所用的折现率为</w:t>
      </w:r>
      <w:r>
        <w:rPr>
          <w:spacing w:val="-35"/>
        </w:rPr>
        <w:t> </w:t>
      </w:r>
      <w:r>
        <w:rPr>
          <w:rFonts w:ascii="Times New Roman" w:hAnsi="Times New Roman" w:cs="Times New Roman" w:eastAsia="Times New Roman" w:hint="default"/>
        </w:rPr>
        <w:t>13.88%</w:t>
      </w:r>
      <w:r>
        <w:rPr>
          <w:rFonts w:ascii="Times New Roman" w:hAnsi="Times New Roman" w:cs="Times New Roman" w:eastAsia="Times New Roman" w:hint="default"/>
          <w:spacing w:val="3"/>
        </w:rPr>
        <w:t> </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13.46%</w:t>
      </w:r>
      <w:r>
        <w:rPr/>
        <w:t>）。在预计未来现金流量时一项关键假设就是 </w:t>
      </w:r>
      <w:r>
        <w:rPr>
          <w:spacing w:val="-1"/>
        </w:rPr>
        <w:t>预算期的收入增长率，该收入增长率不超过相关行业的平均长期增长率，并结合公司在手订单或合同意向，</w:t>
      </w:r>
      <w:r>
        <w:rPr>
          <w:rFonts w:ascii="Times New Roman" w:hAnsi="Times New Roman" w:cs="Times New Roman" w:eastAsia="Times New Roman" w:hint="default"/>
          <w:spacing w:val="-1"/>
        </w:rPr>
        <w:t>2019</w:t>
      </w:r>
      <w:r>
        <w:rPr>
          <w:spacing w:val="-1"/>
        </w:rPr>
        <w:t>年测</w:t>
      </w:r>
      <w:r>
        <w:rPr>
          <w:spacing w:val="-84"/>
        </w:rPr>
        <w:t> </w:t>
      </w:r>
      <w:r>
        <w:rPr>
          <w:spacing w:val="-6"/>
        </w:rPr>
        <w:t>试日预计未来预测期的收入增长率为</w:t>
      </w:r>
      <w:r>
        <w:rPr>
          <w:rFonts w:ascii="Times New Roman" w:hAnsi="Times New Roman" w:cs="Times New Roman" w:eastAsia="Times New Roman" w:hint="default"/>
          <w:spacing w:val="-6"/>
        </w:rPr>
        <w:t>5%-11%</w:t>
      </w:r>
      <w:r>
        <w:rPr>
          <w:spacing w:val="-6"/>
        </w:rPr>
        <w:t>，增速逐年递减（</w:t>
      </w:r>
      <w:r>
        <w:rPr>
          <w:rFonts w:ascii="Times New Roman" w:hAnsi="Times New Roman" w:cs="Times New Roman" w:eastAsia="Times New Roman" w:hint="default"/>
          <w:spacing w:val="-6"/>
        </w:rPr>
        <w:t>2018</w:t>
      </w:r>
      <w:r>
        <w:rPr>
          <w:spacing w:val="-6"/>
        </w:rPr>
        <w:t>年测试日预计未来预测期的收入增长率为</w:t>
      </w:r>
      <w:r>
        <w:rPr>
          <w:rFonts w:ascii="Times New Roman" w:hAnsi="Times New Roman" w:cs="Times New Roman" w:eastAsia="Times New Roman" w:hint="default"/>
          <w:spacing w:val="-6"/>
        </w:rPr>
        <w:t>6%-8%</w:t>
      </w:r>
      <w:r>
        <w:rPr>
          <w:spacing w:val="-6"/>
        </w:rPr>
        <w:t>）。</w:t>
      </w:r>
      <w:r>
        <w:rPr>
          <w:spacing w:val="-72"/>
        </w:rPr>
        <w:t> </w:t>
      </w:r>
      <w:r>
        <w:rPr/>
        <w:t>在预计未来现金流量时使用的其他关键假设还包括稳定的预算毛利率。预算毛利率根据公司的过往表现确定。</w:t>
      </w:r>
    </w:p>
    <w:p>
      <w:pPr>
        <w:pStyle w:val="BodyText"/>
        <w:spacing w:line="360" w:lineRule="auto" w:before="70"/>
        <w:ind w:right="9134"/>
        <w:jc w:val="left"/>
      </w:pPr>
      <w:r>
        <w:rPr/>
        <w:t>商誉减值测试的影响 其他说明</w:t>
      </w:r>
    </w:p>
    <w:p>
      <w:pPr>
        <w:spacing w:after="0" w:line="360" w:lineRule="auto"/>
        <w:jc w:val="left"/>
        <w:sectPr>
          <w:pgSz w:w="11910" w:h="16840"/>
          <w:pgMar w:header="745" w:footer="979" w:top="1060" w:bottom="1160" w:left="98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122"/>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214,543.81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205,136.17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9,407.64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5,479,843.85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2,660,639.42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5,041,266.33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3,099,216.94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4,285,052.09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651,557.34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2,254,125.96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2,682,483.47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9,979,439.75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3,312,196.76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7,500,528.46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5,791,108.05</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348,761,134.67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52,314,770.28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246,654,713.05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37,007,895.79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2,337,407.87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350,611.18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855,124.85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128,268.73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28,039,638.44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4,207,968.72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11,875,387.16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2,968,846.79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5,085,875.16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762,881.29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6,935,240.04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1,040,286.01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204,617.24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30,692.58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384,224,056.14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57,636,231.47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266,525,082.34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41,175,989.90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897,000.00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1,053,000.00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57,636,231.47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44,905,589.99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897,000.00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1,053,000.00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37,523,347.12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27,876,090.90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内部交易未实现部分</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2,153.01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27,006,468.00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5,369,596.12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64,529,815.12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33,247,840.03</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2,329,063.44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2,329,063.44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2,583,958.26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2,583,958.26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3,312,333.24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4,970,350.37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9,444,714.93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9,444,714.93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8,548,003.90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8,548,003.90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11,305,273.35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37,523,347.12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27,876,090.90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20,037,190.00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30,101,495.00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71,986,412.60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110,978,859.00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92,023,602.60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141,080,354.00</w:t>
            </w:r>
          </w:p>
        </w:tc>
      </w:tr>
    </w:tbl>
    <w:p>
      <w:pPr>
        <w:pStyle w:val="BodyText"/>
        <w:spacing w:line="357" w:lineRule="auto" w:before="49"/>
        <w:ind w:right="9854"/>
        <w:jc w:val="left"/>
      </w:pPr>
      <w:r>
        <w:rPr/>
        <w:t>其他说明：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100,666,863.33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100,666,863.33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8954"/>
        <w:jc w:val="left"/>
      </w:pPr>
      <w:r>
        <w:rPr/>
        <w:t>短期借款分类的说明：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2,395,753.00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2,395,753.00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6,650,000.00</w:t>
            </w:r>
          </w:p>
        </w:tc>
      </w:tr>
    </w:tbl>
    <w:p>
      <w:pPr>
        <w:pStyle w:val="BodyText"/>
        <w:spacing w:line="240" w:lineRule="auto" w:before="49"/>
        <w:ind w:right="1122"/>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1122"/>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采购产品款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110,133,495.94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39,751,867.98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1,897,721.97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601,804.58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12,397.34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112,043,615.25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41,058,672.56</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河南信安世纪科技有限公司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2,314,737.93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江苏保旺达软件技术有限公司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1,134,297.97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江苏怡海科技发展有限公司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888,461.00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上海金电网安科技有限公司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山西博瑞信安网络技术有限公司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726,345.30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5,901,842.20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是否已执行新收入准则</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预收产品款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114,415,418.77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62,631,381.42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114,415,418.77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62,631,381.42</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武汉建工第三建筑有限公司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1,675,207.00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北京锦程易通科技有限公司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1,156,574.00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公安部科信局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899,820.00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江苏景雄科技有限公司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890,716.48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上海皆悦电子科技有限公司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756,760.00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5,379,077.48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24,272,445.10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188,213,428.94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188,974,201.52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23,511,672.52</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1,001,954.54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20,996,814.00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21,039,053.23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959,715.31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206,749.79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206,749.79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25,274,399.64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209,416,992.73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210,220,004.54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24,471,387.83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23,680,783.78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162,799,832.10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163,881,659.60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22,598,956.28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7,114,264.52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6,984,264.52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557,179.32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12,197,277.11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12,130,902.19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623,554.24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505,948.63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11,042,873.04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10,946,900.11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601,921.56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11,490.55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215,144.31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213,169.13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13,465.73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39,740.14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939,259.76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970,832.95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8,166.95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34,482.00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4,413,239.44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4,401,559.44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46,162.00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1,688,815.77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1,575,815.77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24,272,445.10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188,213,428.94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188,974,201.52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23,511,672.52</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963,654.98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20,164,322.60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20,211,524.32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916,453.26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38,299.56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832,491.40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827,528.91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43,262.05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1,001,954.54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20,996,814.00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21,039,053.23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959,715.31</w:t>
            </w:r>
          </w:p>
        </w:tc>
      </w:tr>
    </w:tbl>
    <w:p>
      <w:pPr>
        <w:pStyle w:val="BodyText"/>
        <w:spacing w:line="357" w:lineRule="auto" w:before="49"/>
        <w:ind w:right="5804"/>
        <w:jc w:val="left"/>
      </w:pPr>
      <w:r>
        <w:rPr/>
        <w:t>其他说明： 本年度辞退福利为一次性支付员工的辞退补偿金</w:t>
      </w:r>
      <w:r>
        <w:rPr>
          <w:rFonts w:ascii="Times New Roman" w:hAnsi="Times New Roman" w:cs="Times New Roman" w:eastAsia="Times New Roman" w:hint="default"/>
        </w:rPr>
        <w:t>206,749.79</w:t>
      </w:r>
      <w:r>
        <w:rPr/>
        <w:t>元。</w:t>
      </w:r>
    </w:p>
    <w:p>
      <w:pPr>
        <w:spacing w:line="240" w:lineRule="auto" w:before="9"/>
        <w:rPr>
          <w:rFonts w:ascii="宋体" w:hAnsi="宋体" w:cs="宋体" w:eastAsia="宋体" w:hint="default"/>
          <w:sz w:val="18"/>
          <w:szCs w:val="18"/>
        </w:rPr>
      </w:pPr>
    </w:p>
    <w:p>
      <w:pPr>
        <w:pStyle w:val="Heading4"/>
        <w:spacing w:line="240" w:lineRule="auto"/>
        <w:ind w:right="1122"/>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152,185,076.69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129,045,448.65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9,483,846.47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16,841,304.10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430,880.64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457,161.96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10,448,395.96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8,636,243.93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7,375,326.23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6,080,572.16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66,729.98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85,676.45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698,940.00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19,027.74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51,360.56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180,009,283.71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161,896,707.81</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9,145,286.39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7,181,395.98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9,145,286.39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7,181,395.98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461,487.53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2,152,026.60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5,318,466.80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2,089,347.94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代垫款项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1,028,883.44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280,318.34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2,336,448.62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2,659,703.10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9,145,286.39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7,181,395.98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浙江江南工程管理股份有限公司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履约保证金，未到支付期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广州恒勤信息科技有限公司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213,730.00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代理保证金，未到结算期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杭州网融科技有限公司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代理保证金，未到结算期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四川新东盛科技发展有限公司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履约保证金，未到支付期</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北京航天润普科技发展有限公司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代理保证金，未到结算期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704,880.00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10034"/>
        <w:jc w:val="left"/>
      </w:pPr>
      <w:r>
        <w:rPr/>
        <w:t>其他说明 无</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27</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6,935,240.04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1,849,364.88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5,085,875.16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6,935,240.04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1,849,364.88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5,085,875.16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96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北京市经济 和信息化委 员会支付北 京高精尖产 业发展资金 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2,066,565.04</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41" w:right="0"/>
              <w:jc w:val="center"/>
              <w:rPr>
                <w:rFonts w:ascii="Times New Roman" w:hAnsi="Times New Roman" w:cs="Times New Roman" w:eastAsia="Times New Roman" w:hint="default"/>
                <w:sz w:val="18"/>
                <w:szCs w:val="18"/>
              </w:rPr>
            </w:pPr>
            <w:r>
              <w:rPr>
                <w:rFonts w:ascii="Times New Roman"/>
                <w:sz w:val="18"/>
              </w:rPr>
              <w:t>500,064.88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1,566,500.16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工程实验室 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4,868,675.00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1,349,300.00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3,519,375.00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pStyle w:val="BodyText"/>
        <w:spacing w:line="240" w:lineRule="auto" w:before="49"/>
        <w:ind w:right="1122"/>
        <w:jc w:val="left"/>
      </w:pPr>
      <w:r>
        <w:rPr/>
        <w:t>其他说明：</w:t>
      </w:r>
    </w:p>
    <w:p>
      <w:pPr>
        <w:pStyle w:val="BodyText"/>
        <w:spacing w:line="300" w:lineRule="auto" w:before="115"/>
        <w:ind w:right="1638" w:firstLine="360"/>
        <w:jc w:val="both"/>
      </w:pPr>
      <w:r>
        <w:rPr/>
        <w:t>①北京市经济和信息化委员会支付北京高精尖产业发展资金款项目：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日，北京市经济和信息化委员 会下发了《关于下达</w:t>
      </w:r>
      <w:r>
        <w:rPr>
          <w:rFonts w:ascii="Times New Roman" w:hAnsi="Times New Roman" w:cs="Times New Roman" w:eastAsia="Times New Roman" w:hint="default"/>
        </w:rPr>
        <w:t>2017</w:t>
      </w:r>
      <w:r>
        <w:rPr/>
        <w:t>年第二批高精尖产业发展资金计划的通知》（京经信委（</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103</w:t>
      </w:r>
      <w:r>
        <w:rPr/>
        <w:t>号），批复北京北信源</w:t>
      </w:r>
      <w:r>
        <w:rPr>
          <w:spacing w:val="-54"/>
        </w:rPr>
        <w:t> </w:t>
      </w:r>
      <w:r>
        <w:rPr>
          <w:spacing w:val="-54"/>
        </w:rPr>
      </w:r>
      <w:r>
        <w:rPr/>
        <w:t>软件股份有限公司高精尖项目的申请，项目总资金为人民币</w:t>
      </w:r>
      <w:r>
        <w:rPr>
          <w:rFonts w:ascii="Times New Roman" w:hAnsi="Times New Roman" w:cs="Times New Roman" w:eastAsia="Times New Roman" w:hint="default"/>
        </w:rPr>
        <w:t>300</w:t>
      </w:r>
      <w:r>
        <w:rPr/>
        <w:t>万元，主要用于高精尖产业设计中心的建设。</w:t>
      </w:r>
    </w:p>
    <w:p>
      <w:pPr>
        <w:pStyle w:val="BodyText"/>
        <w:spacing w:line="304" w:lineRule="auto" w:before="53"/>
        <w:ind w:right="1633" w:firstLine="360"/>
        <w:jc w:val="both"/>
      </w:pPr>
      <w:r>
        <w:rPr>
          <w:spacing w:val="-1"/>
        </w:rPr>
        <w:t>②工程实验室项目：</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4</w:t>
      </w:r>
      <w:r>
        <w:rPr>
          <w:spacing w:val="-1"/>
        </w:rPr>
        <w:t>日，北京市发展和改革委员会下发了《关于行业终端大数据安全分析技术北京市</w:t>
      </w:r>
      <w:r>
        <w:rPr/>
        <w:t> 工程实验室创新能力建设项目资金申请报告的批复》（京发改（审）【</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215</w:t>
      </w:r>
      <w:r>
        <w:rPr/>
        <w:t>号），批复北京北信源软件股份有</w:t>
      </w:r>
      <w:r>
        <w:rPr>
          <w:spacing w:val="-52"/>
        </w:rPr>
        <w:t> </w:t>
      </w:r>
      <w:r>
        <w:rPr>
          <w:spacing w:val="-52"/>
        </w:rPr>
      </w:r>
      <w:r>
        <w:rPr/>
        <w:t>限公司建设工程实验室项目的申请，项目总投资人民币</w:t>
      </w:r>
      <w:r>
        <w:rPr>
          <w:rFonts w:ascii="Times New Roman" w:hAnsi="Times New Roman" w:cs="Times New Roman" w:eastAsia="Times New Roman" w:hint="default"/>
        </w:rPr>
        <w:t>2,504.00</w:t>
      </w:r>
      <w:r>
        <w:rPr/>
        <w:t>万元，其中市政府投资人民币</w:t>
      </w:r>
      <w:r>
        <w:rPr>
          <w:rFonts w:ascii="Times New Roman" w:hAnsi="Times New Roman" w:cs="Times New Roman" w:eastAsia="Times New Roman" w:hint="default"/>
        </w:rPr>
        <w:t>751.00</w:t>
      </w:r>
      <w:r>
        <w:rPr/>
        <w:t>万元，市政府投</w:t>
      </w:r>
      <w:r>
        <w:rPr>
          <w:spacing w:val="-15"/>
        </w:rPr>
        <w:t> </w:t>
      </w:r>
      <w:r>
        <w:rPr>
          <w:spacing w:val="-15"/>
        </w:rPr>
      </w:r>
      <w:r>
        <w:rPr>
          <w:spacing w:val="-1"/>
        </w:rPr>
        <w:t>资主要用于购置工程化、产业化研发所需的软、硬件设备，建设工程化的验证和测试环境等，项目其余资金由北信源</w:t>
      </w:r>
      <w:r>
        <w:rPr/>
        <w:t> 自筹解决。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28</w:t>
      </w:r>
      <w:r>
        <w:rPr/>
        <w:t>、股本</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40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1,449,824,087.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1122"/>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29</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311,874,096.77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311,874,096.77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4,003,788.51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4,003,788.51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315,877,885.28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315,877,885.28</w:t>
            </w:r>
          </w:p>
        </w:tc>
      </w:tr>
    </w:tbl>
    <w:p>
      <w:pPr>
        <w:pStyle w:val="BodyText"/>
        <w:spacing w:line="360" w:lineRule="auto" w:before="49"/>
        <w:ind w:right="6614"/>
        <w:jc w:val="left"/>
      </w:pPr>
      <w:r>
        <w:rPr/>
        <w:t>其他说明，包括本期增减变动情况、变动原因说明：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30</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402"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314"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8"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-592,141.6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-592,141</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.67</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-592,141.6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-592,141.6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-592,141</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.67</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-1,614,467.5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149,144.0</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149,144.0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-1,465,3</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23.42</w:t>
            </w:r>
          </w:p>
        </w:tc>
      </w:tr>
      <w:tr>
        <w:trPr>
          <w:trHeight w:val="163"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-1,614,467.5</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149,144.0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149,144.0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-1,465,3</w:t>
            </w:r>
          </w:p>
          <w:p>
            <w:pPr>
              <w:pStyle w:val="TableParagraph"/>
              <w:spacing w:line="240" w:lineRule="auto" w:before="103"/>
              <w:ind w:left="264" w:right="0"/>
              <w:jc w:val="center"/>
              <w:rPr>
                <w:rFonts w:ascii="Times New Roman" w:hAnsi="Times New Roman" w:cs="Times New Roman" w:eastAsia="Times New Roman" w:hint="default"/>
                <w:sz w:val="18"/>
                <w:szCs w:val="18"/>
              </w:rPr>
            </w:pPr>
            <w:r>
              <w:rPr>
                <w:rFonts w:ascii="Times New Roman"/>
                <w:sz w:val="18"/>
              </w:rPr>
              <w:t>23.42</w:t>
            </w:r>
          </w:p>
        </w:tc>
      </w:tr>
      <w:tr>
        <w:trPr>
          <w:trHeight w:val="392"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-1,614,467.5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-442,997.5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-442,997.5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52"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-2,057,4</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65.09</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3"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357" w:lineRule="auto" w:before="49"/>
        <w:ind w:right="4094"/>
        <w:jc w:val="left"/>
      </w:pPr>
      <w:r>
        <w:rPr/>
        <w:t>其他说明，包括对现金流量套期损益的有效部分转为被套期项目初始确认金额调整：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31</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0"/>
              <w:jc w:val="right"/>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97"/>
              <w:jc w:val="righ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56,861,652.46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4,331,879.25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61,193,531.71</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56,861,652.46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4,331,879.25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61,193,531.71</w:t>
            </w:r>
          </w:p>
        </w:tc>
      </w:tr>
    </w:tbl>
    <w:p>
      <w:pPr>
        <w:pStyle w:val="BodyText"/>
        <w:spacing w:line="357" w:lineRule="auto" w:before="49"/>
        <w:ind w:right="6254"/>
        <w:jc w:val="left"/>
      </w:pPr>
      <w:r>
        <w:rPr/>
        <w:t>盈余公积说明，包括本期增减变动情况、变动原因说明：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32</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465,323,713.77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396,432,966.42</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-43,810,546.49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-15,123,743.67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421,513,167.28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381,309,222.75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22,384,186.81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85,940,336.52</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4,331,879.25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7,219,349.67</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14,492,784.68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17,397,887.74</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425,072,690.16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442,632,321.86</w:t>
            </w:r>
          </w:p>
        </w:tc>
      </w:tr>
    </w:tbl>
    <w:p>
      <w:pPr>
        <w:pStyle w:val="BodyText"/>
        <w:spacing w:line="240" w:lineRule="auto" w:before="49"/>
        <w:ind w:right="1122"/>
        <w:jc w:val="left"/>
      </w:pPr>
      <w:r>
        <w:rPr/>
        <w:t>调整期初未分配利润明细：</w:t>
      </w:r>
    </w:p>
    <w:p>
      <w:pPr>
        <w:pStyle w:val="BodyText"/>
        <w:spacing w:line="240" w:lineRule="auto" w:before="117"/>
        <w:ind w:right="1122"/>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-21,119,154.58</w:t>
      </w:r>
      <w:r>
        <w:rPr>
          <w:rFonts w:ascii="Times New Roman" w:hAnsi="Times New Roman" w:cs="Times New Roman" w:eastAsia="Times New Roman" w:hint="default"/>
          <w:spacing w:val="-10"/>
        </w:rPr>
        <w:t> </w:t>
      </w:r>
      <w:r>
        <w:rPr/>
        <w:t>元。</w:t>
      </w:r>
    </w:p>
    <w:p>
      <w:pPr>
        <w:pStyle w:val="BodyText"/>
        <w:spacing w:line="240" w:lineRule="auto" w:before="101"/>
        <w:ind w:right="1122"/>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-22,691,391.91</w:t>
      </w:r>
      <w:r>
        <w:rPr>
          <w:rFonts w:ascii="Times New Roman" w:hAnsi="Times New Roman" w:cs="Times New Roman" w:eastAsia="Times New Roman" w:hint="default"/>
          <w:spacing w:val="-5"/>
        </w:rPr>
        <w:t> </w:t>
      </w:r>
      <w:r>
        <w:rPr/>
        <w:t>元。</w:t>
      </w:r>
    </w:p>
    <w:p>
      <w:pPr>
        <w:pStyle w:val="BodyText"/>
        <w:spacing w:line="240" w:lineRule="auto" w:before="104"/>
        <w:ind w:right="1122"/>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2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1"/>
        <w:ind w:right="1122"/>
        <w:jc w:val="left"/>
      </w:pPr>
      <w:r>
        <w:rPr>
          <w:rFonts w:ascii="Times New Roman" w:hAnsi="Times New Roman" w:cs="Times New Roman" w:eastAsia="Times New Roman" w:hint="default"/>
        </w:rPr>
        <w:t>5)</w:t>
      </w:r>
      <w:r>
        <w:rPr/>
        <w:t>、其他调整合计影响期初未分配利润元。</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33</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601,602,151.47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163,940,888.94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538,403,920.59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124,181,178.56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120,380,222.86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93,051,174.98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33,996,525.00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30,646,026.78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8" w:right="0"/>
              <w:jc w:val="left"/>
              <w:rPr>
                <w:rFonts w:ascii="Times New Roman" w:hAnsi="Times New Roman" w:cs="Times New Roman" w:eastAsia="Times New Roman" w:hint="default"/>
                <w:sz w:val="18"/>
                <w:szCs w:val="18"/>
              </w:rPr>
            </w:pPr>
            <w:r>
              <w:rPr>
                <w:rFonts w:ascii="Times New Roman"/>
                <w:sz w:val="18"/>
              </w:rPr>
              <w:t>721,982,374.33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256,992,063.92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572,400,445.59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154,827,205.34</w:t>
            </w:r>
          </w:p>
        </w:tc>
      </w:tr>
    </w:tbl>
    <w:p>
      <w:pPr>
        <w:pStyle w:val="BodyText"/>
        <w:spacing w:line="240" w:lineRule="auto" w:before="49"/>
        <w:ind w:right="1122"/>
        <w:jc w:val="left"/>
      </w:pPr>
      <w:r>
        <w:rPr/>
        <w:t>是否已执行新收入准则</w:t>
      </w:r>
    </w:p>
    <w:p>
      <w:pPr>
        <w:pStyle w:val="BodyText"/>
        <w:spacing w:line="348" w:lineRule="auto" w:before="117"/>
        <w:ind w:right="98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0"/>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34</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3,372,380.81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3,662,109.73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2,418,921.96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2,616,684.26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441,089.86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373,159.80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80,377.31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102,913.20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81,954.24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452,392.28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253,105.22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76,156.58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520,016.26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6,880,838.80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7,609,942.71</w:t>
            </w:r>
          </w:p>
        </w:tc>
      </w:tr>
    </w:tbl>
    <w:p>
      <w:pPr>
        <w:pStyle w:val="BodyText"/>
        <w:spacing w:line="240" w:lineRule="auto" w:before="49"/>
        <w:ind w:right="1122"/>
        <w:jc w:val="left"/>
      </w:pPr>
      <w:r>
        <w:rPr/>
        <w:t>其他说明：</w:t>
      </w:r>
    </w:p>
    <w:p>
      <w:pPr>
        <w:pStyle w:val="BodyText"/>
        <w:spacing w:line="240" w:lineRule="auto" w:before="115"/>
        <w:ind w:left="513" w:right="1122"/>
        <w:jc w:val="left"/>
      </w:pPr>
      <w:r>
        <w:rPr/>
        <w:t>各项税金及附加的计缴标准详参见第十二节、六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Heading4"/>
        <w:spacing w:line="240" w:lineRule="auto"/>
        <w:ind w:right="1122"/>
        <w:jc w:val="left"/>
        <w:rPr>
          <w:b w:val="0"/>
          <w:bCs w:val="0"/>
        </w:rPr>
      </w:pPr>
      <w:r>
        <w:rPr>
          <w:rFonts w:ascii="Times New Roman" w:hAnsi="Times New Roman" w:cs="Times New Roman" w:eastAsia="Times New Roman" w:hint="default"/>
        </w:rPr>
        <w:t>35</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53,649,026.92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49,187,124.92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23,695,859.52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12,973,778.19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16,409,618.55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12,994,515.12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11,358,802.07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2,379,435.59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10,875,927.52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6,339,225.83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10,812,548.12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7,486,786.46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5,000,724.12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4,020,021.67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4,375,839.83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4,440,847.31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3,421,244.82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2,798,821.63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710,334.33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1,097,940.65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2,223,097.33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1,537,797.36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142,533,023.13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105,256,294.73</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36</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40,862,419.53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36,164,119.53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22,294,830.16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15,802,074.57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10,155,573.01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10,126,110.23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6,657,227.86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6,826,282.21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2,488,391.00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1,883,375.43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2,770,957.73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2,000,482.29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3,102,209.57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2,085,720.93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2,721,486.45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1,631,814.83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8,844,163.51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9,209,699.13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99,897,258.82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85,729,679.15</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37</w:t>
      </w:r>
      <w:r>
        <w:rPr/>
        <w:t>、研发费用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57,846,745.04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58,259,945.55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委外研发费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19,273,103.96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1,640,229.76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测试费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6,074,293.42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1,608,803.31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4,681,034.83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4,424,247.68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1,989,629.38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1,685,149.01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1,801,651.80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2,039,302.82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1,018,607.67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1,333,943.20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112,797.97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122,697.60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868,726.63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813,281.54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93,666,590.70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71,927,600.47</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38</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1,947,380.05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1,010,958.47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减：利息资本化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3,331,131.68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4,605,080.94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-31,028.70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8" w:right="0"/>
              <w:jc w:val="left"/>
              <w:rPr>
                <w:rFonts w:ascii="宋体" w:hAnsi="宋体" w:cs="宋体" w:eastAsia="宋体" w:hint="default"/>
                <w:sz w:val="18"/>
                <w:szCs w:val="18"/>
              </w:rPr>
            </w:pPr>
            <w:r>
              <w:rPr>
                <w:rFonts w:ascii="宋体" w:hAnsi="宋体" w:cs="宋体" w:eastAsia="宋体" w:hint="default"/>
                <w:sz w:val="18"/>
                <w:szCs w:val="18"/>
              </w:rPr>
              <w:t>减：汇兑损益资本化</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361,177.76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191,955.23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-1,000,892.62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-3,433,195.94</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39</w:t>
      </w:r>
      <w:r>
        <w:rPr/>
        <w:t>、其他收益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12,183,211.47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16,170,221.41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工业互联网创新发展工程项目补助款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工程实验室补贴款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产业转型升级专项资金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72,150.00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创新能力提升资金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500,064.88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667,867.13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南京市工业和信息化专项资金项目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企业研究开发费用省级财政奖励资金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272,422.74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212,505.94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科技经费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知识产权促进资金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进项税额加计抵减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3,054.89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技术研发项目补助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1,840,000.00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授权专利补助资金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中国技术交易所有限公司商标注册补助 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18,903,753.98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21,400,744.48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40</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-6,731,412.14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00" w:right="0"/>
              <w:jc w:val="left"/>
              <w:rPr>
                <w:rFonts w:ascii="Times New Roman" w:hAnsi="Times New Roman" w:cs="Times New Roman" w:eastAsia="Times New Roman" w:hint="default"/>
                <w:sz w:val="18"/>
                <w:szCs w:val="18"/>
              </w:rPr>
            </w:pPr>
            <w:r>
              <w:rPr>
                <w:rFonts w:ascii="Times New Roman"/>
                <w:sz w:val="18"/>
              </w:rPr>
              <w:t>-11,435,731.98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61"/>
        <w:gridCol w:w="3190"/>
        <w:gridCol w:w="2919"/>
      </w:tblGrid>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8,265,064.62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19,585,796.56</w:t>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1,533,652.48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8,150,064.58</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41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2" w:firstLine="360"/>
              <w:jc w:val="left"/>
              <w:rPr>
                <w:rFonts w:ascii="宋体" w:hAnsi="宋体" w:cs="宋体" w:eastAsia="宋体" w:hint="default"/>
                <w:sz w:val="18"/>
                <w:szCs w:val="18"/>
              </w:rPr>
            </w:pPr>
            <w:r>
              <w:rPr>
                <w:rFonts w:ascii="宋体" w:hAnsi="宋体" w:cs="宋体" w:eastAsia="宋体" w:hint="default"/>
                <w:sz w:val="18"/>
                <w:szCs w:val="18"/>
              </w:rPr>
              <w:t>其中：衍生金融工具产生的公允价 值变动收益</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465,127.00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465,127.00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42</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-340,665.50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-900,974.61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-125,910,310.57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-127,151,950.68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43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-87,998,138.58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-2,407,858.33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-90,405,996.91</w:t>
            </w:r>
          </w:p>
        </w:tc>
      </w:tr>
    </w:tbl>
    <w:p>
      <w:pPr>
        <w:pStyle w:val="BodyText"/>
        <w:spacing w:line="240" w:lineRule="auto" w:before="49"/>
        <w:ind w:right="1122"/>
        <w:jc w:val="left"/>
      </w:pPr>
      <w:r>
        <w:rPr/>
        <w:t>其他说明：</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44</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-31,703.69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23,851.60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50.88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313,267.10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141,377.02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313,267.10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313,267.10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141,427.90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313,267.10</w:t>
            </w:r>
          </w:p>
        </w:tc>
      </w:tr>
    </w:tbl>
    <w:p>
      <w:pPr>
        <w:pStyle w:val="BodyText"/>
        <w:spacing w:line="240" w:lineRule="auto" w:before="49"/>
        <w:ind w:right="1122"/>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3"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36,631.95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36,631.95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50,768.46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971,079.18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616,060.37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971,079.18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1,315,711.13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774,828.83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1,315,711.13</w:t>
            </w:r>
          </w:p>
        </w:tc>
      </w:tr>
    </w:tbl>
    <w:p>
      <w:pPr>
        <w:pStyle w:val="BodyText"/>
        <w:spacing w:line="360" w:lineRule="auto" w:before="49"/>
        <w:ind w:right="985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8,379,623.43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14,667,185.77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-12,886,641.49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-11,004,464.37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-4,507,018.06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3,662,721.40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15,729,926.64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2,359,489.00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-920,325.56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-5,849,214.03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-1,791,712.71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2,505,598.61</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8,620,475.03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-10,441,040.22</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1,009,711.82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-4,507,018.06</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详见附注。</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49</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82,397,165.71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10,561,917.09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4,868,122.74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3,213,355.94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3,331,131.68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4,605,080.94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16,588.93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40,289.01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90,613,009.06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18,420,642.98</w:t>
            </w:r>
          </w:p>
        </w:tc>
      </w:tr>
    </w:tbl>
    <w:p>
      <w:pPr>
        <w:pStyle w:val="BodyText"/>
        <w:spacing w:line="357" w:lineRule="auto" w:before="49"/>
        <w:ind w:right="7514"/>
        <w:jc w:val="left"/>
      </w:pPr>
      <w:r>
        <w:rPr/>
        <w:t>收到的其他与经营活动有关的现金说明： 无</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90,846,952.30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30,590,072.18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131,136,536.36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104,592,221.90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361,177.76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191,955.23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222,652,666.42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135,482,249.31</w:t>
            </w:r>
          </w:p>
        </w:tc>
      </w:tr>
    </w:tbl>
    <w:p>
      <w:pPr>
        <w:pStyle w:val="BodyText"/>
        <w:spacing w:line="360" w:lineRule="auto" w:before="49"/>
        <w:ind w:right="7514"/>
        <w:jc w:val="left"/>
      </w:pPr>
      <w:r>
        <w:rPr/>
        <w:t>支付的其他与经营活动有关的现金说明： 无</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取得子公司及其他营业单位收到的现金 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180,771.72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180,771.72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7514"/>
        <w:jc w:val="left"/>
      </w:pPr>
      <w:r>
        <w:rPr/>
        <w:t>收到的其他与投资活动有关的现金说明：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2"/>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1122"/>
        <w:jc w:val="left"/>
      </w:pPr>
      <w:r>
        <w:rPr/>
        <w:t>收到的其他与筹资活动有关的现金说明：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4"/>
        <w:spacing w:line="240" w:lineRule="auto"/>
        <w:ind w:right="1122"/>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90.130005pt;margin-top:579.700012pt;width:185.55pt;height:19.7pt;mso-position-horizontal-relative:page;mso-position-vertical-relative:page;z-index:-120071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1122"/>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999"/>
        <w:gridCol w:w="2059"/>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20,236,944.70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85,355,460.55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127,151,950.68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90,405,996.91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7" w:right="0"/>
              <w:jc w:val="left"/>
              <w:rPr>
                <w:rFonts w:ascii="Times New Roman" w:hAnsi="Times New Roman" w:cs="Times New Roman" w:eastAsia="Times New Roman" w:hint="default"/>
                <w:sz w:val="18"/>
                <w:szCs w:val="18"/>
              </w:rPr>
            </w:pPr>
            <w:r>
              <w:rPr>
                <w:rFonts w:ascii="Times New Roman"/>
                <w:sz w:val="18"/>
              </w:rPr>
              <w:t>11,308,848.63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11,688,157.47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0" w:right="0"/>
              <w:jc w:val="left"/>
              <w:rPr>
                <w:rFonts w:ascii="Times New Roman" w:hAnsi="Times New Roman" w:cs="Times New Roman" w:eastAsia="Times New Roman" w:hint="default"/>
                <w:sz w:val="18"/>
                <w:szCs w:val="18"/>
              </w:rPr>
            </w:pPr>
            <w:r>
              <w:rPr>
                <w:rFonts w:ascii="Times New Roman"/>
                <w:sz w:val="18"/>
              </w:rPr>
              <w:t>17,163,473.16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10,364,610.66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7,500,528.46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4,815,856.58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31,703.69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-23,851.60</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36,631.95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50,717.58</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-465,127.00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1,969,061.31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979,929.77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8" w:right="0"/>
              <w:jc w:val="left"/>
              <w:rPr>
                <w:rFonts w:ascii="Times New Roman" w:hAnsi="Times New Roman" w:cs="Times New Roman" w:eastAsia="Times New Roman" w:hint="default"/>
                <w:sz w:val="18"/>
                <w:szCs w:val="18"/>
              </w:rPr>
            </w:pPr>
            <w:r>
              <w:rPr>
                <w:rFonts w:ascii="Times New Roman"/>
                <w:sz w:val="18"/>
              </w:rPr>
              <w:t>-1,533,652.48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-8,150,064.58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-12,730,641.49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-10,848,464.37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-156,000.00</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999" w:type="dxa"/>
            <w:tcBorders>
              <w:top w:val="single" w:sz="4" w:space="0" w:color="000000"/>
              <w:left w:val="single" w:sz="13" w:space="0" w:color="FFFFFF"/>
              <w:bottom w:val="single" w:sz="4" w:space="0" w:color="000000"/>
              <w:right w:val="nil" w:sz="6" w:space="0" w:color="auto"/>
            </w:tcBorders>
          </w:tcPr>
          <w:p>
            <w:pPr/>
          </w:p>
        </w:tc>
        <w:tc>
          <w:tcPr>
            <w:tcW w:w="2059"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-95,070,055.32</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-18,187,249.42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-308,107,379.10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-311,757,899.27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140,826,393.94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58,229,288.53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0" w:right="0"/>
              <w:jc w:val="left"/>
              <w:rPr>
                <w:rFonts w:ascii="Times New Roman" w:hAnsi="Times New Roman" w:cs="Times New Roman" w:eastAsia="Times New Roman" w:hint="default"/>
                <w:sz w:val="18"/>
                <w:szCs w:val="18"/>
              </w:rPr>
            </w:pPr>
            <w:r>
              <w:rPr>
                <w:rFonts w:ascii="Times New Roman"/>
                <w:sz w:val="18"/>
              </w:rPr>
              <w:t>-91,837,318.87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-87,233,511.19</w:t>
            </w:r>
          </w:p>
        </w:tc>
      </w:tr>
      <w:tr>
        <w:trPr>
          <w:trHeight w:val="161"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242,888,550.32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590,819,180.63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590,819,180.63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1,037,421,625.20</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-347,930,630.31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-446,602,444.57</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242,888,550.32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590,819,180.63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101,408.31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97,919.41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242,787,142.01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590,721,261.22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242,888,550.32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590,819,180.63</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4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1,806,145.74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保函保证金、票据保证金</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1,806,145.74</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53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342,707.04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2,390,792.85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429,946.73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730,307.52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8,729.05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14,827.17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17,892.80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30,392.71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林吉特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28,829.86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1.6986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48,970.40</w:t>
            </w:r>
          </w:p>
        </w:tc>
      </w:tr>
    </w:tbl>
    <w:p>
      <w:pPr>
        <w:pStyle w:val="BodyText"/>
        <w:spacing w:line="240" w:lineRule="auto" w:before="49"/>
        <w:ind w:right="1122"/>
        <w:jc w:val="left"/>
      </w:pPr>
      <w:r>
        <w:rPr/>
        <w:t>其他说明：</w:t>
      </w:r>
    </w:p>
    <w:p>
      <w:pPr>
        <w:pStyle w:val="Heading3"/>
        <w:spacing w:line="240" w:lineRule="auto" w:before="148"/>
        <w:ind w:right="1122"/>
        <w:jc w:val="left"/>
      </w:pPr>
      <w:r>
        <w:rPr/>
        <w:t>无</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59" w:lineRule="auto" w:before="36"/>
        <w:ind w:right="1122"/>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pStyle w:val="BodyText"/>
        <w:spacing w:line="348" w:lineRule="auto"/>
        <w:ind w:left="513" w:right="265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本公司之子公司北信源（马来西亚）信息技术公司主要经营地为马来西亚，记账本位币为林吉特。 本公司之子公司北信源国际有限公司主要经营地为香港，记账本位币为美元。</w:t>
      </w:r>
    </w:p>
    <w:p>
      <w:pPr>
        <w:spacing w:line="240" w:lineRule="auto" w:before="0"/>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54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18,900,699.09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18,900,699.09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5,085,875.16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1,849,364.88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6"/>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1122"/>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嘉兴泽阳股 权投资合伙 </w:t>
            </w:r>
            <w:r>
              <w:rPr>
                <w:rFonts w:ascii="宋体" w:hAnsi="宋体" w:cs="宋体" w:eastAsia="宋体" w:hint="default"/>
                <w:spacing w:val="-12"/>
                <w:sz w:val="18"/>
                <w:szCs w:val="18"/>
              </w:rPr>
              <w:t>企业（有限合</w:t>
            </w:r>
            <w:r>
              <w:rPr>
                <w:rFonts w:ascii="宋体" w:hAnsi="宋体" w:cs="宋体" w:eastAsia="宋体" w:hint="default"/>
                <w:sz w:val="18"/>
                <w:szCs w:val="18"/>
              </w:rPr>
              <w:t> </w:t>
            </w:r>
            <w:r>
              <w:rPr>
                <w:rFonts w:ascii="宋体" w:hAnsi="宋体" w:cs="宋体" w:eastAsia="宋体" w:hint="default"/>
                <w:spacing w:val="-23"/>
                <w:w w:val="100"/>
                <w:sz w:val="18"/>
                <w:szCs w:val="18"/>
              </w:rPr>
              <w:t>伙）（</w:t>
            </w:r>
            <w:r>
              <w:rPr>
                <w:rFonts w:ascii="Times New Roman" w:hAnsi="Times New Roman" w:cs="Times New Roman" w:eastAsia="Times New Roman" w:hint="default"/>
                <w:spacing w:val="-23"/>
                <w:w w:val="100"/>
                <w:sz w:val="18"/>
                <w:szCs w:val="18"/>
              </w:rPr>
              <w:t>“</w:t>
            </w:r>
            <w:r>
              <w:rPr>
                <w:rFonts w:ascii="宋体" w:hAnsi="宋体" w:cs="宋体" w:eastAsia="宋体" w:hint="default"/>
                <w:spacing w:val="-23"/>
                <w:w w:val="100"/>
                <w:sz w:val="18"/>
                <w:szCs w:val="18"/>
              </w:rPr>
              <w:t>嘉兴泽</w:t>
            </w:r>
            <w:r>
              <w:rPr>
                <w:rFonts w:ascii="宋体" w:hAnsi="宋体" w:cs="宋体" w:eastAsia="宋体" w:hint="default"/>
                <w:spacing w:val="-84"/>
                <w:w w:val="100"/>
                <w:sz w:val="18"/>
                <w:szCs w:val="18"/>
              </w:rPr>
              <w:t> </w:t>
            </w:r>
            <w:r>
              <w:rPr>
                <w:rFonts w:ascii="宋体" w:hAnsi="宋体" w:cs="宋体" w:eastAsia="宋体" w:hint="default"/>
                <w:sz w:val="18"/>
                <w:szCs w:val="18"/>
              </w:rPr>
              <w:t>阳</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9,900,000.00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99.00%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-19,284.89</w:t>
            </w:r>
          </w:p>
        </w:tc>
      </w:tr>
    </w:tbl>
    <w:p>
      <w:pPr>
        <w:pStyle w:val="BodyText"/>
        <w:spacing w:line="357" w:lineRule="auto" w:before="49"/>
        <w:ind w:right="9854"/>
        <w:jc w:val="left"/>
      </w:pPr>
      <w:r>
        <w:rPr/>
        <w:t>其他说明： 无</w:t>
      </w:r>
    </w:p>
    <w:p>
      <w:pPr>
        <w:spacing w:after="0" w:line="357"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9,900,000.00</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right="6074"/>
        <w:jc w:val="left"/>
      </w:pPr>
      <w:r>
        <w:rPr/>
        <w:t>合并成本公允价值的确定方法、或有对价及其变动的说明： 无</w:t>
      </w:r>
    </w:p>
    <w:p>
      <w:pPr>
        <w:pStyle w:val="BodyText"/>
        <w:spacing w:line="357" w:lineRule="auto" w:before="27"/>
        <w:ind w:right="8594"/>
        <w:jc w:val="left"/>
      </w:pPr>
      <w:r>
        <w:rPr/>
        <w:t>大额商誉形成的主要原因： 无</w:t>
      </w:r>
    </w:p>
    <w:p>
      <w:pPr>
        <w:pStyle w:val="BodyText"/>
        <w:spacing w:line="357" w:lineRule="auto" w:before="29"/>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10,080,771.72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10,080,771.72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38,378.81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38,378.81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23,013.71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23,013.71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96,136.82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96,136.82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360" w:lineRule="auto" w:before="49"/>
        <w:ind w:right="7514"/>
        <w:jc w:val="left"/>
      </w:pPr>
      <w:r>
        <w:rPr/>
        <w:t>可辨认资产、负债公允价值的确定方法： 无 企业合并中承担的被购买方的或有负债： 无</w:t>
      </w:r>
    </w:p>
    <w:p>
      <w:pPr>
        <w:pStyle w:val="BodyText"/>
        <w:spacing w:line="357" w:lineRule="auto" w:before="27"/>
        <w:ind w:right="985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是否存在通过多次交易分步实现企业合并且在报告期内取得控制权的交易</w:t>
      </w:r>
    </w:p>
    <w:p>
      <w:pPr>
        <w:pStyle w:val="BodyText"/>
        <w:spacing w:line="240" w:lineRule="auto" w:before="115"/>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7"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9"/>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7;width:24;height:392" coordorigin="4763,17" coordsize="24,392">
              <v:shape style="position:absolute;left:4763;top:17;width:24;height:392" coordorigin="4763,17" coordsize="24,392" path="m4763,408l4787,408,4787,17,4763,17,4763,408xe" filled="true" fillcolor="#d2d2d2" stroked="false">
                <v:path arrowok="t"/>
                <v:fill type="solid"/>
              </v:shape>
            </v:group>
            <v:group style="position:absolute;left:12;top:17;width:22;height:392" coordorigin="12,17" coordsize="22,392">
              <v:shape style="position:absolute;left:12;top:17;width:22;height:392" coordorigin="12,17" coordsize="22,392" path="m12,408l34,408,34,17,12,17,12,408xe" filled="true" fillcolor="#d2d2d2" stroked="false">
                <v:path arrowok="t"/>
                <v:fill type="solid"/>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796;top:17;width:22;height:392" coordorigin="4796,17" coordsize="22,392">
              <v:shape style="position:absolute;left:4796;top:17;width:22;height:392" coordorigin="4796,17" coordsize="22,392" path="m4796,408l4818,408,4818,17,4796,17,4796,408xe" filled="true" fillcolor="#d2d2d2" stroked="false">
                <v:path arrowok="t"/>
                <v:fill type="solid"/>
              </v:shape>
            </v:group>
            <v:group style="position:absolute;left:9547;top:17;width:24;height:392" coordorigin="9547,17" coordsize="24,392">
              <v:shape style="position:absolute;left:9547;top:17;width:24;height:392" coordorigin="9547,17" coordsize="24,392" path="m9547,408l9571,408,9571,17,9547,17,9547,408xe" filled="true" fillcolor="#d2d2d2" stroked="false">
                <v:path arrowok="t"/>
                <v:fill type="solid"/>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799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799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before="44"/>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2" coordorigin="3169,14" coordsize="24,392">
              <v:shape style="position:absolute;left:3169;top:14;width:24;height:392" coordorigin="3169,14" coordsize="24,392" path="m3169,406l3193,406,3193,14,3169,14,316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03;top:14;width:22;height:392" coordorigin="3203,14" coordsize="22,392">
              <v:shape style="position:absolute;left:3203;top:14;width:22;height:392" coordorigin="3203,14" coordsize="22,392" path="m3203,406l3224,406,3224,14,3203,14,3203,406xe" filled="true" fillcolor="#d2d2d2"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d2d2d2" stroked="false">
                <v:path arrowok="t"/>
                <v:fill type="solid"/>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004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004pt" strokecolor="#000000">
                <v:path arrowok="t"/>
              </v:shape>
            </v:group>
            <v:group style="position:absolute;left:3169;top:415;width:24;height:395" coordorigin="3169,415" coordsize="24,395">
              <v:shape style="position:absolute;left:3169;top:415;width:24;height:395" coordorigin="3169,415" coordsize="24,395" path="m3169,809l3193,809,3193,415,3169,415,3169,809xe" filled="true" fillcolor="#d2d2d2" stroked="false">
                <v:path arrowok="t"/>
                <v:fill type="solid"/>
              </v:shape>
            </v:group>
            <v:group style="position:absolute;left:12;top:415;width:22;height:395" coordorigin="12,415" coordsize="22,395">
              <v:shape style="position:absolute;left:12;top:415;width:22;height:395" coordorigin="12,415" coordsize="22,395" path="m12,809l34,809,34,415,12,415,12,809xe" filled="true" fillcolor="#d2d2d2" stroked="false">
                <v:path arrowok="t"/>
                <v:fill type="solid"/>
              </v:shape>
            </v:group>
            <v:group style="position:absolute;left:34;top:415;width:3136;height:395" coordorigin="34,415" coordsize="3136,395">
              <v:shape style="position:absolute;left:34;top:415;width:3136;height:395" coordorigin="34,415" coordsize="3136,395" path="m34,809l3169,809,3169,415,34,415,34,809xe" filled="true" fillcolor="#d2d2d2" stroked="false">
                <v:path arrowok="t"/>
                <v:fill type="solid"/>
              </v:shape>
            </v:group>
            <v:group style="position:absolute;left:6359;top:415;width:24;height:395" coordorigin="6359,415" coordsize="24,395">
              <v:shape style="position:absolute;left:6359;top:415;width:24;height:395" coordorigin="6359,415" coordsize="24,395" path="m6359,809l6383,809,6383,415,6359,415,6359,809xe" filled="true" fillcolor="#d2d2d2" stroked="false">
                <v:path arrowok="t"/>
                <v:fill type="solid"/>
              </v:shape>
            </v:group>
            <v:group style="position:absolute;left:3203;top:415;width:22;height:395" coordorigin="3203,415" coordsize="22,395">
              <v:shape style="position:absolute;left:3203;top:415;width:22;height:395" coordorigin="3203,415" coordsize="22,395" path="m3203,809l3224,809,3224,415,3203,415,3203,809xe" filled="true" fillcolor="#d2d2d2" stroked="false">
                <v:path arrowok="t"/>
                <v:fill type="solid"/>
              </v:shape>
            </v:group>
            <v:group style="position:absolute;left:3224;top:415;width:3135;height:395" coordorigin="3224,415" coordsize="3135,395">
              <v:shape style="position:absolute;left:3224;top:415;width:3135;height:395" coordorigin="3224,415" coordsize="3135,395" path="m3224,809l6359,809,6359,415,3224,415,3224,809xe" filled="true" fillcolor="#d2d2d2" stroked="false">
                <v:path arrowok="t"/>
                <v:fill type="solid"/>
              </v:shape>
            </v:group>
            <v:group style="position:absolute;left:9549;top:415;width:24;height:395" coordorigin="9549,415" coordsize="24,395">
              <v:shape style="position:absolute;left:9549;top:415;width:24;height:395" coordorigin="9549,415" coordsize="24,395" path="m9549,809l9573,809,9573,415,9549,415,9549,809xe" filled="true" fillcolor="#d2d2d2" stroked="false">
                <v:path arrowok="t"/>
                <v:fill type="solid"/>
              </v:shape>
            </v:group>
            <v:group style="position:absolute;left:6393;top:415;width:22;height:395" coordorigin="6393,415" coordsize="22,395">
              <v:shape style="position:absolute;left:6393;top:415;width:22;height:395" coordorigin="6393,415" coordsize="22,395" path="m6393,809l6414,809,6414,415,6393,415,6393,809xe" filled="true" fillcolor="#d2d2d2" stroked="false">
                <v:path arrowok="t"/>
                <v:fill type="solid"/>
              </v:shape>
            </v:group>
            <v:group style="position:absolute;left:6414;top:415;width:3135;height:395" coordorigin="6414,415" coordsize="3135,395">
              <v:shape style="position:absolute;left:6414;top:415;width:3135;height:395" coordorigin="6414,415" coordsize="3135,395"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7998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7998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7998pt" strokecolor="#000000">
                <v:path arrowok="t"/>
              </v:shape>
            </v:group>
            <v:group style="position:absolute;left:5;top:5;width:2;height:815" coordorigin="5,5" coordsize="2,815">
              <v:shape style="position:absolute;left:5;top:5;width:2;height:815" coordorigin="5,5" coordsize="0,815"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4pt" strokecolor="#000000">
                <v:path arrowok="t"/>
              </v:shape>
            </v:group>
            <v:group style="position:absolute;left:3195;top:5;width:2;height:815" coordorigin="3195,5" coordsize="2,815">
              <v:shape style="position:absolute;left:3195;top:5;width:2;height:815" coordorigin="3195,5" coordsize="0,815" path="m3195,5l3195,819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4pt" strokecolor="#000000">
                <v:path arrowok="t"/>
              </v:shape>
            </v:group>
            <v:group style="position:absolute;left:6385;top:406;width:2;height:414" coordorigin="6385,406" coordsize="2,414">
              <v:shape style="position:absolute;left:6385;top:406;width:2;height:414" coordorigin="6385,406" coordsize="0,414" path="m6385,406l6385,819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4pt" strokecolor="#000000">
                <v:path arrowok="t"/>
              </v:shape>
            </v:group>
            <v:group style="position:absolute;left:9578;top:5;width:2;height:815" coordorigin="9578,5" coordsize="2,815">
              <v:shape style="position:absolute;left:9578;top:5;width:2;height:815" coordorigin="9578,5" coordsize="0,815" path="m9578,5l9578,819e" filled="false" stroked="true" strokeweight=".47998pt" strokecolor="#000000">
                <v:path arrowok="t"/>
              </v:shape>
              <v:shape style="position:absolute;left:3195;top:410;width:3190;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4"/>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5"/>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3</w:t>
      </w:r>
      <w:r>
        <w:rPr/>
        <w:t>、处置子公司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4</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说明其他原因导致的合并范围变动（如，新设子公司、清算子公司等）及其相关情况：</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t>本公司于本年新设成立子公司上海北信源供应链管理有限公司。</w:t>
      </w:r>
    </w:p>
    <w:p>
      <w:pPr>
        <w:spacing w:line="240" w:lineRule="auto" w:before="3"/>
        <w:rPr>
          <w:rFonts w:ascii="宋体" w:hAnsi="宋体" w:cs="宋体" w:eastAsia="宋体" w:hint="default"/>
          <w:sz w:val="25"/>
          <w:szCs w:val="25"/>
        </w:rPr>
      </w:pPr>
    </w:p>
    <w:p>
      <w:pPr>
        <w:pStyle w:val="Heading2"/>
        <w:spacing w:line="240" w:lineRule="auto"/>
        <w:ind w:right="1122"/>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上海北信源信息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江苏神州信源系 统工程有限公司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北信源（马来西 亚）信息技术公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马来西亚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北京中软华泰信 息技术有限责任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北京信源匡恩工 控安全科技有限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人工智能产业技 术创新联盟（北 京）科技有限公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北京北信源信息 安全技术有限公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5"/>
              <w:jc w:val="left"/>
              <w:rPr>
                <w:rFonts w:ascii="宋体" w:hAnsi="宋体" w:cs="宋体" w:eastAsia="宋体" w:hint="default"/>
                <w:sz w:val="18"/>
                <w:szCs w:val="18"/>
              </w:rPr>
            </w:pPr>
            <w:r>
              <w:rPr>
                <w:rFonts w:ascii="宋体" w:hAnsi="宋体" w:cs="宋体" w:eastAsia="宋体" w:hint="default"/>
                <w:sz w:val="18"/>
                <w:szCs w:val="18"/>
              </w:rPr>
              <w:t>北信源国际有限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海外市场开发、 产品销售、进出 口贸易、投资及 技术研发等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北信源信息技术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（青岛）有限公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上海北信源供应 链管理有限公司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供应链管理等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嘉兴泽阳股权投 资合伙企业（有 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股权投资及关咨 询服务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pStyle w:val="BodyText"/>
        <w:spacing w:line="357" w:lineRule="auto" w:before="49"/>
        <w:ind w:right="6974"/>
        <w:jc w:val="left"/>
      </w:pPr>
      <w:r>
        <w:rPr/>
        <w:t>在子公司的持股比例不同于表决权比例的说明： 无</w:t>
      </w:r>
    </w:p>
    <w:p>
      <w:pPr>
        <w:pStyle w:val="BodyText"/>
        <w:spacing w:line="360" w:lineRule="auto" w:before="29"/>
        <w:ind w:right="2834"/>
        <w:jc w:val="left"/>
      </w:pPr>
      <w:r>
        <w:rPr/>
        <w:t>持有半数或以下表决权但仍控制被投资单位、以及持有半数以上表决权但不控制被投资单位的依据： 无</w:t>
      </w:r>
    </w:p>
    <w:p>
      <w:pPr>
        <w:pStyle w:val="BodyText"/>
        <w:spacing w:line="357" w:lineRule="auto" w:before="27"/>
        <w:ind w:right="6434"/>
        <w:jc w:val="left"/>
      </w:pPr>
      <w:r>
        <w:rPr/>
        <w:t>对于纳入合并范围的重要的结构化主体，控制的依据： 无</w:t>
      </w:r>
    </w:p>
    <w:p>
      <w:pPr>
        <w:pStyle w:val="BodyText"/>
        <w:spacing w:line="357" w:lineRule="auto" w:before="29"/>
        <w:ind w:right="7694"/>
        <w:jc w:val="left"/>
      </w:pPr>
      <w:r>
        <w:rPr/>
        <w:t>确定公司是代理人还是委托人的依据： 无</w:t>
      </w:r>
    </w:p>
    <w:p>
      <w:pPr>
        <w:pStyle w:val="BodyText"/>
        <w:spacing w:line="240" w:lineRule="auto" w:before="29"/>
        <w:ind w:right="1122"/>
        <w:jc w:val="left"/>
      </w:pPr>
      <w:r>
        <w:rPr/>
        <w:t>其他说明：</w:t>
      </w:r>
    </w:p>
    <w:p>
      <w:pPr>
        <w:pStyle w:val="BodyText"/>
        <w:spacing w:line="240" w:lineRule="auto" w:before="117"/>
        <w:ind w:left="513" w:right="1122"/>
        <w:jc w:val="left"/>
      </w:pPr>
      <w:r>
        <w:rPr/>
        <w:t>本公司及江苏神州信源系统工程有限公司分别持有北信源信息技术（青岛）有限公司</w:t>
      </w:r>
      <w:r>
        <w:rPr>
          <w:rFonts w:ascii="Times New Roman" w:hAnsi="Times New Roman" w:cs="Times New Roman" w:eastAsia="Times New Roman" w:hint="default"/>
        </w:rPr>
        <w:t>49%</w:t>
      </w:r>
      <w:r>
        <w:rPr/>
        <w:t>、</w:t>
      </w:r>
      <w:r>
        <w:rPr>
          <w:rFonts w:ascii="Times New Roman" w:hAnsi="Times New Roman" w:cs="Times New Roman" w:eastAsia="Times New Roman" w:hint="default"/>
        </w:rPr>
        <w:t>51%</w:t>
      </w:r>
      <w:r>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49"/>
        <w:ind w:right="643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49"/>
        <w:ind w:right="1122"/>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北京辰信领创信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both"/>
              <w:rPr>
                <w:rFonts w:ascii="宋体" w:hAnsi="宋体" w:cs="宋体" w:eastAsia="宋体" w:hint="default"/>
                <w:sz w:val="18"/>
                <w:szCs w:val="18"/>
              </w:rPr>
            </w:pPr>
            <w:r>
              <w:rPr>
                <w:rFonts w:ascii="宋体" w:hAnsi="宋体" w:cs="宋体" w:eastAsia="宋体" w:hint="default"/>
                <w:sz w:val="18"/>
                <w:szCs w:val="18"/>
              </w:rPr>
              <w:t>嘉兴北源投资合 伙企业（有限合 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实业投资、投资 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北京信源健和科 技有限责任公司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60" w:lineRule="auto" w:before="49"/>
        <w:ind w:left="513" w:right="1122" w:hanging="361"/>
        <w:jc w:val="left"/>
      </w:pPr>
      <w:r>
        <w:rPr/>
        <w:t>在合营企业或联营企业的持股比例不同于表决权比例的说明： </w:t>
      </w:r>
      <w:r>
        <w:rPr>
          <w:spacing w:val="-1"/>
        </w:rPr>
        <w:t>本公司在嘉兴北源投资合伙企业（有限合伙）（</w:t>
      </w:r>
      <w:r>
        <w:rPr>
          <w:rFonts w:ascii="Times New Roman" w:hAnsi="Times New Roman" w:cs="Times New Roman" w:eastAsia="Times New Roman" w:hint="default"/>
          <w:spacing w:val="-1"/>
        </w:rPr>
        <w:t>“</w:t>
      </w:r>
      <w:r>
        <w:rPr>
          <w:spacing w:val="-1"/>
        </w:rPr>
        <w:t>嘉兴北源</w:t>
      </w:r>
      <w:r>
        <w:rPr>
          <w:rFonts w:ascii="Times New Roman" w:hAnsi="Times New Roman" w:cs="Times New Roman" w:eastAsia="Times New Roman" w:hint="default"/>
          <w:spacing w:val="-1"/>
        </w:rPr>
        <w:t>”</w:t>
      </w:r>
      <w:r>
        <w:rPr>
          <w:spacing w:val="-1"/>
        </w:rPr>
        <w:t>）投资决策委员会派出一名委员，占投资决策委员会</w:t>
      </w:r>
    </w:p>
    <w:p>
      <w:pPr>
        <w:pStyle w:val="BodyText"/>
        <w:spacing w:line="212" w:lineRule="exact"/>
        <w:ind w:right="1122"/>
        <w:jc w:val="left"/>
        <w:rPr>
          <w:rFonts w:ascii="Times New Roman" w:hAnsi="Times New Roman" w:cs="Times New Roman" w:eastAsia="Times New Roman" w:hint="default"/>
        </w:rPr>
      </w:pPr>
      <w:r>
        <w:rPr>
          <w:spacing w:val="-4"/>
        </w:rPr>
        <w:t>的四分之一席位，因而本公司对嘉兴北源有重大影响。此外，尽管本公司持有嘉兴北源投资合伙企业（有限合伙）</w:t>
      </w:r>
      <w:r>
        <w:rPr>
          <w:rFonts w:ascii="Times New Roman" w:hAnsi="Times New Roman" w:cs="Times New Roman" w:eastAsia="Times New Roman" w:hint="default"/>
          <w:spacing w:val="-4"/>
        </w:rPr>
        <w:t>80%</w:t>
      </w:r>
    </w:p>
    <w:p>
      <w:pPr>
        <w:pStyle w:val="BodyText"/>
        <w:spacing w:line="316" w:lineRule="auto" w:before="63"/>
        <w:ind w:right="1625"/>
        <w:jc w:val="left"/>
      </w:pPr>
      <w:r>
        <w:rPr>
          <w:spacing w:val="-1"/>
        </w:rPr>
        <w:t>的股权，但是本公司为嘉兴北源的有限合伙人，根据嘉兴北源合伙协议的决策机制和收益分配机制，本公司对嘉兴北</w:t>
      </w:r>
      <w:r>
        <w:rPr/>
        <w:t> 源无控制权，因此本公司认为嘉兴北源为本公司之联营企业。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pStyle w:val="BodyText"/>
        <w:spacing w:line="240" w:lineRule="auto"/>
        <w:ind w:right="1122"/>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6"/>
              <w:jc w:val="left"/>
              <w:rPr>
                <w:rFonts w:ascii="宋体" w:hAnsi="宋体" w:cs="宋体" w:eastAsia="宋体" w:hint="default"/>
                <w:sz w:val="18"/>
                <w:szCs w:val="18"/>
              </w:rPr>
            </w:pPr>
            <w:r>
              <w:rPr>
                <w:rFonts w:ascii="宋体" w:hAnsi="宋体" w:cs="宋体" w:eastAsia="宋体" w:hint="default"/>
                <w:sz w:val="18"/>
                <w:szCs w:val="18"/>
              </w:rPr>
              <w:t>北京辰信领创信 息技术有限公司</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嘉兴北源投资合 伙企业（有限合 伙）</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北京信源健和科 技有限责任公司</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left"/>
              <w:rPr>
                <w:rFonts w:ascii="宋体" w:hAnsi="宋体" w:cs="宋体" w:eastAsia="宋体" w:hint="default"/>
                <w:sz w:val="18"/>
                <w:szCs w:val="18"/>
              </w:rPr>
            </w:pPr>
            <w:r>
              <w:rPr>
                <w:rFonts w:ascii="宋体" w:hAnsi="宋体" w:cs="宋体" w:eastAsia="宋体" w:hint="default"/>
                <w:sz w:val="18"/>
                <w:szCs w:val="18"/>
              </w:rPr>
              <w:t>北京辰信领创信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50"/>
              <w:jc w:val="center"/>
              <w:rPr>
                <w:rFonts w:ascii="宋体" w:hAnsi="宋体" w:cs="宋体" w:eastAsia="宋体" w:hint="default"/>
                <w:sz w:val="18"/>
                <w:szCs w:val="18"/>
              </w:rPr>
            </w:pPr>
            <w:r>
              <w:rPr>
                <w:rFonts w:ascii="宋体" w:hAnsi="宋体" w:cs="宋体" w:eastAsia="宋体" w:hint="default"/>
                <w:sz w:val="18"/>
                <w:szCs w:val="18"/>
              </w:rPr>
              <w:t>嘉兴北源投资合 伙企业（有限合 伙）</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北京信源健和科 技有限责任公司</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11,650,045.45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23,165,046.75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2,233,322.39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8,030,626.96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1,264,316.80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9,862,755.67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6,068,861.28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70,642,857.00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3,575,868.33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13,808,323.72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55,242,857.00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4,191,167.93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17,718,906.73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93,807,903.75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5,809,190.72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21,838,950.68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56,507,173.80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14,053,923.60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8,842,514.40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990,833.16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3,132,680.64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557,917.53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10,427,514.40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990,833.16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4,717,680.64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557,917.53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7,291,392.33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93,807,903.75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4,818,357.56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17,121,270.04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56,507,173.80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13,496,006.07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7,291,392.33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93,807,903.75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4,818,357.56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17,121,270.04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56,507,173.80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13,496,006.07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7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1,786,391.12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75,046,323.00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1,927,343.02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4,194,711.16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45,205,739.04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5,398,402.43</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1,786,391.12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75,046,323.00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15,338,055.57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4,194,711.16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45,205,739.04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17,409,114.98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16,238,690.33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52,515,052.61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-9,829,877.73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-1,699,270.05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-12,677,648.51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-28,690,109.56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-2,122,698.47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-6,503,993.93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-9,829,877.73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-1,699,270.05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-12,677,648.51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-28,690,109.56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-2,122,698.47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-6,503,993.93</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66,989,000.37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34,758,801.02</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2,107,383.35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877,079.81</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2,107,383.35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877,079.81</w:t>
            </w:r>
          </w:p>
        </w:tc>
      </w:tr>
    </w:tbl>
    <w:p>
      <w:pPr>
        <w:pStyle w:val="BodyText"/>
        <w:spacing w:line="360" w:lineRule="auto" w:before="49"/>
        <w:ind w:right="10034"/>
        <w:jc w:val="left"/>
      </w:pPr>
      <w:r>
        <w:rPr/>
        <w:t>其他说明 去</w:t>
      </w:r>
    </w:p>
    <w:p>
      <w:pPr>
        <w:spacing w:line="240" w:lineRule="auto" w:before="4"/>
        <w:rPr>
          <w:rFonts w:ascii="宋体" w:hAnsi="宋体" w:cs="宋体" w:eastAsia="宋体" w:hint="default"/>
          <w:sz w:val="20"/>
          <w:szCs w:val="20"/>
        </w:rPr>
      </w:pPr>
    </w:p>
    <w:p>
      <w:pPr>
        <w:pStyle w:val="Heading4"/>
        <w:spacing w:line="240" w:lineRule="auto"/>
        <w:ind w:right="1122"/>
        <w:jc w:val="left"/>
        <w:rPr>
          <w:b w:val="0"/>
          <w:bCs w:val="0"/>
        </w:rPr>
      </w:pPr>
      <w:r>
        <w:rPr/>
        <w:t>（</w:t>
      </w:r>
      <w:r>
        <w:rPr>
          <w:rFonts w:ascii="Times New Roman" w:hAnsi="Times New Roman" w:cs="Times New Roman" w:eastAsia="Times New Roman" w:hint="default"/>
        </w:rPr>
        <w:t>4</w:t>
      </w:r>
      <w:r>
        <w:rPr/>
        <w:t>）合营企业或联营企业向本公司转移资金的能力存在重大限制的说明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5</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10034"/>
        <w:jc w:val="left"/>
      </w:pPr>
      <w:r>
        <w:rPr/>
        <w:t>其他说明 无</w:t>
      </w:r>
    </w:p>
    <w:p>
      <w:pPr>
        <w:spacing w:line="240" w:lineRule="auto" w:before="4"/>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6</w:t>
      </w:r>
      <w:r>
        <w:rPr/>
        <w:t>）与合营企业投资相关的未确认承诺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7</w:t>
      </w:r>
      <w:r>
        <w:rPr/>
        <w:t>）与合营企业或联营企业投资相关的或有负债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9"/>
        <w:jc w:val="both"/>
      </w:pPr>
      <w:r>
        <w:rPr>
          <w:spacing w:val="-2"/>
        </w:rPr>
        <w:t>本集团的主要金融工具包括货币资金、交易性金融资产、应收票据、应收账款、其他应收款、其他流动资产、其他权益工具</w:t>
      </w:r>
      <w:r>
        <w:rPr>
          <w:spacing w:val="-64"/>
        </w:rPr>
        <w:t> </w:t>
      </w:r>
      <w:r>
        <w:rPr>
          <w:spacing w:val="-64"/>
        </w:rPr>
      </w:r>
      <w:r>
        <w:rPr>
          <w:spacing w:val="-2"/>
        </w:rPr>
        <w:t>投资、应付票据、应付账款、其他应付款、短期借款等。各项金融工具的详细情况已于相关附注内披露。与这些金融工具有</w:t>
      </w:r>
      <w:r>
        <w:rPr>
          <w:spacing w:val="-68"/>
        </w:rPr>
        <w:t> </w:t>
      </w:r>
      <w:r>
        <w:rPr>
          <w:spacing w:val="-68"/>
        </w:rPr>
      </w:r>
      <w:r>
        <w:rPr>
          <w:spacing w:val="-2"/>
        </w:rPr>
        <w:t>关的风险，以及本集团为降低这些风险所采取的风险管理政策如下所述。本集团管理层对这些风险敞口进行管理和监控以确</w:t>
      </w:r>
      <w:r>
        <w:rPr>
          <w:spacing w:val="-64"/>
        </w:rPr>
        <w:t> </w:t>
      </w:r>
      <w:r>
        <w:rPr>
          <w:spacing w:val="-64"/>
        </w:rPr>
      </w:r>
      <w:r>
        <w:rPr/>
        <w:t>保将上述风险控制在限定的范围之内。</w:t>
      </w:r>
    </w:p>
    <w:p>
      <w:pPr>
        <w:spacing w:line="240" w:lineRule="auto" w:before="13"/>
        <w:rPr>
          <w:rFonts w:ascii="宋体" w:hAnsi="宋体" w:cs="宋体" w:eastAsia="宋体" w:hint="default"/>
          <w:sz w:val="17"/>
          <w:szCs w:val="17"/>
        </w:rPr>
      </w:pPr>
    </w:p>
    <w:p>
      <w:pPr>
        <w:pStyle w:val="BodyText"/>
        <w:spacing w:line="240" w:lineRule="auto"/>
        <w:ind w:right="0"/>
        <w:jc w:val="both"/>
      </w:pPr>
      <w:r>
        <w:rPr>
          <w:rFonts w:ascii="Times New Roman" w:hAnsi="Times New Roman" w:cs="Times New Roman" w:eastAsia="Times New Roman" w:hint="default"/>
        </w:rPr>
        <w:t>1</w:t>
      </w:r>
      <w:r>
        <w:rPr/>
        <w:t>、风险管理目标和政策</w:t>
      </w:r>
    </w:p>
    <w:p>
      <w:pPr>
        <w:spacing w:line="240" w:lineRule="auto" w:before="4"/>
        <w:rPr>
          <w:rFonts w:ascii="宋体" w:hAnsi="宋体" w:cs="宋体" w:eastAsia="宋体" w:hint="default"/>
          <w:sz w:val="21"/>
          <w:szCs w:val="21"/>
        </w:rPr>
      </w:pPr>
    </w:p>
    <w:p>
      <w:pPr>
        <w:pStyle w:val="BodyText"/>
        <w:spacing w:line="316" w:lineRule="auto"/>
        <w:ind w:right="1130"/>
        <w:jc w:val="both"/>
      </w:pPr>
      <w:r>
        <w:rPr>
          <w:spacing w:val="-2"/>
        </w:rPr>
        <w:t>本集团从事风险管理的目标是在风险和收益之间取得适当的平衡，力求降低金融风险对本集团财务业绩的不利影响。基于该</w:t>
      </w:r>
      <w:r>
        <w:rPr>
          <w:spacing w:val="-64"/>
        </w:rPr>
        <w:t> </w:t>
      </w:r>
      <w:r>
        <w:rPr>
          <w:spacing w:val="-64"/>
        </w:rPr>
      </w:r>
      <w:r>
        <w:rPr>
          <w:spacing w:val="-2"/>
        </w:rPr>
        <w:t>风险管理目标，本集团已制定风险管理政策以辨别和分析本集团所面临的风险，设定适当的风险可接受水平并设计相应的内</w:t>
      </w:r>
      <w:r>
        <w:rPr>
          <w:spacing w:val="-62"/>
        </w:rPr>
        <w:t> </w:t>
      </w:r>
      <w:r>
        <w:rPr>
          <w:spacing w:val="-62"/>
        </w:rPr>
      </w:r>
      <w:r>
        <w:rPr>
          <w:spacing w:val="-2"/>
        </w:rPr>
        <w:t>部控制程序，以监控本集团的风险水平。本集团会定期审阅这些风险管理政策及有关内部控制系统，以适应市场情况或本集</w:t>
      </w:r>
      <w:r>
        <w:rPr>
          <w:spacing w:val="-63"/>
        </w:rPr>
        <w:t> </w:t>
      </w:r>
      <w:r>
        <w:rPr>
          <w:spacing w:val="-63"/>
        </w:rPr>
      </w:r>
      <w:r>
        <w:rPr/>
        <w:t>团经营活动的改变。本集团的内部审计部门也定期或随机检查内部控制系统的执行是否符合风险管理政策。</w:t>
      </w:r>
    </w:p>
    <w:p>
      <w:pPr>
        <w:spacing w:line="240" w:lineRule="auto" w:before="12"/>
        <w:rPr>
          <w:rFonts w:ascii="宋体" w:hAnsi="宋体" w:cs="宋体" w:eastAsia="宋体" w:hint="default"/>
          <w:sz w:val="17"/>
          <w:szCs w:val="17"/>
        </w:rPr>
      </w:pPr>
    </w:p>
    <w:p>
      <w:pPr>
        <w:pStyle w:val="BodyText"/>
        <w:spacing w:line="240" w:lineRule="auto"/>
        <w:ind w:right="0"/>
        <w:jc w:val="both"/>
      </w:pPr>
      <w:r>
        <w:rPr/>
        <w:t>本集团的金融工具导致的主要风险是信用风险、流动性风险、市场风险（包括汇率风险、利率风险和商品价格风险）。</w:t>
      </w:r>
    </w:p>
    <w:p>
      <w:pPr>
        <w:spacing w:line="240" w:lineRule="auto" w:before="5"/>
        <w:rPr>
          <w:rFonts w:ascii="宋体" w:hAnsi="宋体" w:cs="宋体" w:eastAsia="宋体" w:hint="default"/>
          <w:sz w:val="22"/>
          <w:szCs w:val="22"/>
        </w:rPr>
      </w:pPr>
    </w:p>
    <w:p>
      <w:pPr>
        <w:pStyle w:val="BodyText"/>
        <w:spacing w:line="319" w:lineRule="auto"/>
        <w:ind w:right="1130"/>
        <w:jc w:val="both"/>
      </w:pPr>
      <w:r>
        <w:rPr>
          <w:spacing w:val="-2"/>
        </w:rPr>
        <w:t>董事会负责规划并建立本集团的风险管理架构，制定本集团的风险管理政策和相关指引并监督风险管理措施的执行情况。本</w:t>
      </w:r>
      <w:r>
        <w:rPr>
          <w:spacing w:val="-64"/>
        </w:rPr>
        <w:t> </w:t>
      </w:r>
      <w:r>
        <w:rPr>
          <w:spacing w:val="-64"/>
        </w:rPr>
      </w:r>
      <w:r>
        <w:rPr>
          <w:spacing w:val="-2"/>
        </w:rPr>
        <w:t>集团已制定风险管理政策以识别和分析本集团所面临的风险，这些风险管理政策对特定风险进行了明确规定，涵盖了市场风</w:t>
      </w:r>
      <w:r>
        <w:rPr>
          <w:spacing w:val="-62"/>
        </w:rPr>
        <w:t> </w:t>
      </w:r>
      <w:r>
        <w:rPr>
          <w:spacing w:val="-62"/>
        </w:rPr>
      </w:r>
      <w:r>
        <w:rPr>
          <w:spacing w:val="-2"/>
        </w:rPr>
        <w:t>险、信用风险和流动性风险管理等诸多方面。本集团定期评估市场环境及本集团经营活动的变化以决定是否对风险管理政策</w:t>
      </w:r>
      <w:r>
        <w:rPr>
          <w:spacing w:val="-64"/>
        </w:rPr>
        <w:t> </w:t>
      </w:r>
      <w:r>
        <w:rPr>
          <w:spacing w:val="-64"/>
        </w:rPr>
      </w:r>
      <w:r>
        <w:rPr>
          <w:spacing w:val="-2"/>
        </w:rPr>
        <w:t>及系统进行更新。本集团的风险管理由风险管理委员会按照董事会批准的政策开展。风险管理委员会通过与本集团其他业务</w:t>
      </w:r>
      <w:r>
        <w:rPr>
          <w:spacing w:val="-64"/>
        </w:rPr>
        <w:t> </w:t>
      </w:r>
      <w:r>
        <w:rPr>
          <w:spacing w:val="-64"/>
        </w:rPr>
      </w:r>
      <w:r>
        <w:rPr>
          <w:spacing w:val="-2"/>
        </w:rPr>
        <w:t>部门的紧密合作来识别、评价和规避相关风险。本集团内部审计部门就风险管理控制及程序进行定期的审核，并将审核结果</w:t>
      </w:r>
      <w:r>
        <w:rPr>
          <w:spacing w:val="-63"/>
        </w:rPr>
        <w:t> </w:t>
      </w:r>
      <w:r>
        <w:rPr>
          <w:spacing w:val="-63"/>
        </w:rPr>
      </w:r>
      <w:r>
        <w:rPr/>
        <w:t>上报本集团的审计委员会。</w:t>
      </w:r>
    </w:p>
    <w:p>
      <w:pPr>
        <w:spacing w:line="240" w:lineRule="auto" w:before="11"/>
        <w:rPr>
          <w:rFonts w:ascii="宋体" w:hAnsi="宋体" w:cs="宋体" w:eastAsia="宋体" w:hint="default"/>
          <w:sz w:val="17"/>
          <w:szCs w:val="17"/>
        </w:rPr>
      </w:pPr>
    </w:p>
    <w:p>
      <w:pPr>
        <w:pStyle w:val="BodyText"/>
        <w:spacing w:line="316" w:lineRule="auto"/>
        <w:ind w:right="1122"/>
        <w:jc w:val="left"/>
      </w:pPr>
      <w:r>
        <w:rPr>
          <w:spacing w:val="-2"/>
        </w:rPr>
        <w:t>本集团通过适当的多样化投资及业务组合来分散金融工具风险，并通过制定相应的风险管理政策减少集中于单一行业、特定</w:t>
      </w:r>
      <w:r>
        <w:rPr>
          <w:spacing w:val="-64"/>
        </w:rPr>
        <w:t> </w:t>
      </w:r>
      <w:r>
        <w:rPr>
          <w:spacing w:val="-64"/>
        </w:rPr>
      </w:r>
      <w:r>
        <w:rPr/>
        <w:t>地区或特定交易对手的风险。</w:t>
      </w:r>
    </w:p>
    <w:p>
      <w:pPr>
        <w:spacing w:line="240" w:lineRule="auto" w:before="12"/>
        <w:rPr>
          <w:rFonts w:ascii="宋体" w:hAnsi="宋体" w:cs="宋体" w:eastAsia="宋体" w:hint="default"/>
          <w:sz w:val="17"/>
          <w:szCs w:val="17"/>
        </w:rPr>
      </w:pPr>
    </w:p>
    <w:p>
      <w:pPr>
        <w:pStyle w:val="BodyText"/>
        <w:spacing w:line="508" w:lineRule="auto"/>
        <w:ind w:right="4454"/>
        <w:jc w:val="left"/>
      </w:pPr>
      <w:r>
        <w:rPr/>
        <w:t>（</w:t>
      </w:r>
      <w:r>
        <w:rPr>
          <w:rFonts w:ascii="Times New Roman" w:hAnsi="Times New Roman" w:cs="Times New Roman" w:eastAsia="Times New Roman" w:hint="default"/>
        </w:rPr>
        <w:t>1</w:t>
      </w:r>
      <w:r>
        <w:rPr/>
        <w:t>）信用风险 信用风险，是指交易对手未能履行合同义务而导致本集团产生财务损失的风险。</w:t>
      </w:r>
    </w:p>
    <w:p>
      <w:pPr>
        <w:pStyle w:val="BodyText"/>
        <w:spacing w:line="240" w:lineRule="auto" w:before="91"/>
        <w:ind w:right="0"/>
        <w:jc w:val="both"/>
      </w:pPr>
      <w:r>
        <w:rPr/>
        <w:t>本集团对信用风险按组合分类进行管理。信用风险主要产生于银行存款、应收票据、应收账款、其他应收款等。</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本集团银行存款主要存放于国有银行和其它大中型上市银行，本集团预期银行存款不存在重大的信用风险。</w:t>
      </w:r>
    </w:p>
    <w:p>
      <w:pPr>
        <w:spacing w:line="240" w:lineRule="auto" w:before="5"/>
        <w:rPr>
          <w:rFonts w:ascii="宋体" w:hAnsi="宋体" w:cs="宋体" w:eastAsia="宋体" w:hint="default"/>
          <w:sz w:val="22"/>
          <w:szCs w:val="22"/>
        </w:rPr>
      </w:pPr>
    </w:p>
    <w:p>
      <w:pPr>
        <w:pStyle w:val="BodyText"/>
        <w:spacing w:line="316" w:lineRule="auto"/>
        <w:ind w:right="1130"/>
        <w:jc w:val="both"/>
      </w:pPr>
      <w:r>
        <w:rPr>
          <w:spacing w:val="-2"/>
        </w:rPr>
        <w:t>对于应收票据、应收账款、其他应收款和长期应收款，本集团设定相关政策以控制信用风险敞口。本集团基于对客户的财务</w:t>
      </w:r>
      <w:r>
        <w:rPr>
          <w:spacing w:val="-64"/>
        </w:rPr>
        <w:t> </w:t>
      </w:r>
      <w:r>
        <w:rPr>
          <w:spacing w:val="-64"/>
        </w:rPr>
      </w:r>
      <w:r>
        <w:rPr>
          <w:spacing w:val="-2"/>
        </w:rPr>
        <w:t>状况、信用记录及其他因素诸如目前市场状况等评估客户的信用资质并设置相应信用期。本集团会定期对客户信用记录进行</w:t>
      </w:r>
      <w:r>
        <w:rPr>
          <w:spacing w:val="-64"/>
        </w:rPr>
        <w:t> </w:t>
      </w:r>
      <w:r>
        <w:rPr>
          <w:spacing w:val="-64"/>
        </w:rPr>
      </w:r>
      <w:r>
        <w:rPr>
          <w:spacing w:val="-2"/>
        </w:rPr>
        <w:t>监控，对于信用记录不良的客户，本集团会采用书面催款、缩短信用期或取消信用期等方式，以确保本集团的整体信用风险</w:t>
      </w:r>
      <w:r>
        <w:rPr>
          <w:spacing w:val="-64"/>
        </w:rPr>
        <w:t> </w:t>
      </w:r>
      <w:r>
        <w:rPr>
          <w:spacing w:val="-64"/>
        </w:rPr>
      </w:r>
      <w:r>
        <w:rPr/>
        <w:t>在可控的范围内。</w:t>
      </w:r>
    </w:p>
    <w:p>
      <w:pPr>
        <w:spacing w:line="240" w:lineRule="auto" w:before="12"/>
        <w:rPr>
          <w:rFonts w:ascii="宋体" w:hAnsi="宋体" w:cs="宋体" w:eastAsia="宋体" w:hint="default"/>
          <w:sz w:val="17"/>
          <w:szCs w:val="17"/>
        </w:rPr>
      </w:pPr>
    </w:p>
    <w:p>
      <w:pPr>
        <w:pStyle w:val="BodyText"/>
        <w:spacing w:line="316" w:lineRule="auto"/>
        <w:ind w:right="1133"/>
        <w:jc w:val="both"/>
      </w:pPr>
      <w:r>
        <w:rPr>
          <w:spacing w:val="-2"/>
        </w:rPr>
        <w:t>本集团应收账款的债务人为分布于不同行业和地区的客户。本集团持续对应收账款的财务状况实施信用评估，并在适当时购</w:t>
      </w:r>
      <w:r>
        <w:rPr>
          <w:spacing w:val="-64"/>
        </w:rPr>
        <w:t> </w:t>
      </w:r>
      <w:r>
        <w:rPr>
          <w:spacing w:val="-64"/>
        </w:rPr>
      </w:r>
      <w:r>
        <w:rPr/>
        <w:t>买信用担保保险。</w:t>
      </w:r>
    </w:p>
    <w:p>
      <w:pPr>
        <w:spacing w:line="240" w:lineRule="auto" w:before="12"/>
        <w:rPr>
          <w:rFonts w:ascii="宋体" w:hAnsi="宋体" w:cs="宋体" w:eastAsia="宋体" w:hint="default"/>
          <w:sz w:val="17"/>
          <w:szCs w:val="17"/>
        </w:rPr>
      </w:pPr>
    </w:p>
    <w:p>
      <w:pPr>
        <w:pStyle w:val="BodyText"/>
        <w:spacing w:line="319" w:lineRule="auto"/>
        <w:ind w:right="1133"/>
        <w:jc w:val="both"/>
      </w:pPr>
      <w:r>
        <w:rPr>
          <w:spacing w:val="-2"/>
        </w:rPr>
        <w:t>本集团所承受的最大信用风险敞口为资产负债表中每项金融资产的账面金额。本集团没有提供任何其他可能令本集团承受信</w:t>
      </w:r>
      <w:r>
        <w:rPr>
          <w:spacing w:val="-64"/>
        </w:rPr>
        <w:t> </w:t>
      </w:r>
      <w:r>
        <w:rPr>
          <w:spacing w:val="-64"/>
        </w:rPr>
      </w:r>
      <w:r>
        <w:rPr/>
        <w:t>用风险的担保。</w:t>
      </w:r>
    </w:p>
    <w:p>
      <w:pPr>
        <w:spacing w:line="240" w:lineRule="auto" w:before="11"/>
        <w:rPr>
          <w:rFonts w:ascii="宋体" w:hAnsi="宋体" w:cs="宋体" w:eastAsia="宋体" w:hint="default"/>
          <w:sz w:val="17"/>
          <w:szCs w:val="17"/>
        </w:rPr>
      </w:pPr>
    </w:p>
    <w:p>
      <w:pPr>
        <w:pStyle w:val="BodyText"/>
        <w:spacing w:line="300" w:lineRule="auto"/>
        <w:ind w:right="1133"/>
        <w:jc w:val="both"/>
      </w:pPr>
      <w:r>
        <w:rPr/>
        <w:t>本集团应收账款中，前五大客户的应收账款占本集团应收账款总额的</w:t>
      </w:r>
      <w:r>
        <w:rPr>
          <w:rFonts w:ascii="Times New Roman" w:hAnsi="Times New Roman" w:cs="Times New Roman" w:eastAsia="Times New Roman" w:hint="default"/>
        </w:rPr>
        <w:t>10.66%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13.44%</w:t>
      </w:r>
      <w:r>
        <w:rPr/>
        <w:t>）；本集团其他应收款中，</w:t>
      </w:r>
      <w:r>
        <w:rPr>
          <w:spacing w:val="-33"/>
        </w:rPr>
        <w:t> </w:t>
      </w:r>
      <w:r>
        <w:rPr>
          <w:spacing w:val="-33"/>
        </w:rPr>
      </w:r>
      <w:r>
        <w:rPr/>
        <w:t>欠款金额前五大公司的其他应收款占本集团其他应收款总额的</w:t>
      </w:r>
      <w:r>
        <w:rPr>
          <w:rFonts w:ascii="Times New Roman" w:hAnsi="Times New Roman" w:cs="Times New Roman" w:eastAsia="Times New Roman" w:hint="default"/>
        </w:rPr>
        <w:t>37.94%</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32.70%</w:t>
      </w:r>
      <w:r>
        <w:rPr/>
        <w:t>）。</w:t>
      </w:r>
    </w:p>
    <w:p>
      <w:pPr>
        <w:spacing w:line="240" w:lineRule="auto" w:before="7"/>
        <w:rPr>
          <w:rFonts w:ascii="宋体" w:hAnsi="宋体" w:cs="宋体" w:eastAsia="宋体" w:hint="default"/>
          <w:sz w:val="17"/>
          <w:szCs w:val="17"/>
        </w:rPr>
      </w:pPr>
    </w:p>
    <w:p>
      <w:pPr>
        <w:pStyle w:val="BodyText"/>
        <w:spacing w:line="508" w:lineRule="auto"/>
        <w:ind w:right="3194"/>
        <w:jc w:val="left"/>
      </w:pPr>
      <w:r>
        <w:rPr/>
        <w:t>（</w:t>
      </w:r>
      <w:r>
        <w:rPr>
          <w:rFonts w:ascii="Times New Roman" w:hAnsi="Times New Roman" w:cs="Times New Roman" w:eastAsia="Times New Roman" w:hint="default"/>
        </w:rPr>
        <w:t>2</w:t>
      </w:r>
      <w:r>
        <w:rPr/>
        <w:t>）流动性风险 流动性风险，是指本集团在履行以交付现金或其他金融资产结算的义务时遇到资金短缺的风险。</w:t>
      </w:r>
    </w:p>
    <w:p>
      <w:pPr>
        <w:pStyle w:val="BodyText"/>
        <w:spacing w:line="316" w:lineRule="auto" w:before="91"/>
        <w:ind w:right="1130"/>
        <w:jc w:val="both"/>
      </w:pPr>
      <w:r>
        <w:rPr>
          <w:spacing w:val="-2"/>
        </w:rPr>
        <w:t>管理流动风险时，本集团保持管理层认为充分的现金及现金等价物并对其进行监控，以满足本集团经营需要，并降低现金流</w:t>
      </w:r>
      <w:r>
        <w:rPr>
          <w:spacing w:val="-63"/>
        </w:rPr>
        <w:t> </w:t>
      </w:r>
      <w:r>
        <w:rPr>
          <w:spacing w:val="-63"/>
        </w:rPr>
      </w:r>
      <w:r>
        <w:rPr>
          <w:spacing w:val="-2"/>
        </w:rPr>
        <w:t>量波动的影响。本集团管理层对银行借款的使用情况进行监控并确保遵守借款协议。同时从主要金融机构获得提供足够备用</w:t>
      </w:r>
      <w:r>
        <w:rPr>
          <w:spacing w:val="-64"/>
        </w:rPr>
        <w:t> </w:t>
      </w:r>
      <w:r>
        <w:rPr>
          <w:spacing w:val="-64"/>
        </w:rPr>
      </w:r>
      <w:r>
        <w:rPr/>
        <w:t>资金的承诺，以满足短期和长期的资金需求。</w:t>
      </w:r>
    </w:p>
    <w:p>
      <w:pPr>
        <w:spacing w:line="240" w:lineRule="auto" w:before="13"/>
        <w:rPr>
          <w:rFonts w:ascii="宋体" w:hAnsi="宋体" w:cs="宋体" w:eastAsia="宋体" w:hint="default"/>
          <w:sz w:val="17"/>
          <w:szCs w:val="17"/>
        </w:rPr>
      </w:pPr>
    </w:p>
    <w:p>
      <w:pPr>
        <w:pStyle w:val="BodyText"/>
        <w:spacing w:line="240" w:lineRule="auto"/>
        <w:ind w:right="0"/>
        <w:jc w:val="both"/>
      </w:pPr>
      <w:r>
        <w:rPr/>
        <w:t>本集团通过经营业务产生的资金及银行及其他借款来筹措营运资金。于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日，本集团尚未使用的银行借款额度为</w:t>
      </w:r>
    </w:p>
    <w:p>
      <w:pPr>
        <w:pStyle w:val="BodyText"/>
        <w:spacing w:line="508" w:lineRule="auto" w:before="63"/>
        <w:ind w:right="2654"/>
        <w:jc w:val="left"/>
      </w:pPr>
      <w:r>
        <w:rPr>
          <w:rFonts w:ascii="Times New Roman" w:hAnsi="Times New Roman" w:cs="Times New Roman" w:eastAsia="Times New Roman" w:hint="default"/>
        </w:rPr>
        <w:t>14,010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15,000</w:t>
      </w:r>
      <w:r>
        <w:rPr/>
        <w:t>万元）。 期末，本集团持有的金融负债按未折现剩余合同现金流量的到期期限分析如下（单位：人民币万元）：</w:t>
      </w:r>
    </w:p>
    <w:p>
      <w:pPr>
        <w:spacing w:line="240" w:lineRule="auto" w:before="4"/>
        <w:rPr>
          <w:rFonts w:ascii="宋体" w:hAnsi="宋体" w:cs="宋体" w:eastAsia="宋体" w:hint="default"/>
          <w:sz w:val="6"/>
          <w:szCs w:val="6"/>
        </w:rPr>
      </w:pPr>
    </w:p>
    <w:tbl>
      <w:tblPr>
        <w:tblW w:w="0" w:type="auto"/>
        <w:jc w:val="left"/>
        <w:tblInd w:w="152" w:type="dxa"/>
        <w:tblLayout w:type="fixed"/>
        <w:tblCellMar>
          <w:top w:w="0" w:type="dxa"/>
          <w:left w:w="0" w:type="dxa"/>
          <w:bottom w:w="0" w:type="dxa"/>
          <w:right w:w="0" w:type="dxa"/>
        </w:tblCellMar>
        <w:tblLook w:val="01E0"/>
      </w:tblPr>
      <w:tblGrid>
        <w:gridCol w:w="2790"/>
        <w:gridCol w:w="2212"/>
        <w:gridCol w:w="739"/>
        <w:gridCol w:w="420"/>
        <w:gridCol w:w="995"/>
        <w:gridCol w:w="1052"/>
        <w:gridCol w:w="919"/>
      </w:tblGrid>
      <w:tr>
        <w:trPr>
          <w:trHeight w:val="350" w:hRule="exact"/>
        </w:trPr>
        <w:tc>
          <w:tcPr>
            <w:tcW w:w="2790"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12" w:type="dxa"/>
            <w:tcBorders>
              <w:top w:val="single" w:sz="6" w:space="0" w:color="000000"/>
              <w:left w:val="nil" w:sz="6" w:space="0" w:color="auto"/>
              <w:bottom w:val="single" w:sz="8" w:space="0" w:color="000000"/>
              <w:right w:val="nil" w:sz="6" w:space="0" w:color="auto"/>
            </w:tcBorders>
          </w:tcPr>
          <w:p>
            <w:pPr/>
          </w:p>
        </w:tc>
        <w:tc>
          <w:tcPr>
            <w:tcW w:w="2154" w:type="dxa"/>
            <w:gridSpan w:val="3"/>
            <w:tcBorders>
              <w:top w:val="single" w:sz="6" w:space="0" w:color="000000"/>
              <w:left w:val="nil" w:sz="6" w:space="0" w:color="auto"/>
              <w:bottom w:val="single" w:sz="8" w:space="0" w:color="000000"/>
              <w:right w:val="nil" w:sz="6" w:space="0" w:color="auto"/>
            </w:tcBorders>
          </w:tcPr>
          <w:p>
            <w:pPr>
              <w:pStyle w:val="TableParagraph"/>
              <w:spacing w:line="240" w:lineRule="auto" w:before="64"/>
              <w:ind w:left="550" w:right="0"/>
              <w:jc w:val="left"/>
              <w:rPr>
                <w:rFonts w:ascii="Times New Roman" w:hAnsi="Times New Roman" w:cs="Times New Roman" w:eastAsia="Times New Roman" w:hint="default"/>
                <w:sz w:val="18"/>
                <w:szCs w:val="18"/>
              </w:rPr>
            </w:pPr>
            <w:r>
              <w:rPr>
                <w:rFonts w:ascii="Times New Roman"/>
                <w:b/>
                <w:sz w:val="18"/>
              </w:rPr>
              <w:t>2019.12.31</w:t>
            </w:r>
            <w:r>
              <w:rPr>
                <w:rFonts w:ascii="Times New Roman"/>
                <w:sz w:val="18"/>
              </w:rPr>
            </w:r>
          </w:p>
        </w:tc>
        <w:tc>
          <w:tcPr>
            <w:tcW w:w="1052" w:type="dxa"/>
            <w:tcBorders>
              <w:top w:val="single" w:sz="6" w:space="0" w:color="000000"/>
              <w:left w:val="nil" w:sz="6" w:space="0" w:color="auto"/>
              <w:bottom w:val="single" w:sz="8" w:space="0" w:color="000000"/>
              <w:right w:val="nil" w:sz="6" w:space="0" w:color="auto"/>
            </w:tcBorders>
          </w:tcPr>
          <w:p>
            <w:pPr/>
          </w:p>
        </w:tc>
        <w:tc>
          <w:tcPr>
            <w:tcW w:w="919" w:type="dxa"/>
            <w:tcBorders>
              <w:top w:val="single" w:sz="6" w:space="0" w:color="000000"/>
              <w:left w:val="nil" w:sz="6" w:space="0" w:color="auto"/>
              <w:bottom w:val="single" w:sz="8" w:space="0" w:color="000000"/>
              <w:right w:val="nil" w:sz="6" w:space="0" w:color="auto"/>
            </w:tcBorders>
          </w:tcPr>
          <w:p>
            <w:pPr/>
          </w:p>
        </w:tc>
      </w:tr>
      <w:tr>
        <w:trPr>
          <w:trHeight w:val="346" w:hRule="exact"/>
        </w:trPr>
        <w:tc>
          <w:tcPr>
            <w:tcW w:w="2790" w:type="dxa"/>
            <w:tcBorders>
              <w:top w:val="nil" w:sz="6" w:space="0" w:color="auto"/>
              <w:left w:val="nil" w:sz="6" w:space="0" w:color="auto"/>
              <w:bottom w:val="single" w:sz="8" w:space="0" w:color="000000"/>
              <w:right w:val="nil" w:sz="6" w:space="0" w:color="auto"/>
            </w:tcBorders>
          </w:tcPr>
          <w:p>
            <w:pP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299"/>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159" w:type="dxa"/>
            <w:gridSpan w:val="2"/>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01" w:right="0"/>
              <w:jc w:val="left"/>
              <w:rPr>
                <w:rFonts w:ascii="宋体" w:hAnsi="宋体" w:cs="宋体" w:eastAsia="宋体" w:hint="default"/>
                <w:sz w:val="18"/>
                <w:szCs w:val="18"/>
              </w:rPr>
            </w:pPr>
            <w:r>
              <w:rPr>
                <w:rFonts w:ascii="宋体" w:hAnsi="宋体" w:cs="宋体" w:eastAsia="宋体" w:hint="default"/>
                <w:b/>
                <w:bCs/>
                <w:sz w:val="18"/>
                <w:szCs w:val="18"/>
              </w:rPr>
              <w:t>一至两年</w:t>
            </w:r>
            <w:r>
              <w:rPr>
                <w:rFonts w:ascii="宋体" w:hAnsi="宋体" w:cs="宋体" w:eastAsia="宋体" w:hint="default"/>
                <w:sz w:val="18"/>
                <w:szCs w:val="18"/>
              </w:rPr>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135"/>
              <w:jc w:val="right"/>
              <w:rPr>
                <w:rFonts w:ascii="宋体" w:hAnsi="宋体" w:cs="宋体" w:eastAsia="宋体" w:hint="default"/>
                <w:sz w:val="18"/>
                <w:szCs w:val="18"/>
              </w:rPr>
            </w:pPr>
            <w:r>
              <w:rPr>
                <w:rFonts w:ascii="宋体" w:hAnsi="宋体" w:cs="宋体" w:eastAsia="宋体" w:hint="default"/>
                <w:b/>
                <w:bCs/>
                <w:w w:val="95"/>
                <w:sz w:val="18"/>
                <w:szCs w:val="18"/>
              </w:rPr>
              <w:t>两至三年</w:t>
            </w:r>
            <w:r>
              <w:rPr>
                <w:rFonts w:ascii="宋体" w:hAnsi="宋体" w:cs="宋体" w:eastAsia="宋体" w:hint="default"/>
                <w:sz w:val="18"/>
                <w:szCs w:val="18"/>
              </w:rPr>
            </w:r>
          </w:p>
        </w:tc>
        <w:tc>
          <w:tcPr>
            <w:tcW w:w="105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190"/>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212" w:type="dxa"/>
            <w:tcBorders>
              <w:top w:val="single" w:sz="8" w:space="0" w:color="000000"/>
              <w:left w:val="nil" w:sz="6" w:space="0" w:color="auto"/>
              <w:bottom w:val="single" w:sz="8" w:space="0" w:color="000000"/>
              <w:right w:val="nil" w:sz="6" w:space="0" w:color="auto"/>
            </w:tcBorders>
          </w:tcPr>
          <w:p>
            <w:pPr/>
          </w:p>
        </w:tc>
        <w:tc>
          <w:tcPr>
            <w:tcW w:w="739" w:type="dxa"/>
            <w:tcBorders>
              <w:top w:val="single" w:sz="8" w:space="0" w:color="000000"/>
              <w:left w:val="nil" w:sz="6" w:space="0" w:color="auto"/>
              <w:bottom w:val="single" w:sz="8" w:space="0" w:color="000000"/>
              <w:right w:val="nil" w:sz="6" w:space="0" w:color="auto"/>
            </w:tcBorders>
          </w:tcPr>
          <w:p>
            <w:pPr/>
          </w:p>
        </w:tc>
        <w:tc>
          <w:tcPr>
            <w:tcW w:w="420" w:type="dxa"/>
            <w:tcBorders>
              <w:top w:val="single" w:sz="8" w:space="0" w:color="000000"/>
              <w:left w:val="nil" w:sz="6" w:space="0" w:color="auto"/>
              <w:bottom w:val="single" w:sz="8" w:space="0" w:color="000000"/>
              <w:right w:val="nil" w:sz="6" w:space="0" w:color="auto"/>
            </w:tcBorders>
          </w:tcPr>
          <w:p>
            <w:pPr/>
          </w:p>
        </w:tc>
        <w:tc>
          <w:tcPr>
            <w:tcW w:w="995" w:type="dxa"/>
            <w:tcBorders>
              <w:top w:val="single" w:sz="8" w:space="0" w:color="000000"/>
              <w:left w:val="nil" w:sz="6" w:space="0" w:color="auto"/>
              <w:bottom w:val="single" w:sz="8" w:space="0" w:color="000000"/>
              <w:right w:val="nil" w:sz="6" w:space="0" w:color="auto"/>
            </w:tcBorders>
          </w:tcPr>
          <w:p>
            <w:pPr/>
          </w:p>
        </w:tc>
        <w:tc>
          <w:tcPr>
            <w:tcW w:w="1052" w:type="dxa"/>
            <w:tcBorders>
              <w:top w:val="single" w:sz="8" w:space="0" w:color="000000"/>
              <w:left w:val="nil" w:sz="6" w:space="0" w:color="auto"/>
              <w:bottom w:val="single" w:sz="8" w:space="0" w:color="000000"/>
              <w:right w:val="nil" w:sz="6" w:space="0" w:color="auto"/>
            </w:tcBorders>
          </w:tcPr>
          <w:p>
            <w:pPr/>
          </w:p>
        </w:tc>
        <w:tc>
          <w:tcPr>
            <w:tcW w:w="919"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2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99"/>
              <w:jc w:val="right"/>
              <w:rPr>
                <w:rFonts w:ascii="Times New Roman" w:hAnsi="Times New Roman" w:cs="Times New Roman" w:eastAsia="Times New Roman" w:hint="default"/>
                <w:sz w:val="18"/>
                <w:szCs w:val="18"/>
              </w:rPr>
            </w:pPr>
            <w:r>
              <w:rPr>
                <w:rFonts w:ascii="Times New Roman"/>
                <w:spacing w:val="-1"/>
                <w:sz w:val="18"/>
              </w:rPr>
              <w:t>10,066.69</w:t>
            </w:r>
          </w:p>
        </w:tc>
        <w:tc>
          <w:tcPr>
            <w:tcW w:w="739" w:type="dxa"/>
            <w:tcBorders>
              <w:top w:val="single" w:sz="8" w:space="0" w:color="000000"/>
              <w:left w:val="nil" w:sz="6" w:space="0" w:color="auto"/>
              <w:bottom w:val="single" w:sz="8" w:space="0" w:color="000000"/>
              <w:right w:val="nil" w:sz="6" w:space="0" w:color="auto"/>
            </w:tcBorders>
          </w:tcPr>
          <w:p>
            <w:pPr/>
          </w:p>
        </w:tc>
        <w:tc>
          <w:tcPr>
            <w:tcW w:w="420"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left="28" w:right="0"/>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34"/>
              <w:jc w:val="right"/>
              <w:rPr>
                <w:rFonts w:ascii="Times New Roman" w:hAnsi="Times New Roman" w:cs="Times New Roman" w:eastAsia="Times New Roman" w:hint="default"/>
                <w:sz w:val="18"/>
                <w:szCs w:val="18"/>
              </w:rPr>
            </w:pPr>
            <w:r>
              <w:rPr>
                <w:rFonts w:ascii="Times New Roman"/>
                <w:sz w:val="18"/>
              </w:rPr>
              <w:t>--</w:t>
            </w:r>
          </w:p>
        </w:tc>
        <w:tc>
          <w:tcPr>
            <w:tcW w:w="105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9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10,066.69</w:t>
            </w:r>
          </w:p>
        </w:tc>
      </w:tr>
      <w:tr>
        <w:trPr>
          <w:trHeight w:val="35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12" w:type="dxa"/>
            <w:tcBorders>
              <w:top w:val="single" w:sz="8" w:space="0" w:color="000000"/>
              <w:left w:val="nil" w:sz="6" w:space="0" w:color="auto"/>
              <w:bottom w:val="single" w:sz="15" w:space="0" w:color="000000"/>
              <w:right w:val="nil" w:sz="6" w:space="0" w:color="auto"/>
            </w:tcBorders>
          </w:tcPr>
          <w:p>
            <w:pPr>
              <w:pStyle w:val="TableParagraph"/>
              <w:spacing w:line="240" w:lineRule="auto" w:before="57"/>
              <w:ind w:right="299"/>
              <w:jc w:val="right"/>
              <w:rPr>
                <w:rFonts w:ascii="Times New Roman" w:hAnsi="Times New Roman" w:cs="Times New Roman" w:eastAsia="Times New Roman" w:hint="default"/>
                <w:sz w:val="18"/>
                <w:szCs w:val="18"/>
              </w:rPr>
            </w:pPr>
            <w:r>
              <w:rPr>
                <w:rFonts w:ascii="Times New Roman"/>
                <w:spacing w:val="-1"/>
                <w:sz w:val="18"/>
              </w:rPr>
              <w:t>239.58</w:t>
            </w:r>
          </w:p>
        </w:tc>
        <w:tc>
          <w:tcPr>
            <w:tcW w:w="739" w:type="dxa"/>
            <w:tcBorders>
              <w:top w:val="single" w:sz="8" w:space="0" w:color="000000"/>
              <w:left w:val="nil" w:sz="6" w:space="0" w:color="auto"/>
              <w:bottom w:val="single" w:sz="15" w:space="0" w:color="000000"/>
              <w:right w:val="nil" w:sz="6" w:space="0" w:color="auto"/>
            </w:tcBorders>
          </w:tcPr>
          <w:p>
            <w:pPr/>
          </w:p>
        </w:tc>
        <w:tc>
          <w:tcPr>
            <w:tcW w:w="420" w:type="dxa"/>
            <w:tcBorders>
              <w:top w:val="single" w:sz="8" w:space="0" w:color="000000"/>
              <w:left w:val="nil" w:sz="6" w:space="0" w:color="auto"/>
              <w:bottom w:val="single" w:sz="15" w:space="0" w:color="000000"/>
              <w:right w:val="nil" w:sz="6" w:space="0" w:color="auto"/>
            </w:tcBorders>
          </w:tcPr>
          <w:p>
            <w:pPr>
              <w:pStyle w:val="TableParagraph"/>
              <w:spacing w:line="240" w:lineRule="auto" w:before="57"/>
              <w:ind w:left="28" w:right="0"/>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15" w:space="0" w:color="000000"/>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8"/>
                <w:szCs w:val="18"/>
              </w:rPr>
            </w:pPr>
            <w:r>
              <w:rPr>
                <w:rFonts w:ascii="Times New Roman"/>
                <w:sz w:val="18"/>
              </w:rPr>
              <w:t>--</w:t>
            </w:r>
          </w:p>
        </w:tc>
        <w:tc>
          <w:tcPr>
            <w:tcW w:w="1052" w:type="dxa"/>
            <w:tcBorders>
              <w:top w:val="single" w:sz="8" w:space="0" w:color="000000"/>
              <w:left w:val="nil" w:sz="6" w:space="0" w:color="auto"/>
              <w:bottom w:val="single" w:sz="15" w:space="0" w:color="000000"/>
              <w:right w:val="nil" w:sz="6" w:space="0" w:color="auto"/>
            </w:tcBorders>
          </w:tcPr>
          <w:p>
            <w:pPr>
              <w:pStyle w:val="TableParagraph"/>
              <w:spacing w:line="240" w:lineRule="auto" w:before="57"/>
              <w:ind w:right="19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z w:val="18"/>
              </w:rPr>
              <w:t>239.5</w:t>
            </w:r>
          </w:p>
        </w:tc>
      </w:tr>
      <w:tr>
        <w:trPr>
          <w:trHeight w:val="363" w:hRule="exact"/>
        </w:trPr>
        <w:tc>
          <w:tcPr>
            <w:tcW w:w="2790" w:type="dxa"/>
            <w:tcBorders>
              <w:top w:val="single" w:sz="8" w:space="0" w:color="000000"/>
              <w:left w:val="nil" w:sz="6" w:space="0" w:color="auto"/>
              <w:bottom w:val="nil" w:sz="6" w:space="0" w:color="auto"/>
              <w:right w:val="nil" w:sz="6" w:space="0" w:color="auto"/>
            </w:tcBorders>
          </w:tcPr>
          <w:p>
            <w:pPr>
              <w:pStyle w:val="TableParagraph"/>
              <w:spacing w:line="240" w:lineRule="auto" w:before="4"/>
              <w:ind w:left="2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951" w:type="dxa"/>
            <w:gridSpan w:val="2"/>
            <w:tcBorders>
              <w:top w:val="single" w:sz="15" w:space="0" w:color="000000"/>
              <w:left w:val="nil" w:sz="6" w:space="0" w:color="auto"/>
              <w:bottom w:val="single" w:sz="8" w:space="0" w:color="000000"/>
              <w:right w:val="nil" w:sz="6" w:space="0" w:color="auto"/>
            </w:tcBorders>
          </w:tcPr>
          <w:p>
            <w:pPr>
              <w:pStyle w:val="TableParagraph"/>
              <w:spacing w:line="240" w:lineRule="auto" w:before="63"/>
              <w:ind w:right="162"/>
              <w:jc w:val="right"/>
              <w:rPr>
                <w:rFonts w:ascii="Times New Roman" w:hAnsi="Times New Roman" w:cs="Times New Roman" w:eastAsia="Times New Roman" w:hint="default"/>
                <w:sz w:val="18"/>
                <w:szCs w:val="18"/>
              </w:rPr>
            </w:pPr>
            <w:r>
              <w:rPr>
                <w:rFonts w:ascii="Times New Roman"/>
                <w:spacing w:val="-1"/>
                <w:sz w:val="18"/>
              </w:rPr>
              <w:t>11204.36</w:t>
            </w:r>
          </w:p>
        </w:tc>
        <w:tc>
          <w:tcPr>
            <w:tcW w:w="420" w:type="dxa"/>
            <w:tcBorders>
              <w:top w:val="single" w:sz="15" w:space="0" w:color="000000"/>
              <w:left w:val="nil" w:sz="6" w:space="0" w:color="auto"/>
              <w:bottom w:val="single" w:sz="8" w:space="0" w:color="000000"/>
              <w:right w:val="nil" w:sz="6" w:space="0" w:color="auto"/>
            </w:tcBorders>
          </w:tcPr>
          <w:p>
            <w:pPr>
              <w:pStyle w:val="TableParagraph"/>
              <w:spacing w:line="240" w:lineRule="auto" w:before="36"/>
              <w:ind w:left="28" w:right="0"/>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15" w:space="0" w:color="000000"/>
              <w:left w:val="nil" w:sz="6" w:space="0" w:color="auto"/>
              <w:bottom w:val="single" w:sz="8" w:space="0" w:color="000000"/>
              <w:right w:val="nil" w:sz="6" w:space="0" w:color="auto"/>
            </w:tcBorders>
          </w:tcPr>
          <w:p>
            <w:pPr>
              <w:pStyle w:val="TableParagraph"/>
              <w:spacing w:line="240" w:lineRule="auto" w:before="36"/>
              <w:ind w:right="134"/>
              <w:jc w:val="right"/>
              <w:rPr>
                <w:rFonts w:ascii="Times New Roman" w:hAnsi="Times New Roman" w:cs="Times New Roman" w:eastAsia="Times New Roman" w:hint="default"/>
                <w:sz w:val="18"/>
                <w:szCs w:val="18"/>
              </w:rPr>
            </w:pPr>
            <w:r>
              <w:rPr>
                <w:rFonts w:ascii="Times New Roman"/>
                <w:sz w:val="18"/>
              </w:rPr>
              <w:t>--</w:t>
            </w:r>
          </w:p>
        </w:tc>
        <w:tc>
          <w:tcPr>
            <w:tcW w:w="1052" w:type="dxa"/>
            <w:tcBorders>
              <w:top w:val="single" w:sz="15" w:space="0" w:color="000000"/>
              <w:left w:val="nil" w:sz="6" w:space="0" w:color="auto"/>
              <w:bottom w:val="single" w:sz="8" w:space="0" w:color="000000"/>
              <w:right w:val="nil" w:sz="6" w:space="0" w:color="auto"/>
            </w:tcBorders>
          </w:tcPr>
          <w:p>
            <w:pPr>
              <w:pStyle w:val="TableParagraph"/>
              <w:spacing w:line="240" w:lineRule="auto" w:before="36"/>
              <w:ind w:right="19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4"/>
              <w:jc w:val="right"/>
              <w:rPr>
                <w:rFonts w:ascii="Times New Roman" w:hAnsi="Times New Roman" w:cs="Times New Roman" w:eastAsia="Times New Roman" w:hint="default"/>
                <w:sz w:val="18"/>
                <w:szCs w:val="18"/>
              </w:rPr>
            </w:pPr>
            <w:r>
              <w:rPr>
                <w:rFonts w:ascii="Times New Roman"/>
                <w:spacing w:val="-1"/>
                <w:sz w:val="18"/>
              </w:rPr>
              <w:t>11204.36</w:t>
            </w:r>
          </w:p>
        </w:tc>
      </w:tr>
      <w:tr>
        <w:trPr>
          <w:trHeight w:val="286" w:hRule="exact"/>
        </w:trPr>
        <w:tc>
          <w:tcPr>
            <w:tcW w:w="2790" w:type="dxa"/>
            <w:tcBorders>
              <w:top w:val="nil" w:sz="6" w:space="0" w:color="auto"/>
              <w:left w:val="nil" w:sz="6" w:space="0" w:color="auto"/>
              <w:bottom w:val="single" w:sz="8" w:space="0" w:color="000000"/>
              <w:right w:val="nil" w:sz="6" w:space="0" w:color="auto"/>
            </w:tcBorders>
          </w:tcPr>
          <w:p>
            <w:pPr/>
          </w:p>
        </w:tc>
        <w:tc>
          <w:tcPr>
            <w:tcW w:w="2951" w:type="dxa"/>
            <w:gridSpan w:val="2"/>
            <w:tcBorders>
              <w:top w:val="single" w:sz="8" w:space="0" w:color="000000"/>
              <w:left w:val="nil" w:sz="6" w:space="0" w:color="auto"/>
              <w:bottom w:val="single" w:sz="8" w:space="0" w:color="000000"/>
              <w:right w:val="nil" w:sz="6" w:space="0" w:color="auto"/>
            </w:tcBorders>
          </w:tcPr>
          <w:p>
            <w:pPr/>
          </w:p>
        </w:tc>
        <w:tc>
          <w:tcPr>
            <w:tcW w:w="420" w:type="dxa"/>
            <w:tcBorders>
              <w:top w:val="single" w:sz="8" w:space="0" w:color="000000"/>
              <w:left w:val="nil" w:sz="6" w:space="0" w:color="auto"/>
              <w:bottom w:val="single" w:sz="8" w:space="0" w:color="000000"/>
              <w:right w:val="nil" w:sz="6" w:space="0" w:color="auto"/>
            </w:tcBorders>
          </w:tcPr>
          <w:p>
            <w:pPr/>
          </w:p>
        </w:tc>
        <w:tc>
          <w:tcPr>
            <w:tcW w:w="995" w:type="dxa"/>
            <w:tcBorders>
              <w:top w:val="single" w:sz="8" w:space="0" w:color="000000"/>
              <w:left w:val="nil" w:sz="6" w:space="0" w:color="auto"/>
              <w:bottom w:val="single" w:sz="8" w:space="0" w:color="000000"/>
              <w:right w:val="nil" w:sz="6" w:space="0" w:color="auto"/>
            </w:tcBorders>
          </w:tcPr>
          <w:p>
            <w:pPr/>
          </w:p>
        </w:tc>
        <w:tc>
          <w:tcPr>
            <w:tcW w:w="1052" w:type="dxa"/>
            <w:tcBorders>
              <w:top w:val="single" w:sz="8" w:space="0" w:color="000000"/>
              <w:left w:val="nil" w:sz="6" w:space="0" w:color="auto"/>
              <w:bottom w:val="single" w:sz="8" w:space="0" w:color="000000"/>
              <w:right w:val="nil" w:sz="6" w:space="0" w:color="auto"/>
            </w:tcBorders>
          </w:tcPr>
          <w:p>
            <w:pPr/>
          </w:p>
        </w:tc>
        <w:tc>
          <w:tcPr>
            <w:tcW w:w="919" w:type="dxa"/>
            <w:tcBorders>
              <w:top w:val="nil" w:sz="6" w:space="0" w:color="auto"/>
              <w:left w:val="nil" w:sz="6" w:space="0" w:color="auto"/>
              <w:bottom w:val="single" w:sz="8" w:space="0" w:color="000000"/>
              <w:right w:val="nil" w:sz="6" w:space="0" w:color="auto"/>
            </w:tcBorders>
          </w:tcPr>
          <w:p>
            <w:pP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99"/>
              <w:jc w:val="right"/>
              <w:rPr>
                <w:rFonts w:ascii="Times New Roman" w:hAnsi="Times New Roman" w:cs="Times New Roman" w:eastAsia="Times New Roman" w:hint="default"/>
                <w:sz w:val="18"/>
                <w:szCs w:val="18"/>
              </w:rPr>
            </w:pPr>
            <w:r>
              <w:rPr>
                <w:rFonts w:ascii="Times New Roman"/>
                <w:spacing w:val="-1"/>
                <w:sz w:val="18"/>
              </w:rPr>
              <w:t>914.53</w:t>
            </w:r>
          </w:p>
        </w:tc>
        <w:tc>
          <w:tcPr>
            <w:tcW w:w="739" w:type="dxa"/>
            <w:tcBorders>
              <w:top w:val="single" w:sz="8" w:space="0" w:color="000000"/>
              <w:left w:val="nil" w:sz="6" w:space="0" w:color="auto"/>
              <w:bottom w:val="single" w:sz="8" w:space="0" w:color="000000"/>
              <w:right w:val="nil" w:sz="6" w:space="0" w:color="auto"/>
            </w:tcBorders>
          </w:tcPr>
          <w:p>
            <w:pPr/>
          </w:p>
        </w:tc>
        <w:tc>
          <w:tcPr>
            <w:tcW w:w="420"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left="28" w:right="0"/>
              <w:jc w:val="center"/>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8"/>
                <w:szCs w:val="18"/>
              </w:rPr>
            </w:pPr>
            <w:r>
              <w:rPr>
                <w:rFonts w:ascii="Times New Roman"/>
                <w:sz w:val="18"/>
              </w:rPr>
              <w:t>--</w:t>
            </w:r>
          </w:p>
        </w:tc>
        <w:tc>
          <w:tcPr>
            <w:tcW w:w="105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91"/>
              <w:jc w:val="right"/>
              <w:rPr>
                <w:rFonts w:ascii="Times New Roman" w:hAnsi="Times New Roman" w:cs="Times New Roman" w:eastAsia="Times New Roman" w:hint="default"/>
                <w:sz w:val="18"/>
                <w:szCs w:val="18"/>
              </w:rPr>
            </w:pPr>
            <w:r>
              <w:rPr>
                <w:rFonts w:ascii="Times New Roman"/>
                <w:sz w:val="18"/>
              </w:rPr>
              <w:t>--</w:t>
            </w: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spacing w:val="-1"/>
                <w:sz w:val="18"/>
              </w:rPr>
              <w:t>914.53</w:t>
            </w: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299"/>
              <w:jc w:val="right"/>
              <w:rPr>
                <w:rFonts w:ascii="Times New Roman" w:hAnsi="Times New Roman" w:cs="Times New Roman" w:eastAsia="Times New Roman" w:hint="default"/>
                <w:sz w:val="18"/>
                <w:szCs w:val="18"/>
              </w:rPr>
            </w:pPr>
            <w:r>
              <w:rPr>
                <w:rFonts w:ascii="Times New Roman"/>
                <w:b/>
                <w:spacing w:val="-1"/>
                <w:sz w:val="18"/>
              </w:rPr>
              <w:t>22425.16</w:t>
            </w:r>
            <w:r>
              <w:rPr>
                <w:rFonts w:ascii="Times New Roman"/>
                <w:spacing w:val="-1"/>
                <w:sz w:val="18"/>
              </w:rPr>
            </w:r>
          </w:p>
        </w:tc>
        <w:tc>
          <w:tcPr>
            <w:tcW w:w="739" w:type="dxa"/>
            <w:tcBorders>
              <w:top w:val="single" w:sz="8" w:space="0" w:color="000000"/>
              <w:left w:val="nil" w:sz="6" w:space="0" w:color="auto"/>
              <w:bottom w:val="single" w:sz="8" w:space="0" w:color="000000"/>
              <w:right w:val="nil" w:sz="6" w:space="0" w:color="auto"/>
            </w:tcBorders>
          </w:tcPr>
          <w:p>
            <w:pPr/>
          </w:p>
        </w:tc>
        <w:tc>
          <w:tcPr>
            <w:tcW w:w="420" w:type="dxa"/>
            <w:tcBorders>
              <w:top w:val="single" w:sz="8" w:space="0" w:color="000000"/>
              <w:left w:val="nil" w:sz="6" w:space="0" w:color="auto"/>
              <w:bottom w:val="single" w:sz="8" w:space="0" w:color="000000"/>
              <w:right w:val="nil" w:sz="6" w:space="0" w:color="auto"/>
            </w:tcBorders>
          </w:tcPr>
          <w:p>
            <w:pPr/>
          </w:p>
        </w:tc>
        <w:tc>
          <w:tcPr>
            <w:tcW w:w="995" w:type="dxa"/>
            <w:tcBorders>
              <w:top w:val="single" w:sz="8" w:space="0" w:color="000000"/>
              <w:left w:val="nil" w:sz="6" w:space="0" w:color="auto"/>
              <w:bottom w:val="single" w:sz="8" w:space="0" w:color="000000"/>
              <w:right w:val="nil" w:sz="6" w:space="0" w:color="auto"/>
            </w:tcBorders>
          </w:tcPr>
          <w:p>
            <w:pPr/>
          </w:p>
        </w:tc>
        <w:tc>
          <w:tcPr>
            <w:tcW w:w="1052" w:type="dxa"/>
            <w:tcBorders>
              <w:top w:val="single" w:sz="8" w:space="0" w:color="000000"/>
              <w:left w:val="nil" w:sz="6" w:space="0" w:color="auto"/>
              <w:bottom w:val="single" w:sz="8" w:space="0" w:color="000000"/>
              <w:right w:val="nil" w:sz="6" w:space="0" w:color="auto"/>
            </w:tcBorders>
          </w:tcPr>
          <w:p>
            <w:pPr/>
          </w:p>
        </w:tc>
        <w:tc>
          <w:tcPr>
            <w:tcW w:w="919"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b/>
                <w:spacing w:val="-1"/>
                <w:sz w:val="18"/>
              </w:rPr>
              <w:t>22425.16</w:t>
            </w:r>
            <w:r>
              <w:rPr>
                <w:rFonts w:ascii="Times New Roman"/>
                <w:spacing w:val="-1"/>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122"/>
        <w:jc w:val="left"/>
      </w:pPr>
      <w:r>
        <w:rPr/>
        <w:t>期初，本集团持有的金融负债按未折现剩余合同现金流量的到期期限分析如下（单位：人民币万元）：</w:t>
      </w:r>
    </w:p>
    <w:p>
      <w:pPr>
        <w:spacing w:line="240" w:lineRule="auto" w:before="9"/>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2790"/>
        <w:gridCol w:w="2212"/>
        <w:gridCol w:w="1159"/>
        <w:gridCol w:w="995"/>
        <w:gridCol w:w="1096"/>
        <w:gridCol w:w="875"/>
      </w:tblGrid>
      <w:tr>
        <w:trPr>
          <w:trHeight w:val="350" w:hRule="exact"/>
        </w:trPr>
        <w:tc>
          <w:tcPr>
            <w:tcW w:w="2790" w:type="dxa"/>
            <w:tcBorders>
              <w:top w:val="single" w:sz="6" w:space="0" w:color="000000"/>
              <w:left w:val="nil" w:sz="6" w:space="0" w:color="auto"/>
              <w:bottom w:val="nil" w:sz="6" w:space="0" w:color="auto"/>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2212" w:type="dxa"/>
            <w:tcBorders>
              <w:top w:val="single" w:sz="6" w:space="0" w:color="000000"/>
              <w:left w:val="nil" w:sz="6" w:space="0" w:color="auto"/>
              <w:bottom w:val="single" w:sz="8" w:space="0" w:color="000000"/>
              <w:right w:val="nil" w:sz="6" w:space="0" w:color="auto"/>
            </w:tcBorders>
          </w:tcPr>
          <w:p>
            <w:pPr/>
          </w:p>
        </w:tc>
        <w:tc>
          <w:tcPr>
            <w:tcW w:w="2154" w:type="dxa"/>
            <w:gridSpan w:val="2"/>
            <w:tcBorders>
              <w:top w:val="single" w:sz="6" w:space="0" w:color="000000"/>
              <w:left w:val="nil" w:sz="6" w:space="0" w:color="auto"/>
              <w:bottom w:val="single" w:sz="8" w:space="0" w:color="000000"/>
              <w:right w:val="nil" w:sz="6" w:space="0" w:color="auto"/>
            </w:tcBorders>
          </w:tcPr>
          <w:p>
            <w:pPr>
              <w:pStyle w:val="TableParagraph"/>
              <w:spacing w:line="240" w:lineRule="auto" w:before="64"/>
              <w:ind w:left="550" w:right="0"/>
              <w:jc w:val="left"/>
              <w:rPr>
                <w:rFonts w:ascii="Times New Roman" w:hAnsi="Times New Roman" w:cs="Times New Roman" w:eastAsia="Times New Roman" w:hint="default"/>
                <w:sz w:val="18"/>
                <w:szCs w:val="18"/>
              </w:rPr>
            </w:pPr>
            <w:r>
              <w:rPr>
                <w:rFonts w:ascii="Times New Roman"/>
                <w:b/>
                <w:sz w:val="18"/>
              </w:rPr>
              <w:t>2018.12.31</w:t>
            </w:r>
            <w:r>
              <w:rPr>
                <w:rFonts w:ascii="Times New Roman"/>
                <w:sz w:val="18"/>
              </w:rPr>
            </w:r>
          </w:p>
        </w:tc>
        <w:tc>
          <w:tcPr>
            <w:tcW w:w="1096" w:type="dxa"/>
            <w:tcBorders>
              <w:top w:val="single" w:sz="6" w:space="0" w:color="000000"/>
              <w:left w:val="nil" w:sz="6" w:space="0" w:color="auto"/>
              <w:bottom w:val="single" w:sz="8" w:space="0" w:color="000000"/>
              <w:right w:val="nil" w:sz="6" w:space="0" w:color="auto"/>
            </w:tcBorders>
          </w:tcPr>
          <w:p>
            <w:pPr/>
          </w:p>
        </w:tc>
        <w:tc>
          <w:tcPr>
            <w:tcW w:w="875" w:type="dxa"/>
            <w:tcBorders>
              <w:top w:val="single" w:sz="6" w:space="0" w:color="000000"/>
              <w:left w:val="nil" w:sz="6" w:space="0" w:color="auto"/>
              <w:bottom w:val="single" w:sz="8" w:space="0" w:color="000000"/>
              <w:right w:val="nil" w:sz="6" w:space="0" w:color="auto"/>
            </w:tcBorders>
          </w:tcPr>
          <w:p>
            <w:pPr/>
          </w:p>
        </w:tc>
      </w:tr>
      <w:tr>
        <w:trPr>
          <w:trHeight w:val="346" w:hRule="exact"/>
        </w:trPr>
        <w:tc>
          <w:tcPr>
            <w:tcW w:w="2790" w:type="dxa"/>
            <w:tcBorders>
              <w:top w:val="nil" w:sz="6" w:space="0" w:color="auto"/>
              <w:left w:val="nil" w:sz="6" w:space="0" w:color="auto"/>
              <w:bottom w:val="single" w:sz="8" w:space="0" w:color="000000"/>
              <w:right w:val="nil" w:sz="6" w:space="0" w:color="auto"/>
            </w:tcBorders>
          </w:tcPr>
          <w:p>
            <w:pP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299"/>
              <w:jc w:val="right"/>
              <w:rPr>
                <w:rFonts w:ascii="宋体" w:hAnsi="宋体" w:cs="宋体" w:eastAsia="宋体" w:hint="default"/>
                <w:sz w:val="18"/>
                <w:szCs w:val="18"/>
              </w:rPr>
            </w:pPr>
            <w:r>
              <w:rPr>
                <w:rFonts w:ascii="宋体" w:hAnsi="宋体" w:cs="宋体" w:eastAsia="宋体" w:hint="default"/>
                <w:b/>
                <w:bCs/>
                <w:w w:val="95"/>
                <w:sz w:val="18"/>
                <w:szCs w:val="18"/>
              </w:rPr>
              <w:t>一年以内</w:t>
            </w:r>
            <w:r>
              <w:rPr>
                <w:rFonts w:ascii="宋体" w:hAnsi="宋体" w:cs="宋体" w:eastAsia="宋体" w:hint="default"/>
                <w:sz w:val="18"/>
                <w:szCs w:val="18"/>
              </w:rPr>
            </w: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133"/>
              <w:jc w:val="right"/>
              <w:rPr>
                <w:rFonts w:ascii="宋体" w:hAnsi="宋体" w:cs="宋体" w:eastAsia="宋体" w:hint="default"/>
                <w:sz w:val="18"/>
                <w:szCs w:val="18"/>
              </w:rPr>
            </w:pPr>
            <w:r>
              <w:rPr>
                <w:rFonts w:ascii="宋体" w:hAnsi="宋体" w:cs="宋体" w:eastAsia="宋体" w:hint="default"/>
                <w:b/>
                <w:bCs/>
                <w:w w:val="95"/>
                <w:sz w:val="18"/>
                <w:szCs w:val="18"/>
              </w:rPr>
              <w:t>一至两年</w:t>
            </w:r>
            <w:r>
              <w:rPr>
                <w:rFonts w:ascii="宋体" w:hAnsi="宋体" w:cs="宋体" w:eastAsia="宋体" w:hint="default"/>
                <w:sz w:val="18"/>
                <w:szCs w:val="18"/>
              </w:rPr>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135"/>
              <w:jc w:val="right"/>
              <w:rPr>
                <w:rFonts w:ascii="宋体" w:hAnsi="宋体" w:cs="宋体" w:eastAsia="宋体" w:hint="default"/>
                <w:sz w:val="18"/>
                <w:szCs w:val="18"/>
              </w:rPr>
            </w:pPr>
            <w:r>
              <w:rPr>
                <w:rFonts w:ascii="宋体" w:hAnsi="宋体" w:cs="宋体" w:eastAsia="宋体" w:hint="default"/>
                <w:b/>
                <w:bCs/>
                <w:w w:val="95"/>
                <w:sz w:val="18"/>
                <w:szCs w:val="18"/>
              </w:rPr>
              <w:t>两至三年</w:t>
            </w:r>
            <w:r>
              <w:rPr>
                <w:rFonts w:ascii="宋体" w:hAnsi="宋体" w:cs="宋体" w:eastAsia="宋体" w:hint="default"/>
                <w:sz w:val="18"/>
                <w:szCs w:val="18"/>
              </w:rPr>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235"/>
              <w:jc w:val="right"/>
              <w:rPr>
                <w:rFonts w:ascii="宋体" w:hAnsi="宋体" w:cs="宋体" w:eastAsia="宋体" w:hint="default"/>
                <w:sz w:val="18"/>
                <w:szCs w:val="18"/>
              </w:rPr>
            </w:pPr>
            <w:r>
              <w:rPr>
                <w:rFonts w:ascii="宋体" w:hAnsi="宋体" w:cs="宋体" w:eastAsia="宋体" w:hint="default"/>
                <w:b/>
                <w:bCs/>
                <w:w w:val="95"/>
                <w:sz w:val="18"/>
                <w:szCs w:val="18"/>
              </w:rPr>
              <w:t>三年以上</w:t>
            </w:r>
            <w:r>
              <w:rPr>
                <w:rFonts w:ascii="宋体" w:hAnsi="宋体" w:cs="宋体" w:eastAsia="宋体" w:hint="default"/>
                <w:sz w:val="18"/>
                <w:szCs w:val="18"/>
              </w:rPr>
            </w:r>
          </w:p>
        </w:tc>
        <w:tc>
          <w:tcPr>
            <w:tcW w:w="87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5"/>
              <w:jc w:val="righ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2212" w:type="dxa"/>
            <w:tcBorders>
              <w:top w:val="single" w:sz="8" w:space="0" w:color="000000"/>
              <w:left w:val="nil" w:sz="6" w:space="0" w:color="auto"/>
              <w:bottom w:val="single" w:sz="8" w:space="0" w:color="000000"/>
              <w:right w:val="nil" w:sz="6" w:space="0" w:color="auto"/>
            </w:tcBorders>
          </w:tcPr>
          <w:p>
            <w:pPr/>
          </w:p>
        </w:tc>
        <w:tc>
          <w:tcPr>
            <w:tcW w:w="1159" w:type="dxa"/>
            <w:tcBorders>
              <w:top w:val="single" w:sz="8" w:space="0" w:color="000000"/>
              <w:left w:val="nil" w:sz="6" w:space="0" w:color="auto"/>
              <w:bottom w:val="single" w:sz="8" w:space="0" w:color="000000"/>
              <w:right w:val="nil" w:sz="6" w:space="0" w:color="auto"/>
            </w:tcBorders>
          </w:tcPr>
          <w:p>
            <w:pPr/>
          </w:p>
        </w:tc>
        <w:tc>
          <w:tcPr>
            <w:tcW w:w="995" w:type="dxa"/>
            <w:tcBorders>
              <w:top w:val="single" w:sz="8" w:space="0" w:color="000000"/>
              <w:left w:val="nil" w:sz="6" w:space="0" w:color="auto"/>
              <w:bottom w:val="single" w:sz="8" w:space="0" w:color="000000"/>
              <w:right w:val="nil" w:sz="6" w:space="0" w:color="auto"/>
            </w:tcBorders>
          </w:tcPr>
          <w:p>
            <w:pPr/>
          </w:p>
        </w:tc>
        <w:tc>
          <w:tcPr>
            <w:tcW w:w="1096" w:type="dxa"/>
            <w:tcBorders>
              <w:top w:val="single" w:sz="8" w:space="0" w:color="000000"/>
              <w:left w:val="nil" w:sz="6" w:space="0" w:color="auto"/>
              <w:bottom w:val="single" w:sz="8" w:space="0" w:color="000000"/>
              <w:right w:val="nil" w:sz="6" w:space="0" w:color="auto"/>
            </w:tcBorders>
          </w:tcPr>
          <w:p>
            <w:pPr/>
          </w:p>
        </w:tc>
        <w:tc>
          <w:tcPr>
            <w:tcW w:w="875"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2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99"/>
              <w:jc w:val="right"/>
              <w:rPr>
                <w:rFonts w:ascii="Times New Roman" w:hAnsi="Times New Roman" w:cs="Times New Roman" w:eastAsia="Times New Roman" w:hint="default"/>
                <w:sz w:val="18"/>
                <w:szCs w:val="18"/>
              </w:rPr>
            </w:pPr>
            <w:r>
              <w:rPr>
                <w:rFonts w:ascii="Times New Roman"/>
                <w:spacing w:val="-1"/>
                <w:sz w:val="18"/>
              </w:rPr>
              <w:t>665.00</w:t>
            </w: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33"/>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34"/>
              <w:jc w:val="right"/>
              <w:rPr>
                <w:rFonts w:ascii="Times New Roman" w:hAnsi="Times New Roman" w:cs="Times New Roman" w:eastAsia="Times New Roman" w:hint="default"/>
                <w:sz w:val="18"/>
                <w:szCs w:val="18"/>
              </w:rPr>
            </w:pPr>
            <w:r>
              <w:rPr>
                <w:rFonts w:ascii="Times New Roman"/>
                <w:sz w:val="18"/>
              </w:rPr>
              <w:t>--</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34"/>
              <w:jc w:val="right"/>
              <w:rPr>
                <w:rFonts w:ascii="Times New Roman" w:hAnsi="Times New Roman" w:cs="Times New Roman" w:eastAsia="Times New Roman" w:hint="default"/>
                <w:sz w:val="18"/>
                <w:szCs w:val="18"/>
              </w:rPr>
            </w:pPr>
            <w:r>
              <w:rPr>
                <w:rFonts w:ascii="Times New Roman"/>
                <w:sz w:val="18"/>
              </w:rPr>
              <w:t>--</w:t>
            </w:r>
          </w:p>
        </w:tc>
        <w:tc>
          <w:tcPr>
            <w:tcW w:w="87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665.00</w:t>
            </w: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2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99"/>
              <w:jc w:val="right"/>
              <w:rPr>
                <w:rFonts w:ascii="Times New Roman" w:hAnsi="Times New Roman" w:cs="Times New Roman" w:eastAsia="Times New Roman" w:hint="default"/>
                <w:sz w:val="18"/>
                <w:szCs w:val="18"/>
              </w:rPr>
            </w:pPr>
            <w:r>
              <w:rPr>
                <w:rFonts w:ascii="Times New Roman"/>
                <w:w w:val="95"/>
                <w:sz w:val="18"/>
              </w:rPr>
              <w:t>4,105.87</w:t>
            </w: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33"/>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134"/>
              <w:jc w:val="right"/>
              <w:rPr>
                <w:rFonts w:ascii="Times New Roman" w:hAnsi="Times New Roman" w:cs="Times New Roman" w:eastAsia="Times New Roman" w:hint="default"/>
                <w:sz w:val="18"/>
                <w:szCs w:val="18"/>
              </w:rPr>
            </w:pPr>
            <w:r>
              <w:rPr>
                <w:rFonts w:ascii="Times New Roman"/>
                <w:sz w:val="18"/>
              </w:rPr>
              <w:t>--</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234"/>
              <w:jc w:val="right"/>
              <w:rPr>
                <w:rFonts w:ascii="Times New Roman" w:hAnsi="Times New Roman" w:cs="Times New Roman" w:eastAsia="Times New Roman" w:hint="default"/>
                <w:sz w:val="18"/>
                <w:szCs w:val="18"/>
              </w:rPr>
            </w:pPr>
            <w:r>
              <w:rPr>
                <w:rFonts w:ascii="Times New Roman"/>
                <w:sz w:val="18"/>
              </w:rPr>
              <w:t>--</w:t>
            </w:r>
          </w:p>
        </w:tc>
        <w:tc>
          <w:tcPr>
            <w:tcW w:w="87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4"/>
              <w:jc w:val="right"/>
              <w:rPr>
                <w:rFonts w:ascii="Times New Roman" w:hAnsi="Times New Roman" w:cs="Times New Roman" w:eastAsia="Times New Roman" w:hint="default"/>
                <w:sz w:val="18"/>
                <w:szCs w:val="18"/>
              </w:rPr>
            </w:pPr>
            <w:r>
              <w:rPr>
                <w:rFonts w:ascii="Times New Roman"/>
                <w:w w:val="95"/>
                <w:sz w:val="18"/>
              </w:rPr>
              <w:t>4,105.87</w:t>
            </w:r>
          </w:p>
        </w:tc>
      </w:tr>
      <w:tr>
        <w:trPr>
          <w:trHeight w:val="348" w:hRule="exact"/>
        </w:trPr>
        <w:tc>
          <w:tcPr>
            <w:tcW w:w="279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2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12"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99"/>
              <w:jc w:val="right"/>
              <w:rPr>
                <w:rFonts w:ascii="Times New Roman" w:hAnsi="Times New Roman" w:cs="Times New Roman" w:eastAsia="Times New Roman" w:hint="default"/>
                <w:sz w:val="18"/>
                <w:szCs w:val="18"/>
              </w:rPr>
            </w:pPr>
            <w:r>
              <w:rPr>
                <w:rFonts w:ascii="Times New Roman"/>
                <w:spacing w:val="-1"/>
                <w:sz w:val="18"/>
              </w:rPr>
              <w:t>718.14</w:t>
            </w:r>
          </w:p>
        </w:tc>
        <w:tc>
          <w:tcPr>
            <w:tcW w:w="1159"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33"/>
              <w:jc w:val="right"/>
              <w:rPr>
                <w:rFonts w:ascii="Times New Roman" w:hAnsi="Times New Roman" w:cs="Times New Roman" w:eastAsia="Times New Roman" w:hint="default"/>
                <w:sz w:val="18"/>
                <w:szCs w:val="18"/>
              </w:rPr>
            </w:pPr>
            <w:r>
              <w:rPr>
                <w:rFonts w:ascii="Times New Roman"/>
                <w:sz w:val="18"/>
              </w:rPr>
              <w:t>--</w:t>
            </w:r>
          </w:p>
        </w:tc>
        <w:tc>
          <w:tcPr>
            <w:tcW w:w="99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34"/>
              <w:jc w:val="right"/>
              <w:rPr>
                <w:rFonts w:ascii="Times New Roman" w:hAnsi="Times New Roman" w:cs="Times New Roman" w:eastAsia="Times New Roman" w:hint="default"/>
                <w:sz w:val="18"/>
                <w:szCs w:val="18"/>
              </w:rPr>
            </w:pPr>
            <w:r>
              <w:rPr>
                <w:rFonts w:ascii="Times New Roman"/>
                <w:sz w:val="18"/>
              </w:rPr>
              <w:t>--</w:t>
            </w:r>
          </w:p>
        </w:tc>
        <w:tc>
          <w:tcPr>
            <w:tcW w:w="1096"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234"/>
              <w:jc w:val="right"/>
              <w:rPr>
                <w:rFonts w:ascii="Times New Roman" w:hAnsi="Times New Roman" w:cs="Times New Roman" w:eastAsia="Times New Roman" w:hint="default"/>
                <w:sz w:val="18"/>
                <w:szCs w:val="18"/>
              </w:rPr>
            </w:pPr>
            <w:r>
              <w:rPr>
                <w:rFonts w:ascii="Times New Roman"/>
                <w:sz w:val="18"/>
              </w:rPr>
              <w:t>--</w:t>
            </w:r>
          </w:p>
        </w:tc>
        <w:tc>
          <w:tcPr>
            <w:tcW w:w="87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4"/>
              <w:jc w:val="right"/>
              <w:rPr>
                <w:rFonts w:ascii="Times New Roman" w:hAnsi="Times New Roman" w:cs="Times New Roman" w:eastAsia="Times New Roman" w:hint="default"/>
                <w:sz w:val="18"/>
                <w:szCs w:val="18"/>
              </w:rPr>
            </w:pPr>
            <w:r>
              <w:rPr>
                <w:rFonts w:ascii="Times New Roman"/>
                <w:spacing w:val="-1"/>
                <w:sz w:val="18"/>
              </w:rPr>
              <w:t>718.14</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9" w:header="745" w:top="1060" w:bottom="1160" w:left="980" w:right="0"/>
        </w:sectPr>
      </w:pPr>
    </w:p>
    <w:p>
      <w:pPr>
        <w:spacing w:line="240" w:lineRule="auto" w:before="11"/>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2583"/>
        <w:gridCol w:w="2720"/>
        <w:gridCol w:w="1159"/>
        <w:gridCol w:w="995"/>
        <w:gridCol w:w="795"/>
        <w:gridCol w:w="875"/>
      </w:tblGrid>
      <w:tr>
        <w:trPr>
          <w:trHeight w:val="687" w:hRule="exact"/>
        </w:trPr>
        <w:tc>
          <w:tcPr>
            <w:tcW w:w="2583" w:type="dxa"/>
            <w:tcBorders>
              <w:top w:val="single" w:sz="6" w:space="0" w:color="000000"/>
              <w:left w:val="nil" w:sz="6" w:space="0" w:color="auto"/>
              <w:bottom w:val="single" w:sz="8" w:space="0" w:color="000000"/>
              <w:right w:val="nil" w:sz="6" w:space="0" w:color="auto"/>
            </w:tcBorders>
          </w:tcPr>
          <w:p>
            <w:pPr>
              <w:pStyle w:val="TableParagraph"/>
              <w:spacing w:line="240" w:lineRule="auto" w:before="18"/>
              <w:ind w:left="12" w:right="0"/>
              <w:jc w:val="left"/>
              <w:rPr>
                <w:rFonts w:ascii="宋体" w:hAnsi="宋体" w:cs="宋体" w:eastAsia="宋体" w:hint="default"/>
                <w:sz w:val="18"/>
                <w:szCs w:val="18"/>
              </w:rPr>
            </w:pPr>
            <w:r>
              <w:rPr>
                <w:rFonts w:ascii="宋体" w:hAnsi="宋体" w:cs="宋体" w:eastAsia="宋体" w:hint="default"/>
                <w:b/>
                <w:bCs/>
                <w:sz w:val="18"/>
                <w:szCs w:val="18"/>
              </w:rPr>
              <w:t>金融负债合计</w:t>
            </w:r>
            <w:r>
              <w:rPr>
                <w:rFonts w:ascii="宋体" w:hAnsi="宋体" w:cs="宋体" w:eastAsia="宋体" w:hint="default"/>
                <w:sz w:val="18"/>
                <w:szCs w:val="18"/>
              </w:rPr>
            </w:r>
          </w:p>
        </w:tc>
        <w:tc>
          <w:tcPr>
            <w:tcW w:w="2720" w:type="dxa"/>
            <w:tcBorders>
              <w:top w:val="single" w:sz="6" w:space="0" w:color="000000"/>
              <w:left w:val="nil" w:sz="6" w:space="0" w:color="auto"/>
              <w:bottom w:val="single" w:sz="8" w:space="0" w:color="000000"/>
              <w:right w:val="nil" w:sz="6" w:space="0" w:color="auto"/>
            </w:tcBorders>
          </w:tcPr>
          <w:p>
            <w:pPr>
              <w:pStyle w:val="TableParagraph"/>
              <w:spacing w:line="240" w:lineRule="auto" w:before="65"/>
              <w:ind w:left="1486" w:right="0"/>
              <w:jc w:val="left"/>
              <w:rPr>
                <w:rFonts w:ascii="Times New Roman" w:hAnsi="Times New Roman" w:cs="Times New Roman" w:eastAsia="Times New Roman" w:hint="default"/>
                <w:sz w:val="18"/>
                <w:szCs w:val="18"/>
              </w:rPr>
            </w:pPr>
            <w:r>
              <w:rPr>
                <w:rFonts w:ascii="Times New Roman"/>
                <w:b/>
                <w:sz w:val="18"/>
              </w:rPr>
              <w:t>5,489.01</w:t>
            </w:r>
            <w:r>
              <w:rPr>
                <w:rFonts w:ascii="Times New Roman"/>
                <w:sz w:val="18"/>
              </w:rPr>
            </w:r>
          </w:p>
        </w:tc>
        <w:tc>
          <w:tcPr>
            <w:tcW w:w="1159" w:type="dxa"/>
            <w:tcBorders>
              <w:top w:val="single" w:sz="6" w:space="0" w:color="000000"/>
              <w:left w:val="nil" w:sz="6" w:space="0" w:color="auto"/>
              <w:bottom w:val="single" w:sz="8" w:space="0" w:color="000000"/>
              <w:right w:val="nil" w:sz="6" w:space="0" w:color="auto"/>
            </w:tcBorders>
          </w:tcPr>
          <w:p>
            <w:pPr>
              <w:pStyle w:val="TableParagraph"/>
              <w:spacing w:line="240" w:lineRule="auto" w:before="65"/>
              <w:ind w:left="165"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995" w:type="dxa"/>
            <w:tcBorders>
              <w:top w:val="single" w:sz="6" w:space="0" w:color="000000"/>
              <w:left w:val="nil" w:sz="6" w:space="0" w:color="auto"/>
              <w:bottom w:val="single" w:sz="8" w:space="0" w:color="000000"/>
              <w:right w:val="nil" w:sz="6" w:space="0" w:color="auto"/>
            </w:tcBorders>
          </w:tcPr>
          <w:p>
            <w:pPr>
              <w:pStyle w:val="TableParagraph"/>
              <w:spacing w:line="240" w:lineRule="auto" w:before="65"/>
              <w:ind w:right="1"/>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795" w:type="dxa"/>
            <w:tcBorders>
              <w:top w:val="single" w:sz="6" w:space="0" w:color="000000"/>
              <w:left w:val="nil" w:sz="6" w:space="0" w:color="auto"/>
              <w:bottom w:val="single" w:sz="8" w:space="0" w:color="000000"/>
              <w:right w:val="nil" w:sz="6" w:space="0" w:color="auto"/>
            </w:tcBorders>
          </w:tcPr>
          <w:p>
            <w:pPr>
              <w:pStyle w:val="TableParagraph"/>
              <w:spacing w:line="240" w:lineRule="auto" w:before="65"/>
              <w:ind w:left="438" w:right="0"/>
              <w:jc w:val="lef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875" w:type="dxa"/>
            <w:tcBorders>
              <w:top w:val="single" w:sz="6" w:space="0" w:color="000000"/>
              <w:left w:val="nil" w:sz="6" w:space="0" w:color="auto"/>
              <w:bottom w:val="single" w:sz="8" w:space="0" w:color="000000"/>
              <w:right w:val="nil" w:sz="6" w:space="0" w:color="auto"/>
            </w:tcBorders>
          </w:tcPr>
          <w:p>
            <w:pPr>
              <w:pStyle w:val="TableParagraph"/>
              <w:spacing w:line="240" w:lineRule="auto" w:before="65"/>
              <w:ind w:left="236" w:right="0"/>
              <w:jc w:val="left"/>
              <w:rPr>
                <w:rFonts w:ascii="Times New Roman" w:hAnsi="Times New Roman" w:cs="Times New Roman" w:eastAsia="Times New Roman" w:hint="default"/>
                <w:sz w:val="18"/>
                <w:szCs w:val="18"/>
              </w:rPr>
            </w:pPr>
            <w:r>
              <w:rPr>
                <w:rFonts w:ascii="Times New Roman"/>
                <w:b/>
                <w:sz w:val="18"/>
              </w:rPr>
              <w:t>5,489.01</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1122"/>
        <w:jc w:val="left"/>
      </w:pPr>
      <w:r>
        <w:rPr/>
        <w:pict>
          <v:group style="position:absolute;margin-left:55.200001pt;margin-top:-39.028286pt;width:484.9pt;height:.1pt;mso-position-horizontal-relative:page;mso-position-vertical-relative:paragraph;z-index:-1200568" coordorigin="1104,-781" coordsize="9698,2">
            <v:shape style="position:absolute;left:1104;top:-781;width:9698;height:2" coordorigin="1104,-781" coordsize="9698,0" path="m1104,-781l10802,-781e" filled="false" stroked="true" strokeweight=".72pt" strokecolor="#000000">
              <v:path arrowok="t"/>
            </v:shape>
            <w10:wrap type="none"/>
          </v:group>
        </w:pict>
      </w:r>
      <w:r>
        <w:rPr/>
        <w:t>（</w:t>
      </w:r>
      <w:r>
        <w:rPr>
          <w:rFonts w:ascii="Times New Roman" w:hAnsi="Times New Roman" w:cs="Times New Roman" w:eastAsia="Times New Roman" w:hint="default"/>
        </w:rPr>
        <w:t>3</w:t>
      </w:r>
      <w:r>
        <w:rPr/>
        <w:t>）市场风险</w:t>
      </w:r>
    </w:p>
    <w:p>
      <w:pPr>
        <w:spacing w:line="240" w:lineRule="auto" w:before="4"/>
        <w:rPr>
          <w:rFonts w:ascii="宋体" w:hAnsi="宋体" w:cs="宋体" w:eastAsia="宋体" w:hint="default"/>
          <w:sz w:val="21"/>
          <w:szCs w:val="21"/>
        </w:rPr>
      </w:pPr>
    </w:p>
    <w:p>
      <w:pPr>
        <w:pStyle w:val="BodyText"/>
        <w:spacing w:line="316" w:lineRule="auto"/>
        <w:ind w:right="1122"/>
        <w:jc w:val="left"/>
      </w:pPr>
      <w:r>
        <w:rPr>
          <w:spacing w:val="-2"/>
        </w:rPr>
        <w:t>金融工具的市场风险，是指金融工具的公允价值或未来现金流量因市场价格变动而发生波动的风险，包括利率风险、汇率风</w:t>
      </w:r>
      <w:r>
        <w:rPr>
          <w:spacing w:val="-66"/>
        </w:rPr>
        <w:t> </w:t>
      </w:r>
      <w:r>
        <w:rPr>
          <w:spacing w:val="-66"/>
        </w:rPr>
      </w:r>
      <w:r>
        <w:rPr/>
        <w:t>险和其他价格风险。</w:t>
      </w:r>
    </w:p>
    <w:p>
      <w:pPr>
        <w:spacing w:line="240" w:lineRule="auto" w:before="12"/>
        <w:rPr>
          <w:rFonts w:ascii="宋体" w:hAnsi="宋体" w:cs="宋体" w:eastAsia="宋体" w:hint="default"/>
          <w:sz w:val="17"/>
          <w:szCs w:val="17"/>
        </w:rPr>
      </w:pPr>
    </w:p>
    <w:p>
      <w:pPr>
        <w:pStyle w:val="BodyText"/>
        <w:spacing w:line="240" w:lineRule="auto"/>
        <w:ind w:right="1122"/>
        <w:jc w:val="left"/>
      </w:pPr>
      <w:r>
        <w:rPr/>
        <w:t>利率风险</w:t>
      </w:r>
    </w:p>
    <w:p>
      <w:pPr>
        <w:spacing w:line="240" w:lineRule="auto" w:before="5"/>
        <w:rPr>
          <w:rFonts w:ascii="宋体" w:hAnsi="宋体" w:cs="宋体" w:eastAsia="宋体" w:hint="default"/>
          <w:sz w:val="22"/>
          <w:szCs w:val="22"/>
        </w:rPr>
      </w:pPr>
    </w:p>
    <w:p>
      <w:pPr>
        <w:pStyle w:val="BodyText"/>
        <w:spacing w:line="316" w:lineRule="auto"/>
        <w:ind w:right="1122"/>
        <w:jc w:val="left"/>
      </w:pPr>
      <w:r>
        <w:rPr>
          <w:spacing w:val="-2"/>
        </w:rPr>
        <w:t>利率风险，是指金融工具的公允价值或未来现金流量因市场利率变动而发生波动的风险。利率风险可源于已确认的计息金融</w:t>
      </w:r>
      <w:r>
        <w:rPr>
          <w:spacing w:val="-64"/>
        </w:rPr>
        <w:t> </w:t>
      </w:r>
      <w:r>
        <w:rPr>
          <w:spacing w:val="-64"/>
        </w:rPr>
      </w:r>
      <w:r>
        <w:rPr/>
        <w:t>工具和未确认的金融工具（如某些贷款承诺）。</w:t>
      </w:r>
    </w:p>
    <w:p>
      <w:pPr>
        <w:spacing w:line="240" w:lineRule="auto" w:before="13"/>
        <w:rPr>
          <w:rFonts w:ascii="宋体" w:hAnsi="宋体" w:cs="宋体" w:eastAsia="宋体" w:hint="default"/>
          <w:sz w:val="17"/>
          <w:szCs w:val="17"/>
        </w:rPr>
      </w:pPr>
    </w:p>
    <w:p>
      <w:pPr>
        <w:pStyle w:val="BodyText"/>
        <w:spacing w:line="316" w:lineRule="auto"/>
        <w:ind w:right="1122"/>
        <w:jc w:val="left"/>
      </w:pPr>
      <w:r>
        <w:rPr>
          <w:spacing w:val="-2"/>
        </w:rPr>
        <w:t>本集团的利率风险主要产生于银行借款。浮动利率的金融负债使本集团面临现金流量利率风险，固定利率的金融负债使本集</w:t>
      </w:r>
      <w:r>
        <w:rPr>
          <w:spacing w:val="-64"/>
        </w:rPr>
        <w:t> </w:t>
      </w:r>
      <w:r>
        <w:rPr>
          <w:spacing w:val="-64"/>
        </w:rPr>
      </w:r>
      <w:r>
        <w:rPr/>
        <w:t>团面临公允价值利率风险。</w:t>
      </w:r>
    </w:p>
    <w:p>
      <w:pPr>
        <w:spacing w:line="240" w:lineRule="auto" w:before="12"/>
        <w:rPr>
          <w:rFonts w:ascii="宋体" w:hAnsi="宋体" w:cs="宋体" w:eastAsia="宋体" w:hint="default"/>
          <w:sz w:val="17"/>
          <w:szCs w:val="17"/>
        </w:rPr>
      </w:pPr>
    </w:p>
    <w:p>
      <w:pPr>
        <w:pStyle w:val="BodyText"/>
        <w:spacing w:line="316" w:lineRule="auto"/>
        <w:ind w:right="1122"/>
        <w:jc w:val="left"/>
      </w:pPr>
      <w:r>
        <w:rPr>
          <w:spacing w:val="-2"/>
        </w:rPr>
        <w:t>本集团密切关注利率变动对本集团利率风险的影响。本集团目前并未采取利率对冲政策。但管理层负责监控利率风险，并将</w:t>
      </w:r>
      <w:r>
        <w:rPr>
          <w:spacing w:val="-63"/>
        </w:rPr>
        <w:t> </w:t>
      </w:r>
      <w:r>
        <w:rPr>
          <w:spacing w:val="-63"/>
        </w:rPr>
      </w:r>
      <w:r>
        <w:rPr/>
        <w:t>于需要时考虑对冲重大利率风险。</w:t>
      </w:r>
    </w:p>
    <w:p>
      <w:pPr>
        <w:spacing w:line="240" w:lineRule="auto" w:before="12"/>
        <w:rPr>
          <w:rFonts w:ascii="宋体" w:hAnsi="宋体" w:cs="宋体" w:eastAsia="宋体" w:hint="default"/>
          <w:sz w:val="17"/>
          <w:szCs w:val="17"/>
        </w:rPr>
      </w:pPr>
    </w:p>
    <w:p>
      <w:pPr>
        <w:pStyle w:val="BodyText"/>
        <w:spacing w:line="240" w:lineRule="auto"/>
        <w:ind w:right="1122"/>
        <w:jc w:val="left"/>
      </w:pPr>
      <w:r>
        <w:rPr/>
        <w:t>本集团持有的计息金融工具如下（单位：人民币万元）：</w:t>
      </w:r>
    </w:p>
    <w:p>
      <w:pPr>
        <w:spacing w:line="240" w:lineRule="auto" w:before="9"/>
        <w:rPr>
          <w:rFonts w:ascii="宋体" w:hAnsi="宋体" w:cs="宋体" w:eastAsia="宋体" w:hint="default"/>
          <w:sz w:val="21"/>
          <w:szCs w:val="21"/>
        </w:rPr>
      </w:pPr>
    </w:p>
    <w:tbl>
      <w:tblPr>
        <w:tblW w:w="0" w:type="auto"/>
        <w:jc w:val="left"/>
        <w:tblInd w:w="138" w:type="dxa"/>
        <w:tblLayout w:type="fixed"/>
        <w:tblCellMar>
          <w:top w:w="0" w:type="dxa"/>
          <w:left w:w="0" w:type="dxa"/>
          <w:bottom w:w="0" w:type="dxa"/>
          <w:right w:w="0" w:type="dxa"/>
        </w:tblCellMar>
        <w:tblLook w:val="01E0"/>
      </w:tblPr>
      <w:tblGrid>
        <w:gridCol w:w="3336"/>
        <w:gridCol w:w="4018"/>
        <w:gridCol w:w="1798"/>
      </w:tblGrid>
      <w:tr>
        <w:trPr>
          <w:trHeight w:val="684" w:hRule="exact"/>
        </w:trPr>
        <w:tc>
          <w:tcPr>
            <w:tcW w:w="3336" w:type="dxa"/>
            <w:tcBorders>
              <w:top w:val="single" w:sz="6" w:space="0" w:color="000000"/>
              <w:left w:val="nil" w:sz="6" w:space="0" w:color="auto"/>
              <w:bottom w:val="single" w:sz="8" w:space="0" w:color="000000"/>
              <w:right w:val="nil" w:sz="6" w:space="0" w:color="auto"/>
            </w:tcBorders>
          </w:tcPr>
          <w:p>
            <w:pPr>
              <w:pStyle w:val="TableParagraph"/>
              <w:spacing w:line="240" w:lineRule="auto" w:before="137"/>
              <w:ind w:left="26" w:right="0"/>
              <w:jc w:val="left"/>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64"/>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4018"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right="1246"/>
              <w:jc w:val="right"/>
              <w:rPr>
                <w:rFonts w:ascii="宋体" w:hAnsi="宋体" w:cs="宋体" w:eastAsia="宋体" w:hint="default"/>
                <w:sz w:val="18"/>
                <w:szCs w:val="18"/>
              </w:rPr>
            </w:pPr>
            <w:r>
              <w:rPr>
                <w:rFonts w:ascii="宋体" w:hAnsi="宋体" w:cs="宋体" w:eastAsia="宋体" w:hint="default"/>
                <w:b/>
                <w:bCs/>
                <w:w w:val="95"/>
                <w:sz w:val="18"/>
                <w:szCs w:val="18"/>
              </w:rPr>
              <w:t>本年数</w:t>
            </w:r>
            <w:r>
              <w:rPr>
                <w:rFonts w:ascii="宋体" w:hAnsi="宋体" w:cs="宋体" w:eastAsia="宋体" w:hint="default"/>
                <w:sz w:val="18"/>
                <w:szCs w:val="18"/>
              </w:rPr>
            </w:r>
          </w:p>
        </w:tc>
        <w:tc>
          <w:tcPr>
            <w:tcW w:w="1798"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b/>
                <w:bCs/>
                <w:w w:val="95"/>
                <w:sz w:val="18"/>
                <w:szCs w:val="18"/>
              </w:rPr>
              <w:t>上年数</w:t>
            </w:r>
            <w:r>
              <w:rPr>
                <w:rFonts w:ascii="宋体" w:hAnsi="宋体" w:cs="宋体" w:eastAsia="宋体" w:hint="default"/>
                <w:sz w:val="18"/>
                <w:szCs w:val="18"/>
              </w:rPr>
            </w:r>
          </w:p>
        </w:tc>
      </w:tr>
      <w:tr>
        <w:trPr>
          <w:trHeight w:val="348" w:hRule="exact"/>
        </w:trPr>
        <w:tc>
          <w:tcPr>
            <w:tcW w:w="3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sz w:val="18"/>
                <w:szCs w:val="18"/>
              </w:rPr>
              <w:t>固定利率金融工具</w:t>
            </w:r>
          </w:p>
        </w:tc>
        <w:tc>
          <w:tcPr>
            <w:tcW w:w="4018" w:type="dxa"/>
            <w:tcBorders>
              <w:top w:val="single" w:sz="8" w:space="0" w:color="000000"/>
              <w:left w:val="nil" w:sz="6" w:space="0" w:color="auto"/>
              <w:bottom w:val="single" w:sz="8" w:space="0" w:color="000000"/>
              <w:right w:val="nil" w:sz="6" w:space="0" w:color="auto"/>
            </w:tcBorders>
          </w:tcPr>
          <w:p>
            <w:pPr/>
          </w:p>
        </w:tc>
        <w:tc>
          <w:tcPr>
            <w:tcW w:w="1798" w:type="dxa"/>
            <w:tcBorders>
              <w:top w:val="single" w:sz="8" w:space="0" w:color="000000"/>
              <w:left w:val="nil" w:sz="6" w:space="0" w:color="auto"/>
              <w:bottom w:val="single" w:sz="8" w:space="0" w:color="000000"/>
              <w:right w:val="nil" w:sz="6" w:space="0" w:color="auto"/>
            </w:tcBorders>
          </w:tcPr>
          <w:p>
            <w:pPr/>
          </w:p>
        </w:tc>
      </w:tr>
      <w:tr>
        <w:trPr>
          <w:trHeight w:val="348" w:hRule="exact"/>
        </w:trPr>
        <w:tc>
          <w:tcPr>
            <w:tcW w:w="3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4018" w:type="dxa"/>
            <w:tcBorders>
              <w:top w:val="single" w:sz="8" w:space="0" w:color="000000"/>
              <w:left w:val="nil" w:sz="6" w:space="0" w:color="auto"/>
              <w:bottom w:val="single" w:sz="8" w:space="0" w:color="000000"/>
              <w:right w:val="nil" w:sz="6" w:space="0" w:color="auto"/>
            </w:tcBorders>
          </w:tcPr>
          <w:p>
            <w:pPr/>
          </w:p>
        </w:tc>
        <w:tc>
          <w:tcPr>
            <w:tcW w:w="1798" w:type="dxa"/>
            <w:tcBorders>
              <w:top w:val="single" w:sz="8" w:space="0" w:color="000000"/>
              <w:left w:val="nil" w:sz="6" w:space="0" w:color="auto"/>
              <w:bottom w:val="single" w:sz="8" w:space="0" w:color="000000"/>
              <w:right w:val="nil" w:sz="6" w:space="0" w:color="auto"/>
            </w:tcBorders>
          </w:tcPr>
          <w:p>
            <w:pPr/>
          </w:p>
        </w:tc>
      </w:tr>
      <w:tr>
        <w:trPr>
          <w:trHeight w:val="346" w:hRule="exact"/>
        </w:trPr>
        <w:tc>
          <w:tcPr>
            <w:tcW w:w="3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26" w:right="0"/>
              <w:jc w:val="left"/>
              <w:rPr>
                <w:rFonts w:ascii="宋体" w:hAnsi="宋体" w:cs="宋体" w:eastAsia="宋体" w:hint="default"/>
                <w:sz w:val="18"/>
                <w:szCs w:val="18"/>
              </w:rPr>
            </w:pPr>
            <w:r>
              <w:rPr>
                <w:rFonts w:ascii="宋体" w:hAnsi="宋体" w:cs="宋体" w:eastAsia="宋体" w:hint="default"/>
                <w:sz w:val="18"/>
                <w:szCs w:val="18"/>
              </w:rPr>
              <w:t>其中：短期借款</w:t>
            </w:r>
          </w:p>
        </w:tc>
        <w:tc>
          <w:tcPr>
            <w:tcW w:w="401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1246"/>
              <w:jc w:val="right"/>
              <w:rPr>
                <w:rFonts w:ascii="Times New Roman" w:hAnsi="Times New Roman" w:cs="Times New Roman" w:eastAsia="Times New Roman" w:hint="default"/>
                <w:sz w:val="18"/>
                <w:szCs w:val="18"/>
              </w:rPr>
            </w:pPr>
            <w:r>
              <w:rPr>
                <w:rFonts w:ascii="Times New Roman"/>
                <w:spacing w:val="-1"/>
                <w:sz w:val="18"/>
              </w:rPr>
              <w:t>10,066.69</w:t>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6"/>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3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26"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01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1246"/>
              <w:jc w:val="right"/>
              <w:rPr>
                <w:rFonts w:ascii="Times New Roman" w:hAnsi="Times New Roman" w:cs="Times New Roman" w:eastAsia="Times New Roman" w:hint="default"/>
                <w:sz w:val="18"/>
                <w:szCs w:val="18"/>
              </w:rPr>
            </w:pPr>
            <w:r>
              <w:rPr>
                <w:rFonts w:ascii="Times New Roman"/>
                <w:b/>
                <w:spacing w:val="-1"/>
                <w:sz w:val="18"/>
              </w:rPr>
              <w:t>10,066.69</w:t>
            </w:r>
            <w:r>
              <w:rPr>
                <w:rFonts w:ascii="Times New Roman"/>
                <w:spacing w:val="-1"/>
                <w:sz w:val="18"/>
              </w:rPr>
            </w:r>
          </w:p>
        </w:tc>
        <w:tc>
          <w:tcPr>
            <w:tcW w:w="1798" w:type="dxa"/>
            <w:tcBorders>
              <w:top w:val="single" w:sz="8" w:space="0" w:color="000000"/>
              <w:left w:val="nil" w:sz="6" w:space="0" w:color="auto"/>
              <w:bottom w:val="single" w:sz="8"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r>
    </w:tbl>
    <w:p>
      <w:pPr>
        <w:spacing w:line="240" w:lineRule="auto" w:before="5"/>
        <w:rPr>
          <w:rFonts w:ascii="宋体" w:hAnsi="宋体" w:cs="宋体" w:eastAsia="宋体" w:hint="default"/>
          <w:sz w:val="6"/>
          <w:szCs w:val="6"/>
        </w:rPr>
      </w:pPr>
    </w:p>
    <w:p>
      <w:pPr>
        <w:pStyle w:val="BodyText"/>
        <w:spacing w:line="240" w:lineRule="auto" w:before="44"/>
        <w:ind w:right="0"/>
        <w:jc w:val="both"/>
      </w:pPr>
      <w:r>
        <w:rPr/>
        <w:t>汇率风险</w:t>
      </w:r>
    </w:p>
    <w:p>
      <w:pPr>
        <w:spacing w:line="240" w:lineRule="auto" w:before="5"/>
        <w:rPr>
          <w:rFonts w:ascii="宋体" w:hAnsi="宋体" w:cs="宋体" w:eastAsia="宋体" w:hint="default"/>
          <w:sz w:val="22"/>
          <w:szCs w:val="22"/>
        </w:rPr>
      </w:pPr>
    </w:p>
    <w:p>
      <w:pPr>
        <w:pStyle w:val="BodyText"/>
        <w:spacing w:line="316" w:lineRule="auto"/>
        <w:ind w:right="1132"/>
        <w:jc w:val="both"/>
      </w:pPr>
      <w:r>
        <w:rPr>
          <w:spacing w:val="-2"/>
        </w:rPr>
        <w:t>汇率风险，是指金融工具的公允价值或未来现金流量因外汇汇率变动而发生波动的风险。汇率风险可源于以记账本位币之外</w:t>
      </w:r>
      <w:r>
        <w:rPr>
          <w:spacing w:val="-64"/>
        </w:rPr>
        <w:t> </w:t>
      </w:r>
      <w:r>
        <w:rPr>
          <w:spacing w:val="-64"/>
        </w:rPr>
      </w:r>
      <w:r>
        <w:rPr/>
        <w:t>的外币进行计价的金融工具。</w:t>
      </w:r>
    </w:p>
    <w:p>
      <w:pPr>
        <w:spacing w:line="240" w:lineRule="auto" w:before="12"/>
        <w:rPr>
          <w:rFonts w:ascii="宋体" w:hAnsi="宋体" w:cs="宋体" w:eastAsia="宋体" w:hint="default"/>
          <w:sz w:val="17"/>
          <w:szCs w:val="17"/>
        </w:rPr>
      </w:pPr>
    </w:p>
    <w:p>
      <w:pPr>
        <w:pStyle w:val="BodyText"/>
        <w:spacing w:line="312" w:lineRule="auto"/>
        <w:ind w:right="1132"/>
        <w:jc w:val="both"/>
      </w:pPr>
      <w:r>
        <w:rPr>
          <w:spacing w:val="-2"/>
        </w:rPr>
        <w:t>汇率风险主要为本集团的财务状况和现金流量受外汇汇率波动的影响。除了在香港和马来西亚设立的子公司持有以美元和林</w:t>
      </w:r>
      <w:r>
        <w:rPr>
          <w:spacing w:val="-64"/>
        </w:rPr>
        <w:t> </w:t>
      </w:r>
      <w:r>
        <w:rPr>
          <w:spacing w:val="-64"/>
        </w:rPr>
      </w:r>
      <w:r>
        <w:rPr>
          <w:spacing w:val="-2"/>
        </w:rPr>
        <w:t>吉特为结算货币的资产和小规模业务外，本集团持有的外币资产及负债占整体的资产及负债比例并不重大。因此本集团认为</w:t>
      </w:r>
      <w:r>
        <w:rPr>
          <w:spacing w:val="-64"/>
        </w:rPr>
        <w:t> </w:t>
      </w:r>
      <w:r>
        <w:rPr>
          <w:spacing w:val="-64"/>
        </w:rPr>
      </w:r>
      <w:r>
        <w:rPr/>
        <w:t>面临的汇率风险并不重大。于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日，本集团境外子公司的资产占本集团总资产比例</w:t>
      </w:r>
      <w:r>
        <w:rPr>
          <w:rFonts w:ascii="Times New Roman" w:hAnsi="Times New Roman" w:cs="Times New Roman" w:eastAsia="Times New Roman" w:hint="default"/>
        </w:rPr>
        <w:t>0.25% </w:t>
      </w:r>
      <w:r>
        <w:rPr/>
        <w:t>、负债占总负债比例</w:t>
      </w:r>
      <w:r>
        <w:rPr>
          <w:spacing w:val="-68"/>
        </w:rPr>
        <w:t> </w:t>
      </w:r>
      <w:r>
        <w:rPr>
          <w:spacing w:val="-68"/>
        </w:rPr>
      </w:r>
      <w:r>
        <w:rPr>
          <w:rFonts w:ascii="Times New Roman" w:hAnsi="Times New Roman" w:cs="Times New Roman" w:eastAsia="Times New Roman" w:hint="default"/>
        </w:rPr>
        <w:t>0.10%</w:t>
      </w:r>
      <w:r>
        <w:rPr/>
        <w:t>、营业收入占总营业收入比例</w:t>
      </w:r>
      <w:r>
        <w:rPr>
          <w:rFonts w:ascii="Times New Roman" w:hAnsi="Times New Roman" w:cs="Times New Roman" w:eastAsia="Times New Roman" w:hint="default"/>
        </w:rPr>
        <w:t>0.83%</w:t>
      </w:r>
      <w:r>
        <w:rPr/>
        <w:t>。</w:t>
      </w:r>
    </w:p>
    <w:p>
      <w:pPr>
        <w:spacing w:line="240" w:lineRule="auto" w:before="10"/>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2</w:t>
      </w:r>
      <w:r>
        <w:rPr/>
        <w:t>、资本管理</w:t>
      </w:r>
    </w:p>
    <w:p>
      <w:pPr>
        <w:spacing w:line="240" w:lineRule="auto" w:before="4"/>
        <w:rPr>
          <w:rFonts w:ascii="宋体" w:hAnsi="宋体" w:cs="宋体" w:eastAsia="宋体" w:hint="default"/>
          <w:sz w:val="21"/>
          <w:szCs w:val="21"/>
        </w:rPr>
      </w:pPr>
    </w:p>
    <w:p>
      <w:pPr>
        <w:pStyle w:val="BodyText"/>
        <w:spacing w:line="316" w:lineRule="auto"/>
        <w:ind w:right="1131"/>
        <w:jc w:val="both"/>
      </w:pPr>
      <w:r>
        <w:rPr>
          <w:spacing w:val="-2"/>
        </w:rPr>
        <w:t>本集团资本管理政策的目标是为了保障本集团能够持续经营，从而为股东提供回报，并使其他利益相关者获益，同时维持最</w:t>
      </w:r>
      <w:r>
        <w:rPr>
          <w:spacing w:val="-66"/>
        </w:rPr>
        <w:t> </w:t>
      </w:r>
      <w:r>
        <w:rPr>
          <w:spacing w:val="-66"/>
        </w:rPr>
      </w:r>
      <w:r>
        <w:rPr/>
        <w:t>佳的资本结构以降低资本成本。</w:t>
      </w:r>
    </w:p>
    <w:p>
      <w:pPr>
        <w:spacing w:line="240" w:lineRule="auto" w:before="12"/>
        <w:rPr>
          <w:rFonts w:ascii="宋体" w:hAnsi="宋体" w:cs="宋体" w:eastAsia="宋体" w:hint="default"/>
          <w:sz w:val="17"/>
          <w:szCs w:val="17"/>
        </w:rPr>
      </w:pPr>
    </w:p>
    <w:p>
      <w:pPr>
        <w:pStyle w:val="BodyText"/>
        <w:spacing w:line="316" w:lineRule="auto"/>
        <w:ind w:right="1130"/>
        <w:jc w:val="both"/>
      </w:pPr>
      <w:r>
        <w:rPr>
          <w:spacing w:val="-2"/>
        </w:rPr>
        <w:t>为了维持或调整资本结构，本集团可能会调整融资方式、调整支付给股东的股利金额、向股东返还资本、发行新股与其他权</w:t>
      </w:r>
      <w:r>
        <w:rPr>
          <w:spacing w:val="-65"/>
        </w:rPr>
        <w:t> </w:t>
      </w:r>
      <w:r>
        <w:rPr>
          <w:spacing w:val="-65"/>
        </w:rPr>
      </w:r>
      <w:r>
        <w:rPr/>
        <w:t>益工具或出售资产以减低债务。</w:t>
      </w:r>
    </w:p>
    <w:p>
      <w:pPr>
        <w:spacing w:line="240" w:lineRule="auto" w:before="12"/>
        <w:rPr>
          <w:rFonts w:ascii="宋体" w:hAnsi="宋体" w:cs="宋体" w:eastAsia="宋体" w:hint="default"/>
          <w:sz w:val="17"/>
          <w:szCs w:val="17"/>
        </w:rPr>
      </w:pPr>
    </w:p>
    <w:p>
      <w:pPr>
        <w:pStyle w:val="BodyText"/>
        <w:spacing w:line="240" w:lineRule="auto"/>
        <w:ind w:right="0"/>
        <w:jc w:val="both"/>
        <w:rPr>
          <w:rFonts w:ascii="Times New Roman" w:hAnsi="Times New Roman" w:cs="Times New Roman" w:eastAsia="Times New Roman" w:hint="default"/>
        </w:rPr>
      </w:pPr>
      <w:r>
        <w:rPr/>
        <w:t>本集团以资产负债</w:t>
      </w:r>
      <w:r>
        <w:rPr>
          <w:spacing w:val="-70"/>
        </w:rPr>
        <w:t>率</w:t>
      </w:r>
      <w:r>
        <w:rPr/>
        <w:t>（即总负债除以总资产</w:t>
      </w:r>
      <w:r>
        <w:rPr>
          <w:spacing w:val="-70"/>
        </w:rPr>
        <w:t>）</w:t>
      </w:r>
      <w:r>
        <w:rPr/>
        <w:t>为基础对资本结构进行监控</w:t>
      </w:r>
      <w:r>
        <w:rPr>
          <w:spacing w:val="-70"/>
        </w:rPr>
        <w:t>。</w:t>
      </w:r>
      <w:r>
        <w:rPr>
          <w:spacing w:val="1"/>
        </w:rPr>
        <w:t>于</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2</w:t>
      </w:r>
      <w:r>
        <w:rPr/>
        <w:t>月</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1</w:t>
      </w:r>
      <w:r>
        <w:rPr/>
        <w:t>日</w:t>
      </w:r>
      <w:r>
        <w:rPr>
          <w:spacing w:val="-72"/>
        </w:rPr>
        <w:t>，</w:t>
      </w:r>
      <w:r>
        <w:rPr/>
        <w:t>本集团的资产负债率为</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61</w:t>
      </w:r>
      <w:r>
        <w:rPr>
          <w:rFonts w:ascii="Times New Roman" w:hAnsi="Times New Roman" w:cs="Times New Roman" w:eastAsia="Times New Roman" w:hint="default"/>
        </w:rPr>
        <w:t>%</w:t>
      </w:r>
    </w:p>
    <w:p>
      <w:pPr>
        <w:pStyle w:val="BodyText"/>
        <w:spacing w:line="240" w:lineRule="auto" w:before="63"/>
        <w:ind w:right="0"/>
        <w:jc w:val="both"/>
      </w:pP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12.12%</w:t>
      </w:r>
      <w:r>
        <w:rPr/>
        <w:t>）。</w:t>
      </w:r>
    </w:p>
    <w:p>
      <w:pPr>
        <w:spacing w:after="0" w:line="240" w:lineRule="auto"/>
        <w:jc w:val="both"/>
        <w:sectPr>
          <w:footerReference w:type="default" r:id="rId22"/>
          <w:pgSz w:w="11910" w:h="16840"/>
          <w:pgMar w:footer="979" w:header="745" w:top="1060" w:bottom="1160" w:left="980" w:right="0"/>
          <w:pgNumType w:start="201"/>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1122"/>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250,465,127.00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250,465,127.00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5,795,382.76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5,795,382.76</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250,465,127.00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5,795,382.76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256,260,509.76</w:t>
            </w:r>
          </w:p>
        </w:tc>
      </w:tr>
      <w:tr>
        <w:trPr>
          <w:trHeight w:val="71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470" w:right="1595"/>
        <w:jc w:val="center"/>
      </w:pPr>
      <w:r>
        <w:rPr/>
        <w:t>本集团以摊余成本计量的金融资产和金融负债主要包括：货币资金、应收票据、应收账款、其他应收款、短期借</w:t>
      </w:r>
    </w:p>
    <w:p>
      <w:pPr>
        <w:spacing w:after="0" w:line="240" w:lineRule="auto"/>
        <w:jc w:val="cente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22"/>
        <w:jc w:val="left"/>
      </w:pPr>
      <w:r>
        <w:rPr/>
        <w:t>款、应付票据、应付账款、其他应付款等。</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Heading4"/>
        <w:spacing w:line="240" w:lineRule="auto"/>
        <w:ind w:right="1122"/>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t>上述以公允价值计量的金融资产和金融负债的账面价值与公允价值相差很小。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5"/>
          <w:szCs w:val="15"/>
        </w:rPr>
      </w:pPr>
    </w:p>
    <w:p>
      <w:pPr>
        <w:pStyle w:val="Heading2"/>
        <w:spacing w:line="240" w:lineRule="auto"/>
        <w:ind w:right="1122"/>
        <w:jc w:val="left"/>
        <w:rPr>
          <w:b w:val="0"/>
          <w:bCs w:val="0"/>
        </w:rPr>
      </w:pPr>
      <w:r>
        <w:rPr/>
        <w:t>十二、关联方及关联交易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49"/>
        <w:ind w:left="513" w:right="7693" w:hanging="361"/>
        <w:jc w:val="left"/>
      </w:pPr>
      <w:r>
        <w:rPr/>
        <w:t>本企业的母公司情况的说明 本公司实际控制人为自然人林皓。</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357" w:lineRule="auto"/>
        <w:ind w:right="8594"/>
        <w:jc w:val="left"/>
      </w:pPr>
      <w:r>
        <w:rPr/>
        <w:t>本企业最终控制方是林皓。 其他说明：</w:t>
      </w:r>
    </w:p>
    <w:p>
      <w:pPr>
        <w:pStyle w:val="BodyText"/>
        <w:spacing w:line="240" w:lineRule="auto" w:before="29"/>
        <w:ind w:right="1122"/>
        <w:jc w:val="left"/>
      </w:pPr>
      <w:r>
        <w:rPr/>
        <w:t>无</w:t>
      </w:r>
    </w:p>
    <w:p>
      <w:pPr>
        <w:spacing w:line="240" w:lineRule="auto" w:before="0"/>
        <w:rPr>
          <w:rFonts w:ascii="宋体" w:hAnsi="宋体" w:cs="宋体" w:eastAsia="宋体" w:hint="default"/>
          <w:sz w:val="18"/>
          <w:szCs w:val="18"/>
        </w:rPr>
      </w:pPr>
    </w:p>
    <w:p>
      <w:pPr>
        <w:spacing w:line="544" w:lineRule="auto" w:before="12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9"/>
        <w:ind w:right="2294"/>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357" w:lineRule="auto" w:before="49"/>
        <w:ind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参股公司控制的公司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34" w:hRule="exact"/>
        </w:trPr>
        <w:tc>
          <w:tcPr>
            <w:tcW w:w="4784" w:type="dxa"/>
            <w:tcBorders>
              <w:top w:val="single" w:sz="6" w:space="0" w:color="000000"/>
              <w:left w:val="nil" w:sz="6" w:space="0" w:color="auto"/>
              <w:bottom w:val="single" w:sz="4" w:space="0" w:color="000000"/>
              <w:right w:val="nil" w:sz="6" w:space="0" w:color="auto"/>
            </w:tcBorders>
          </w:tcPr>
          <w:p>
            <w:pPr/>
          </w:p>
        </w:tc>
        <w:tc>
          <w:tcPr>
            <w:tcW w:w="4787"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深圳可信计算技术有限公司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r>
    </w:tbl>
    <w:p>
      <w:pPr>
        <w:pStyle w:val="BodyText"/>
        <w:spacing w:line="357" w:lineRule="auto" w:before="49"/>
        <w:ind w:left="112" w:right="10034"/>
        <w:jc w:val="left"/>
      </w:pPr>
      <w:r>
        <w:rPr/>
        <w:t>其他说明 无</w:t>
      </w:r>
    </w:p>
    <w:p>
      <w:pPr>
        <w:spacing w:line="240" w:lineRule="auto" w:before="6"/>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112"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北京辰信领创信息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7,691,049.97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871,489.06</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46,194.68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46,131.74</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1,320,014.07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5,132,138.08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北京美络克思科技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1,110,081.02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深圳可信计算技术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11,320.75</w:t>
            </w:r>
          </w:p>
        </w:tc>
      </w:tr>
    </w:tbl>
    <w:p>
      <w:pPr>
        <w:pStyle w:val="BodyText"/>
        <w:spacing w:line="240" w:lineRule="auto" w:before="49"/>
        <w:ind w:left="112"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北京双洲科技有限公司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37,380.53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12,394.27</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北京金天城保密技术有限公司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82,477.89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深圳市金城保密技术有限公司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442,001.76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2,389,321.83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北京信源健和科技有限责任公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2,149.69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60" w:lineRule="auto" w:before="49"/>
        <w:ind w:left="112" w:right="7334"/>
        <w:jc w:val="left"/>
      </w:pPr>
      <w:r>
        <w:rPr/>
        <w:t>购销商品、提供和接受劳务的关联交易说明 无</w:t>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5,281,842.63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4,122,596.12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1020" w:right="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4"/>
        <w:spacing w:line="240" w:lineRule="auto" w:before="36"/>
        <w:ind w:right="1122"/>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85,092.00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14,544.15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479,398.00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23,969.90</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北京金天城保密技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85,092.00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481,398.00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24,069.90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深圳市金城保密技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95,626.44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35,160.00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327,600.00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95,626.44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35,160.00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北京辰信领创信息技术有限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1,112,959.22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117,384.00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547,194.81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870,413.35</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北京金天城保密技术有限公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46,194.68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北京美络克思科技有限公司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152,345.13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1,858,693.84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987,797.35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北京金天城保密技术有限公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28,683.71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29,283.71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深圳市金城保密技术有限公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1,972.00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1,972.00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r>
        <w:rPr/>
        <w:t>十三、承诺及或有事项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资产负债表日存在的重要承诺</w:t>
      </w:r>
    </w:p>
    <w:p>
      <w:pPr>
        <w:pStyle w:val="BodyText"/>
        <w:spacing w:line="240" w:lineRule="auto" w:before="117"/>
        <w:ind w:left="513" w:right="1122"/>
        <w:jc w:val="left"/>
      </w:pPr>
      <w:r>
        <w:rPr/>
        <w:t>（</w:t>
      </w:r>
      <w:r>
        <w:rPr>
          <w:rFonts w:ascii="Times New Roman" w:hAnsi="Times New Roman" w:cs="Times New Roman" w:eastAsia="Times New Roman" w:hint="default"/>
        </w:rPr>
        <w:t>1</w:t>
      </w:r>
      <w:r>
        <w:rPr/>
        <w:t>）资本承诺</w:t>
      </w:r>
    </w:p>
    <w:p>
      <w:pPr>
        <w:spacing w:line="240" w:lineRule="auto" w:before="12"/>
        <w:rPr>
          <w:rFonts w:ascii="宋体" w:hAnsi="宋体" w:cs="宋体" w:eastAsia="宋体"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4930"/>
        <w:gridCol w:w="2473"/>
        <w:gridCol w:w="1771"/>
      </w:tblGrid>
      <w:tr>
        <w:trPr>
          <w:trHeight w:val="267" w:hRule="exact"/>
        </w:trPr>
        <w:tc>
          <w:tcPr>
            <w:tcW w:w="4930" w:type="dxa"/>
            <w:tcBorders>
              <w:top w:val="nil" w:sz="6" w:space="0" w:color="auto"/>
              <w:left w:val="nil" w:sz="6" w:space="0" w:color="auto"/>
              <w:bottom w:val="single" w:sz="8" w:space="0" w:color="000000"/>
              <w:right w:val="nil" w:sz="6" w:space="0" w:color="auto"/>
            </w:tcBorders>
          </w:tcPr>
          <w:p>
            <w:pPr>
              <w:pStyle w:val="TableParagraph"/>
              <w:spacing w:line="180" w:lineRule="exact"/>
              <w:ind w:left="785" w:right="0"/>
              <w:jc w:val="left"/>
              <w:rPr>
                <w:rFonts w:ascii="宋体" w:hAnsi="宋体" w:cs="宋体" w:eastAsia="宋体" w:hint="default"/>
                <w:sz w:val="18"/>
                <w:szCs w:val="18"/>
              </w:rPr>
            </w:pPr>
            <w:r>
              <w:rPr>
                <w:rFonts w:ascii="宋体" w:hAnsi="宋体" w:cs="宋体" w:eastAsia="宋体" w:hint="default"/>
                <w:b/>
                <w:bCs/>
                <w:sz w:val="18"/>
                <w:szCs w:val="18"/>
              </w:rPr>
              <w:t>已签约但尚未于财务报表中确认的资本承诺</w:t>
            </w:r>
            <w:r>
              <w:rPr>
                <w:rFonts w:ascii="宋体" w:hAnsi="宋体" w:cs="宋体" w:eastAsia="宋体" w:hint="default"/>
                <w:sz w:val="18"/>
                <w:szCs w:val="18"/>
              </w:rPr>
            </w:r>
          </w:p>
        </w:tc>
        <w:tc>
          <w:tcPr>
            <w:tcW w:w="2473" w:type="dxa"/>
            <w:tcBorders>
              <w:top w:val="nil" w:sz="6" w:space="0" w:color="auto"/>
              <w:left w:val="nil" w:sz="6" w:space="0" w:color="auto"/>
              <w:bottom w:val="single" w:sz="8" w:space="0" w:color="000000"/>
              <w:right w:val="nil" w:sz="6" w:space="0" w:color="auto"/>
            </w:tcBorders>
          </w:tcPr>
          <w:p>
            <w:pPr>
              <w:pStyle w:val="TableParagraph"/>
              <w:spacing w:line="198" w:lineRule="exact"/>
              <w:ind w:left="711" w:right="0"/>
              <w:jc w:val="left"/>
              <w:rPr>
                <w:rFonts w:ascii="Times New Roman" w:hAnsi="Times New Roman" w:cs="Times New Roman" w:eastAsia="Times New Roman" w:hint="default"/>
                <w:sz w:val="18"/>
                <w:szCs w:val="18"/>
              </w:rPr>
            </w:pPr>
            <w:r>
              <w:rPr>
                <w:rFonts w:ascii="Times New Roman"/>
                <w:b/>
                <w:sz w:val="18"/>
              </w:rPr>
              <w:t>2019.12.31</w:t>
            </w:r>
            <w:r>
              <w:rPr>
                <w:rFonts w:ascii="Times New Roman"/>
                <w:sz w:val="18"/>
              </w:rPr>
            </w:r>
          </w:p>
        </w:tc>
        <w:tc>
          <w:tcPr>
            <w:tcW w:w="1771" w:type="dxa"/>
            <w:tcBorders>
              <w:top w:val="nil" w:sz="6" w:space="0" w:color="auto"/>
              <w:left w:val="nil" w:sz="6" w:space="0" w:color="auto"/>
              <w:bottom w:val="single" w:sz="8" w:space="0" w:color="000000"/>
              <w:right w:val="nil" w:sz="6" w:space="0" w:color="auto"/>
            </w:tcBorders>
          </w:tcPr>
          <w:p>
            <w:pPr>
              <w:pStyle w:val="TableParagraph"/>
              <w:spacing w:line="198" w:lineRule="exact"/>
              <w:ind w:left="324" w:right="0"/>
              <w:jc w:val="left"/>
              <w:rPr>
                <w:rFonts w:ascii="Times New Roman" w:hAnsi="Times New Roman" w:cs="Times New Roman" w:eastAsia="Times New Roman" w:hint="default"/>
                <w:sz w:val="18"/>
                <w:szCs w:val="18"/>
              </w:rPr>
            </w:pPr>
            <w:r>
              <w:rPr>
                <w:rFonts w:ascii="Times New Roman"/>
                <w:b/>
                <w:sz w:val="18"/>
              </w:rPr>
              <w:t>2018.12.31</w:t>
            </w:r>
            <w:r>
              <w:rPr>
                <w:rFonts w:ascii="Times New Roman"/>
                <w:sz w:val="18"/>
              </w:rPr>
            </w:r>
          </w:p>
        </w:tc>
      </w:tr>
      <w:tr>
        <w:trPr>
          <w:trHeight w:val="341" w:hRule="exact"/>
        </w:trPr>
        <w:tc>
          <w:tcPr>
            <w:tcW w:w="4930" w:type="dxa"/>
            <w:tcBorders>
              <w:top w:val="single" w:sz="8" w:space="0" w:color="000000"/>
              <w:left w:val="nil" w:sz="6" w:space="0" w:color="auto"/>
              <w:bottom w:val="single" w:sz="8" w:space="0" w:color="000000"/>
              <w:right w:val="nil" w:sz="6" w:space="0" w:color="auto"/>
            </w:tcBorders>
          </w:tcPr>
          <w:p>
            <w:pPr>
              <w:pStyle w:val="TableParagraph"/>
              <w:spacing w:line="240" w:lineRule="auto" w:before="8"/>
              <w:ind w:left="132" w:right="0"/>
              <w:jc w:val="left"/>
              <w:rPr>
                <w:rFonts w:ascii="宋体" w:hAnsi="宋体" w:cs="宋体" w:eastAsia="宋体" w:hint="default"/>
                <w:sz w:val="18"/>
                <w:szCs w:val="18"/>
              </w:rPr>
            </w:pPr>
            <w:r>
              <w:rPr>
                <w:rFonts w:ascii="宋体" w:hAnsi="宋体" w:cs="宋体" w:eastAsia="宋体" w:hint="default"/>
                <w:sz w:val="18"/>
                <w:szCs w:val="18"/>
              </w:rPr>
              <w:t>购建长期资产承诺</w:t>
            </w:r>
          </w:p>
        </w:tc>
        <w:tc>
          <w:tcPr>
            <w:tcW w:w="2473"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322"/>
              <w:jc w:val="right"/>
              <w:rPr>
                <w:rFonts w:ascii="Times New Roman" w:hAnsi="Times New Roman" w:cs="Times New Roman" w:eastAsia="Times New Roman" w:hint="default"/>
                <w:sz w:val="18"/>
                <w:szCs w:val="18"/>
              </w:rPr>
            </w:pPr>
            <w:r>
              <w:rPr>
                <w:rFonts w:ascii="Times New Roman"/>
                <w:spacing w:val="-1"/>
                <w:sz w:val="18"/>
              </w:rPr>
              <w:t>173,742,656.63</w:t>
            </w:r>
          </w:p>
        </w:tc>
        <w:tc>
          <w:tcPr>
            <w:tcW w:w="1771" w:type="dxa"/>
            <w:tcBorders>
              <w:top w:val="single" w:sz="8" w:space="0" w:color="000000"/>
              <w:left w:val="nil" w:sz="6" w:space="0" w:color="auto"/>
              <w:bottom w:val="single" w:sz="8" w:space="0" w:color="000000"/>
              <w:right w:val="nil" w:sz="6" w:space="0" w:color="auto"/>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pacing w:val="-1"/>
                <w:sz w:val="18"/>
              </w:rPr>
              <w:t>185,356,361.25</w:t>
            </w:r>
          </w:p>
        </w:tc>
      </w:tr>
      <w:tr>
        <w:trPr>
          <w:trHeight w:val="343" w:hRule="exact"/>
        </w:trPr>
        <w:tc>
          <w:tcPr>
            <w:tcW w:w="493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32" w:right="0"/>
              <w:jc w:val="left"/>
              <w:rPr>
                <w:rFonts w:ascii="宋体" w:hAnsi="宋体" w:cs="宋体" w:eastAsia="宋体" w:hint="default"/>
                <w:sz w:val="18"/>
                <w:szCs w:val="18"/>
              </w:rPr>
            </w:pPr>
            <w:r>
              <w:rPr>
                <w:rFonts w:ascii="宋体" w:hAnsi="宋体" w:cs="宋体" w:eastAsia="宋体" w:hint="default"/>
                <w:sz w:val="18"/>
                <w:szCs w:val="18"/>
              </w:rPr>
              <w:t>对外投资承诺</w:t>
            </w:r>
          </w:p>
        </w:tc>
        <w:tc>
          <w:tcPr>
            <w:tcW w:w="2473"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322"/>
              <w:jc w:val="right"/>
              <w:rPr>
                <w:rFonts w:ascii="Times New Roman" w:hAnsi="Times New Roman" w:cs="Times New Roman" w:eastAsia="Times New Roman" w:hint="default"/>
                <w:sz w:val="18"/>
                <w:szCs w:val="18"/>
              </w:rPr>
            </w:pPr>
            <w:r>
              <w:rPr>
                <w:rFonts w:ascii="Times New Roman"/>
                <w:spacing w:val="-1"/>
                <w:sz w:val="18"/>
              </w:rPr>
              <w:t>41,600,000.00</w:t>
            </w:r>
          </w:p>
        </w:tc>
        <w:tc>
          <w:tcPr>
            <w:tcW w:w="1771" w:type="dxa"/>
            <w:tcBorders>
              <w:top w:val="single" w:sz="8" w:space="0" w:color="000000"/>
              <w:left w:val="nil" w:sz="6" w:space="0" w:color="auto"/>
              <w:bottom w:val="single" w:sz="8" w:space="0" w:color="000000"/>
              <w:right w:val="nil" w:sz="6" w:space="0" w:color="auto"/>
            </w:tcBorders>
          </w:tcPr>
          <w:p>
            <w:pPr>
              <w:pStyle w:val="TableParagraph"/>
              <w:spacing w:line="240" w:lineRule="auto" w:before="52"/>
              <w:ind w:right="4"/>
              <w:jc w:val="right"/>
              <w:rPr>
                <w:rFonts w:ascii="Times New Roman" w:hAnsi="Times New Roman" w:cs="Times New Roman" w:eastAsia="Times New Roman" w:hint="default"/>
                <w:sz w:val="18"/>
                <w:szCs w:val="18"/>
              </w:rPr>
            </w:pPr>
            <w:r>
              <w:rPr>
                <w:rFonts w:ascii="Times New Roman"/>
                <w:spacing w:val="-1"/>
                <w:sz w:val="18"/>
              </w:rPr>
              <w:t>2,000,000.00</w:t>
            </w:r>
          </w:p>
        </w:tc>
      </w:tr>
    </w:tbl>
    <w:p>
      <w:pPr>
        <w:pStyle w:val="BodyText"/>
        <w:spacing w:line="338" w:lineRule="auto" w:before="49"/>
        <w:ind w:left="513" w:right="4453"/>
        <w:jc w:val="left"/>
      </w:pPr>
      <w:r>
        <w:rPr/>
        <w:t>（</w:t>
      </w:r>
      <w:r>
        <w:rPr>
          <w:rFonts w:ascii="Times New Roman" w:hAnsi="Times New Roman" w:cs="Times New Roman" w:eastAsia="Times New Roman" w:hint="default"/>
        </w:rPr>
        <w:t>2</w:t>
      </w:r>
      <w:r>
        <w:rPr/>
        <w:t>）经营租赁承诺 至资产负债表日止，本公司对外签订的不可撤销的经营租赁合约情况如下：</w:t>
      </w:r>
    </w:p>
    <w:p>
      <w:pPr>
        <w:spacing w:line="240" w:lineRule="auto" w:before="9"/>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329"/>
        <w:gridCol w:w="3131"/>
        <w:gridCol w:w="1715"/>
      </w:tblGrid>
      <w:tr>
        <w:trPr>
          <w:trHeight w:val="350" w:hRule="exact"/>
        </w:trPr>
        <w:tc>
          <w:tcPr>
            <w:tcW w:w="4329" w:type="dxa"/>
            <w:tcBorders>
              <w:top w:val="single" w:sz="6" w:space="0" w:color="000000"/>
              <w:left w:val="nil" w:sz="6" w:space="0" w:color="auto"/>
              <w:bottom w:val="single" w:sz="8" w:space="0" w:color="000000"/>
              <w:right w:val="nil" w:sz="6" w:space="0" w:color="auto"/>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不可撤销经营租赁的最低租赁付款额</w:t>
            </w:r>
            <w:r>
              <w:rPr>
                <w:rFonts w:ascii="宋体" w:hAnsi="宋体" w:cs="宋体" w:eastAsia="宋体" w:hint="default"/>
                <w:sz w:val="18"/>
                <w:szCs w:val="18"/>
              </w:rPr>
            </w:r>
          </w:p>
        </w:tc>
        <w:tc>
          <w:tcPr>
            <w:tcW w:w="3131" w:type="dxa"/>
            <w:tcBorders>
              <w:top w:val="single" w:sz="6" w:space="0" w:color="000000"/>
              <w:left w:val="nil" w:sz="6" w:space="0" w:color="auto"/>
              <w:bottom w:val="single" w:sz="8" w:space="0" w:color="000000"/>
              <w:right w:val="nil" w:sz="6" w:space="0" w:color="auto"/>
            </w:tcBorders>
          </w:tcPr>
          <w:p>
            <w:pPr>
              <w:pStyle w:val="TableParagraph"/>
              <w:spacing w:line="240" w:lineRule="auto" w:before="64"/>
              <w:ind w:right="757"/>
              <w:jc w:val="right"/>
              <w:rPr>
                <w:rFonts w:ascii="Times New Roman" w:hAnsi="Times New Roman" w:cs="Times New Roman" w:eastAsia="Times New Roman" w:hint="default"/>
                <w:sz w:val="18"/>
                <w:szCs w:val="18"/>
              </w:rPr>
            </w:pPr>
            <w:r>
              <w:rPr>
                <w:rFonts w:ascii="Times New Roman"/>
                <w:b/>
                <w:w w:val="95"/>
                <w:sz w:val="18"/>
              </w:rPr>
              <w:t>2019.12.31</w:t>
            </w:r>
            <w:r>
              <w:rPr>
                <w:rFonts w:ascii="Times New Roman"/>
                <w:w w:val="95"/>
                <w:sz w:val="18"/>
              </w:rPr>
            </w:r>
          </w:p>
        </w:tc>
        <w:tc>
          <w:tcPr>
            <w:tcW w:w="1715" w:type="dxa"/>
            <w:tcBorders>
              <w:top w:val="single" w:sz="6" w:space="0" w:color="000000"/>
              <w:left w:val="nil" w:sz="6" w:space="0" w:color="auto"/>
              <w:bottom w:val="single" w:sz="8" w:space="0" w:color="000000"/>
              <w:right w:val="nil" w:sz="6" w:space="0" w:color="auto"/>
            </w:tcBorders>
          </w:tcPr>
          <w:p>
            <w:pPr>
              <w:pStyle w:val="TableParagraph"/>
              <w:spacing w:line="240" w:lineRule="auto" w:before="64"/>
              <w:ind w:right="6"/>
              <w:jc w:val="right"/>
              <w:rPr>
                <w:rFonts w:ascii="Times New Roman" w:hAnsi="Times New Roman" w:cs="Times New Roman" w:eastAsia="Times New Roman" w:hint="default"/>
                <w:sz w:val="18"/>
                <w:szCs w:val="18"/>
              </w:rPr>
            </w:pPr>
            <w:r>
              <w:rPr>
                <w:rFonts w:ascii="Times New Roman"/>
                <w:b/>
                <w:w w:val="95"/>
                <w:sz w:val="18"/>
              </w:rPr>
              <w:t>2018.12.31</w:t>
            </w:r>
            <w:r>
              <w:rPr>
                <w:rFonts w:ascii="Times New Roman"/>
                <w:w w:val="95"/>
                <w:sz w:val="18"/>
              </w:rPr>
            </w:r>
          </w:p>
        </w:tc>
      </w:tr>
      <w:tr>
        <w:trPr>
          <w:trHeight w:val="346" w:hRule="exact"/>
        </w:trPr>
        <w:tc>
          <w:tcPr>
            <w:tcW w:w="432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3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31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59"/>
              <w:jc w:val="right"/>
              <w:rPr>
                <w:rFonts w:ascii="Times New Roman" w:hAnsi="Times New Roman" w:cs="Times New Roman" w:eastAsia="Times New Roman" w:hint="default"/>
                <w:sz w:val="18"/>
                <w:szCs w:val="18"/>
              </w:rPr>
            </w:pPr>
            <w:r>
              <w:rPr>
                <w:rFonts w:ascii="Times New Roman"/>
                <w:spacing w:val="-1"/>
                <w:sz w:val="18"/>
              </w:rPr>
              <w:t>2,292,988.77</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pacing w:val="-1"/>
                <w:sz w:val="18"/>
              </w:rPr>
              <w:t>2,296,578.72</w:t>
            </w:r>
          </w:p>
        </w:tc>
      </w:tr>
      <w:tr>
        <w:trPr>
          <w:trHeight w:val="348" w:hRule="exact"/>
        </w:trPr>
        <w:tc>
          <w:tcPr>
            <w:tcW w:w="4329"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3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3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57"/>
              <w:jc w:val="right"/>
              <w:rPr>
                <w:rFonts w:ascii="Times New Roman" w:hAnsi="Times New Roman" w:cs="Times New Roman" w:eastAsia="Times New Roman" w:hint="default"/>
                <w:sz w:val="18"/>
                <w:szCs w:val="18"/>
              </w:rPr>
            </w:pPr>
            <w:r>
              <w:rPr>
                <w:rFonts w:ascii="Times New Roman"/>
                <w:spacing w:val="-1"/>
                <w:sz w:val="18"/>
              </w:rPr>
              <w:t>111,660.78</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z w:val="18"/>
              </w:rPr>
              <w:t>--</w:t>
            </w:r>
          </w:p>
        </w:tc>
      </w:tr>
      <w:tr>
        <w:trPr>
          <w:trHeight w:val="346" w:hRule="exact"/>
        </w:trPr>
        <w:tc>
          <w:tcPr>
            <w:tcW w:w="432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32"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31"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58"/>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4329"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32"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3131"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58"/>
              <w:jc w:val="right"/>
              <w:rPr>
                <w:rFonts w:ascii="Times New Roman" w:hAnsi="Times New Roman" w:cs="Times New Roman" w:eastAsia="Times New Roman" w:hint="default"/>
                <w:sz w:val="18"/>
                <w:szCs w:val="18"/>
              </w:rPr>
            </w:pPr>
            <w:r>
              <w:rPr>
                <w:rFonts w:ascii="Times New Roman"/>
                <w:sz w:val="18"/>
              </w:rPr>
              <w:t>--</w:t>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7"/>
              <w:jc w:val="right"/>
              <w:rPr>
                <w:rFonts w:ascii="Times New Roman" w:hAnsi="Times New Roman" w:cs="Times New Roman" w:eastAsia="Times New Roman" w:hint="default"/>
                <w:sz w:val="18"/>
                <w:szCs w:val="18"/>
              </w:rPr>
            </w:pPr>
            <w:r>
              <w:rPr>
                <w:rFonts w:ascii="Times New Roman"/>
                <w:sz w:val="18"/>
              </w:rPr>
              <w:t>--</w:t>
            </w:r>
          </w:p>
        </w:tc>
      </w:tr>
      <w:tr>
        <w:trPr>
          <w:trHeight w:val="348" w:hRule="exact"/>
        </w:trPr>
        <w:tc>
          <w:tcPr>
            <w:tcW w:w="4329"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2" w:right="0"/>
              <w:jc w:val="left"/>
              <w:rPr>
                <w:rFonts w:ascii="宋体" w:hAnsi="宋体" w:cs="宋体" w:eastAsia="宋体" w:hint="default"/>
                <w:sz w:val="18"/>
                <w:szCs w:val="18"/>
              </w:rPr>
            </w:pPr>
            <w:r>
              <w:rPr>
                <w:rFonts w:ascii="宋体" w:hAnsi="宋体" w:cs="宋体" w:eastAsia="宋体" w:hint="default"/>
                <w:b/>
                <w:bCs/>
                <w:sz w:val="18"/>
                <w:szCs w:val="18"/>
              </w:rPr>
              <w:t>合</w:t>
            </w:r>
            <w:r>
              <w:rPr>
                <w:rFonts w:ascii="宋体" w:hAnsi="宋体" w:cs="宋体" w:eastAsia="宋体" w:hint="default"/>
                <w:b/>
                <w:bCs/>
                <w:spacing w:val="6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3131"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59"/>
              <w:jc w:val="right"/>
              <w:rPr>
                <w:rFonts w:ascii="Times New Roman" w:hAnsi="Times New Roman" w:cs="Times New Roman" w:eastAsia="Times New Roman" w:hint="default"/>
                <w:sz w:val="18"/>
                <w:szCs w:val="18"/>
              </w:rPr>
            </w:pPr>
            <w:r>
              <w:rPr>
                <w:rFonts w:ascii="Times New Roman"/>
                <w:b/>
                <w:spacing w:val="-1"/>
                <w:sz w:val="18"/>
              </w:rPr>
              <w:t>2,404,649.55</w:t>
            </w:r>
            <w:r>
              <w:rPr>
                <w:rFonts w:ascii="Times New Roman"/>
                <w:spacing w:val="-1"/>
                <w:sz w:val="18"/>
              </w:rPr>
            </w:r>
          </w:p>
        </w:tc>
        <w:tc>
          <w:tcPr>
            <w:tcW w:w="1715" w:type="dxa"/>
            <w:tcBorders>
              <w:top w:val="single" w:sz="8" w:space="0" w:color="000000"/>
              <w:left w:val="nil" w:sz="6" w:space="0" w:color="auto"/>
              <w:bottom w:val="single" w:sz="8"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b/>
                <w:spacing w:val="-1"/>
                <w:sz w:val="18"/>
              </w:rPr>
              <w:t>2,296,578.72</w:t>
            </w:r>
            <w:r>
              <w:rPr>
                <w:rFonts w:ascii="Times New Roman"/>
                <w:spacing w:val="-1"/>
                <w:sz w:val="18"/>
              </w:rPr>
            </w:r>
          </w:p>
        </w:tc>
      </w:tr>
    </w:tbl>
    <w:p>
      <w:pPr>
        <w:pStyle w:val="BodyText"/>
        <w:spacing w:line="240" w:lineRule="auto" w:before="49"/>
        <w:ind w:left="513" w:right="1122"/>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日，本集团不存在其他应披露的承诺事项。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5"/>
        <w:ind w:right="1122"/>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22"/>
        <w:jc w:val="left"/>
      </w:pPr>
      <w:r>
        <w:rPr>
          <w:rFonts w:ascii="Times New Roman" w:hAnsi="Times New Roman" w:cs="Times New Roman" w:eastAsia="Times New Roman" w:hint="default"/>
        </w:rPr>
        <w:t>1</w:t>
      </w:r>
      <w:r>
        <w:rPr/>
        <w:t>）未决诉讼仲裁形成的或有负债及其财务影响</w:t>
      </w:r>
    </w:p>
    <w:p>
      <w:pPr>
        <w:spacing w:line="240" w:lineRule="auto" w:before="1"/>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2254"/>
        <w:gridCol w:w="1894"/>
        <w:gridCol w:w="1305"/>
        <w:gridCol w:w="1381"/>
        <w:gridCol w:w="1217"/>
        <w:gridCol w:w="1232"/>
      </w:tblGrid>
      <w:tr>
        <w:trPr>
          <w:trHeight w:val="350" w:hRule="exact"/>
        </w:trPr>
        <w:tc>
          <w:tcPr>
            <w:tcW w:w="2254"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12" w:right="0"/>
              <w:jc w:val="left"/>
              <w:rPr>
                <w:rFonts w:ascii="宋体" w:hAnsi="宋体" w:cs="宋体" w:eastAsia="宋体" w:hint="default"/>
                <w:sz w:val="18"/>
                <w:szCs w:val="18"/>
              </w:rPr>
            </w:pPr>
            <w:r>
              <w:rPr>
                <w:rFonts w:ascii="宋体" w:hAnsi="宋体" w:cs="宋体" w:eastAsia="宋体" w:hint="default"/>
                <w:b/>
                <w:bCs/>
                <w:sz w:val="18"/>
                <w:szCs w:val="18"/>
              </w:rPr>
              <w:t>原告</w:t>
            </w:r>
            <w:r>
              <w:rPr>
                <w:rFonts w:ascii="宋体" w:hAnsi="宋体" w:cs="宋体" w:eastAsia="宋体" w:hint="default"/>
                <w:sz w:val="18"/>
                <w:szCs w:val="18"/>
              </w:rPr>
            </w:r>
          </w:p>
        </w:tc>
        <w:tc>
          <w:tcPr>
            <w:tcW w:w="1894"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75" w:right="0"/>
              <w:jc w:val="center"/>
              <w:rPr>
                <w:rFonts w:ascii="宋体" w:hAnsi="宋体" w:cs="宋体" w:eastAsia="宋体" w:hint="default"/>
                <w:sz w:val="18"/>
                <w:szCs w:val="18"/>
              </w:rPr>
            </w:pPr>
            <w:r>
              <w:rPr>
                <w:rFonts w:ascii="宋体" w:hAnsi="宋体" w:cs="宋体" w:eastAsia="宋体" w:hint="default"/>
                <w:b/>
                <w:bCs/>
                <w:sz w:val="18"/>
                <w:szCs w:val="18"/>
              </w:rPr>
              <w:t>被告</w:t>
            </w:r>
            <w:r>
              <w:rPr>
                <w:rFonts w:ascii="宋体" w:hAnsi="宋体" w:cs="宋体" w:eastAsia="宋体" w:hint="default"/>
                <w:sz w:val="18"/>
                <w:szCs w:val="18"/>
              </w:rPr>
            </w:r>
          </w:p>
        </w:tc>
        <w:tc>
          <w:tcPr>
            <w:tcW w:w="1305"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right="6"/>
              <w:jc w:val="right"/>
              <w:rPr>
                <w:rFonts w:ascii="宋体" w:hAnsi="宋体" w:cs="宋体" w:eastAsia="宋体" w:hint="default"/>
                <w:sz w:val="18"/>
                <w:szCs w:val="18"/>
              </w:rPr>
            </w:pPr>
            <w:r>
              <w:rPr>
                <w:rFonts w:ascii="宋体" w:hAnsi="宋体" w:cs="宋体" w:eastAsia="宋体" w:hint="default"/>
                <w:b/>
                <w:bCs/>
                <w:sz w:val="18"/>
                <w:szCs w:val="18"/>
              </w:rPr>
              <w:t>案由</w:t>
            </w:r>
            <w:r>
              <w:rPr>
                <w:rFonts w:ascii="宋体" w:hAnsi="宋体" w:cs="宋体" w:eastAsia="宋体" w:hint="default"/>
                <w:sz w:val="18"/>
                <w:szCs w:val="18"/>
              </w:rPr>
            </w:r>
          </w:p>
        </w:tc>
        <w:tc>
          <w:tcPr>
            <w:tcW w:w="1381"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649" w:right="0"/>
              <w:jc w:val="left"/>
              <w:rPr>
                <w:rFonts w:ascii="宋体" w:hAnsi="宋体" w:cs="宋体" w:eastAsia="宋体" w:hint="default"/>
                <w:sz w:val="18"/>
                <w:szCs w:val="18"/>
              </w:rPr>
            </w:pPr>
            <w:r>
              <w:rPr>
                <w:rFonts w:ascii="宋体" w:hAnsi="宋体" w:cs="宋体" w:eastAsia="宋体" w:hint="default"/>
                <w:b/>
                <w:bCs/>
                <w:sz w:val="18"/>
                <w:szCs w:val="18"/>
              </w:rPr>
              <w:t>受理法院</w:t>
            </w:r>
            <w:r>
              <w:rPr>
                <w:rFonts w:ascii="宋体" w:hAnsi="宋体" w:cs="宋体" w:eastAsia="宋体" w:hint="default"/>
                <w:sz w:val="18"/>
                <w:szCs w:val="18"/>
              </w:rPr>
            </w:r>
          </w:p>
        </w:tc>
        <w:tc>
          <w:tcPr>
            <w:tcW w:w="1217"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right="-36"/>
              <w:jc w:val="right"/>
              <w:rPr>
                <w:rFonts w:ascii="宋体" w:hAnsi="宋体" w:cs="宋体" w:eastAsia="宋体" w:hint="default"/>
                <w:sz w:val="18"/>
                <w:szCs w:val="18"/>
              </w:rPr>
            </w:pPr>
            <w:r>
              <w:rPr>
                <w:rFonts w:ascii="宋体" w:hAnsi="宋体" w:cs="宋体" w:eastAsia="宋体" w:hint="default"/>
                <w:b/>
                <w:bCs/>
                <w:spacing w:val="-3"/>
                <w:w w:val="95"/>
                <w:sz w:val="18"/>
                <w:szCs w:val="18"/>
              </w:rPr>
              <w:t>标的额（万元）</w:t>
            </w:r>
            <w:r>
              <w:rPr>
                <w:rFonts w:ascii="宋体" w:hAnsi="宋体" w:cs="宋体" w:eastAsia="宋体" w:hint="default"/>
                <w:spacing w:val="-3"/>
                <w:sz w:val="18"/>
                <w:szCs w:val="18"/>
              </w:rPr>
            </w:r>
          </w:p>
        </w:tc>
        <w:tc>
          <w:tcPr>
            <w:tcW w:w="1232" w:type="dxa"/>
            <w:tcBorders>
              <w:top w:val="single" w:sz="6" w:space="0" w:color="000000"/>
              <w:left w:val="nil" w:sz="6" w:space="0" w:color="auto"/>
              <w:bottom w:val="single" w:sz="8" w:space="0" w:color="000000"/>
              <w:right w:val="nil" w:sz="6" w:space="0" w:color="auto"/>
            </w:tcBorders>
          </w:tcPr>
          <w:p>
            <w:pPr>
              <w:pStyle w:val="TableParagraph"/>
              <w:spacing w:line="240" w:lineRule="auto" w:before="20"/>
              <w:ind w:left="139" w:right="0"/>
              <w:jc w:val="left"/>
              <w:rPr>
                <w:rFonts w:ascii="宋体" w:hAnsi="宋体" w:cs="宋体" w:eastAsia="宋体" w:hint="default"/>
                <w:sz w:val="18"/>
                <w:szCs w:val="18"/>
              </w:rPr>
            </w:pPr>
            <w:r>
              <w:rPr>
                <w:rFonts w:ascii="宋体" w:hAnsi="宋体" w:cs="宋体" w:eastAsia="宋体" w:hint="default"/>
                <w:b/>
                <w:bCs/>
                <w:sz w:val="18"/>
                <w:szCs w:val="18"/>
              </w:rPr>
              <w:t>案件进展情况</w:t>
            </w:r>
            <w:r>
              <w:rPr>
                <w:rFonts w:ascii="宋体" w:hAnsi="宋体" w:cs="宋体" w:eastAsia="宋体" w:hint="default"/>
                <w:sz w:val="18"/>
                <w:szCs w:val="18"/>
              </w:rPr>
            </w:r>
          </w:p>
        </w:tc>
      </w:tr>
      <w:tr>
        <w:trPr>
          <w:trHeight w:val="658"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319" w:lineRule="auto" w:before="13"/>
              <w:ind w:left="12" w:right="7"/>
              <w:jc w:val="left"/>
              <w:rPr>
                <w:rFonts w:ascii="宋体" w:hAnsi="宋体" w:cs="宋体" w:eastAsia="宋体" w:hint="default"/>
                <w:sz w:val="18"/>
                <w:szCs w:val="18"/>
              </w:rPr>
            </w:pPr>
            <w:r>
              <w:rPr>
                <w:rFonts w:ascii="宋体" w:hAnsi="宋体" w:cs="宋体" w:eastAsia="宋体" w:hint="default"/>
                <w:spacing w:val="5"/>
                <w:sz w:val="18"/>
                <w:szCs w:val="18"/>
              </w:rPr>
              <w:t>北京北信源软件股份有限公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1894" w:type="dxa"/>
            <w:tcBorders>
              <w:top w:val="single" w:sz="8" w:space="0" w:color="000000"/>
              <w:left w:val="nil" w:sz="6" w:space="0" w:color="auto"/>
              <w:bottom w:val="single" w:sz="8" w:space="0" w:color="000000"/>
              <w:right w:val="nil" w:sz="6" w:space="0" w:color="auto"/>
            </w:tcBorders>
          </w:tcPr>
          <w:p>
            <w:pPr>
              <w:pStyle w:val="TableParagraph"/>
              <w:spacing w:line="319" w:lineRule="auto" w:before="13"/>
              <w:ind w:left="9" w:right="82"/>
              <w:jc w:val="left"/>
              <w:rPr>
                <w:rFonts w:ascii="宋体" w:hAnsi="宋体" w:cs="宋体" w:eastAsia="宋体" w:hint="default"/>
                <w:sz w:val="18"/>
                <w:szCs w:val="18"/>
              </w:rPr>
            </w:pPr>
            <w:r>
              <w:rPr>
                <w:rFonts w:ascii="宋体" w:hAnsi="宋体" w:cs="宋体" w:eastAsia="宋体" w:hint="default"/>
                <w:sz w:val="18"/>
                <w:szCs w:val="18"/>
              </w:rPr>
              <w:t>湖北金久阳机电有限公 司</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319" w:lineRule="auto" w:before="13"/>
              <w:ind w:left="84" w:right="138"/>
              <w:jc w:val="left"/>
              <w:rPr>
                <w:rFonts w:ascii="宋体" w:hAnsi="宋体" w:cs="宋体" w:eastAsia="宋体" w:hint="default"/>
                <w:sz w:val="18"/>
                <w:szCs w:val="18"/>
              </w:rPr>
            </w:pPr>
            <w:r>
              <w:rPr>
                <w:rFonts w:ascii="宋体" w:hAnsi="宋体" w:cs="宋体" w:eastAsia="宋体" w:hint="default"/>
                <w:sz w:val="18"/>
                <w:szCs w:val="18"/>
              </w:rPr>
              <w:t>建设工程施工 合同纠纷</w:t>
            </w:r>
          </w:p>
        </w:tc>
        <w:tc>
          <w:tcPr>
            <w:tcW w:w="1381"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8" w:right="0"/>
              <w:jc w:val="left"/>
              <w:rPr>
                <w:rFonts w:ascii="宋体" w:hAnsi="宋体" w:cs="宋体" w:eastAsia="宋体" w:hint="default"/>
                <w:sz w:val="18"/>
                <w:szCs w:val="18"/>
              </w:rPr>
            </w:pPr>
            <w:r>
              <w:rPr>
                <w:rFonts w:ascii="宋体" w:hAnsi="宋体" w:cs="宋体" w:eastAsia="宋体" w:hint="default"/>
                <w:sz w:val="18"/>
                <w:szCs w:val="18"/>
              </w:rPr>
              <w:t>武汉仲裁委员会</w:t>
            </w:r>
          </w:p>
        </w:tc>
        <w:tc>
          <w:tcPr>
            <w:tcW w:w="1217" w:type="dxa"/>
            <w:tcBorders>
              <w:top w:val="single" w:sz="8" w:space="0" w:color="000000"/>
              <w:left w:val="nil" w:sz="6" w:space="0" w:color="auto"/>
              <w:bottom w:val="single" w:sz="8" w:space="0" w:color="000000"/>
              <w:right w:val="nil" w:sz="6" w:space="0" w:color="auto"/>
            </w:tcBorders>
          </w:tcPr>
          <w:p>
            <w:pPr>
              <w:pStyle w:val="TableParagraph"/>
              <w:spacing w:line="240" w:lineRule="auto" w:before="55"/>
              <w:ind w:right="52"/>
              <w:jc w:val="right"/>
              <w:rPr>
                <w:rFonts w:ascii="Times New Roman" w:hAnsi="Times New Roman" w:cs="Times New Roman" w:eastAsia="Times New Roman" w:hint="default"/>
                <w:sz w:val="18"/>
                <w:szCs w:val="18"/>
              </w:rPr>
            </w:pPr>
            <w:r>
              <w:rPr>
                <w:rFonts w:ascii="Times New Roman"/>
                <w:spacing w:val="-1"/>
                <w:sz w:val="18"/>
              </w:rPr>
              <w:t>125.39</w:t>
            </w:r>
          </w:p>
        </w:tc>
        <w:tc>
          <w:tcPr>
            <w:tcW w:w="1232"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6" w:right="0"/>
              <w:jc w:val="left"/>
              <w:rPr>
                <w:rFonts w:ascii="宋体" w:hAnsi="宋体" w:cs="宋体" w:eastAsia="宋体" w:hint="default"/>
                <w:sz w:val="18"/>
                <w:szCs w:val="18"/>
              </w:rPr>
            </w:pPr>
            <w:r>
              <w:rPr>
                <w:rFonts w:ascii="宋体" w:hAnsi="宋体" w:cs="宋体" w:eastAsia="宋体" w:hint="default"/>
                <w:sz w:val="18"/>
                <w:szCs w:val="18"/>
              </w:rPr>
              <w:t>等待开庭</w:t>
            </w:r>
          </w:p>
        </w:tc>
      </w:tr>
      <w:tr>
        <w:trPr>
          <w:trHeight w:val="660" w:hRule="exact"/>
        </w:trPr>
        <w:tc>
          <w:tcPr>
            <w:tcW w:w="2254" w:type="dxa"/>
            <w:tcBorders>
              <w:top w:val="single" w:sz="8" w:space="0" w:color="000000"/>
              <w:left w:val="nil" w:sz="6" w:space="0" w:color="auto"/>
              <w:bottom w:val="single" w:sz="8" w:space="0" w:color="000000"/>
              <w:right w:val="nil" w:sz="6" w:space="0" w:color="auto"/>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sz w:val="18"/>
                <w:szCs w:val="18"/>
              </w:rPr>
              <w:t>江苏通州基础工程有限公司</w:t>
            </w:r>
          </w:p>
        </w:tc>
        <w:tc>
          <w:tcPr>
            <w:tcW w:w="1894"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9" w:right="82"/>
              <w:jc w:val="left"/>
              <w:rPr>
                <w:rFonts w:ascii="宋体" w:hAnsi="宋体" w:cs="宋体" w:eastAsia="宋体" w:hint="default"/>
                <w:sz w:val="18"/>
                <w:szCs w:val="18"/>
              </w:rPr>
            </w:pPr>
            <w:r>
              <w:rPr>
                <w:rFonts w:ascii="宋体" w:hAnsi="宋体" w:cs="宋体" w:eastAsia="宋体" w:hint="default"/>
                <w:sz w:val="18"/>
                <w:szCs w:val="18"/>
              </w:rPr>
              <w:t>江苏神州信源系统工程 有限公司</w:t>
            </w:r>
          </w:p>
        </w:tc>
        <w:tc>
          <w:tcPr>
            <w:tcW w:w="1305"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84" w:right="138"/>
              <w:jc w:val="left"/>
              <w:rPr>
                <w:rFonts w:ascii="宋体" w:hAnsi="宋体" w:cs="宋体" w:eastAsia="宋体" w:hint="default"/>
                <w:sz w:val="18"/>
                <w:szCs w:val="18"/>
              </w:rPr>
            </w:pPr>
            <w:r>
              <w:rPr>
                <w:rFonts w:ascii="宋体" w:hAnsi="宋体" w:cs="宋体" w:eastAsia="宋体" w:hint="default"/>
                <w:sz w:val="18"/>
                <w:szCs w:val="18"/>
              </w:rPr>
              <w:t>工程施工债务 纠纷</w:t>
            </w:r>
          </w:p>
        </w:tc>
        <w:tc>
          <w:tcPr>
            <w:tcW w:w="1381" w:type="dxa"/>
            <w:tcBorders>
              <w:top w:val="single" w:sz="8" w:space="0" w:color="000000"/>
              <w:left w:val="nil" w:sz="6" w:space="0" w:color="auto"/>
              <w:bottom w:val="single" w:sz="8" w:space="0" w:color="000000"/>
              <w:right w:val="nil" w:sz="6" w:space="0" w:color="auto"/>
            </w:tcBorders>
          </w:tcPr>
          <w:p>
            <w:pPr>
              <w:pStyle w:val="TableParagraph"/>
              <w:spacing w:line="316" w:lineRule="auto" w:before="15"/>
              <w:ind w:left="8" w:right="110"/>
              <w:jc w:val="left"/>
              <w:rPr>
                <w:rFonts w:ascii="宋体" w:hAnsi="宋体" w:cs="宋体" w:eastAsia="宋体" w:hint="default"/>
                <w:sz w:val="18"/>
                <w:szCs w:val="18"/>
              </w:rPr>
            </w:pPr>
            <w:r>
              <w:rPr>
                <w:rFonts w:ascii="宋体" w:hAnsi="宋体" w:cs="宋体" w:eastAsia="宋体" w:hint="default"/>
                <w:sz w:val="18"/>
                <w:szCs w:val="18"/>
              </w:rPr>
              <w:t>南京市浦口区人 民法院</w:t>
            </w:r>
          </w:p>
        </w:tc>
        <w:tc>
          <w:tcPr>
            <w:tcW w:w="1217" w:type="dxa"/>
            <w:tcBorders>
              <w:top w:val="single" w:sz="8" w:space="0" w:color="000000"/>
              <w:left w:val="nil" w:sz="6" w:space="0" w:color="auto"/>
              <w:bottom w:val="single" w:sz="8" w:space="0" w:color="000000"/>
              <w:right w:val="nil" w:sz="6" w:space="0" w:color="auto"/>
            </w:tcBorders>
          </w:tcPr>
          <w:p>
            <w:pPr>
              <w:pStyle w:val="TableParagraph"/>
              <w:spacing w:line="240" w:lineRule="auto" w:before="57"/>
              <w:ind w:right="52"/>
              <w:jc w:val="right"/>
              <w:rPr>
                <w:rFonts w:ascii="Times New Roman" w:hAnsi="Times New Roman" w:cs="Times New Roman" w:eastAsia="Times New Roman" w:hint="default"/>
                <w:sz w:val="18"/>
                <w:szCs w:val="18"/>
              </w:rPr>
            </w:pPr>
            <w:r>
              <w:rPr>
                <w:rFonts w:ascii="Times New Roman"/>
                <w:sz w:val="18"/>
              </w:rPr>
              <w:t>97.10</w:t>
            </w:r>
          </w:p>
        </w:tc>
        <w:tc>
          <w:tcPr>
            <w:tcW w:w="1232" w:type="dxa"/>
            <w:tcBorders>
              <w:top w:val="single" w:sz="8" w:space="0" w:color="000000"/>
              <w:left w:val="nil" w:sz="6" w:space="0" w:color="auto"/>
              <w:bottom w:val="single" w:sz="8" w:space="0" w:color="000000"/>
              <w:right w:val="nil" w:sz="6" w:space="0" w:color="auto"/>
            </w:tcBorders>
          </w:tcPr>
          <w:p>
            <w:pPr>
              <w:pStyle w:val="TableParagraph"/>
              <w:spacing w:line="300" w:lineRule="auto" w:before="15"/>
              <w:ind w:left="-36" w:right="139"/>
              <w:jc w:val="left"/>
              <w:rPr>
                <w:rFonts w:ascii="宋体" w:hAnsi="宋体" w:cs="宋体" w:eastAsia="宋体" w:hint="default"/>
                <w:sz w:val="18"/>
                <w:szCs w:val="18"/>
              </w:rPr>
            </w:pPr>
            <w:r>
              <w:rPr>
                <w:rFonts w:ascii="宋体" w:hAnsi="宋体" w:cs="宋体" w:eastAsia="宋体" w:hint="default"/>
                <w:sz w:val="18"/>
                <w:szCs w:val="18"/>
              </w:rPr>
              <w:t>一审判决</w:t>
            </w:r>
            <w:r>
              <w:rPr>
                <w:rFonts w:ascii="Times New Roman" w:hAnsi="Times New Roman" w:cs="Times New Roman" w:eastAsia="Times New Roman" w:hint="default"/>
                <w:sz w:val="18"/>
                <w:szCs w:val="18"/>
              </w:rPr>
              <w:t>,</w:t>
            </w:r>
            <w:r>
              <w:rPr>
                <w:rFonts w:ascii="宋体" w:hAnsi="宋体" w:cs="宋体" w:eastAsia="宋体" w:hint="default"/>
                <w:sz w:val="18"/>
                <w:szCs w:val="18"/>
              </w:rPr>
              <w:t>提起 上诉</w:t>
            </w:r>
          </w:p>
        </w:tc>
      </w:tr>
    </w:tbl>
    <w:p>
      <w:pPr>
        <w:pStyle w:val="BodyText"/>
        <w:spacing w:line="316" w:lineRule="auto" w:before="49"/>
        <w:ind w:right="1638" w:firstLine="360"/>
        <w:jc w:val="both"/>
      </w:pPr>
      <w:r>
        <w:rPr>
          <w:spacing w:val="-1"/>
        </w:rPr>
        <w:t>①本公司与湖北金久阳机电有限公司因建设工程施工合同纠纷作为原告向武汉仲裁委员会提起诉讼，诉讼金额为</w:t>
      </w:r>
      <w:r>
        <w:rPr/>
        <w:t> 人民币</w:t>
      </w:r>
      <w:r>
        <w:rPr>
          <w:rFonts w:ascii="Times New Roman" w:hAnsi="Times New Roman" w:cs="Times New Roman" w:eastAsia="Times New Roman" w:hint="default"/>
        </w:rPr>
        <w:t>1,234,913.40</w:t>
      </w:r>
      <w:r>
        <w:rPr/>
        <w:t>元，截至本报告公告日，此案尚未开庭。</w:t>
      </w:r>
    </w:p>
    <w:p>
      <w:pPr>
        <w:pStyle w:val="BodyText"/>
        <w:spacing w:line="307" w:lineRule="auto" w:before="40"/>
        <w:ind w:right="1636" w:firstLine="360"/>
        <w:jc w:val="both"/>
      </w:pPr>
      <w:r>
        <w:rPr>
          <w:spacing w:val="2"/>
        </w:rPr>
        <w:t>②本公司之控股子公司江苏神州信源系统工程有限公司与江苏通州基础工程有限公司因有关工程施工纠纷事宜 </w:t>
      </w:r>
      <w:r>
        <w:rPr>
          <w:spacing w:val="-1"/>
        </w:rPr>
        <w:t>被起诉，诉讼金额为人民币</w:t>
      </w:r>
      <w:r>
        <w:rPr>
          <w:rFonts w:ascii="Times New Roman" w:hAnsi="Times New Roman" w:cs="Times New Roman" w:eastAsia="Times New Roman" w:hint="default"/>
          <w:spacing w:val="-1"/>
        </w:rPr>
        <w:t>970,978.31</w:t>
      </w:r>
      <w:r>
        <w:rPr>
          <w:spacing w:val="-1"/>
        </w:rPr>
        <w:t>元，</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28</w:t>
      </w:r>
      <w:r>
        <w:rPr>
          <w:spacing w:val="-1"/>
        </w:rPr>
        <w:t>日，南京市浦口区人民法院就此案作出一审判决，判决被告江</w:t>
      </w:r>
      <w:r>
        <w:rPr>
          <w:spacing w:val="-86"/>
        </w:rPr>
        <w:t> </w:t>
      </w:r>
      <w:r>
        <w:rPr>
          <w:spacing w:val="-86"/>
        </w:rPr>
      </w:r>
      <w:r>
        <w:rPr>
          <w:spacing w:val="-1"/>
        </w:rPr>
        <w:t>苏神州信源败诉，应付原告工程款</w:t>
      </w:r>
      <w:r>
        <w:rPr>
          <w:rFonts w:ascii="Times New Roman" w:hAnsi="Times New Roman" w:cs="Times New Roman" w:eastAsia="Times New Roman" w:hint="default"/>
          <w:spacing w:val="-1"/>
        </w:rPr>
        <w:t>970,978.31</w:t>
      </w:r>
      <w:r>
        <w:rPr>
          <w:spacing w:val="-1"/>
        </w:rPr>
        <w:t>元。</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月，江苏神州信源向江苏省南京市人民法院提起上诉，法院</w:t>
      </w:r>
      <w:r>
        <w:rPr>
          <w:spacing w:val="-87"/>
        </w:rPr>
        <w:t> </w:t>
      </w:r>
      <w:r>
        <w:rPr>
          <w:spacing w:val="-87"/>
        </w:rPr>
      </w:r>
      <w:r>
        <w:rPr/>
        <w:t>已受理，等待开庭。</w:t>
      </w:r>
    </w:p>
    <w:p>
      <w:pPr>
        <w:pStyle w:val="BodyText"/>
        <w:spacing w:line="340" w:lineRule="auto" w:before="64"/>
        <w:ind w:left="513" w:right="1122"/>
        <w:jc w:val="left"/>
      </w:pPr>
      <w:r>
        <w:rPr/>
        <w:t>（</w:t>
      </w:r>
      <w:r>
        <w:rPr>
          <w:rFonts w:ascii="Times New Roman" w:hAnsi="Times New Roman" w:cs="Times New Roman" w:eastAsia="Times New Roman" w:hint="default"/>
        </w:rPr>
        <w:t>2</w:t>
      </w:r>
      <w:r>
        <w:rPr/>
        <w:t>）为其他单位提供债务担保形成的或有负债及其财务影响 </w:t>
      </w:r>
      <w:r>
        <w:rPr>
          <w:spacing w:val="-1"/>
        </w:rPr>
        <w:t>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日，本公司为子公司江苏神州信源系统工程有限公司提供了人民币</w:t>
      </w:r>
      <w:r>
        <w:rPr>
          <w:rFonts w:ascii="Times New Roman" w:hAnsi="Times New Roman" w:cs="Times New Roman" w:eastAsia="Times New Roman" w:hint="default"/>
          <w:spacing w:val="-1"/>
        </w:rPr>
        <w:t>1.30</w:t>
      </w:r>
      <w:r>
        <w:rPr>
          <w:spacing w:val="-1"/>
        </w:rPr>
        <w:t>亿元银行借款授信额度</w:t>
      </w:r>
    </w:p>
    <w:p>
      <w:pPr>
        <w:pStyle w:val="BodyText"/>
        <w:spacing w:line="215" w:lineRule="exact"/>
        <w:ind w:right="1122"/>
        <w:jc w:val="left"/>
      </w:pPr>
      <w:r>
        <w:rPr/>
        <w:t>担保。</w:t>
      </w:r>
    </w:p>
    <w:p>
      <w:pPr>
        <w:spacing w:after="0" w:line="215" w:lineRule="exact"/>
        <w:jc w:val="left"/>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6"/>
        <w:ind w:right="1122"/>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1122"/>
        <w:jc w:val="left"/>
        <w:rPr>
          <w:b w:val="0"/>
          <w:bCs w:val="0"/>
        </w:rPr>
      </w:pPr>
      <w:r>
        <w:rPr/>
        <w:t>十四、资产负债表日后事项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6"/>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634" w:firstLine="360"/>
        <w:jc w:val="both"/>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日，经本公司第四届董事会第二次会议决议批准，拟提交</w:t>
      </w:r>
      <w:r>
        <w:rPr>
          <w:rFonts w:ascii="Times New Roman" w:hAnsi="Times New Roman" w:cs="Times New Roman" w:eastAsia="Times New Roman" w:hint="default"/>
          <w:spacing w:val="-3"/>
        </w:rPr>
        <w:t>2019</w:t>
      </w:r>
      <w:r>
        <w:rPr>
          <w:spacing w:val="-3"/>
        </w:rPr>
        <w:t>年度股东大会审议，拟定以本公司</w:t>
      </w:r>
      <w:r>
        <w:rPr>
          <w:rFonts w:ascii="Times New Roman" w:hAnsi="Times New Roman" w:cs="Times New Roman" w:eastAsia="Times New Roman" w:hint="default"/>
          <w:spacing w:val="-3"/>
        </w:rPr>
        <w:t>2019</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1,449,824,087</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0.03</w:t>
      </w:r>
      <w:r>
        <w:rPr/>
        <w:t>元（含税），共计派发现金股</w:t>
      </w:r>
      <w:r>
        <w:rPr>
          <w:spacing w:val="-61"/>
        </w:rPr>
        <w:t> </w:t>
      </w:r>
      <w:r>
        <w:rPr>
          <w:spacing w:val="-61"/>
        </w:rPr>
      </w:r>
      <w:r>
        <w:rPr/>
        <w:t>利人民币</w:t>
      </w:r>
      <w:r>
        <w:rPr>
          <w:rFonts w:ascii="Times New Roman" w:hAnsi="Times New Roman" w:cs="Times New Roman" w:eastAsia="Times New Roman" w:hint="default"/>
        </w:rPr>
        <w:t>4,349,472.26</w:t>
      </w:r>
      <w:r>
        <w:rPr/>
        <w:t>元（含税）。本次利润分配方案尚待本公司股东大会批准。</w:t>
      </w:r>
    </w:p>
    <w:p>
      <w:pPr>
        <w:pStyle w:val="BodyText"/>
        <w:spacing w:line="240" w:lineRule="auto" w:before="51"/>
        <w:ind w:left="513" w:right="1122"/>
        <w:jc w:val="left"/>
      </w:pPr>
      <w:r>
        <w:rPr/>
        <w:t>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日，本集团不存在其他应披露的资产负债表日后事项。</w:t>
      </w:r>
    </w:p>
    <w:p>
      <w:pPr>
        <w:spacing w:line="240" w:lineRule="auto" w:before="3"/>
        <w:rPr>
          <w:rFonts w:ascii="宋体" w:hAnsi="宋体" w:cs="宋体" w:eastAsia="宋体" w:hint="default"/>
          <w:sz w:val="24"/>
          <w:szCs w:val="24"/>
        </w:rPr>
      </w:pPr>
    </w:p>
    <w:p>
      <w:pPr>
        <w:pStyle w:val="Heading2"/>
        <w:spacing w:line="240" w:lineRule="auto"/>
        <w:ind w:right="1122"/>
        <w:jc w:val="left"/>
        <w:rPr>
          <w:b w:val="0"/>
          <w:bCs w:val="0"/>
        </w:rPr>
      </w:pPr>
      <w:r>
        <w:rPr/>
        <w:t>十五、其他重要事项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71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追溯调整工资跨期</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①管理费用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823,886.38</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追溯调整工资跨期</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②销售费用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-428,135.74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追溯调整工资跨期</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③研发费用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2,065,719.02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追溯调整工资跨期</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④应付职工薪酬</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25,274,399.64</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追溯调整工资跨期</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⑤开发支出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6,044,112.66</w:t>
            </w:r>
          </w:p>
        </w:tc>
      </w:tr>
      <w:tr>
        <w:trPr>
          <w:trHeight w:val="1025"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将公司有重大影响的可供出售 金融资产及其他非流动资产调 整至长期股权投资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①长期股权投资</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79,964,540.06</w:t>
            </w:r>
          </w:p>
        </w:tc>
      </w:tr>
      <w:tr>
        <w:trPr>
          <w:trHeight w:val="102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将公司有重大影响的可供出售 金融资产及其他非流动资产调 整至长期股权投资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②可供出售金融资产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-34,383,735.00</w:t>
            </w:r>
          </w:p>
        </w:tc>
      </w:tr>
      <w:tr>
        <w:trPr>
          <w:trHeight w:val="1025"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将公司有重大影响的可供出售 金融资产及其他非流动资产调 整至长期股权投资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③其他非流动资产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-45,205,739.04</w:t>
            </w:r>
          </w:p>
        </w:tc>
      </w:tr>
      <w:tr>
        <w:trPr>
          <w:trHeight w:val="1027"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将公司有重大影响的可供出售 金融资产及其他非流动资产调 整至长期股权投资</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④投资收益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80,332.06</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追溯调整应收账款坏账准备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①应收账款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-6,743,081.50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追溯调整应收账款坏账准备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②资产减值损失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6,743,081.50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追溯调整应收账款坏账准备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③递延所得税资产</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1,011,462.23</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追溯调整应收账款坏账准备</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④所得税费用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-1,011,462.23</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调整留存收益及少数股东权益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①盈余公积</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-1,843,934.36</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调整留存收益及少数股东权益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②未分配利润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-22,691,391.91</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调整留存收益及少数股东权益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③少数股东权益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-49,070.90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调整留存收益及少数股东权益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④</w:t>
            </w:r>
            <w:r>
              <w:rPr>
                <w:rFonts w:ascii="宋体" w:hAnsi="宋体" w:cs="宋体" w:eastAsia="宋体" w:hint="default"/>
                <w:spacing w:val="1"/>
                <w:sz w:val="18"/>
                <w:szCs w:val="18"/>
              </w:rPr>
              <w:t> </w:t>
            </w:r>
            <w:r>
              <w:rPr>
                <w:rFonts w:ascii="宋体" w:hAnsi="宋体" w:cs="宋体" w:eastAsia="宋体" w:hint="default"/>
                <w:sz w:val="18"/>
                <w:szCs w:val="18"/>
              </w:rPr>
              <w:t>其他综合收益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-2,443.06</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）公司无报告分部的，或者不能披露各报告分部的资产总额和负债总额的，应说明原因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2" w:firstLine="360"/>
        <w:jc w:val="left"/>
      </w:pPr>
      <w:r>
        <w:rPr>
          <w:spacing w:val="-2"/>
        </w:rPr>
        <w:t>根据经营管理需要，本集团的经营活动归属于一个单独的经营分部，提供终端安全管理服务解决方案，因此，并</w:t>
      </w:r>
      <w:r>
        <w:rPr/>
        <w:t> 无其他经营分部。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87"/>
        <w:ind w:right="1122"/>
        <w:jc w:val="left"/>
        <w:rPr>
          <w:b w:val="0"/>
          <w:bCs w:val="0"/>
        </w:rPr>
      </w:pPr>
      <w:r>
        <w:rPr>
          <w:rFonts w:ascii="Times New Roman" w:hAnsi="Times New Roman" w:cs="Times New Roman" w:eastAsia="Times New Roman" w:hint="default"/>
        </w:rPr>
        <w:t>3</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十六、母公司财务报表主要项目注释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1"/>
        <w:ind w:right="112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42,574,6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93.61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34,330,9</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68.61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8,243,725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9,686,295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9,686,295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1,266,16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4,927.08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276,394,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184.60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21.83%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989,770,7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42.48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1,080,766</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,135.55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99.11%</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219,000,1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861,766,02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软件与信息技术服 务业客户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1,094,82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5,784.07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276,394,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184.60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818,431,5</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99.47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961,126,2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47.43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88.14%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219,000,1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22.79%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742,126,13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4.88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171,339,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143.01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171,339,1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43.01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119,639,8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88.12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10.97%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6" w:right="0"/>
              <w:jc w:val="left"/>
              <w:rPr>
                <w:rFonts w:ascii="Times New Roman" w:hAnsi="Times New Roman" w:cs="Times New Roman" w:eastAsia="Times New Roman" w:hint="default"/>
                <w:sz w:val="18"/>
                <w:szCs w:val="18"/>
              </w:rPr>
            </w:pPr>
            <w:r>
              <w:rPr>
                <w:rFonts w:ascii="Times New Roman"/>
                <w:sz w:val="18"/>
              </w:rPr>
              <w:t>119,639,88</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8.12</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1,308,73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9,620.69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310,725,</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153.21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998,014,4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67.48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1,090,452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,430.55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228,686,4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07.55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861,766,02</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3.00</w:t>
            </w:r>
          </w:p>
        </w:tc>
      </w:tr>
    </w:tbl>
    <w:p>
      <w:pPr>
        <w:pStyle w:val="BodyText"/>
        <w:spacing w:line="240" w:lineRule="auto" w:before="49"/>
        <w:ind w:right="1122"/>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广州三盾信息科技有限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29,816,725.00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21,573,000.00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收回可能性重大不确定</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北京嘉蓝宜兴科技发展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7,243,589.75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7,243,589.75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吉林省盛雀勤盈科技网 络服务有限公司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2,364,400.00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2,364,400.00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沈阳恩达工贸科技实业 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严重违法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北京浩瀚联鑫科技有限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北京国信慧通科技有限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失信被执行人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南京朗晟信息技术有限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经营异常、严重违法</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北京中航兴业电子有限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188,320.00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广州深宏信息科技有限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159,526.00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159,526.00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北京世纪美加科技发展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北京百年育人电子技术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经营异常</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福建伊时代信息科技股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失信被执行人</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天津易协和科技有限公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12,142.86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严重违法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42,574,693.61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34,330,968.61</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1122"/>
        <w:jc w:val="left"/>
      </w:pPr>
      <w:r>
        <w:rPr/>
        <w:t>按组合计提坏账准备：软件与信息技术服务业客户</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软件与信息技术服务业客户</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1,094,825,784.07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276,394,184.60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25.25%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1,094,825,784.07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276,394,184.60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按组合计提坏账准备：合并范围内关联方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393" w:space="543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171,339,143.01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394"/>
        <w:gridCol w:w="2392"/>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171,339,143.01</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1"/>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542,793,531.16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267,803,570.39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214,445,138.90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283,697,380.24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135,590,274.94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80,571,616.24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67,535,489.06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1,308,739,620.69</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按账龄组合计提 的坏账准备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228,686,407.55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107,437,912.66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25,450,163.00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310,725,153.21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228,686,407.55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107,437,912.66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25,450,163.00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310,725,153.21</w:t>
            </w:r>
          </w:p>
        </w:tc>
      </w:tr>
    </w:tbl>
    <w:p>
      <w:pPr>
        <w:pStyle w:val="BodyText"/>
        <w:spacing w:line="240" w:lineRule="auto" w:before="49"/>
        <w:ind w:right="1122"/>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合肥锐络信息科技发展有限公司</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50,996.00</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25,450,163.00</w:t>
            </w:r>
          </w:p>
        </w:tc>
      </w:tr>
    </w:tbl>
    <w:p>
      <w:pPr>
        <w:pStyle w:val="BodyText"/>
        <w:spacing w:line="240" w:lineRule="auto" w:before="49"/>
        <w:ind w:right="1122"/>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北京博纳盈创科技有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7,402,158.00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西安中网未来网络科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北京光影年华信息科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1,716,600.00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查不到该公司</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哈尔滨金元宝科技开 发有限公司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1,572,900.00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中蓝恒久（北京）科 贸有限公司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四川聚能创新通信科 技有限公司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浙江越润科技有限公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935,500.00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北京旺豆信息科技有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711,200.00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温州联线网络科技有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北京杰网运维信息技 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吊销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河南省伟辰网络科技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517,700.00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货物</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4,064,105.00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注销、吊销</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管理层审批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25,450,163.00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22"/>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10" w:right="0"/>
              <w:jc w:val="left"/>
              <w:rPr>
                <w:rFonts w:ascii="宋体" w:hAnsi="宋体" w:cs="宋体" w:eastAsia="宋体" w:hint="default"/>
                <w:sz w:val="18"/>
                <w:szCs w:val="18"/>
              </w:rPr>
            </w:pPr>
            <w:r>
              <w:rPr>
                <w:rFonts w:ascii="宋体" w:hAnsi="宋体" w:cs="宋体" w:eastAsia="宋体" w:hint="default"/>
                <w:sz w:val="18"/>
                <w:szCs w:val="18"/>
              </w:rPr>
              <w:t>占应收账款期末余额合计数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广州方集信息科技有限公司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38,510,000.00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8,726,505.73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北京联海科技有限公司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30,725,140.00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8,032,767.56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广州三盾信息科技有限公司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29,816,725.00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21,573,000.00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西安佳林信息科技有限公司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22,133,499.97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3,315,142.24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中国人寿保险股份有限公司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20,338,182.00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3,046,240.60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141,523,546.97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10.81%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22"/>
        <w:jc w:val="left"/>
      </w:pPr>
      <w:r>
        <w:rPr/>
        <w:t>无</w:t>
      </w:r>
    </w:p>
    <w:p>
      <w:pPr>
        <w:spacing w:line="240" w:lineRule="auto" w:before="0"/>
        <w:rPr>
          <w:rFonts w:ascii="宋体" w:hAnsi="宋体" w:cs="宋体" w:eastAsia="宋体" w:hint="default"/>
          <w:sz w:val="18"/>
          <w:szCs w:val="18"/>
        </w:rPr>
      </w:pPr>
    </w:p>
    <w:p>
      <w:pPr>
        <w:pStyle w:val="Heading4"/>
        <w:spacing w:line="240" w:lineRule="auto" w:before="120"/>
        <w:ind w:right="1122"/>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357" w:lineRule="auto"/>
        <w:ind w:right="9854"/>
        <w:jc w:val="left"/>
      </w:pPr>
      <w:r>
        <w:rPr/>
        <w:t>无 其他说明： 无</w:t>
      </w:r>
    </w:p>
    <w:p>
      <w:pPr>
        <w:spacing w:line="240" w:lineRule="auto" w:before="6"/>
        <w:rPr>
          <w:rFonts w:ascii="宋体" w:hAnsi="宋体" w:cs="宋体" w:eastAsia="宋体" w:hint="default"/>
          <w:sz w:val="20"/>
          <w:szCs w:val="20"/>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339,967,378.78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552,897,292.08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339,967,378.78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552,897,292.08</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332,683,656.16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547,148,203.85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7,438,197.60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4,594,626.60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507,624.16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1,102,401.99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305,101.33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178,655.20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680,589.80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1,501,116.22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341,615,169.05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554,525,003.86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1,256,456.11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371,255.67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1,627,711.78</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215,234.16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215,234.16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195,155.67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195,155.67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1,471,690.27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1,647,790.27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pStyle w:val="BodyText"/>
        <w:spacing w:line="240" w:lineRule="auto" w:before="49"/>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24,753,793.72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25,456,103.04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21,709,868.09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269,695,404.20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268,853,764.00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286,754.60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554,885.60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341,615,169.05</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22"/>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1,627,711.78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215,234.16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195,155.67</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1,647,790.27</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center"/>
              <w:rPr>
                <w:rFonts w:ascii="Times New Roman" w:hAnsi="Times New Roman" w:cs="Times New Roman" w:eastAsia="Times New Roman" w:hint="default"/>
                <w:sz w:val="18"/>
                <w:szCs w:val="18"/>
              </w:rPr>
            </w:pPr>
            <w:r>
              <w:rPr>
                <w:rFonts w:ascii="Times New Roman"/>
                <w:sz w:val="18"/>
              </w:rPr>
              <w:t>1,627,711.78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9" w:right="0"/>
              <w:jc w:val="left"/>
              <w:rPr>
                <w:rFonts w:ascii="Times New Roman" w:hAnsi="Times New Roman" w:cs="Times New Roman" w:eastAsia="Times New Roman" w:hint="default"/>
                <w:sz w:val="18"/>
                <w:szCs w:val="18"/>
              </w:rPr>
            </w:pPr>
            <w:r>
              <w:rPr>
                <w:rFonts w:ascii="Times New Roman"/>
                <w:sz w:val="18"/>
              </w:rPr>
              <w:t>215,234.16</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195,155.67</w:t>
            </w: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1,647,790.27</w:t>
            </w:r>
          </w:p>
        </w:tc>
      </w:tr>
    </w:tbl>
    <w:p>
      <w:pPr>
        <w:pStyle w:val="BodyText"/>
        <w:spacing w:line="240" w:lineRule="auto" w:before="49"/>
        <w:ind w:right="1122"/>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195,155.67</w:t>
            </w:r>
          </w:p>
        </w:tc>
      </w:tr>
    </w:tbl>
    <w:p>
      <w:pPr>
        <w:pStyle w:val="BodyText"/>
        <w:spacing w:line="240" w:lineRule="auto" w:before="49"/>
        <w:ind w:right="1122"/>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9"/>
        <w:ind w:right="1122"/>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1122"/>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江苏神州信源系统工 程有限公司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332,683,656.16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97.39%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中国人寿保险股份有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135,950.00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山西省公安厅</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593,250.00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71,190.00</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河南省农村信用社联 合社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王伟</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房屋押金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340,043.38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199,435.44</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336,734,949.54</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98.58%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446,475.44</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t>其他说明：</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369,180,571.40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369,180,571.40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349,230,571.40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349,230,571.40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149,537,441.56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149,537,441.56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101,546,037.70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101,546,037.70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518,718,012.96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518,718,012.96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450,776,609.10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450,776,609.10</w:t>
            </w: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4"/>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上海北信源信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江苏神州信源 系统工程有限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pacing w:val="-7"/>
                <w:sz w:val="18"/>
                <w:szCs w:val="18"/>
              </w:rPr>
              <w:t>北信源（马来西</w:t>
            </w:r>
            <w:r>
              <w:rPr>
                <w:rFonts w:ascii="宋体" w:hAnsi="宋体" w:cs="宋体" w:eastAsia="宋体" w:hint="default"/>
                <w:sz w:val="18"/>
                <w:szCs w:val="18"/>
              </w:rPr>
              <w:t> </w:t>
            </w:r>
            <w:r>
              <w:rPr>
                <w:rFonts w:ascii="宋体" w:hAnsi="宋体" w:cs="宋体" w:eastAsia="宋体" w:hint="default"/>
                <w:spacing w:val="-7"/>
                <w:sz w:val="18"/>
                <w:szCs w:val="18"/>
              </w:rPr>
              <w:t>亚）信息技术公</w:t>
            </w:r>
            <w:r>
              <w:rPr>
                <w:rFonts w:ascii="宋体" w:hAnsi="宋体" w:cs="宋体" w:eastAsia="宋体" w:hint="default"/>
                <w:sz w:val="18"/>
                <w:szCs w:val="18"/>
              </w:rPr>
              <w:t>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北京中软华泰 信息技术有限 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99,999,995.40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99,999,995.40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北京北信源信 息安全技术有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8,100,000.00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北信源国际有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2,160,576.00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2,160,576.00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人工智能产业 技术创新联盟</w:t>
            </w:r>
          </w:p>
          <w:p>
            <w:pPr>
              <w:pStyle w:val="TableParagraph"/>
              <w:spacing w:line="316" w:lineRule="auto" w:before="19"/>
              <w:ind w:left="24" w:right="20"/>
              <w:jc w:val="left"/>
              <w:rPr>
                <w:rFonts w:ascii="宋体" w:hAnsi="宋体" w:cs="宋体" w:eastAsia="宋体" w:hint="default"/>
                <w:sz w:val="18"/>
                <w:szCs w:val="18"/>
              </w:rPr>
            </w:pPr>
            <w:r>
              <w:rPr>
                <w:rFonts w:ascii="宋体" w:hAnsi="宋体" w:cs="宋体" w:eastAsia="宋体" w:hint="default"/>
                <w:spacing w:val="-7"/>
                <w:sz w:val="18"/>
                <w:szCs w:val="18"/>
              </w:rPr>
              <w:t>（北京）科技有</w:t>
            </w:r>
            <w:r>
              <w:rPr>
                <w:rFonts w:ascii="宋体" w:hAnsi="宋体" w:cs="宋体" w:eastAsia="宋体" w:hint="default"/>
                <w:sz w:val="18"/>
                <w:szCs w:val="18"/>
              </w:rPr>
              <w:t>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both"/>
              <w:rPr>
                <w:rFonts w:ascii="宋体" w:hAnsi="宋体" w:cs="宋体" w:eastAsia="宋体" w:hint="default"/>
                <w:sz w:val="18"/>
                <w:szCs w:val="18"/>
              </w:rPr>
            </w:pPr>
            <w:r>
              <w:rPr>
                <w:rFonts w:ascii="宋体" w:hAnsi="宋体" w:cs="宋体" w:eastAsia="宋体" w:hint="default"/>
                <w:sz w:val="18"/>
                <w:szCs w:val="18"/>
              </w:rPr>
              <w:t>北京信源匡恩 工控安全科技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8" w:right="0"/>
              <w:jc w:val="center"/>
              <w:rPr>
                <w:rFonts w:ascii="Times New Roman" w:hAnsi="Times New Roman" w:cs="Times New Roman" w:eastAsia="Times New Roman" w:hint="default"/>
                <w:sz w:val="18"/>
                <w:szCs w:val="18"/>
              </w:rPr>
            </w:pPr>
            <w:r>
              <w:rPr>
                <w:rFonts w:ascii="Times New Roman"/>
                <w:sz w:val="18"/>
              </w:rPr>
              <w:t>5,500,000.00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宋体" w:hAnsi="宋体" w:cs="宋体" w:eastAsia="宋体" w:hint="default"/>
                <w:sz w:val="18"/>
                <w:szCs w:val="18"/>
              </w:rPr>
            </w:pPr>
            <w:r>
              <w:rPr>
                <w:rFonts w:ascii="宋体" w:hAnsi="宋体" w:cs="宋体" w:eastAsia="宋体" w:hint="default"/>
                <w:sz w:val="18"/>
                <w:szCs w:val="18"/>
              </w:rPr>
              <w:t>上海北信源供 应链管理有限 公司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北信源信息技 </w:t>
            </w:r>
            <w:r>
              <w:rPr>
                <w:rFonts w:ascii="宋体" w:hAnsi="宋体" w:cs="宋体" w:eastAsia="宋体" w:hint="default"/>
                <w:spacing w:val="-7"/>
                <w:sz w:val="18"/>
                <w:szCs w:val="18"/>
              </w:rPr>
              <w:t>术（青岛）有限</w:t>
            </w:r>
            <w:r>
              <w:rPr>
                <w:rFonts w:ascii="宋体" w:hAnsi="宋体" w:cs="宋体" w:eastAsia="宋体" w:hint="default"/>
                <w:sz w:val="18"/>
                <w:szCs w:val="18"/>
              </w:rPr>
              <w:t>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1,470,000.00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嘉兴泽阳股权 投资合伙企业</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349,230,571.4</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369,180,571.40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北京辰信 领创信息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4,172,382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-2,408,32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1,764,062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嘉兴北源 投资合伙 企业（有 限合伙）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45,205,73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-1,359,41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75,046,32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北京信源 健和科技 有限责任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17,409,11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-5,071,05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9.41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15,338,05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北京双洲 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5,247,011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746,064.5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5,993,075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深圳市金 城保密技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6,983,279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4,035,000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195,207.7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11,213,48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227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浙江华睿 北信源数 据信息产 业投资合 伙企业</w:t>
            </w:r>
          </w:p>
          <w:p>
            <w:pPr>
              <w:pStyle w:val="TableParagraph"/>
              <w:spacing w:line="316" w:lineRule="auto" w:before="19"/>
              <w:ind w:left="24"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13,031,22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9.64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3,512,184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352,756.9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9,871,802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国保联盟 信息安全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9,497,280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-162,386.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9,334,894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北京美络 克思科技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975,740.1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20,975,74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0.13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101,546,0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37.70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58,235,00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3,512,184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-6,731,41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149,537,4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41.56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101,546,0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58,235,00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3,512,184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-6,731,41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149,537,4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41.56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1122"/>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4"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417,012,331.61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25,049,099.14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365,911,635.45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26,316,430.39</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9" w:right="0"/>
              <w:jc w:val="left"/>
              <w:rPr>
                <w:rFonts w:ascii="Times New Roman" w:hAnsi="Times New Roman" w:cs="Times New Roman" w:eastAsia="Times New Roman" w:hint="default"/>
                <w:sz w:val="18"/>
                <w:szCs w:val="18"/>
              </w:rPr>
            </w:pPr>
            <w:r>
              <w:rPr>
                <w:rFonts w:ascii="Times New Roman"/>
                <w:sz w:val="18"/>
              </w:rPr>
              <w:t>109,682,041.76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89,734,559.92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20,462,991.13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18,095,325.74</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9" w:right="0"/>
              <w:jc w:val="left"/>
              <w:rPr>
                <w:rFonts w:ascii="Times New Roman" w:hAnsi="Times New Roman" w:cs="Times New Roman" w:eastAsia="Times New Roman" w:hint="default"/>
                <w:sz w:val="18"/>
                <w:szCs w:val="18"/>
              </w:rPr>
            </w:pPr>
            <w:r>
              <w:rPr>
                <w:rFonts w:ascii="Times New Roman"/>
                <w:sz w:val="18"/>
              </w:rPr>
              <w:t>526,694,373.37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114,783,659.06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386,374,626.58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44,411,756.13</w:t>
            </w:r>
          </w:p>
        </w:tc>
      </w:tr>
    </w:tbl>
    <w:p>
      <w:pPr>
        <w:pStyle w:val="BodyText"/>
        <w:spacing w:line="240" w:lineRule="auto" w:before="49"/>
        <w:ind w:right="1122"/>
        <w:jc w:val="left"/>
      </w:pPr>
      <w:r>
        <w:rPr/>
        <w:t>是否已执行新收入准则</w:t>
      </w:r>
    </w:p>
    <w:p>
      <w:pPr>
        <w:pStyle w:val="BodyText"/>
        <w:spacing w:line="340" w:lineRule="auto" w:before="115"/>
        <w:ind w:right="9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5"/>
        <w:rPr>
          <w:rFonts w:ascii="宋体" w:hAnsi="宋体" w:cs="宋体" w:eastAsia="宋体" w:hint="default"/>
          <w:sz w:val="21"/>
          <w:szCs w:val="21"/>
        </w:rPr>
      </w:pPr>
    </w:p>
    <w:p>
      <w:pPr>
        <w:pStyle w:val="Heading4"/>
        <w:spacing w:line="240" w:lineRule="auto"/>
        <w:ind w:right="1122"/>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-6,731,412.14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-11,435,731.98</w:t>
            </w: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10,609,119.94</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-6,731,412.14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-826,612.04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22"/>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04"/>
              <w:jc w:val="right"/>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-31,703.69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6,717,487.62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349"/>
              <w:jc w:val="right"/>
              <w:rPr>
                <w:rFonts w:ascii="宋体" w:hAnsi="宋体" w:cs="宋体" w:eastAsia="宋体" w:hint="default"/>
                <w:sz w:val="18"/>
                <w:szCs w:val="18"/>
              </w:rPr>
            </w:pPr>
            <w:r>
              <w:rPr>
                <w:rFonts w:ascii="宋体" w:hAnsi="宋体" w:cs="宋体" w:eastAsia="宋体" w:hint="default"/>
                <w:sz w:val="18"/>
                <w:szCs w:val="18"/>
              </w:rPr>
              <w:t>非经常性连续政府补助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8,265,064.62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49"/>
              <w:jc w:val="right"/>
              <w:rPr>
                <w:rFonts w:ascii="宋体" w:hAnsi="宋体" w:cs="宋体" w:eastAsia="宋体" w:hint="default"/>
                <w:sz w:val="18"/>
                <w:szCs w:val="18"/>
              </w:rPr>
            </w:pPr>
            <w:r>
              <w:rPr>
                <w:rFonts w:ascii="宋体" w:hAnsi="宋体" w:cs="宋体" w:eastAsia="宋体" w:hint="default"/>
                <w:sz w:val="18"/>
                <w:szCs w:val="18"/>
              </w:rPr>
              <w:t>结构性存款及理财收益</w:t>
            </w:r>
          </w:p>
        </w:tc>
      </w:tr>
      <w:tr>
        <w:trPr>
          <w:trHeight w:val="227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465,127.00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49"/>
              <w:jc w:val="right"/>
              <w:rPr>
                <w:rFonts w:ascii="宋体" w:hAnsi="宋体" w:cs="宋体" w:eastAsia="宋体" w:hint="default"/>
                <w:sz w:val="18"/>
                <w:szCs w:val="18"/>
              </w:rPr>
            </w:pPr>
            <w:r>
              <w:rPr>
                <w:rFonts w:ascii="宋体" w:hAnsi="宋体" w:cs="宋体" w:eastAsia="宋体" w:hint="default"/>
                <w:sz w:val="18"/>
                <w:szCs w:val="18"/>
              </w:rPr>
              <w:t>结构性存款及理财收益</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-1,002,444.03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3,054.89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2,162,955.06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12,253,631.35</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4"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0.0154</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6"/>
        <w:ind w:right="1122"/>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1122"/>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4"/>
        <w:spacing w:line="240" w:lineRule="auto"/>
        <w:ind w:right="1122"/>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4"/>
        <w:spacing w:line="259" w:lineRule="auto"/>
        <w:ind w:right="1122"/>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122"/>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22"/>
        <w:jc w:val="left"/>
        <w:rPr>
          <w:b w:val="0"/>
          <w:bCs w:val="0"/>
        </w:rPr>
      </w:pPr>
      <w:bookmarkStart w:name="_TOC_250000" w:id="13"/>
      <w:r>
        <w:rPr/>
        <w:t>第十三节备查文件目录</w:t>
      </w:r>
      <w:bookmarkEnd w:id="13"/>
      <w:r>
        <w:rPr>
          <w:b w:val="0"/>
          <w:bCs w:val="0"/>
        </w:rPr>
      </w:r>
    </w:p>
    <w:p>
      <w:pPr>
        <w:spacing w:line="240" w:lineRule="auto" w:before="6"/>
        <w:rPr>
          <w:rFonts w:ascii="宋体" w:hAnsi="宋体" w:cs="宋体" w:eastAsia="宋体" w:hint="default"/>
          <w:b/>
          <w:bCs/>
          <w:sz w:val="42"/>
          <w:szCs w:val="42"/>
        </w:rPr>
      </w:pPr>
    </w:p>
    <w:p>
      <w:pPr>
        <w:pStyle w:val="BodyText"/>
        <w:spacing w:line="314" w:lineRule="auto"/>
        <w:ind w:right="3914"/>
        <w:jc w:val="left"/>
      </w:pPr>
      <w:r>
        <w:rPr/>
        <w:t>一、载有法定代表人签名的</w:t>
      </w:r>
      <w:r>
        <w:rPr>
          <w:rFonts w:ascii="Times New Roman" w:hAnsi="Times New Roman" w:cs="Times New Roman" w:eastAsia="Times New Roman" w:hint="default"/>
        </w:rPr>
        <w:t>2019</w:t>
      </w:r>
      <w:r>
        <w:rPr/>
        <w:t>年度报告文本； 二、载有法定代表人、主管会计工作负责人、会计机构负责人签名并盖章的财务报表。 三、载有会计师事务所盖章、注册会计师签名并盖章的审计报告原件。 四、报告期内在中国证监会指定网站上公开披露过的所有公司文件的正本及公告原稿。 五、其他有关资料。</w:t>
      </w:r>
    </w:p>
    <w:p>
      <w:pPr>
        <w:pStyle w:val="BodyText"/>
        <w:spacing w:line="240" w:lineRule="auto" w:before="20"/>
        <w:ind w:right="1122"/>
        <w:jc w:val="left"/>
      </w:pPr>
      <w:r>
        <w:rPr/>
        <w:t>六、以上备查文件的备置地点：公司证券投资部办公室。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1"/>
        <w:jc w:val="right"/>
      </w:pPr>
      <w:r>
        <w:rPr/>
        <w:t>北京北信源软件股份有限公司</w:t>
      </w:r>
    </w:p>
    <w:p>
      <w:pPr>
        <w:spacing w:line="240" w:lineRule="auto" w:before="0"/>
        <w:rPr>
          <w:rFonts w:ascii="宋体" w:hAnsi="宋体" w:cs="宋体" w:eastAsia="宋体" w:hint="default"/>
          <w:sz w:val="18"/>
          <w:szCs w:val="18"/>
        </w:rPr>
      </w:pPr>
    </w:p>
    <w:p>
      <w:pPr>
        <w:pStyle w:val="BodyText"/>
        <w:spacing w:line="240" w:lineRule="auto" w:before="153"/>
        <w:ind w:left="0" w:right="1131"/>
        <w:jc w:val="right"/>
      </w:pPr>
      <w:r>
        <w:rPr/>
        <w:t>法定代表人：林皓</w:t>
      </w:r>
    </w:p>
    <w:p>
      <w:pPr>
        <w:spacing w:line="240" w:lineRule="auto" w:before="0"/>
        <w:rPr>
          <w:rFonts w:ascii="宋体" w:hAnsi="宋体" w:cs="宋体" w:eastAsia="宋体" w:hint="default"/>
          <w:sz w:val="18"/>
          <w:szCs w:val="18"/>
        </w:rPr>
      </w:pPr>
    </w:p>
    <w:p>
      <w:pPr>
        <w:pStyle w:val="BodyText"/>
        <w:spacing w:line="240" w:lineRule="auto" w:before="153"/>
        <w:ind w:left="0" w:right="1128"/>
        <w:jc w:val="righ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504" type="#_x0000_t75" stroked="false">
          <v:imagedata r:id="rId1" o:title=""/>
        </v:shape>
      </w:pict>
    </w:r>
    <w:r>
      <w:rPr/>
      <w:pict>
        <v:shape style="position:absolute;margin-left:533.099976pt;margin-top:795.637939pt;width:6.5pt;height:11pt;mso-position-horizontal-relative:page;mso-position-vertical-relative:page;z-index:-12014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456" type="#_x0000_t75" stroked="false">
          <v:imagedata r:id="rId1" o:title=""/>
        </v:shape>
      </w:pict>
    </w:r>
    <w:r>
      <w:rPr/>
      <w:pict>
        <v:shape style="position:absolute;margin-left:527.659973pt;margin-top:781.957947pt;width:13.15pt;height:11pt;mso-position-horizontal-relative:page;mso-position-vertical-relative:page;z-index:-1201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408" type="#_x0000_t75" stroked="false">
          <v:imagedata r:id="rId1" o:title=""/>
        </v:shape>
      </w:pict>
    </w:r>
    <w:r>
      <w:rPr/>
      <w:pict>
        <v:shape style="position:absolute;margin-left:524.099976pt;margin-top:781.957947pt;width:15.7pt;height:11pt;mso-position-horizontal-relative:page;mso-position-vertical-relative:page;z-index:-12013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360" type="#_x0000_t75" stroked="false">
          <v:imagedata r:id="rId1" o:title=""/>
        </v:shape>
      </w:pict>
    </w:r>
    <w:r>
      <w:rPr/>
      <w:pict>
        <v:shape style="position:absolute;margin-left:523.099976pt;margin-top:781.957947pt;width:17.7pt;height:11pt;mso-position-horizontal-relative:page;mso-position-vertical-relative:page;z-index:-12013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312" type="#_x0000_t75" stroked="false">
          <v:imagedata r:id="rId1" o:title=""/>
        </v:shape>
      </w:pict>
    </w:r>
    <w:r>
      <w:rPr/>
      <w:pict>
        <v:shape style="position:absolute;margin-left:523.460022pt;margin-top:781.957947pt;width:17.3pt;height:11pt;mso-position-horizontal-relative:page;mso-position-vertical-relative:page;z-index:-1201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264" type="#_x0000_t75" stroked="false">
          <v:imagedata r:id="rId1" o:title=""/>
        </v:shape>
      </w:pict>
    </w:r>
    <w:r>
      <w:rPr/>
      <w:pict>
        <v:shape style="position:absolute;margin-left:523.099976pt;margin-top:781.957947pt;width:17.7pt;height:11pt;mso-position-horizontal-relative:page;mso-position-vertical-relative:page;z-index:-12012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216" type="#_x0000_t75" stroked="false">
          <v:imagedata r:id="rId1" o:title=""/>
        </v:shape>
      </w:pict>
    </w:r>
    <w:r>
      <w:rPr/>
      <w:pict>
        <v:shape style="position:absolute;margin-left:524.099976pt;margin-top:781.957947pt;width:15.7pt;height:11pt;mso-position-horizontal-relative:page;mso-position-vertical-relative:page;z-index:-12011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1168" type="#_x0000_t75" stroked="false">
          <v:imagedata r:id="rId1" o:title=""/>
        </v:shape>
      </w:pict>
    </w:r>
    <w:r>
      <w:rPr/>
      <w:pict>
        <v:shape style="position:absolute;margin-left:523.099976pt;margin-top:781.957947pt;width:17.7pt;height:11pt;mso-position-horizontal-relative:page;mso-position-vertical-relative:page;z-index:-1201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201528" type="#_x0000_t202" filled="false" stroked="false">
          <v:textbox inset="0,0,0,0">
            <w:txbxContent>
              <w:p>
                <w:pPr>
                  <w:pStyle w:val="BodyText"/>
                  <w:spacing w:line="214" w:lineRule="exact"/>
                  <w:ind w:left="20" w:right="0"/>
                  <w:jc w:val="left"/>
                </w:pPr>
                <w:r>
                  <w:rPr/>
                  <w:t>北京北信源软件股份有限公司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138"/>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spacing w:before="26"/>
      <w:ind w:left="152"/>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b/>
      <w:bCs/>
      <w:sz w:val="21"/>
      <w:szCs w:val="21"/>
    </w:rPr>
  </w:style>
  <w:style w:styleId="Heading5" w:type="paragraph">
    <w:name w:val="Heading 5"/>
    <w:basedOn w:val="Normal"/>
    <w:uiPriority w:val="1"/>
    <w:qFormat/>
    <w:pPr>
      <w:ind w:left="513"/>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vrv.com.cn/" TargetMode="External"/><Relationship Id="rId11" Type="http://schemas.openxmlformats.org/officeDocument/2006/relationships/hyperlink" Target="mailto:vrvzq@vrvmail.com.cn" TargetMode="External"/><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hyperlink" Target="http://w/" TargetMode="External"/><Relationship Id="rId15" Type="http://schemas.openxmlformats.org/officeDocument/2006/relationships/image" Target="media/image5.png"/><Relationship Id="rId16" Type="http://schemas.openxmlformats.org/officeDocument/2006/relationships/hyperlink" Target="http://www.cninfo.com.cn&#20026;&#20844;&#21496;&#20449;&#24687;&#25259;&#38706;&#30340;&#25253;&#32440;&#21644;&#32593;&#31449;/" TargetMode="External"/><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北京北信源软件股份有限公司</dc:creator>
  <dc:title>北京北信源软件股份有限公司2019年年度报告全文</dc:title>
  <dcterms:created xsi:type="dcterms:W3CDTF">2020-05-19T23:17:30Z</dcterms:created>
  <dcterms:modified xsi:type="dcterms:W3CDTF">2020-05-19T23:17:30Z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2020-05-19T00:00:00Z</vt:filetime>
  </property>
</Properties>
</file>