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1048"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1224" w:lineRule="exact"/>
        <w:ind w:left="267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
          <w:sz w:val="20"/>
          <w:szCs w:val="20"/>
        </w:rPr>
        <w:pict>
          <v:group style="width:229.8pt;height:61.2pt;mso-position-horizontal-relative:char;mso-position-vertical-relative:line" coordorigin="0,0" coordsize="4596,1224">
            <v:shape style="position:absolute;left:62;top:0;width:4534;height:576" type="#_x0000_t75" stroked="false">
              <v:imagedata r:id="rId7" o:title=""/>
            </v:shape>
            <v:shape style="position:absolute;left:0;top:518;width:4519;height:706" type="#_x0000_t75" stroked="false">
              <v:imagedata r:id="rId8" o:title=""/>
            </v:shape>
            <v:group style="position:absolute;left:590;top:1196;width:32;height:2" coordorigin="590,1196" coordsize="32,2">
              <v:shape style="position:absolute;left:590;top:1196;width:32;height:2" coordorigin="590,1196" coordsize="32,0" path="m590,1196l622,1196e" filled="false" stroked="true" strokeweight=".12pt" strokecolor="#85a5c7">
                <v:path arrowok="t"/>
              </v:shape>
            </v:group>
          </v:group>
        </w:pict>
      </w:r>
      <w:r>
        <w:rPr>
          <w:rFonts w:ascii="Times New Roman" w:hAnsi="Times New Roman" w:cs="Times New Roman" w:eastAsia="Times New Roman" w:hint="default"/>
          <w:position w:val="-23"/>
          <w:sz w:val="20"/>
          <w:szCs w:val="20"/>
        </w:rPr>
      </w:r>
    </w:p>
    <w:p>
      <w:pPr>
        <w:spacing w:line="240" w:lineRule="auto" w:before="11"/>
        <w:rPr>
          <w:rFonts w:ascii="Times New Roman" w:hAnsi="Times New Roman" w:cs="Times New Roman" w:eastAsia="Times New Roman" w:hint="default"/>
          <w:sz w:val="10"/>
          <w:szCs w:val="10"/>
        </w:rPr>
      </w:pPr>
    </w:p>
    <w:p>
      <w:pPr>
        <w:spacing w:line="441" w:lineRule="auto" w:before="0"/>
        <w:ind w:left="3237" w:right="3233" w:firstLine="0"/>
        <w:jc w:val="center"/>
        <w:rPr>
          <w:rFonts w:ascii="宋体" w:hAnsi="宋体" w:cs="宋体" w:eastAsia="宋体" w:hint="default"/>
          <w:sz w:val="36"/>
          <w:szCs w:val="36"/>
        </w:rPr>
      </w:pPr>
      <w:r>
        <w:rPr>
          <w:rFonts w:ascii="宋体" w:hAnsi="宋体" w:cs="宋体" w:eastAsia="宋体" w:hint="default"/>
          <w:b/>
          <w:bCs/>
          <w:w w:val="95"/>
          <w:sz w:val="36"/>
          <w:szCs w:val="36"/>
        </w:rPr>
        <w:t>光一科技股份有限公司</w:t>
      </w:r>
      <w:r>
        <w:rPr>
          <w:rFonts w:ascii="宋体" w:hAnsi="宋体" w:cs="宋体" w:eastAsia="宋体" w:hint="default"/>
          <w:b/>
          <w:bCs/>
          <w:spacing w:val="-3"/>
          <w:w w:val="95"/>
          <w:sz w:val="36"/>
          <w:szCs w:val="36"/>
        </w:rPr>
        <w:t> </w:t>
      </w:r>
      <w:r>
        <w:rPr>
          <w:rFonts w:ascii="宋体" w:hAnsi="宋体" w:cs="宋体" w:eastAsia="宋体" w:hint="default"/>
          <w:b/>
          <w:bCs/>
          <w:sz w:val="36"/>
          <w:szCs w:val="36"/>
        </w:rPr>
        <w:t>2012</w:t>
      </w:r>
      <w:r>
        <w:rPr>
          <w:rFonts w:ascii="宋体" w:hAnsi="宋体" w:cs="宋体" w:eastAsia="宋体" w:hint="default"/>
          <w:b/>
          <w:bCs/>
          <w:spacing w:val="-97"/>
          <w:sz w:val="36"/>
          <w:szCs w:val="36"/>
        </w:rPr>
        <w:t> </w:t>
      </w:r>
      <w:r>
        <w:rPr>
          <w:rFonts w:ascii="宋体" w:hAnsi="宋体" w:cs="宋体" w:eastAsia="宋体" w:hint="default"/>
          <w:b/>
          <w:bCs/>
          <w:sz w:val="36"/>
          <w:szCs w:val="36"/>
        </w:rPr>
        <w:t>年度报告</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39"/>
          <w:szCs w:val="39"/>
        </w:rPr>
      </w:pPr>
    </w:p>
    <w:p>
      <w:pPr>
        <w:spacing w:before="0"/>
        <w:ind w:left="3234" w:right="3233" w:firstLine="0"/>
        <w:jc w:val="center"/>
        <w:rPr>
          <w:rFonts w:ascii="宋体" w:hAnsi="宋体" w:cs="宋体" w:eastAsia="宋体" w:hint="default"/>
          <w:sz w:val="32"/>
          <w:szCs w:val="32"/>
        </w:rPr>
      </w:pPr>
      <w:r>
        <w:rPr>
          <w:rFonts w:ascii="宋体" w:hAnsi="宋体" w:cs="宋体" w:eastAsia="宋体" w:hint="default"/>
          <w:b/>
          <w:bCs/>
          <w:sz w:val="32"/>
          <w:szCs w:val="32"/>
        </w:rPr>
        <w:t>2013</w:t>
      </w:r>
      <w:r>
        <w:rPr>
          <w:rFonts w:ascii="宋体" w:hAnsi="宋体" w:cs="宋体" w:eastAsia="宋体" w:hint="default"/>
          <w:b/>
          <w:bCs/>
          <w:spacing w:val="-82"/>
          <w:sz w:val="32"/>
          <w:szCs w:val="32"/>
        </w:rPr>
        <w:t> </w:t>
      </w:r>
      <w:r>
        <w:rPr>
          <w:rFonts w:ascii="宋体" w:hAnsi="宋体" w:cs="宋体" w:eastAsia="宋体" w:hint="default"/>
          <w:b/>
          <w:bCs/>
          <w:sz w:val="32"/>
          <w:szCs w:val="32"/>
        </w:rPr>
        <w:t>年</w:t>
      </w:r>
      <w:r>
        <w:rPr>
          <w:rFonts w:ascii="宋体" w:hAnsi="宋体" w:cs="宋体" w:eastAsia="宋体" w:hint="default"/>
          <w:b/>
          <w:bCs/>
          <w:spacing w:val="-84"/>
          <w:sz w:val="32"/>
          <w:szCs w:val="32"/>
        </w:rPr>
        <w:t> </w:t>
      </w:r>
      <w:r>
        <w:rPr>
          <w:rFonts w:ascii="宋体" w:hAnsi="宋体" w:cs="宋体" w:eastAsia="宋体" w:hint="default"/>
          <w:b/>
          <w:bCs/>
          <w:sz w:val="32"/>
          <w:szCs w:val="32"/>
        </w:rPr>
        <w:t>03</w:t>
      </w:r>
      <w:r>
        <w:rPr>
          <w:rFonts w:ascii="宋体" w:hAnsi="宋体" w:cs="宋体" w:eastAsia="宋体" w:hint="default"/>
          <w:b/>
          <w:bCs/>
          <w:spacing w:val="-84"/>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1003" w:top="1040" w:bottom="1200" w:left="980" w:right="980"/>
        </w:sectPr>
      </w:pPr>
    </w:p>
    <w:p>
      <w:pPr>
        <w:spacing w:line="240" w:lineRule="auto" w:before="9"/>
        <w:rPr>
          <w:rFonts w:ascii="宋体" w:hAnsi="宋体" w:cs="宋体" w:eastAsia="宋体" w:hint="default"/>
          <w:b/>
          <w:bCs/>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132"/>
        <w:jc w:val="left"/>
        <w:rPr>
          <w:b w:val="0"/>
          <w:bCs w:val="0"/>
        </w:rPr>
      </w:pPr>
      <w:bookmarkStart w:name="_TOC_250009" w:id="1"/>
      <w:r>
        <w:rPr/>
        <w:t>第一节</w:t>
      </w:r>
      <w:r>
        <w:rPr>
          <w:spacing w:val="-13"/>
        </w:rPr>
        <w:t> </w:t>
      </w:r>
      <w:r>
        <w:rPr/>
        <w:t>重要提示、目录和释义</w:t>
      </w:r>
      <w:bookmarkEnd w:id="1"/>
      <w:r>
        <w:rPr>
          <w:b w:val="0"/>
          <w:bCs w:val="0"/>
        </w:rPr>
      </w:r>
    </w:p>
    <w:p>
      <w:pPr>
        <w:spacing w:line="240" w:lineRule="auto" w:before="10"/>
        <w:rPr>
          <w:rFonts w:ascii="宋体" w:hAnsi="宋体" w:cs="宋体" w:eastAsia="宋体" w:hint="default"/>
          <w:b/>
          <w:bCs/>
          <w:sz w:val="44"/>
          <w:szCs w:val="44"/>
        </w:rPr>
      </w:pPr>
    </w:p>
    <w:p>
      <w:pPr>
        <w:pStyle w:val="Heading2"/>
        <w:spacing w:line="357" w:lineRule="auto" w:before="0"/>
        <w:ind w:left="153" w:right="148" w:firstLine="482"/>
        <w:jc w:val="both"/>
        <w:rPr>
          <w:b w:val="0"/>
          <w:bCs w:val="0"/>
        </w:rPr>
      </w:pPr>
      <w:r>
        <w:rPr/>
        <w:t>本公司董事会、监事会及董事、监事、高级管理人员保证本报告所载资料不存在任何虚</w:t>
      </w:r>
      <w:r>
        <w:rPr>
          <w:spacing w:val="1"/>
          <w:w w:val="99"/>
        </w:rPr>
        <w:t> </w:t>
      </w:r>
      <w:r>
        <w:rPr/>
        <w:t>假记载、误导性陈述或者重大遗漏，并对其内容的真实性、准确性和完整性承担个别及连带</w:t>
      </w:r>
      <w:r>
        <w:rPr>
          <w:spacing w:val="1"/>
          <w:w w:val="99"/>
        </w:rPr>
        <w:t> </w:t>
      </w:r>
      <w:r>
        <w:rPr/>
        <w:t>责任。</w:t>
      </w:r>
      <w:r>
        <w:rPr>
          <w:b w:val="0"/>
          <w:bCs w:val="0"/>
        </w:rPr>
      </w:r>
    </w:p>
    <w:p>
      <w:pPr>
        <w:pStyle w:val="Heading2"/>
        <w:spacing w:line="357" w:lineRule="auto" w:before="36"/>
        <w:ind w:left="636" w:right="132"/>
        <w:jc w:val="left"/>
        <w:rPr>
          <w:b w:val="0"/>
          <w:bCs w:val="0"/>
        </w:rPr>
      </w:pPr>
      <w:r>
        <w:rPr/>
        <w:t>所有董事亲自出席了审议本次年报的董事会会议。</w:t>
      </w:r>
      <w:r>
        <w:rPr>
          <w:spacing w:val="1"/>
          <w:w w:val="99"/>
        </w:rPr>
        <w:t> </w:t>
      </w:r>
      <w:r>
        <w:rPr/>
        <w:t>公司董事、监事、高级管理人员对年度报告内容的真实性、准确性和完整性均无异议。</w:t>
      </w:r>
      <w:r>
        <w:rPr>
          <w:spacing w:val="1"/>
          <w:w w:val="99"/>
        </w:rPr>
        <w:t> </w:t>
      </w:r>
      <w:r>
        <w:rPr/>
        <w:t>公司年度财务报告已经上海众华沪银会计师事务所有限公司审计并被出具了标准无保留</w:t>
      </w:r>
      <w:r>
        <w:rPr>
          <w:b w:val="0"/>
          <w:bCs w:val="0"/>
        </w:rPr>
      </w:r>
    </w:p>
    <w:p>
      <w:pPr>
        <w:pStyle w:val="Heading2"/>
        <w:spacing w:line="357" w:lineRule="auto" w:before="36"/>
        <w:ind w:left="636" w:right="132" w:hanging="483"/>
        <w:jc w:val="left"/>
        <w:rPr>
          <w:b w:val="0"/>
          <w:bCs w:val="0"/>
        </w:rPr>
      </w:pPr>
      <w:r>
        <w:rPr/>
        <w:t>意见的审计报告。</w:t>
      </w:r>
      <w:r>
        <w:rPr>
          <w:spacing w:val="1"/>
          <w:w w:val="99"/>
        </w:rPr>
        <w:t> </w:t>
      </w:r>
      <w:r>
        <w:rPr>
          <w:spacing w:val="4"/>
          <w:w w:val="95"/>
        </w:rPr>
        <w:t>公司负责人龙昌明先生、主管会计工作负责人戴晓东先生及会计机构负责人(会计主管</w:t>
      </w:r>
      <w:r>
        <w:rPr>
          <w:b w:val="0"/>
          <w:bCs w:val="0"/>
          <w:spacing w:val="4"/>
        </w:rPr>
      </w:r>
    </w:p>
    <w:p>
      <w:pPr>
        <w:pStyle w:val="Heading2"/>
        <w:spacing w:line="240" w:lineRule="auto" w:before="36"/>
        <w:ind w:right="132"/>
        <w:jc w:val="left"/>
        <w:rPr>
          <w:b w:val="0"/>
          <w:bCs w:val="0"/>
        </w:rPr>
      </w:pPr>
      <w:r>
        <w:rPr/>
        <w:t>人员)周振娟女士声明：保证年度报告中财务报告的真实、准确、完整。</w:t>
      </w:r>
      <w:r>
        <w:rPr>
          <w:b w:val="0"/>
          <w:bCs w:val="0"/>
        </w:rPr>
      </w:r>
    </w:p>
    <w:p>
      <w:pPr>
        <w:spacing w:after="0" w:line="240" w:lineRule="auto"/>
        <w:jc w:val="left"/>
        <w:sectPr>
          <w:footerReference w:type="default" r:id="rId9"/>
          <w:pgSz w:w="11910" w:h="16840"/>
          <w:pgMar w:footer="1003" w:header="747" w:top="1040" w:bottom="1200" w:left="980" w:right="980"/>
          <w:pgNumType w:start="2"/>
        </w:sectPr>
      </w:pPr>
    </w:p>
    <w:p>
      <w:pPr>
        <w:spacing w:line="240" w:lineRule="auto" w:before="9"/>
        <w:rPr>
          <w:rFonts w:ascii="宋体" w:hAnsi="宋体" w:cs="宋体" w:eastAsia="宋体" w:hint="default"/>
          <w:b/>
          <w:bCs/>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pStyle w:val="Heading2"/>
        <w:tabs>
          <w:tab w:pos="481" w:val="left" w:leader="none"/>
        </w:tabs>
        <w:spacing w:line="240" w:lineRule="auto"/>
        <w:ind w:left="0" w:right="0"/>
        <w:jc w:val="center"/>
        <w:rPr>
          <w:b w:val="0"/>
          <w:bCs w:val="0"/>
        </w:rPr>
      </w:pPr>
      <w:r>
        <w:rPr>
          <w:w w:val="95"/>
        </w:rPr>
        <w:t>目</w:t>
        <w:tab/>
      </w:r>
      <w:r>
        <w:rPr/>
        <w:t>录</w:t>
      </w:r>
      <w:r>
        <w:rPr>
          <w:b w:val="0"/>
          <w:bCs w:val="0"/>
        </w:rPr>
      </w:r>
    </w:p>
    <w:sdt>
      <w:sdtPr>
        <w:docPartObj>
          <w:docPartGallery w:val="Table of Contents"/>
          <w:docPartUnique/>
        </w:docPartObj>
      </w:sdtPr>
      <w:sdtEndPr/>
      <w:sdtContent>
        <w:p>
          <w:pPr>
            <w:pStyle w:val="TOC1"/>
            <w:tabs>
              <w:tab w:pos="9781" w:val="right" w:leader="dot"/>
            </w:tabs>
            <w:spacing w:line="240" w:lineRule="auto" w:before="798"/>
            <w:ind w:right="0"/>
            <w:jc w:val="left"/>
          </w:pPr>
          <w:r>
            <w:fldChar w:fldCharType="begin"/>
          </w:r>
          <w:r>
            <w:instrText>TOC \o "1-1" \h \z \u </w:instrText>
          </w:r>
          <w:r>
            <w:fldChar w:fldCharType="separate"/>
          </w:r>
          <w:hyperlink w:history="true" w:anchor="_TOC_250009">
            <w:r>
              <w:rPr/>
              <w:t>第一节 重要提示、目录和释义</w:t>
            </w:r>
            <w:r>
              <w:rPr>
                <w:rFonts w:ascii="Times New Roman" w:hAnsi="Times New Roman" w:cs="Times New Roman" w:eastAsia="Times New Roman" w:hint="default"/>
              </w:rPr>
              <w:tab/>
            </w:r>
            <w:r>
              <w:rPr/>
              <w:t>2</w:t>
            </w:r>
          </w:hyperlink>
        </w:p>
        <w:p>
          <w:pPr>
            <w:pStyle w:val="TOC1"/>
            <w:tabs>
              <w:tab w:pos="9781" w:val="right" w:leader="dot"/>
            </w:tabs>
            <w:spacing w:line="240" w:lineRule="auto"/>
            <w:ind w:right="0"/>
            <w:jc w:val="left"/>
          </w:pPr>
          <w:hyperlink w:history="true" w:anchor="_TOC_250008">
            <w:r>
              <w:rPr/>
              <w:t>第二节 公司基本情况简介</w:t>
            </w:r>
            <w:r>
              <w:rPr>
                <w:rFonts w:ascii="Times New Roman" w:hAnsi="Times New Roman" w:cs="Times New Roman" w:eastAsia="Times New Roman" w:hint="default"/>
              </w:rPr>
              <w:tab/>
            </w:r>
            <w:r>
              <w:rPr/>
              <w:t>6</w:t>
            </w:r>
          </w:hyperlink>
        </w:p>
        <w:p>
          <w:pPr>
            <w:pStyle w:val="TOC1"/>
            <w:tabs>
              <w:tab w:pos="9781" w:val="right" w:leader="dot"/>
            </w:tabs>
            <w:spacing w:line="240" w:lineRule="auto"/>
            <w:ind w:right="0"/>
            <w:jc w:val="left"/>
          </w:pPr>
          <w:hyperlink w:history="true" w:anchor="_TOC_250007">
            <w:r>
              <w:rPr/>
              <w:t>第三节 会计数据和财务指标摘要</w:t>
            </w:r>
            <w:r>
              <w:rPr>
                <w:rFonts w:ascii="Times New Roman" w:hAnsi="Times New Roman" w:cs="Times New Roman" w:eastAsia="Times New Roman" w:hint="default"/>
              </w:rPr>
              <w:tab/>
            </w:r>
            <w:r>
              <w:rPr/>
              <w:t>8</w:t>
            </w:r>
          </w:hyperlink>
        </w:p>
        <w:p>
          <w:pPr>
            <w:pStyle w:val="TOC1"/>
            <w:tabs>
              <w:tab w:pos="9781" w:val="right" w:leader="dot"/>
            </w:tabs>
            <w:spacing w:line="240" w:lineRule="auto" w:before="194"/>
            <w:ind w:right="0"/>
            <w:jc w:val="left"/>
          </w:pPr>
          <w:hyperlink w:history="true" w:anchor="_TOC_250006">
            <w:r>
              <w:rPr/>
              <w:t>第四节 董事会报告</w:t>
            </w:r>
            <w:r>
              <w:rPr>
                <w:rFonts w:ascii="Times New Roman" w:hAnsi="Times New Roman" w:cs="Times New Roman" w:eastAsia="Times New Roman" w:hint="default"/>
              </w:rPr>
              <w:tab/>
            </w:r>
            <w:r>
              <w:rPr/>
              <w:t>11</w:t>
            </w:r>
          </w:hyperlink>
        </w:p>
        <w:p>
          <w:pPr>
            <w:pStyle w:val="TOC1"/>
            <w:tabs>
              <w:tab w:pos="9781" w:val="right" w:leader="dot"/>
            </w:tabs>
            <w:spacing w:line="240" w:lineRule="auto"/>
            <w:ind w:right="0"/>
            <w:jc w:val="left"/>
          </w:pPr>
          <w:hyperlink w:history="true" w:anchor="_TOC_250005">
            <w:r>
              <w:rPr/>
              <w:t>第五节 重要事项</w:t>
            </w:r>
            <w:r>
              <w:rPr>
                <w:rFonts w:ascii="Times New Roman" w:hAnsi="Times New Roman" w:cs="Times New Roman" w:eastAsia="Times New Roman" w:hint="default"/>
              </w:rPr>
              <w:tab/>
            </w:r>
            <w:r>
              <w:rPr/>
              <w:t>30</w:t>
            </w:r>
          </w:hyperlink>
        </w:p>
        <w:p>
          <w:pPr>
            <w:pStyle w:val="TOC1"/>
            <w:tabs>
              <w:tab w:pos="9781" w:val="right" w:leader="dot"/>
            </w:tabs>
            <w:spacing w:line="240" w:lineRule="auto"/>
            <w:ind w:right="0"/>
            <w:jc w:val="left"/>
          </w:pPr>
          <w:hyperlink w:history="true" w:anchor="_TOC_250004">
            <w:r>
              <w:rPr/>
              <w:t>第六节 股份变动及股东情况</w:t>
            </w:r>
            <w:r>
              <w:rPr>
                <w:rFonts w:ascii="Times New Roman" w:hAnsi="Times New Roman" w:cs="Times New Roman" w:eastAsia="Times New Roman" w:hint="default"/>
              </w:rPr>
              <w:tab/>
            </w:r>
            <w:r>
              <w:rPr/>
              <w:t>38</w:t>
            </w:r>
          </w:hyperlink>
        </w:p>
        <w:p>
          <w:pPr>
            <w:pStyle w:val="TOC1"/>
            <w:tabs>
              <w:tab w:pos="9781" w:val="right" w:leader="dot"/>
            </w:tabs>
            <w:spacing w:line="240" w:lineRule="auto" w:before="194"/>
            <w:ind w:right="0"/>
            <w:jc w:val="left"/>
          </w:pPr>
          <w:hyperlink w:history="true" w:anchor="_TOC_250003">
            <w:r>
              <w:rPr/>
              <w:t>第七节 董事、监事、高级管理人员和员工情况</w:t>
            </w:r>
            <w:r>
              <w:rPr>
                <w:rFonts w:ascii="Times New Roman" w:hAnsi="Times New Roman" w:cs="Times New Roman" w:eastAsia="Times New Roman" w:hint="default"/>
              </w:rPr>
              <w:tab/>
            </w:r>
            <w:r>
              <w:rPr/>
              <w:t>45</w:t>
            </w:r>
          </w:hyperlink>
        </w:p>
        <w:p>
          <w:pPr>
            <w:pStyle w:val="TOC1"/>
            <w:tabs>
              <w:tab w:pos="9781" w:val="right" w:leader="dot"/>
            </w:tabs>
            <w:spacing w:line="240" w:lineRule="auto"/>
            <w:ind w:right="0"/>
            <w:jc w:val="left"/>
          </w:pPr>
          <w:hyperlink w:history="true" w:anchor="_TOC_250002">
            <w:r>
              <w:rPr/>
              <w:t>第八节 公司治理</w:t>
            </w:r>
            <w:r>
              <w:rPr>
                <w:rFonts w:ascii="Times New Roman" w:hAnsi="Times New Roman" w:cs="Times New Roman" w:eastAsia="Times New Roman" w:hint="default"/>
              </w:rPr>
              <w:tab/>
            </w:r>
            <w:r>
              <w:rPr/>
              <w:t>54</w:t>
            </w:r>
          </w:hyperlink>
        </w:p>
        <w:p>
          <w:pPr>
            <w:pStyle w:val="TOC1"/>
            <w:tabs>
              <w:tab w:pos="9781" w:val="right" w:leader="dot"/>
            </w:tabs>
            <w:spacing w:line="240" w:lineRule="auto"/>
            <w:ind w:right="0"/>
            <w:jc w:val="left"/>
          </w:pPr>
          <w:hyperlink w:history="true" w:anchor="_TOC_250001">
            <w:r>
              <w:rPr/>
              <w:t>第九节 财务报告</w:t>
            </w:r>
            <w:r>
              <w:rPr>
                <w:rFonts w:ascii="Times New Roman" w:hAnsi="Times New Roman" w:cs="Times New Roman" w:eastAsia="Times New Roman" w:hint="default"/>
              </w:rPr>
              <w:tab/>
            </w:r>
            <w:r>
              <w:rPr/>
              <w:t>57</w:t>
            </w:r>
          </w:hyperlink>
        </w:p>
        <w:p>
          <w:pPr>
            <w:pStyle w:val="TOC1"/>
            <w:tabs>
              <w:tab w:pos="9781" w:val="right" w:leader="dot"/>
            </w:tabs>
            <w:spacing w:line="240" w:lineRule="auto" w:before="194"/>
            <w:ind w:right="0"/>
            <w:jc w:val="left"/>
          </w:pPr>
          <w:hyperlink w:history="true" w:anchor="_TOC_250000">
            <w:r>
              <w:rPr/>
              <w:t>第十节 备查文件目录</w:t>
            </w:r>
            <w:r>
              <w:rPr>
                <w:rFonts w:ascii="Times New Roman" w:hAnsi="Times New Roman" w:cs="Times New Roman" w:eastAsia="Times New Roman" w:hint="default"/>
              </w:rPr>
              <w:tab/>
            </w:r>
            <w:r>
              <w:rPr/>
              <w:t>134</w:t>
            </w:r>
          </w:hyperlink>
        </w:p>
        <w:p>
          <w:pPr/>
          <w:r>
            <w:fldChar w:fldCharType="end"/>
          </w:r>
        </w:p>
      </w:sdtContent>
    </w:sdt>
    <w:p>
      <w:pPr>
        <w:spacing w:after="0"/>
        <w:sectPr>
          <w:pgSz w:w="11910" w:h="16840"/>
          <w:pgMar w:header="747" w:footer="1003" w:top="1040" w:bottom="1200" w:left="980" w:right="980"/>
        </w:sectPr>
      </w:pPr>
    </w:p>
    <w:p>
      <w:pPr>
        <w:pStyle w:val="Heading2"/>
        <w:tabs>
          <w:tab w:pos="481" w:val="left" w:leader="none"/>
        </w:tabs>
        <w:spacing w:line="240" w:lineRule="auto" w:before="743"/>
        <w:ind w:left="0" w:right="0"/>
        <w:jc w:val="center"/>
        <w:rPr>
          <w:b w:val="0"/>
          <w:bCs w:val="0"/>
        </w:rPr>
      </w:pPr>
      <w:r>
        <w:rPr>
          <w:w w:val="95"/>
        </w:rPr>
        <w:t>释</w:t>
        <w:tab/>
      </w:r>
      <w:r>
        <w:rPr/>
        <w:t>义</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8"/>
          <w:szCs w:val="28"/>
        </w:rPr>
      </w:pPr>
    </w:p>
    <w:p>
      <w:pPr>
        <w:pStyle w:val="BodyText"/>
        <w:spacing w:line="240" w:lineRule="auto"/>
        <w:ind w:left="0" w:right="141"/>
        <w:jc w:val="right"/>
      </w:pPr>
      <w:r>
        <w:rPr/>
        <w:pict>
          <v:shape style="position:absolute;margin-left:55.919998pt;margin-top:-269.556pt;width:480.7pt;height:621.9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0"/>
                    <w:gridCol w:w="5423"/>
                  </w:tblGrid>
                  <w:tr>
                    <w:trPr>
                      <w:trHeight w:val="490" w:hRule="exact"/>
                    </w:trPr>
                    <w:tc>
                      <w:tcPr>
                        <w:tcW w:w="3525"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63"/>
                          <w:ind w:right="7"/>
                          <w:jc w:val="center"/>
                          <w:rPr>
                            <w:rFonts w:ascii="宋体" w:hAnsi="宋体" w:cs="宋体" w:eastAsia="宋体" w:hint="default"/>
                            <w:sz w:val="21"/>
                            <w:szCs w:val="21"/>
                          </w:rPr>
                        </w:pPr>
                        <w:r>
                          <w:rPr>
                            <w:rFonts w:ascii="宋体" w:hAnsi="宋体" w:cs="宋体" w:eastAsia="宋体" w:hint="default"/>
                            <w:sz w:val="21"/>
                            <w:szCs w:val="21"/>
                          </w:rPr>
                          <w:t>释义项</w:t>
                        </w:r>
                      </w:p>
                    </w:tc>
                    <w:tc>
                      <w:tcPr>
                        <w:tcW w:w="62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3"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63"/>
                          <w:ind w:left="8" w:right="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482" w:hRule="exact"/>
                    </w:trPr>
                    <w:tc>
                      <w:tcPr>
                        <w:tcW w:w="35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3"/>
                          <w:ind w:left="13" w:right="0"/>
                          <w:jc w:val="left"/>
                          <w:rPr>
                            <w:rFonts w:ascii="宋体" w:hAnsi="宋体" w:cs="宋体" w:eastAsia="宋体" w:hint="default"/>
                            <w:sz w:val="21"/>
                            <w:szCs w:val="21"/>
                          </w:rPr>
                        </w:pPr>
                        <w:r>
                          <w:rPr>
                            <w:rFonts w:ascii="宋体" w:hAnsi="宋体" w:cs="宋体" w:eastAsia="宋体" w:hint="default"/>
                            <w:sz w:val="21"/>
                            <w:szCs w:val="21"/>
                          </w:rPr>
                          <w:t>光一科技</w:t>
                        </w:r>
                      </w:p>
                    </w:tc>
                    <w:tc>
                      <w:tcPr>
                        <w:tcW w:w="62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3"/>
                          <w:ind w:left="21" w:right="0"/>
                          <w:jc w:val="left"/>
                          <w:rPr>
                            <w:rFonts w:ascii="宋体" w:hAnsi="宋体" w:cs="宋体" w:eastAsia="宋体" w:hint="default"/>
                            <w:sz w:val="21"/>
                            <w:szCs w:val="21"/>
                          </w:rPr>
                        </w:pPr>
                        <w:r>
                          <w:rPr>
                            <w:rFonts w:ascii="宋体" w:hAnsi="宋体" w:cs="宋体" w:eastAsia="宋体" w:hint="default"/>
                            <w:sz w:val="21"/>
                            <w:szCs w:val="21"/>
                          </w:rPr>
                          <w:t>光一科技股份有限公司</w:t>
                        </w:r>
                      </w:p>
                    </w:tc>
                  </w:tr>
                  <w:tr>
                    <w:trPr>
                      <w:trHeight w:val="484" w:hRule="exact"/>
                    </w:trPr>
                    <w:tc>
                      <w:tcPr>
                        <w:tcW w:w="35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left="13" w:right="0"/>
                          <w:jc w:val="left"/>
                          <w:rPr>
                            <w:rFonts w:ascii="宋体" w:hAnsi="宋体" w:cs="宋体" w:eastAsia="宋体" w:hint="default"/>
                            <w:sz w:val="21"/>
                            <w:szCs w:val="21"/>
                          </w:rPr>
                        </w:pPr>
                        <w:r>
                          <w:rPr>
                            <w:rFonts w:ascii="宋体" w:hAnsi="宋体" w:cs="宋体" w:eastAsia="宋体" w:hint="default"/>
                            <w:sz w:val="21"/>
                            <w:szCs w:val="21"/>
                          </w:rPr>
                          <w:t>光一投资</w:t>
                        </w:r>
                      </w:p>
                    </w:tc>
                    <w:tc>
                      <w:tcPr>
                        <w:tcW w:w="62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21" w:right="0"/>
                          <w:jc w:val="left"/>
                          <w:rPr>
                            <w:rFonts w:ascii="宋体" w:hAnsi="宋体" w:cs="宋体" w:eastAsia="宋体" w:hint="default"/>
                            <w:sz w:val="21"/>
                            <w:szCs w:val="21"/>
                          </w:rPr>
                        </w:pPr>
                        <w:r>
                          <w:rPr>
                            <w:rFonts w:ascii="宋体" w:hAnsi="宋体" w:cs="宋体" w:eastAsia="宋体" w:hint="default"/>
                            <w:sz w:val="21"/>
                            <w:szCs w:val="21"/>
                          </w:rPr>
                          <w:t>江苏光一投资管理有限责任公司，本公司控股股东</w:t>
                        </w:r>
                      </w:p>
                    </w:tc>
                  </w:tr>
                  <w:tr>
                    <w:trPr>
                      <w:trHeight w:val="482" w:hRule="exact"/>
                    </w:trPr>
                    <w:tc>
                      <w:tcPr>
                        <w:tcW w:w="35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3"/>
                          <w:ind w:left="13" w:right="0"/>
                          <w:jc w:val="left"/>
                          <w:rPr>
                            <w:rFonts w:ascii="宋体" w:hAnsi="宋体" w:cs="宋体" w:eastAsia="宋体" w:hint="default"/>
                            <w:sz w:val="21"/>
                            <w:szCs w:val="21"/>
                          </w:rPr>
                        </w:pPr>
                        <w:r>
                          <w:rPr>
                            <w:rFonts w:ascii="宋体" w:hAnsi="宋体" w:cs="宋体" w:eastAsia="宋体" w:hint="default"/>
                            <w:sz w:val="21"/>
                            <w:szCs w:val="21"/>
                          </w:rPr>
                          <w:t>苏源光一</w:t>
                        </w:r>
                      </w:p>
                    </w:tc>
                    <w:tc>
                      <w:tcPr>
                        <w:tcW w:w="62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3"/>
                          <w:ind w:left="21" w:right="0"/>
                          <w:jc w:val="left"/>
                          <w:rPr>
                            <w:rFonts w:ascii="宋体" w:hAnsi="宋体" w:cs="宋体" w:eastAsia="宋体" w:hint="default"/>
                            <w:sz w:val="21"/>
                            <w:szCs w:val="21"/>
                          </w:rPr>
                        </w:pPr>
                        <w:r>
                          <w:rPr>
                            <w:rFonts w:ascii="宋体" w:hAnsi="宋体" w:cs="宋体" w:eastAsia="宋体" w:hint="default"/>
                            <w:sz w:val="21"/>
                            <w:szCs w:val="21"/>
                          </w:rPr>
                          <w:t>江苏苏源光一科技有限公司、本公司全资子公司</w:t>
                        </w:r>
                      </w:p>
                    </w:tc>
                  </w:tr>
                  <w:tr>
                    <w:trPr>
                      <w:trHeight w:val="484" w:hRule="exact"/>
                    </w:trPr>
                    <w:tc>
                      <w:tcPr>
                        <w:tcW w:w="35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left="13" w:right="0"/>
                          <w:jc w:val="left"/>
                          <w:rPr>
                            <w:rFonts w:ascii="宋体" w:hAnsi="宋体" w:cs="宋体" w:eastAsia="宋体" w:hint="default"/>
                            <w:sz w:val="21"/>
                            <w:szCs w:val="21"/>
                          </w:rPr>
                        </w:pPr>
                        <w:r>
                          <w:rPr>
                            <w:rFonts w:ascii="宋体" w:hAnsi="宋体" w:cs="宋体" w:eastAsia="宋体" w:hint="default"/>
                            <w:sz w:val="21"/>
                            <w:szCs w:val="21"/>
                          </w:rPr>
                          <w:t>大烨电气</w:t>
                        </w:r>
                      </w:p>
                    </w:tc>
                    <w:tc>
                      <w:tcPr>
                        <w:tcW w:w="62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21" w:right="0"/>
                          <w:jc w:val="left"/>
                          <w:rPr>
                            <w:rFonts w:ascii="宋体" w:hAnsi="宋体" w:cs="宋体" w:eastAsia="宋体" w:hint="default"/>
                            <w:sz w:val="21"/>
                            <w:szCs w:val="21"/>
                          </w:rPr>
                        </w:pPr>
                        <w:r>
                          <w:rPr>
                            <w:rFonts w:ascii="宋体" w:hAnsi="宋体" w:cs="宋体" w:eastAsia="宋体" w:hint="default"/>
                            <w:sz w:val="21"/>
                            <w:szCs w:val="21"/>
                          </w:rPr>
                          <w:t>江苏大烨电气有限公司、本公司参股公司</w:t>
                        </w:r>
                      </w:p>
                    </w:tc>
                  </w:tr>
                  <w:tr>
                    <w:trPr>
                      <w:trHeight w:val="482" w:hRule="exact"/>
                    </w:trPr>
                    <w:tc>
                      <w:tcPr>
                        <w:tcW w:w="35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3"/>
                          <w:ind w:left="13" w:right="0"/>
                          <w:jc w:val="left"/>
                          <w:rPr>
                            <w:rFonts w:ascii="宋体" w:hAnsi="宋体" w:cs="宋体" w:eastAsia="宋体" w:hint="default"/>
                            <w:sz w:val="21"/>
                            <w:szCs w:val="21"/>
                          </w:rPr>
                        </w:pPr>
                        <w:r>
                          <w:rPr>
                            <w:rFonts w:ascii="宋体" w:hAnsi="宋体" w:cs="宋体" w:eastAsia="宋体" w:hint="default"/>
                            <w:sz w:val="21"/>
                            <w:szCs w:val="21"/>
                          </w:rPr>
                          <w:t>国网公司</w:t>
                        </w:r>
                      </w:p>
                    </w:tc>
                    <w:tc>
                      <w:tcPr>
                        <w:tcW w:w="62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3"/>
                          <w:ind w:left="21" w:right="0"/>
                          <w:jc w:val="left"/>
                          <w:rPr>
                            <w:rFonts w:ascii="宋体" w:hAnsi="宋体" w:cs="宋体" w:eastAsia="宋体" w:hint="default"/>
                            <w:sz w:val="21"/>
                            <w:szCs w:val="21"/>
                          </w:rPr>
                        </w:pPr>
                        <w:r>
                          <w:rPr>
                            <w:rFonts w:ascii="宋体" w:hAnsi="宋体" w:cs="宋体" w:eastAsia="宋体" w:hint="default"/>
                            <w:sz w:val="21"/>
                            <w:szCs w:val="21"/>
                          </w:rPr>
                          <w:t>国家电网公司</w:t>
                        </w:r>
                      </w:p>
                    </w:tc>
                  </w:tr>
                  <w:tr>
                    <w:trPr>
                      <w:trHeight w:val="484" w:hRule="exact"/>
                    </w:trPr>
                    <w:tc>
                      <w:tcPr>
                        <w:tcW w:w="35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left="13" w:right="0"/>
                          <w:jc w:val="left"/>
                          <w:rPr>
                            <w:rFonts w:ascii="宋体" w:hAnsi="宋体" w:cs="宋体" w:eastAsia="宋体" w:hint="default"/>
                            <w:sz w:val="21"/>
                            <w:szCs w:val="21"/>
                          </w:rPr>
                        </w:pPr>
                        <w:r>
                          <w:rPr>
                            <w:rFonts w:ascii="宋体" w:hAnsi="宋体" w:cs="宋体" w:eastAsia="宋体" w:hint="default"/>
                            <w:sz w:val="21"/>
                            <w:szCs w:val="21"/>
                          </w:rPr>
                          <w:t>南方电网公司</w:t>
                        </w:r>
                      </w:p>
                    </w:tc>
                    <w:tc>
                      <w:tcPr>
                        <w:tcW w:w="62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21" w:right="0"/>
                          <w:jc w:val="left"/>
                          <w:rPr>
                            <w:rFonts w:ascii="宋体" w:hAnsi="宋体" w:cs="宋体" w:eastAsia="宋体" w:hint="default"/>
                            <w:sz w:val="21"/>
                            <w:szCs w:val="21"/>
                          </w:rPr>
                        </w:pPr>
                        <w:r>
                          <w:rPr>
                            <w:rFonts w:ascii="宋体" w:hAnsi="宋体" w:cs="宋体" w:eastAsia="宋体" w:hint="default"/>
                            <w:sz w:val="21"/>
                            <w:szCs w:val="21"/>
                          </w:rPr>
                          <w:t>中国南方电网有限责任公司</w:t>
                        </w:r>
                      </w:p>
                    </w:tc>
                  </w:tr>
                  <w:tr>
                    <w:trPr>
                      <w:trHeight w:val="482" w:hRule="exact"/>
                    </w:trPr>
                    <w:tc>
                      <w:tcPr>
                        <w:tcW w:w="35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3"/>
                          <w:ind w:left="13" w:right="0"/>
                          <w:jc w:val="left"/>
                          <w:rPr>
                            <w:rFonts w:ascii="宋体" w:hAnsi="宋体" w:cs="宋体" w:eastAsia="宋体" w:hint="default"/>
                            <w:sz w:val="21"/>
                            <w:szCs w:val="21"/>
                          </w:rPr>
                        </w:pPr>
                        <w:r>
                          <w:rPr>
                            <w:rFonts w:ascii="宋体" w:hAnsi="宋体" w:cs="宋体" w:eastAsia="宋体" w:hint="default"/>
                            <w:sz w:val="21"/>
                            <w:szCs w:val="21"/>
                          </w:rPr>
                          <w:t>地方电网</w:t>
                        </w:r>
                      </w:p>
                    </w:tc>
                    <w:tc>
                      <w:tcPr>
                        <w:tcW w:w="62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3"/>
                          <w:ind w:left="21" w:right="0"/>
                          <w:jc w:val="left"/>
                          <w:rPr>
                            <w:rFonts w:ascii="宋体" w:hAnsi="宋体" w:cs="宋体" w:eastAsia="宋体" w:hint="default"/>
                            <w:sz w:val="21"/>
                            <w:szCs w:val="21"/>
                          </w:rPr>
                        </w:pPr>
                        <w:r>
                          <w:rPr>
                            <w:rFonts w:ascii="宋体" w:hAnsi="宋体" w:cs="宋体" w:eastAsia="宋体" w:hint="default"/>
                            <w:sz w:val="21"/>
                            <w:szCs w:val="21"/>
                          </w:rPr>
                          <w:t>地方自建自管的电网</w:t>
                        </w:r>
                      </w:p>
                    </w:tc>
                  </w:tr>
                  <w:tr>
                    <w:trPr>
                      <w:trHeight w:val="952" w:hRule="exact"/>
                    </w:trPr>
                    <w:tc>
                      <w:tcPr>
                        <w:tcW w:w="35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sz w:val="21"/>
                            <w:szCs w:val="21"/>
                          </w:rPr>
                          <w:t>农网</w:t>
                        </w:r>
                      </w:p>
                    </w:tc>
                    <w:tc>
                      <w:tcPr>
                        <w:tcW w:w="62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3" w:type="dxa"/>
                        <w:tcBorders>
                          <w:top w:val="single" w:sz="6" w:space="0" w:color="000000"/>
                          <w:left w:val="single" w:sz="6" w:space="0" w:color="000000"/>
                          <w:bottom w:val="single" w:sz="6" w:space="0" w:color="000000"/>
                          <w:right w:val="single" w:sz="12" w:space="0" w:color="000000"/>
                        </w:tcBorders>
                      </w:tcPr>
                      <w:p>
                        <w:pPr>
                          <w:pStyle w:val="TableParagraph"/>
                          <w:spacing w:line="408" w:lineRule="auto" w:before="64"/>
                          <w:ind w:left="21" w:right="127"/>
                          <w:jc w:val="left"/>
                          <w:rPr>
                            <w:rFonts w:ascii="宋体" w:hAnsi="宋体" w:cs="宋体" w:eastAsia="宋体" w:hint="default"/>
                            <w:sz w:val="21"/>
                            <w:szCs w:val="21"/>
                          </w:rPr>
                        </w:pPr>
                        <w:r>
                          <w:rPr>
                            <w:rFonts w:ascii="宋体" w:hAnsi="宋体" w:cs="宋体" w:eastAsia="宋体" w:hint="default"/>
                            <w:sz w:val="21"/>
                            <w:szCs w:val="21"/>
                          </w:rPr>
                          <w:t>通常是指县以下国家供电系统的变压台站与农户之间的输 变电网络</w:t>
                        </w:r>
                      </w:p>
                    </w:tc>
                  </w:tr>
                  <w:tr>
                    <w:trPr>
                      <w:trHeight w:val="482" w:hRule="exact"/>
                    </w:trPr>
                    <w:tc>
                      <w:tcPr>
                        <w:tcW w:w="35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3"/>
                          <w:ind w:left="13" w:right="0"/>
                          <w:jc w:val="left"/>
                          <w:rPr>
                            <w:rFonts w:ascii="宋体" w:hAnsi="宋体" w:cs="宋体" w:eastAsia="宋体" w:hint="default"/>
                            <w:sz w:val="21"/>
                            <w:szCs w:val="21"/>
                          </w:rPr>
                        </w:pPr>
                        <w:r>
                          <w:rPr>
                            <w:rFonts w:ascii="宋体"/>
                            <w:sz w:val="21"/>
                          </w:rPr>
                          <w:t>KVA</w:t>
                        </w:r>
                      </w:p>
                    </w:tc>
                    <w:tc>
                      <w:tcPr>
                        <w:tcW w:w="62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3"/>
                          <w:ind w:left="21" w:right="0"/>
                          <w:jc w:val="left"/>
                          <w:rPr>
                            <w:rFonts w:ascii="宋体" w:hAnsi="宋体" w:cs="宋体" w:eastAsia="宋体" w:hint="default"/>
                            <w:sz w:val="21"/>
                            <w:szCs w:val="21"/>
                          </w:rPr>
                        </w:pPr>
                        <w:r>
                          <w:rPr>
                            <w:rFonts w:ascii="宋体" w:hAnsi="宋体" w:cs="宋体" w:eastAsia="宋体" w:hint="default"/>
                            <w:sz w:val="21"/>
                            <w:szCs w:val="21"/>
                          </w:rPr>
                          <w:t>千伏安</w:t>
                        </w:r>
                      </w:p>
                    </w:tc>
                  </w:tr>
                  <w:tr>
                    <w:trPr>
                      <w:trHeight w:val="1420" w:hRule="exact"/>
                    </w:trPr>
                    <w:tc>
                      <w:tcPr>
                        <w:tcW w:w="35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sz w:val="21"/>
                            <w:szCs w:val="21"/>
                          </w:rPr>
                          <w:t>主站系统</w:t>
                        </w:r>
                      </w:p>
                    </w:tc>
                    <w:tc>
                      <w:tcPr>
                        <w:tcW w:w="62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3" w:type="dxa"/>
                        <w:tcBorders>
                          <w:top w:val="single" w:sz="6" w:space="0" w:color="000000"/>
                          <w:left w:val="single" w:sz="6" w:space="0" w:color="000000"/>
                          <w:bottom w:val="single" w:sz="6" w:space="0" w:color="000000"/>
                          <w:right w:val="single" w:sz="12" w:space="0" w:color="000000"/>
                        </w:tcBorders>
                      </w:tcPr>
                      <w:p>
                        <w:pPr>
                          <w:pStyle w:val="TableParagraph"/>
                          <w:spacing w:line="408" w:lineRule="auto" w:before="64"/>
                          <w:ind w:left="21" w:right="11"/>
                          <w:jc w:val="left"/>
                          <w:rPr>
                            <w:rFonts w:ascii="宋体" w:hAnsi="宋体" w:cs="宋体" w:eastAsia="宋体" w:hint="default"/>
                            <w:sz w:val="21"/>
                            <w:szCs w:val="21"/>
                          </w:rPr>
                        </w:pPr>
                        <w:r>
                          <w:rPr>
                            <w:rFonts w:ascii="宋体" w:hAnsi="宋体" w:cs="宋体" w:eastAsia="宋体" w:hint="default"/>
                            <w:spacing w:val="-8"/>
                            <w:sz w:val="21"/>
                            <w:szCs w:val="21"/>
                          </w:rPr>
                          <w:t>是用电信息采集系统的管理中心，由主站软件、计算机网络</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4"/>
                            <w:sz w:val="21"/>
                            <w:szCs w:val="21"/>
                          </w:rPr>
                          <w:t>前置机、服务器、工作站等设备组成，负责整个系统的信息</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采集、用电管理、数据管理和应用等</w:t>
                        </w:r>
                      </w:p>
                    </w:tc>
                  </w:tr>
                  <w:tr>
                    <w:trPr>
                      <w:trHeight w:val="1886" w:hRule="exact"/>
                    </w:trPr>
                    <w:tc>
                      <w:tcPr>
                        <w:tcW w:w="35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sz w:val="21"/>
                            <w:szCs w:val="21"/>
                          </w:rPr>
                          <w:t>用电信息采集系统</w:t>
                        </w:r>
                      </w:p>
                    </w:tc>
                    <w:tc>
                      <w:tcPr>
                        <w:tcW w:w="62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3" w:type="dxa"/>
                        <w:tcBorders>
                          <w:top w:val="single" w:sz="6" w:space="0" w:color="000000"/>
                          <w:left w:val="single" w:sz="6" w:space="0" w:color="000000"/>
                          <w:bottom w:val="single" w:sz="6" w:space="0" w:color="000000"/>
                          <w:right w:val="single" w:sz="12" w:space="0" w:color="000000"/>
                        </w:tcBorders>
                      </w:tcPr>
                      <w:p>
                        <w:pPr>
                          <w:pStyle w:val="TableParagraph"/>
                          <w:spacing w:line="408" w:lineRule="auto" w:before="63"/>
                          <w:ind w:left="21" w:right="11"/>
                          <w:jc w:val="left"/>
                          <w:rPr>
                            <w:rFonts w:ascii="宋体" w:hAnsi="宋体" w:cs="宋体" w:eastAsia="宋体" w:hint="default"/>
                            <w:sz w:val="21"/>
                            <w:szCs w:val="21"/>
                          </w:rPr>
                        </w:pPr>
                        <w:r>
                          <w:rPr>
                            <w:rFonts w:ascii="宋体" w:hAnsi="宋体" w:cs="宋体" w:eastAsia="宋体" w:hint="default"/>
                            <w:sz w:val="21"/>
                            <w:szCs w:val="21"/>
                          </w:rPr>
                          <w:t>电力用户用电信息采集系统是对电力用户的用电信息进行 采集、处理和实时监控的系统，实现用电信息的自动采集 </w:t>
                        </w:r>
                        <w:r>
                          <w:rPr>
                            <w:rFonts w:ascii="宋体" w:hAnsi="宋体" w:cs="宋体" w:eastAsia="宋体" w:hint="default"/>
                            <w:spacing w:val="-4"/>
                            <w:sz w:val="21"/>
                            <w:szCs w:val="21"/>
                          </w:rPr>
                          <w:t>计量异常监测、电能质量监测、用电分析和管理、相关信息</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发布、分布式能源监控、智能用电设备的信息交互等功能</w:t>
                        </w:r>
                      </w:p>
                    </w:tc>
                  </w:tr>
                  <w:tr>
                    <w:trPr>
                      <w:trHeight w:val="952" w:hRule="exact"/>
                    </w:trPr>
                    <w:tc>
                      <w:tcPr>
                        <w:tcW w:w="35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sz w:val="21"/>
                            <w:szCs w:val="21"/>
                          </w:rPr>
                          <w:t>集中器</w:t>
                        </w:r>
                      </w:p>
                    </w:tc>
                    <w:tc>
                      <w:tcPr>
                        <w:tcW w:w="62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3" w:type="dxa"/>
                        <w:tcBorders>
                          <w:top w:val="single" w:sz="6" w:space="0" w:color="000000"/>
                          <w:left w:val="single" w:sz="6" w:space="0" w:color="000000"/>
                          <w:bottom w:val="single" w:sz="6" w:space="0" w:color="000000"/>
                          <w:right w:val="single" w:sz="12" w:space="0" w:color="000000"/>
                        </w:tcBorders>
                      </w:tcPr>
                      <w:p>
                        <w:pPr>
                          <w:pStyle w:val="TableParagraph"/>
                          <w:spacing w:line="408" w:lineRule="auto" w:before="64"/>
                          <w:ind w:left="21" w:right="11"/>
                          <w:jc w:val="left"/>
                          <w:rPr>
                            <w:rFonts w:ascii="宋体" w:hAnsi="宋体" w:cs="宋体" w:eastAsia="宋体" w:hint="default"/>
                            <w:sz w:val="21"/>
                            <w:szCs w:val="21"/>
                          </w:rPr>
                        </w:pPr>
                        <w:r>
                          <w:rPr>
                            <w:rFonts w:ascii="宋体" w:hAnsi="宋体" w:cs="宋体" w:eastAsia="宋体" w:hint="default"/>
                            <w:spacing w:val="-4"/>
                            <w:sz w:val="21"/>
                            <w:szCs w:val="21"/>
                          </w:rPr>
                          <w:t>安装于公用配电变压器上的用电信息采集设备，用于低压一</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般工商业用户和居民用户的自动抄表</w:t>
                        </w:r>
                      </w:p>
                    </w:tc>
                  </w:tr>
                  <w:tr>
                    <w:trPr>
                      <w:trHeight w:val="1886" w:hRule="exact"/>
                    </w:trPr>
                    <w:tc>
                      <w:tcPr>
                        <w:tcW w:w="35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sz w:val="21"/>
                            <w:szCs w:val="21"/>
                          </w:rPr>
                          <w:t>采集器</w:t>
                        </w:r>
                      </w:p>
                    </w:tc>
                    <w:tc>
                      <w:tcPr>
                        <w:tcW w:w="62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3" w:type="dxa"/>
                        <w:tcBorders>
                          <w:top w:val="single" w:sz="6" w:space="0" w:color="000000"/>
                          <w:left w:val="single" w:sz="6" w:space="0" w:color="000000"/>
                          <w:bottom w:val="single" w:sz="6" w:space="0" w:color="000000"/>
                          <w:right w:val="single" w:sz="12" w:space="0" w:color="000000"/>
                        </w:tcBorders>
                      </w:tcPr>
                      <w:p>
                        <w:pPr>
                          <w:pStyle w:val="TableParagraph"/>
                          <w:spacing w:line="408" w:lineRule="auto" w:before="63"/>
                          <w:ind w:left="21" w:right="8"/>
                          <w:jc w:val="both"/>
                          <w:rPr>
                            <w:rFonts w:ascii="宋体" w:hAnsi="宋体" w:cs="宋体" w:eastAsia="宋体" w:hint="default"/>
                            <w:sz w:val="21"/>
                            <w:szCs w:val="21"/>
                          </w:rPr>
                        </w:pPr>
                        <w:r>
                          <w:rPr>
                            <w:rFonts w:ascii="宋体" w:hAnsi="宋体" w:cs="宋体" w:eastAsia="宋体" w:hint="default"/>
                            <w:sz w:val="21"/>
                            <w:szCs w:val="21"/>
                          </w:rPr>
                          <w:t>一种小型的用电信息采集设备,用于低压用户的自动抄表， 安装于居民楼层电表箱中连接</w:t>
                        </w:r>
                        <w:r>
                          <w:rPr>
                            <w:rFonts w:ascii="宋体" w:hAnsi="宋体" w:cs="宋体" w:eastAsia="宋体" w:hint="default"/>
                            <w:spacing w:val="-51"/>
                            <w:sz w:val="21"/>
                            <w:szCs w:val="21"/>
                          </w:rPr>
                          <w:t> </w:t>
                        </w:r>
                        <w:r>
                          <w:rPr>
                            <w:rFonts w:ascii="宋体" w:hAnsi="宋体" w:cs="宋体" w:eastAsia="宋体" w:hint="default"/>
                            <w:sz w:val="21"/>
                            <w:szCs w:val="21"/>
                          </w:rPr>
                          <w:t>RS485</w:t>
                        </w:r>
                        <w:r>
                          <w:rPr>
                            <w:rFonts w:ascii="宋体" w:hAnsi="宋体" w:cs="宋体" w:eastAsia="宋体" w:hint="default"/>
                            <w:spacing w:val="-50"/>
                            <w:sz w:val="21"/>
                            <w:szCs w:val="21"/>
                          </w:rPr>
                          <w:t> </w:t>
                        </w:r>
                        <w:r>
                          <w:rPr>
                            <w:rFonts w:ascii="宋体" w:hAnsi="宋体" w:cs="宋体" w:eastAsia="宋体" w:hint="default"/>
                            <w:spacing w:val="-10"/>
                            <w:sz w:val="21"/>
                            <w:szCs w:val="21"/>
                          </w:rPr>
                          <w:t>电表，采集信息后通过</w:t>
                        </w:r>
                        <w:r>
                          <w:rPr>
                            <w:rFonts w:ascii="宋体" w:hAnsi="宋体" w:cs="宋体" w:eastAsia="宋体" w:hint="default"/>
                            <w:sz w:val="21"/>
                            <w:szCs w:val="21"/>
                          </w:rPr>
                          <w:t> </w:t>
                        </w:r>
                        <w:r>
                          <w:rPr>
                            <w:rFonts w:ascii="宋体" w:hAnsi="宋体" w:cs="宋体" w:eastAsia="宋体" w:hint="default"/>
                            <w:spacing w:val="-4"/>
                            <w:sz w:val="21"/>
                            <w:szCs w:val="21"/>
                          </w:rPr>
                          <w:t>电力线载波等方式将数据上传至集中器，一般不与主站系统</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直接通信</w:t>
                        </w:r>
                      </w:p>
                    </w:tc>
                  </w:tr>
                  <w:tr>
                    <w:trPr>
                      <w:trHeight w:val="959" w:hRule="exact"/>
                    </w:trPr>
                    <w:tc>
                      <w:tcPr>
                        <w:tcW w:w="352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sz w:val="21"/>
                            <w:szCs w:val="21"/>
                          </w:rPr>
                          <w:t>专变采集终端</w:t>
                        </w:r>
                      </w:p>
                    </w:tc>
                    <w:tc>
                      <w:tcPr>
                        <w:tcW w:w="620"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3" w:type="dxa"/>
                        <w:tcBorders>
                          <w:top w:val="single" w:sz="6" w:space="0" w:color="000000"/>
                          <w:left w:val="single" w:sz="6" w:space="0" w:color="000000"/>
                          <w:bottom w:val="single" w:sz="12" w:space="0" w:color="000000"/>
                          <w:right w:val="single" w:sz="12" w:space="0" w:color="000000"/>
                        </w:tcBorders>
                      </w:tcPr>
                      <w:p>
                        <w:pPr>
                          <w:pStyle w:val="TableParagraph"/>
                          <w:spacing w:line="408" w:lineRule="auto" w:before="64"/>
                          <w:ind w:left="21" w:right="233"/>
                          <w:jc w:val="left"/>
                          <w:rPr>
                            <w:rFonts w:ascii="宋体" w:hAnsi="宋体" w:cs="宋体" w:eastAsia="宋体" w:hint="default"/>
                            <w:sz w:val="21"/>
                            <w:szCs w:val="21"/>
                          </w:rPr>
                        </w:pPr>
                        <w:r>
                          <w:rPr>
                            <w:rFonts w:ascii="宋体" w:hAnsi="宋体" w:cs="宋体" w:eastAsia="宋体" w:hint="default"/>
                            <w:sz w:val="21"/>
                            <w:szCs w:val="21"/>
                          </w:rPr>
                          <w:t>安装于专用配电变压器的用电信息采集设备,除信息采集 外，还实现负荷监控和管理的功能</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before="35"/>
        <w:ind w:left="0" w:right="154"/>
        <w:jc w:val="right"/>
      </w:pPr>
      <w:r>
        <w:rPr/>
        <w:t>、</w:t>
      </w:r>
    </w:p>
    <w:p>
      <w:pPr>
        <w:spacing w:after="0" w:line="240" w:lineRule="auto"/>
        <w:jc w:val="right"/>
        <w:sectPr>
          <w:pgSz w:w="11910" w:h="16840"/>
          <w:pgMar w:header="747" w:footer="1003" w:top="1040" w:bottom="120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3525"/>
        <w:gridCol w:w="620"/>
        <w:gridCol w:w="5423"/>
      </w:tblGrid>
      <w:tr>
        <w:trPr>
          <w:trHeight w:val="490" w:hRule="exact"/>
        </w:trPr>
        <w:tc>
          <w:tcPr>
            <w:tcW w:w="3525"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63"/>
              <w:ind w:right="7"/>
              <w:jc w:val="center"/>
              <w:rPr>
                <w:rFonts w:ascii="宋体" w:hAnsi="宋体" w:cs="宋体" w:eastAsia="宋体" w:hint="default"/>
                <w:sz w:val="21"/>
                <w:szCs w:val="21"/>
              </w:rPr>
            </w:pPr>
            <w:r>
              <w:rPr>
                <w:rFonts w:ascii="宋体" w:hAnsi="宋体" w:cs="宋体" w:eastAsia="宋体" w:hint="default"/>
                <w:sz w:val="21"/>
                <w:szCs w:val="21"/>
              </w:rPr>
              <w:t>释义项</w:t>
            </w:r>
          </w:p>
        </w:tc>
        <w:tc>
          <w:tcPr>
            <w:tcW w:w="62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3"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63"/>
              <w:ind w:left="8" w:right="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950" w:hRule="exact"/>
        </w:trPr>
        <w:tc>
          <w:tcPr>
            <w:tcW w:w="35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sz w:val="21"/>
                <w:szCs w:val="21"/>
              </w:rPr>
              <w:t>230M</w:t>
            </w:r>
            <w:r>
              <w:rPr>
                <w:rFonts w:ascii="宋体" w:hAnsi="宋体" w:cs="宋体" w:eastAsia="宋体" w:hint="default"/>
                <w:spacing w:val="-54"/>
                <w:sz w:val="21"/>
                <w:szCs w:val="21"/>
              </w:rPr>
              <w:t> </w:t>
            </w:r>
            <w:r>
              <w:rPr>
                <w:rFonts w:ascii="宋体" w:hAnsi="宋体" w:cs="宋体" w:eastAsia="宋体" w:hint="default"/>
                <w:sz w:val="21"/>
                <w:szCs w:val="21"/>
              </w:rPr>
              <w:t>专网终端</w:t>
            </w:r>
          </w:p>
        </w:tc>
        <w:tc>
          <w:tcPr>
            <w:tcW w:w="62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3" w:type="dxa"/>
            <w:tcBorders>
              <w:top w:val="single" w:sz="6" w:space="0" w:color="000000"/>
              <w:left w:val="single" w:sz="6" w:space="0" w:color="000000"/>
              <w:bottom w:val="single" w:sz="6" w:space="0" w:color="000000"/>
              <w:right w:val="single" w:sz="12" w:space="0" w:color="000000"/>
            </w:tcBorders>
          </w:tcPr>
          <w:p>
            <w:pPr>
              <w:pStyle w:val="TableParagraph"/>
              <w:spacing w:line="408" w:lineRule="auto" w:before="63"/>
              <w:ind w:left="21" w:right="22"/>
              <w:jc w:val="left"/>
              <w:rPr>
                <w:rFonts w:ascii="宋体" w:hAnsi="宋体" w:cs="宋体" w:eastAsia="宋体" w:hint="default"/>
                <w:sz w:val="21"/>
                <w:szCs w:val="21"/>
              </w:rPr>
            </w:pPr>
            <w:r>
              <w:rPr>
                <w:rFonts w:ascii="宋体" w:hAnsi="宋体" w:cs="宋体" w:eastAsia="宋体" w:hint="default"/>
                <w:sz w:val="21"/>
                <w:szCs w:val="21"/>
              </w:rPr>
              <w:t>使用国家无线电委员会分配给数据采集的专用</w:t>
            </w:r>
            <w:r>
              <w:rPr>
                <w:rFonts w:ascii="宋体" w:hAnsi="宋体" w:cs="宋体" w:eastAsia="宋体" w:hint="default"/>
                <w:spacing w:val="-62"/>
                <w:sz w:val="21"/>
                <w:szCs w:val="21"/>
              </w:rPr>
              <w:t> </w:t>
            </w:r>
            <w:r>
              <w:rPr>
                <w:rFonts w:ascii="宋体" w:hAnsi="宋体" w:cs="宋体" w:eastAsia="宋体" w:hint="default"/>
                <w:sz w:val="21"/>
                <w:szCs w:val="21"/>
              </w:rPr>
              <w:t>230MHz</w:t>
            </w:r>
            <w:r>
              <w:rPr>
                <w:rFonts w:ascii="宋体" w:hAnsi="宋体" w:cs="宋体" w:eastAsia="宋体" w:hint="default"/>
                <w:spacing w:val="-61"/>
                <w:sz w:val="21"/>
                <w:szCs w:val="21"/>
              </w:rPr>
              <w:t> </w:t>
            </w:r>
            <w:r>
              <w:rPr>
                <w:rFonts w:ascii="宋体" w:hAnsi="宋体" w:cs="宋体" w:eastAsia="宋体" w:hint="default"/>
                <w:sz w:val="21"/>
                <w:szCs w:val="21"/>
              </w:rPr>
              <w:t>频段</w:t>
            </w:r>
            <w:r>
              <w:rPr>
                <w:rFonts w:ascii="宋体" w:hAnsi="宋体" w:cs="宋体" w:eastAsia="宋体" w:hint="default"/>
                <w:spacing w:val="-1"/>
                <w:sz w:val="21"/>
                <w:szCs w:val="21"/>
              </w:rPr>
              <w:t> </w:t>
            </w:r>
            <w:r>
              <w:rPr>
                <w:rFonts w:ascii="宋体" w:hAnsi="宋体" w:cs="宋体" w:eastAsia="宋体" w:hint="default"/>
                <w:sz w:val="21"/>
                <w:szCs w:val="21"/>
              </w:rPr>
              <w:t>进行数据传输的用电信息采集设备</w:t>
            </w:r>
          </w:p>
        </w:tc>
      </w:tr>
      <w:tr>
        <w:trPr>
          <w:trHeight w:val="952" w:hRule="exact"/>
        </w:trPr>
        <w:tc>
          <w:tcPr>
            <w:tcW w:w="35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sz w:val="21"/>
                <w:szCs w:val="21"/>
              </w:rPr>
              <w:t>公网终端</w:t>
            </w:r>
          </w:p>
        </w:tc>
        <w:tc>
          <w:tcPr>
            <w:tcW w:w="62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3" w:type="dxa"/>
            <w:tcBorders>
              <w:top w:val="single" w:sz="6" w:space="0" w:color="000000"/>
              <w:left w:val="single" w:sz="6" w:space="0" w:color="000000"/>
              <w:bottom w:val="single" w:sz="6" w:space="0" w:color="000000"/>
              <w:right w:val="single" w:sz="12" w:space="0" w:color="000000"/>
            </w:tcBorders>
          </w:tcPr>
          <w:p>
            <w:pPr>
              <w:pStyle w:val="TableParagraph"/>
              <w:spacing w:line="408" w:lineRule="auto" w:before="64"/>
              <w:ind w:left="21" w:right="22"/>
              <w:jc w:val="left"/>
              <w:rPr>
                <w:rFonts w:ascii="宋体" w:hAnsi="宋体" w:cs="宋体" w:eastAsia="宋体" w:hint="default"/>
                <w:sz w:val="21"/>
                <w:szCs w:val="21"/>
              </w:rPr>
            </w:pPr>
            <w:r>
              <w:rPr>
                <w:rFonts w:ascii="宋体" w:hAnsi="宋体" w:cs="宋体" w:eastAsia="宋体" w:hint="default"/>
                <w:sz w:val="21"/>
                <w:szCs w:val="21"/>
              </w:rPr>
              <w:t>使用公用通信网络进行数据传输的用电信息采集设备,目前 主要采用移动运营商的</w:t>
            </w:r>
            <w:r>
              <w:rPr>
                <w:rFonts w:ascii="宋体" w:hAnsi="宋体" w:cs="宋体" w:eastAsia="宋体" w:hint="default"/>
                <w:spacing w:val="-58"/>
                <w:sz w:val="21"/>
                <w:szCs w:val="21"/>
              </w:rPr>
              <w:t> </w:t>
            </w:r>
            <w:r>
              <w:rPr>
                <w:rFonts w:ascii="宋体" w:hAnsi="宋体" w:cs="宋体" w:eastAsia="宋体" w:hint="default"/>
                <w:sz w:val="21"/>
                <w:szCs w:val="21"/>
              </w:rPr>
              <w:t>GPRS</w:t>
            </w:r>
            <w:r>
              <w:rPr>
                <w:rFonts w:ascii="宋体" w:hAnsi="宋体" w:cs="宋体" w:eastAsia="宋体" w:hint="default"/>
                <w:spacing w:val="-57"/>
                <w:sz w:val="21"/>
                <w:szCs w:val="21"/>
              </w:rPr>
              <w:t> </w:t>
            </w:r>
            <w:r>
              <w:rPr>
                <w:rFonts w:ascii="宋体" w:hAnsi="宋体" w:cs="宋体" w:eastAsia="宋体" w:hint="default"/>
                <w:sz w:val="21"/>
                <w:szCs w:val="21"/>
              </w:rPr>
              <w:t>或</w:t>
            </w:r>
            <w:r>
              <w:rPr>
                <w:rFonts w:ascii="宋体" w:hAnsi="宋体" w:cs="宋体" w:eastAsia="宋体" w:hint="default"/>
                <w:spacing w:val="-59"/>
                <w:sz w:val="21"/>
                <w:szCs w:val="21"/>
              </w:rPr>
              <w:t> </w:t>
            </w:r>
            <w:r>
              <w:rPr>
                <w:rFonts w:ascii="宋体" w:hAnsi="宋体" w:cs="宋体" w:eastAsia="宋体" w:hint="default"/>
                <w:sz w:val="21"/>
                <w:szCs w:val="21"/>
              </w:rPr>
              <w:t>CDMA</w:t>
            </w:r>
            <w:r>
              <w:rPr>
                <w:rFonts w:ascii="宋体" w:hAnsi="宋体" w:cs="宋体" w:eastAsia="宋体" w:hint="default"/>
                <w:spacing w:val="-58"/>
                <w:sz w:val="21"/>
                <w:szCs w:val="21"/>
              </w:rPr>
              <w:t> </w:t>
            </w:r>
            <w:r>
              <w:rPr>
                <w:rFonts w:ascii="宋体" w:hAnsi="宋体" w:cs="宋体" w:eastAsia="宋体" w:hint="default"/>
                <w:sz w:val="21"/>
                <w:szCs w:val="21"/>
              </w:rPr>
              <w:t>通信网络</w:t>
            </w:r>
          </w:p>
        </w:tc>
      </w:tr>
      <w:tr>
        <w:trPr>
          <w:trHeight w:val="490" w:hRule="exact"/>
        </w:trPr>
        <w:tc>
          <w:tcPr>
            <w:tcW w:w="352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3"/>
              <w:ind w:left="13" w:right="0"/>
              <w:jc w:val="left"/>
              <w:rPr>
                <w:rFonts w:ascii="宋体" w:hAnsi="宋体" w:cs="宋体" w:eastAsia="宋体" w:hint="default"/>
                <w:sz w:val="21"/>
                <w:szCs w:val="21"/>
              </w:rPr>
            </w:pPr>
            <w:r>
              <w:rPr>
                <w:rFonts w:ascii="宋体"/>
                <w:sz w:val="21"/>
              </w:rPr>
              <w:t>RS485</w:t>
            </w:r>
          </w:p>
        </w:tc>
        <w:tc>
          <w:tcPr>
            <w:tcW w:w="620"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3"/>
              <w:ind w:left="21" w:right="0"/>
              <w:jc w:val="left"/>
              <w:rPr>
                <w:rFonts w:ascii="宋体" w:hAnsi="宋体" w:cs="宋体" w:eastAsia="宋体" w:hint="default"/>
                <w:sz w:val="21"/>
                <w:szCs w:val="21"/>
              </w:rPr>
            </w:pPr>
            <w:r>
              <w:rPr>
                <w:rFonts w:ascii="宋体" w:hAnsi="宋体" w:cs="宋体" w:eastAsia="宋体" w:hint="default"/>
                <w:sz w:val="21"/>
                <w:szCs w:val="21"/>
              </w:rPr>
              <w:t>RS485</w:t>
            </w:r>
            <w:r>
              <w:rPr>
                <w:rFonts w:ascii="宋体" w:hAnsi="宋体" w:cs="宋体" w:eastAsia="宋体" w:hint="default"/>
                <w:spacing w:val="-54"/>
                <w:sz w:val="21"/>
                <w:szCs w:val="21"/>
              </w:rPr>
              <w:t> </w:t>
            </w:r>
            <w:r>
              <w:rPr>
                <w:rFonts w:ascii="宋体" w:hAnsi="宋体" w:cs="宋体" w:eastAsia="宋体" w:hint="default"/>
                <w:sz w:val="21"/>
                <w:szCs w:val="21"/>
              </w:rPr>
              <w:t>串行总线标准</w:t>
            </w:r>
          </w:p>
        </w:tc>
      </w:tr>
    </w:tbl>
    <w:p>
      <w:pPr>
        <w:spacing w:after="0" w:line="240" w:lineRule="auto"/>
        <w:jc w:val="left"/>
        <w:rPr>
          <w:rFonts w:ascii="宋体" w:hAnsi="宋体" w:cs="宋体" w:eastAsia="宋体" w:hint="default"/>
          <w:sz w:val="21"/>
          <w:szCs w:val="21"/>
        </w:rPr>
        <w:sectPr>
          <w:pgSz w:w="11910" w:h="16840"/>
          <w:pgMar w:header="747" w:footer="1003" w:top="1040" w:bottom="120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9"/>
          <w:szCs w:val="29"/>
        </w:rPr>
      </w:pPr>
    </w:p>
    <w:p>
      <w:pPr>
        <w:pStyle w:val="Heading1"/>
        <w:spacing w:line="240" w:lineRule="auto"/>
        <w:ind w:left="3126" w:right="132"/>
        <w:jc w:val="left"/>
        <w:rPr>
          <w:b w:val="0"/>
          <w:bCs w:val="0"/>
        </w:rPr>
      </w:pPr>
      <w:bookmarkStart w:name="_TOC_250008" w:id="2"/>
      <w:r>
        <w:rPr/>
        <w:t>第二节</w:t>
      </w:r>
      <w:r>
        <w:rPr>
          <w:spacing w:val="-9"/>
        </w:rPr>
        <w:t> </w:t>
      </w:r>
      <w:r>
        <w:rPr/>
        <w:t>公司基本情况简介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132"/>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2931"/>
        <w:gridCol w:w="2305"/>
        <w:gridCol w:w="2156"/>
        <w:gridCol w:w="2176"/>
      </w:tblGrid>
      <w:tr>
        <w:trPr>
          <w:trHeight w:val="430" w:hRule="exact"/>
        </w:trPr>
        <w:tc>
          <w:tcPr>
            <w:tcW w:w="2931"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股票简称</w:t>
            </w:r>
          </w:p>
        </w:tc>
        <w:tc>
          <w:tcPr>
            <w:tcW w:w="23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光一科技</w:t>
            </w:r>
          </w:p>
        </w:tc>
        <w:tc>
          <w:tcPr>
            <w:tcW w:w="2156"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3"/>
              <w:ind w:left="710"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sz w:val="18"/>
              </w:rPr>
              <w:t>300356</w:t>
            </w:r>
          </w:p>
        </w:tc>
      </w:tr>
      <w:tr>
        <w:trPr>
          <w:trHeight w:val="400" w:hRule="exact"/>
        </w:trPr>
        <w:tc>
          <w:tcPr>
            <w:tcW w:w="2931"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44"/>
              <w:ind w:right="7"/>
              <w:jc w:val="center"/>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38" w:type="dxa"/>
            <w:gridSpan w:val="3"/>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44"/>
              <w:ind w:left="20"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14" w:hRule="exact"/>
        </w:trPr>
        <w:tc>
          <w:tcPr>
            <w:tcW w:w="2931"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6"/>
              <w:ind w:right="7"/>
              <w:jc w:val="center"/>
              <w:rPr>
                <w:rFonts w:ascii="宋体" w:hAnsi="宋体" w:cs="宋体" w:eastAsia="宋体" w:hint="default"/>
                <w:sz w:val="18"/>
                <w:szCs w:val="18"/>
              </w:rPr>
            </w:pPr>
            <w:r>
              <w:rPr>
                <w:rFonts w:ascii="宋体" w:hAnsi="宋体" w:cs="宋体" w:eastAsia="宋体" w:hint="default"/>
                <w:sz w:val="18"/>
                <w:szCs w:val="18"/>
              </w:rPr>
              <w:t>公司的中文名称</w:t>
            </w:r>
          </w:p>
        </w:tc>
        <w:tc>
          <w:tcPr>
            <w:tcW w:w="6638"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6"/>
              <w:ind w:left="20" w:right="0"/>
              <w:jc w:val="left"/>
              <w:rPr>
                <w:rFonts w:ascii="宋体" w:hAnsi="宋体" w:cs="宋体" w:eastAsia="宋体" w:hint="default"/>
                <w:sz w:val="18"/>
                <w:szCs w:val="18"/>
              </w:rPr>
            </w:pPr>
            <w:r>
              <w:rPr>
                <w:rFonts w:ascii="宋体" w:hAnsi="宋体" w:cs="宋体" w:eastAsia="宋体" w:hint="default"/>
                <w:sz w:val="18"/>
                <w:szCs w:val="18"/>
              </w:rPr>
              <w:t>光一科技股份有限公司</w:t>
            </w:r>
          </w:p>
        </w:tc>
      </w:tr>
      <w:tr>
        <w:trPr>
          <w:trHeight w:val="412" w:hRule="exact"/>
        </w:trPr>
        <w:tc>
          <w:tcPr>
            <w:tcW w:w="2931"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公司的中文简称</w:t>
            </w:r>
          </w:p>
        </w:tc>
        <w:tc>
          <w:tcPr>
            <w:tcW w:w="6638"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光一科技</w:t>
            </w:r>
          </w:p>
        </w:tc>
      </w:tr>
      <w:tr>
        <w:trPr>
          <w:trHeight w:val="412" w:hRule="exact"/>
        </w:trPr>
        <w:tc>
          <w:tcPr>
            <w:tcW w:w="2931"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公司的外文名称</w:t>
            </w:r>
          </w:p>
        </w:tc>
        <w:tc>
          <w:tcPr>
            <w:tcW w:w="6638"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left="20" w:right="0"/>
              <w:jc w:val="left"/>
              <w:rPr>
                <w:rFonts w:ascii="宋体" w:hAnsi="宋体" w:cs="宋体" w:eastAsia="宋体" w:hint="default"/>
                <w:sz w:val="18"/>
                <w:szCs w:val="18"/>
              </w:rPr>
            </w:pPr>
            <w:r>
              <w:rPr>
                <w:rFonts w:ascii="宋体"/>
                <w:sz w:val="18"/>
              </w:rPr>
              <w:t>EleFirst Science &amp; Technology Co., Ltd.</w:t>
            </w:r>
          </w:p>
        </w:tc>
      </w:tr>
      <w:tr>
        <w:trPr>
          <w:trHeight w:val="413" w:hRule="exact"/>
        </w:trPr>
        <w:tc>
          <w:tcPr>
            <w:tcW w:w="2931"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38"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left="20" w:right="0"/>
              <w:jc w:val="left"/>
              <w:rPr>
                <w:rFonts w:ascii="宋体" w:hAnsi="宋体" w:cs="宋体" w:eastAsia="宋体" w:hint="default"/>
                <w:sz w:val="18"/>
                <w:szCs w:val="18"/>
              </w:rPr>
            </w:pPr>
            <w:r>
              <w:rPr>
                <w:rFonts w:ascii="宋体"/>
                <w:sz w:val="18"/>
              </w:rPr>
              <w:t>EleFirst</w:t>
            </w:r>
          </w:p>
        </w:tc>
      </w:tr>
      <w:tr>
        <w:trPr>
          <w:trHeight w:val="412" w:hRule="exact"/>
        </w:trPr>
        <w:tc>
          <w:tcPr>
            <w:tcW w:w="2931"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38"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龙昌明</w:t>
            </w:r>
          </w:p>
        </w:tc>
      </w:tr>
      <w:tr>
        <w:trPr>
          <w:trHeight w:val="412" w:hRule="exact"/>
        </w:trPr>
        <w:tc>
          <w:tcPr>
            <w:tcW w:w="2931"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6638"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left="20" w:right="0"/>
              <w:jc w:val="left"/>
              <w:rPr>
                <w:rFonts w:ascii="宋体" w:hAnsi="宋体" w:cs="宋体" w:eastAsia="宋体" w:hint="default"/>
                <w:sz w:val="18"/>
                <w:szCs w:val="18"/>
              </w:rPr>
            </w:pPr>
            <w:r>
              <w:rPr>
                <w:rFonts w:ascii="宋体" w:hAnsi="宋体" w:cs="宋体" w:eastAsia="宋体" w:hint="default"/>
                <w:sz w:val="18"/>
                <w:szCs w:val="18"/>
              </w:rPr>
              <w:t>南京市江宁经济技术开发区胜太路</w:t>
            </w:r>
            <w:r>
              <w:rPr>
                <w:rFonts w:ascii="宋体" w:hAnsi="宋体" w:cs="宋体" w:eastAsia="宋体" w:hint="default"/>
                <w:spacing w:val="-46"/>
                <w:sz w:val="18"/>
                <w:szCs w:val="18"/>
              </w:rPr>
              <w:t> </w:t>
            </w:r>
            <w:r>
              <w:rPr>
                <w:rFonts w:ascii="宋体" w:hAnsi="宋体" w:cs="宋体" w:eastAsia="宋体" w:hint="default"/>
                <w:sz w:val="18"/>
                <w:szCs w:val="18"/>
              </w:rPr>
              <w:t>88</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13" w:hRule="exact"/>
        </w:trPr>
        <w:tc>
          <w:tcPr>
            <w:tcW w:w="2931"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38"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left="20" w:right="0"/>
              <w:jc w:val="left"/>
              <w:rPr>
                <w:rFonts w:ascii="宋体" w:hAnsi="宋体" w:cs="宋体" w:eastAsia="宋体" w:hint="default"/>
                <w:sz w:val="18"/>
                <w:szCs w:val="18"/>
              </w:rPr>
            </w:pPr>
            <w:r>
              <w:rPr>
                <w:rFonts w:ascii="宋体"/>
                <w:sz w:val="18"/>
              </w:rPr>
              <w:t>211106</w:t>
            </w:r>
          </w:p>
        </w:tc>
      </w:tr>
      <w:tr>
        <w:trPr>
          <w:trHeight w:val="412" w:hRule="exact"/>
        </w:trPr>
        <w:tc>
          <w:tcPr>
            <w:tcW w:w="2931"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办公地址</w:t>
            </w:r>
          </w:p>
        </w:tc>
        <w:tc>
          <w:tcPr>
            <w:tcW w:w="6638"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南京市江宁区润麒路</w:t>
            </w:r>
            <w:r>
              <w:rPr>
                <w:rFonts w:ascii="宋体" w:hAnsi="宋体" w:cs="宋体" w:eastAsia="宋体" w:hint="default"/>
                <w:spacing w:val="-46"/>
                <w:sz w:val="18"/>
                <w:szCs w:val="18"/>
              </w:rPr>
              <w:t> </w:t>
            </w:r>
            <w:r>
              <w:rPr>
                <w:rFonts w:ascii="宋体" w:hAnsi="宋体" w:cs="宋体" w:eastAsia="宋体" w:hint="default"/>
                <w:sz w:val="18"/>
                <w:szCs w:val="18"/>
              </w:rPr>
              <w:t>86</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12" w:hRule="exact"/>
        </w:trPr>
        <w:tc>
          <w:tcPr>
            <w:tcW w:w="2931"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38"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left="20" w:right="0"/>
              <w:jc w:val="left"/>
              <w:rPr>
                <w:rFonts w:ascii="宋体" w:hAnsi="宋体" w:cs="宋体" w:eastAsia="宋体" w:hint="default"/>
                <w:sz w:val="18"/>
                <w:szCs w:val="18"/>
              </w:rPr>
            </w:pPr>
            <w:r>
              <w:rPr>
                <w:rFonts w:ascii="宋体"/>
                <w:sz w:val="18"/>
              </w:rPr>
              <w:t>211103</w:t>
            </w:r>
          </w:p>
        </w:tc>
      </w:tr>
      <w:tr>
        <w:trPr>
          <w:trHeight w:val="413" w:hRule="exact"/>
        </w:trPr>
        <w:tc>
          <w:tcPr>
            <w:tcW w:w="2931"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38"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left="20" w:right="0"/>
              <w:jc w:val="left"/>
              <w:rPr>
                <w:rFonts w:ascii="宋体" w:hAnsi="宋体" w:cs="宋体" w:eastAsia="宋体" w:hint="default"/>
                <w:sz w:val="18"/>
                <w:szCs w:val="18"/>
              </w:rPr>
            </w:pPr>
            <w:hyperlink r:id="rId10">
              <w:r>
                <w:rPr>
                  <w:rFonts w:ascii="宋体"/>
                  <w:sz w:val="18"/>
                </w:rPr>
                <w:t>http://www.elefirst.com</w:t>
              </w:r>
            </w:hyperlink>
          </w:p>
        </w:tc>
      </w:tr>
      <w:tr>
        <w:trPr>
          <w:trHeight w:val="412" w:hRule="exact"/>
        </w:trPr>
        <w:tc>
          <w:tcPr>
            <w:tcW w:w="2931"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6638"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hyperlink r:id="rId11">
              <w:r>
                <w:rPr>
                  <w:rFonts w:ascii="宋体"/>
                  <w:sz w:val="18"/>
                </w:rPr>
                <w:t>elefirst@elefirst.com</w:t>
              </w:r>
            </w:hyperlink>
          </w:p>
        </w:tc>
      </w:tr>
      <w:tr>
        <w:trPr>
          <w:trHeight w:val="412" w:hRule="exact"/>
        </w:trPr>
        <w:tc>
          <w:tcPr>
            <w:tcW w:w="2931"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38"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left="20" w:right="0"/>
              <w:jc w:val="left"/>
              <w:rPr>
                <w:rFonts w:ascii="宋体" w:hAnsi="宋体" w:cs="宋体" w:eastAsia="宋体" w:hint="default"/>
                <w:sz w:val="18"/>
                <w:szCs w:val="18"/>
              </w:rPr>
            </w:pPr>
            <w:r>
              <w:rPr>
                <w:rFonts w:ascii="宋体" w:hAnsi="宋体" w:cs="宋体" w:eastAsia="宋体" w:hint="default"/>
                <w:sz w:val="18"/>
                <w:szCs w:val="18"/>
              </w:rPr>
              <w:t>上海众华沪银会计师事务所有限公司</w:t>
            </w:r>
          </w:p>
        </w:tc>
      </w:tr>
      <w:tr>
        <w:trPr>
          <w:trHeight w:val="421" w:hRule="exact"/>
        </w:trPr>
        <w:tc>
          <w:tcPr>
            <w:tcW w:w="2931"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38"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5"/>
              <w:ind w:left="20" w:right="0"/>
              <w:jc w:val="left"/>
              <w:rPr>
                <w:rFonts w:ascii="宋体" w:hAnsi="宋体" w:cs="宋体" w:eastAsia="宋体" w:hint="default"/>
                <w:sz w:val="18"/>
                <w:szCs w:val="18"/>
              </w:rPr>
            </w:pPr>
            <w:r>
              <w:rPr>
                <w:rFonts w:ascii="宋体" w:hAnsi="宋体" w:cs="宋体" w:eastAsia="宋体" w:hint="default"/>
                <w:sz w:val="18"/>
                <w:szCs w:val="18"/>
              </w:rPr>
              <w:t>上海市嘉定工业区沪宜路叶城路口</w:t>
            </w:r>
          </w:p>
        </w:tc>
      </w:tr>
    </w:tbl>
    <w:p>
      <w:pPr>
        <w:spacing w:line="240" w:lineRule="auto" w:before="2"/>
        <w:rPr>
          <w:rFonts w:ascii="宋体" w:hAnsi="宋体" w:cs="宋体" w:eastAsia="宋体" w:hint="default"/>
          <w:b/>
          <w:bCs/>
          <w:sz w:val="18"/>
          <w:szCs w:val="18"/>
        </w:rPr>
      </w:pPr>
    </w:p>
    <w:p>
      <w:pPr>
        <w:pStyle w:val="Heading2"/>
        <w:spacing w:line="240" w:lineRule="auto"/>
        <w:ind w:right="132"/>
        <w:jc w:val="left"/>
        <w:rPr>
          <w:b w:val="0"/>
          <w:bCs w:val="0"/>
        </w:rPr>
      </w:pPr>
      <w:r>
        <w:rPr/>
        <w:t>二、联系人和联系方式</w:t>
      </w:r>
      <w:r>
        <w:rPr>
          <w:b w:val="0"/>
          <w:bCs w:val="0"/>
        </w:rPr>
      </w:r>
    </w:p>
    <w:p>
      <w:pPr>
        <w:spacing w:line="240" w:lineRule="auto" w:before="10"/>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3190"/>
        <w:gridCol w:w="3190"/>
        <w:gridCol w:w="3189"/>
      </w:tblGrid>
      <w:tr>
        <w:trPr>
          <w:trHeight w:val="417" w:hRule="exact"/>
        </w:trPr>
        <w:tc>
          <w:tcPr>
            <w:tcW w:w="3190" w:type="dxa"/>
            <w:tcBorders>
              <w:top w:val="single" w:sz="12" w:space="0" w:color="000000"/>
              <w:left w:val="single" w:sz="12" w:space="0" w:color="000000"/>
              <w:bottom w:val="single" w:sz="6" w:space="0" w:color="000000"/>
              <w:right w:val="single" w:sz="6" w:space="0" w:color="000000"/>
            </w:tcBorders>
            <w:shd w:val="clear" w:color="auto" w:fill="D3D3D3"/>
          </w:tcPr>
          <w:p>
            <w:pPr/>
          </w:p>
        </w:tc>
        <w:tc>
          <w:tcPr>
            <w:tcW w:w="319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89"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13" w:hRule="exact"/>
        </w:trPr>
        <w:tc>
          <w:tcPr>
            <w:tcW w:w="3190"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tabs>
                <w:tab w:pos="539" w:val="left" w:leader="none"/>
              </w:tabs>
              <w:spacing w:line="240" w:lineRule="auto" w:before="55"/>
              <w:ind w:right="1226"/>
              <w:jc w:val="right"/>
              <w:rPr>
                <w:rFonts w:ascii="宋体" w:hAnsi="宋体" w:cs="宋体" w:eastAsia="宋体" w:hint="default"/>
                <w:sz w:val="18"/>
                <w:szCs w:val="18"/>
              </w:rPr>
            </w:pPr>
            <w:r>
              <w:rPr>
                <w:rFonts w:ascii="宋体" w:hAnsi="宋体" w:cs="宋体" w:eastAsia="宋体" w:hint="default"/>
                <w:sz w:val="18"/>
                <w:szCs w:val="18"/>
              </w:rPr>
              <w:t>姓</w:t>
              <w:tab/>
              <w:t>名</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蒋  悦</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left="8" w:right="0"/>
              <w:jc w:val="center"/>
              <w:rPr>
                <w:rFonts w:ascii="宋体" w:hAnsi="宋体" w:cs="宋体" w:eastAsia="宋体" w:hint="default"/>
                <w:sz w:val="18"/>
                <w:szCs w:val="18"/>
              </w:rPr>
            </w:pPr>
            <w:r>
              <w:rPr>
                <w:rFonts w:ascii="宋体" w:hAnsi="宋体" w:cs="宋体" w:eastAsia="宋体" w:hint="default"/>
                <w:sz w:val="18"/>
                <w:szCs w:val="18"/>
              </w:rPr>
              <w:t>李盛春</w:t>
            </w:r>
          </w:p>
        </w:tc>
      </w:tr>
      <w:tr>
        <w:trPr>
          <w:trHeight w:val="412" w:hRule="exact"/>
        </w:trPr>
        <w:tc>
          <w:tcPr>
            <w:tcW w:w="3190"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5"/>
              <w:ind w:right="1226"/>
              <w:jc w:val="righ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南京市江宁区润麒路</w:t>
            </w:r>
            <w:r>
              <w:rPr>
                <w:rFonts w:ascii="宋体" w:hAnsi="宋体" w:cs="宋体" w:eastAsia="宋体" w:hint="default"/>
                <w:spacing w:val="-46"/>
                <w:sz w:val="18"/>
                <w:szCs w:val="18"/>
              </w:rPr>
              <w:t> </w:t>
            </w:r>
            <w:r>
              <w:rPr>
                <w:rFonts w:ascii="宋体" w:hAnsi="宋体" w:cs="宋体" w:eastAsia="宋体" w:hint="default"/>
                <w:sz w:val="18"/>
                <w:szCs w:val="18"/>
              </w:rPr>
              <w:t>86</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left="6" w:right="0"/>
              <w:jc w:val="center"/>
              <w:rPr>
                <w:rFonts w:ascii="宋体" w:hAnsi="宋体" w:cs="宋体" w:eastAsia="宋体" w:hint="default"/>
                <w:sz w:val="18"/>
                <w:szCs w:val="18"/>
              </w:rPr>
            </w:pPr>
            <w:r>
              <w:rPr>
                <w:rFonts w:ascii="宋体" w:hAnsi="宋体" w:cs="宋体" w:eastAsia="宋体" w:hint="default"/>
                <w:sz w:val="18"/>
                <w:szCs w:val="18"/>
              </w:rPr>
              <w:t>南京市江宁区润麒路</w:t>
            </w:r>
            <w:r>
              <w:rPr>
                <w:rFonts w:ascii="宋体" w:hAnsi="宋体" w:cs="宋体" w:eastAsia="宋体" w:hint="default"/>
                <w:spacing w:val="-46"/>
                <w:sz w:val="18"/>
                <w:szCs w:val="18"/>
              </w:rPr>
              <w:t> </w:t>
            </w:r>
            <w:r>
              <w:rPr>
                <w:rFonts w:ascii="宋体" w:hAnsi="宋体" w:cs="宋体" w:eastAsia="宋体" w:hint="default"/>
                <w:sz w:val="18"/>
                <w:szCs w:val="18"/>
              </w:rPr>
              <w:t>86</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13" w:hRule="exact"/>
        </w:trPr>
        <w:tc>
          <w:tcPr>
            <w:tcW w:w="3190"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tabs>
                <w:tab w:pos="539" w:val="left" w:leader="none"/>
              </w:tabs>
              <w:spacing w:line="240" w:lineRule="auto" w:before="55"/>
              <w:ind w:right="1226"/>
              <w:jc w:val="right"/>
              <w:rPr>
                <w:rFonts w:ascii="宋体" w:hAnsi="宋体" w:cs="宋体" w:eastAsia="宋体" w:hint="default"/>
                <w:sz w:val="18"/>
                <w:szCs w:val="18"/>
              </w:rPr>
            </w:pPr>
            <w:r>
              <w:rPr>
                <w:rFonts w:ascii="宋体" w:hAnsi="宋体" w:cs="宋体" w:eastAsia="宋体" w:hint="default"/>
                <w:sz w:val="18"/>
                <w:szCs w:val="18"/>
              </w:rPr>
              <w:t>电</w:t>
              <w:tab/>
              <w:t>话</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sz w:val="18"/>
              </w:rPr>
              <w:t>025-68531928</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left="8" w:right="0"/>
              <w:jc w:val="center"/>
              <w:rPr>
                <w:rFonts w:ascii="宋体" w:hAnsi="宋体" w:cs="宋体" w:eastAsia="宋体" w:hint="default"/>
                <w:sz w:val="18"/>
                <w:szCs w:val="18"/>
              </w:rPr>
            </w:pPr>
            <w:r>
              <w:rPr>
                <w:rFonts w:ascii="宋体"/>
                <w:sz w:val="18"/>
              </w:rPr>
              <w:t>025-68531928</w:t>
            </w:r>
          </w:p>
        </w:tc>
      </w:tr>
      <w:tr>
        <w:trPr>
          <w:trHeight w:val="412" w:hRule="exact"/>
        </w:trPr>
        <w:tc>
          <w:tcPr>
            <w:tcW w:w="3190"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tabs>
                <w:tab w:pos="539" w:val="left" w:leader="none"/>
              </w:tabs>
              <w:spacing w:line="240" w:lineRule="auto" w:before="53"/>
              <w:ind w:right="1226"/>
              <w:jc w:val="right"/>
              <w:rPr>
                <w:rFonts w:ascii="宋体" w:hAnsi="宋体" w:cs="宋体" w:eastAsia="宋体" w:hint="default"/>
                <w:sz w:val="18"/>
                <w:szCs w:val="18"/>
              </w:rPr>
            </w:pPr>
            <w:r>
              <w:rPr>
                <w:rFonts w:ascii="宋体" w:hAnsi="宋体" w:cs="宋体" w:eastAsia="宋体" w:hint="default"/>
                <w:sz w:val="18"/>
                <w:szCs w:val="18"/>
              </w:rPr>
              <w:t>传</w:t>
              <w:tab/>
              <w:t>真</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025-68531868</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sz w:val="18"/>
              </w:rPr>
              <w:t>025-68531868</w:t>
            </w:r>
          </w:p>
        </w:tc>
      </w:tr>
      <w:tr>
        <w:trPr>
          <w:trHeight w:val="419" w:hRule="exact"/>
        </w:trPr>
        <w:tc>
          <w:tcPr>
            <w:tcW w:w="3190"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5"/>
              <w:ind w:right="1226"/>
              <w:jc w:val="righ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1"/>
              <w:jc w:val="center"/>
              <w:rPr>
                <w:rFonts w:ascii="宋体" w:hAnsi="宋体" w:cs="宋体" w:eastAsia="宋体" w:hint="default"/>
                <w:sz w:val="18"/>
                <w:szCs w:val="18"/>
              </w:rPr>
            </w:pPr>
            <w:hyperlink r:id="rId11">
              <w:r>
                <w:rPr>
                  <w:rFonts w:ascii="宋体"/>
                  <w:sz w:val="18"/>
                </w:rPr>
                <w:t>elefirst@elefirst.com</w:t>
              </w:r>
            </w:hyperlink>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5"/>
              <w:ind w:left="7" w:right="0"/>
              <w:jc w:val="center"/>
              <w:rPr>
                <w:rFonts w:ascii="宋体" w:hAnsi="宋体" w:cs="宋体" w:eastAsia="宋体" w:hint="default"/>
                <w:sz w:val="18"/>
                <w:szCs w:val="18"/>
              </w:rPr>
            </w:pPr>
            <w:hyperlink r:id="rId11">
              <w:r>
                <w:rPr>
                  <w:rFonts w:ascii="宋体"/>
                  <w:sz w:val="18"/>
                </w:rPr>
                <w:t>elefirst@elefirst.com</w:t>
              </w:r>
            </w:hyperlink>
          </w:p>
        </w:tc>
      </w:tr>
    </w:tbl>
    <w:p>
      <w:pPr>
        <w:spacing w:line="240" w:lineRule="auto" w:before="2"/>
        <w:rPr>
          <w:rFonts w:ascii="宋体" w:hAnsi="宋体" w:cs="宋体" w:eastAsia="宋体" w:hint="default"/>
          <w:b/>
          <w:bCs/>
          <w:sz w:val="18"/>
          <w:szCs w:val="18"/>
        </w:rPr>
      </w:pPr>
    </w:p>
    <w:p>
      <w:pPr>
        <w:pStyle w:val="Heading2"/>
        <w:spacing w:line="240" w:lineRule="auto"/>
        <w:ind w:right="132"/>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3861"/>
        <w:gridCol w:w="5707"/>
      </w:tblGrid>
      <w:tr>
        <w:trPr>
          <w:trHeight w:val="420" w:hRule="exact"/>
        </w:trPr>
        <w:tc>
          <w:tcPr>
            <w:tcW w:w="3861"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5"/>
              <w:ind w:right="6"/>
              <w:jc w:val="center"/>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70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5"/>
              <w:ind w:left="20" w:right="0"/>
              <w:jc w:val="left"/>
              <w:rPr>
                <w:rFonts w:ascii="宋体" w:hAnsi="宋体" w:cs="宋体" w:eastAsia="宋体" w:hint="default"/>
                <w:sz w:val="18"/>
                <w:szCs w:val="18"/>
              </w:rPr>
            </w:pPr>
            <w:r>
              <w:rPr>
                <w:rFonts w:ascii="宋体" w:hAnsi="宋体" w:cs="宋体" w:eastAsia="宋体" w:hint="default"/>
                <w:sz w:val="18"/>
                <w:szCs w:val="18"/>
              </w:rPr>
              <w:t>中国证券报、上海证券报、证券时报、证券日报</w:t>
            </w:r>
          </w:p>
        </w:tc>
      </w:tr>
      <w:tr>
        <w:trPr>
          <w:trHeight w:val="412" w:hRule="exact"/>
        </w:trPr>
        <w:tc>
          <w:tcPr>
            <w:tcW w:w="3861"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4"/>
              <w:ind w:right="6"/>
              <w:jc w:val="center"/>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0" w:right="0"/>
              <w:jc w:val="left"/>
              <w:rPr>
                <w:rFonts w:ascii="宋体" w:hAnsi="宋体" w:cs="宋体" w:eastAsia="宋体" w:hint="default"/>
                <w:sz w:val="18"/>
                <w:szCs w:val="18"/>
              </w:rPr>
            </w:pPr>
            <w:hyperlink r:id="rId12">
              <w:r>
                <w:rPr>
                  <w:rFonts w:ascii="宋体"/>
                  <w:sz w:val="18"/>
                </w:rPr>
                <w:t>http://www.cninfo.com.cn</w:t>
              </w:r>
            </w:hyperlink>
          </w:p>
        </w:tc>
      </w:tr>
      <w:tr>
        <w:trPr>
          <w:trHeight w:val="419" w:hRule="exact"/>
        </w:trPr>
        <w:tc>
          <w:tcPr>
            <w:tcW w:w="3861"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董事会办公室</w:t>
            </w:r>
          </w:p>
        </w:tc>
      </w:tr>
    </w:tbl>
    <w:p>
      <w:pPr>
        <w:spacing w:after="0" w:line="240" w:lineRule="auto"/>
        <w:jc w:val="left"/>
        <w:rPr>
          <w:rFonts w:ascii="宋体" w:hAnsi="宋体" w:cs="宋体" w:eastAsia="宋体" w:hint="default"/>
          <w:sz w:val="18"/>
          <w:szCs w:val="18"/>
        </w:rPr>
        <w:sectPr>
          <w:pgSz w:w="11910" w:h="16840"/>
          <w:pgMar w:header="747" w:footer="1003" w:top="1040" w:bottom="1200" w:left="980" w:right="980"/>
        </w:sectPr>
      </w:pPr>
    </w:p>
    <w:p>
      <w:pPr>
        <w:spacing w:line="240" w:lineRule="auto" w:before="6"/>
        <w:rPr>
          <w:rFonts w:ascii="宋体" w:hAnsi="宋体" w:cs="宋体" w:eastAsia="宋体" w:hint="default"/>
          <w:b/>
          <w:bCs/>
          <w:sz w:val="24"/>
          <w:szCs w:val="24"/>
        </w:rPr>
      </w:pPr>
    </w:p>
    <w:p>
      <w:pPr>
        <w:pStyle w:val="Heading2"/>
        <w:spacing w:line="240" w:lineRule="auto"/>
        <w:ind w:right="132"/>
        <w:jc w:val="left"/>
        <w:rPr>
          <w:b w:val="0"/>
          <w:bCs w:val="0"/>
        </w:rPr>
      </w:pP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1597"/>
        <w:gridCol w:w="1594"/>
        <w:gridCol w:w="1772"/>
        <w:gridCol w:w="1702"/>
        <w:gridCol w:w="1559"/>
        <w:gridCol w:w="1343"/>
      </w:tblGrid>
      <w:tr>
        <w:trPr>
          <w:trHeight w:val="766" w:hRule="exact"/>
        </w:trPr>
        <w:tc>
          <w:tcPr>
            <w:tcW w:w="1597" w:type="dxa"/>
            <w:tcBorders>
              <w:top w:val="single" w:sz="12" w:space="0" w:color="000000"/>
              <w:left w:val="single" w:sz="12" w:space="0" w:color="000000"/>
              <w:bottom w:val="single" w:sz="6" w:space="0" w:color="000000"/>
              <w:right w:val="single" w:sz="6" w:space="0" w:color="000000"/>
            </w:tcBorders>
            <w:shd w:val="clear" w:color="auto" w:fill="D3D3D3"/>
          </w:tcPr>
          <w:p>
            <w:pPr/>
          </w:p>
        </w:tc>
        <w:tc>
          <w:tcPr>
            <w:tcW w:w="159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772"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702"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360" w:lineRule="auto" w:before="51"/>
              <w:ind w:left="392" w:right="302" w:hanging="90"/>
              <w:jc w:val="left"/>
              <w:rPr>
                <w:rFonts w:ascii="宋体" w:hAnsi="宋体" w:cs="宋体" w:eastAsia="宋体" w:hint="default"/>
                <w:sz w:val="18"/>
                <w:szCs w:val="18"/>
              </w:rPr>
            </w:pPr>
            <w:r>
              <w:rPr>
                <w:rFonts w:ascii="宋体" w:hAnsi="宋体" w:cs="宋体" w:eastAsia="宋体" w:hint="default"/>
                <w:sz w:val="18"/>
                <w:szCs w:val="18"/>
              </w:rPr>
              <w:t>企业法人营业 执照注册号</w:t>
            </w:r>
          </w:p>
        </w:tc>
        <w:tc>
          <w:tcPr>
            <w:tcW w:w="1559"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税务登记号码</w:t>
            </w:r>
          </w:p>
        </w:tc>
        <w:tc>
          <w:tcPr>
            <w:tcW w:w="1343"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9" w:hRule="exact"/>
        </w:trPr>
        <w:tc>
          <w:tcPr>
            <w:tcW w:w="1597"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115" w:right="66" w:hanging="46"/>
              <w:jc w:val="left"/>
              <w:rPr>
                <w:rFonts w:ascii="宋体" w:hAnsi="宋体" w:cs="宋体" w:eastAsia="宋体" w:hint="default"/>
                <w:sz w:val="18"/>
                <w:szCs w:val="18"/>
              </w:rPr>
            </w:pPr>
            <w:r>
              <w:rPr>
                <w:rFonts w:ascii="宋体" w:hAnsi="宋体" w:cs="宋体" w:eastAsia="宋体" w:hint="default"/>
                <w:sz w:val="18"/>
                <w:szCs w:val="18"/>
              </w:rPr>
              <w:t>南京市江宁经济技术 开发区胜太路</w:t>
            </w:r>
            <w:r>
              <w:rPr>
                <w:rFonts w:ascii="宋体" w:hAnsi="宋体" w:cs="宋体" w:eastAsia="宋体" w:hint="default"/>
                <w:spacing w:val="-46"/>
                <w:sz w:val="18"/>
                <w:szCs w:val="18"/>
              </w:rPr>
              <w:t> </w:t>
            </w:r>
            <w:r>
              <w:rPr>
                <w:rFonts w:ascii="宋体" w:hAnsi="宋体" w:cs="宋体" w:eastAsia="宋体" w:hint="default"/>
                <w:sz w:val="18"/>
                <w:szCs w:val="18"/>
              </w:rPr>
              <w:t>88</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3201212000874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320121721750426</w:t>
            </w:r>
          </w:p>
        </w:tc>
        <w:tc>
          <w:tcPr>
            <w:tcW w:w="13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sz w:val="18"/>
              </w:rPr>
              <w:t>72175042-6</w:t>
            </w:r>
          </w:p>
        </w:tc>
      </w:tr>
      <w:tr>
        <w:trPr>
          <w:trHeight w:val="719" w:hRule="exact"/>
        </w:trPr>
        <w:tc>
          <w:tcPr>
            <w:tcW w:w="1597"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422" w:right="71" w:hanging="360"/>
              <w:jc w:val="left"/>
              <w:rPr>
                <w:rFonts w:ascii="宋体" w:hAnsi="宋体" w:cs="宋体" w:eastAsia="宋体" w:hint="default"/>
                <w:sz w:val="18"/>
                <w:szCs w:val="18"/>
              </w:rPr>
            </w:pPr>
            <w:r>
              <w:rPr>
                <w:rFonts w:ascii="宋体" w:hAnsi="宋体" w:cs="宋体" w:eastAsia="宋体" w:hint="default"/>
                <w:sz w:val="18"/>
                <w:szCs w:val="18"/>
              </w:rPr>
              <w:t>股份公司成立变更 注册登记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115" w:right="66" w:hanging="46"/>
              <w:jc w:val="left"/>
              <w:rPr>
                <w:rFonts w:ascii="宋体" w:hAnsi="宋体" w:cs="宋体" w:eastAsia="宋体" w:hint="default"/>
                <w:sz w:val="18"/>
                <w:szCs w:val="18"/>
              </w:rPr>
            </w:pPr>
            <w:r>
              <w:rPr>
                <w:rFonts w:ascii="宋体" w:hAnsi="宋体" w:cs="宋体" w:eastAsia="宋体" w:hint="default"/>
                <w:sz w:val="18"/>
                <w:szCs w:val="18"/>
              </w:rPr>
              <w:t>南京市江宁经济技术 开发区胜太路</w:t>
            </w:r>
            <w:r>
              <w:rPr>
                <w:rFonts w:ascii="宋体" w:hAnsi="宋体" w:cs="宋体" w:eastAsia="宋体" w:hint="default"/>
                <w:spacing w:val="-46"/>
                <w:sz w:val="18"/>
                <w:szCs w:val="18"/>
              </w:rPr>
              <w:t> </w:t>
            </w:r>
            <w:r>
              <w:rPr>
                <w:rFonts w:ascii="宋体" w:hAnsi="宋体" w:cs="宋体" w:eastAsia="宋体" w:hint="default"/>
                <w:sz w:val="18"/>
                <w:szCs w:val="18"/>
              </w:rPr>
              <w:t>88</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320121000030643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320121721750426</w:t>
            </w:r>
          </w:p>
        </w:tc>
        <w:tc>
          <w:tcPr>
            <w:tcW w:w="13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sz w:val="18"/>
              </w:rPr>
              <w:t>72175042-6</w:t>
            </w:r>
          </w:p>
        </w:tc>
      </w:tr>
      <w:tr>
        <w:trPr>
          <w:trHeight w:val="728" w:hRule="exact"/>
        </w:trPr>
        <w:tc>
          <w:tcPr>
            <w:tcW w:w="1597"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52"/>
              <w:ind w:left="242" w:right="71" w:hanging="180"/>
              <w:jc w:val="left"/>
              <w:rPr>
                <w:rFonts w:ascii="宋体" w:hAnsi="宋体" w:cs="宋体" w:eastAsia="宋体" w:hint="default"/>
                <w:sz w:val="18"/>
                <w:szCs w:val="18"/>
              </w:rPr>
            </w:pPr>
            <w:r>
              <w:rPr>
                <w:rFonts w:ascii="宋体" w:hAnsi="宋体" w:cs="宋体" w:eastAsia="宋体" w:hint="default"/>
                <w:sz w:val="18"/>
                <w:szCs w:val="18"/>
              </w:rPr>
              <w:t>首次公开发行股票 变更注册登记</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2"/>
              <w:ind w:left="115" w:right="66" w:hanging="46"/>
              <w:jc w:val="left"/>
              <w:rPr>
                <w:rFonts w:ascii="宋体" w:hAnsi="宋体" w:cs="宋体" w:eastAsia="宋体" w:hint="default"/>
                <w:sz w:val="18"/>
                <w:szCs w:val="18"/>
              </w:rPr>
            </w:pPr>
            <w:r>
              <w:rPr>
                <w:rFonts w:ascii="宋体" w:hAnsi="宋体" w:cs="宋体" w:eastAsia="宋体" w:hint="default"/>
                <w:sz w:val="18"/>
                <w:szCs w:val="18"/>
              </w:rPr>
              <w:t>南京市江宁经济技术 开发区胜太路</w:t>
            </w:r>
            <w:r>
              <w:rPr>
                <w:rFonts w:ascii="宋体" w:hAnsi="宋体" w:cs="宋体" w:eastAsia="宋体" w:hint="default"/>
                <w:spacing w:val="-46"/>
                <w:sz w:val="18"/>
                <w:szCs w:val="18"/>
              </w:rPr>
              <w:t> </w:t>
            </w:r>
            <w:r>
              <w:rPr>
                <w:rFonts w:ascii="宋体" w:hAnsi="宋体" w:cs="宋体" w:eastAsia="宋体" w:hint="default"/>
                <w:sz w:val="18"/>
                <w:szCs w:val="18"/>
              </w:rPr>
              <w:t>88</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320121000030643</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320121721750426</w:t>
            </w:r>
          </w:p>
        </w:tc>
        <w:tc>
          <w:tcPr>
            <w:tcW w:w="134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sz w:val="18"/>
              </w:rPr>
              <w:t>72175042-6</w:t>
            </w:r>
          </w:p>
        </w:tc>
      </w:tr>
    </w:tbl>
    <w:p>
      <w:pPr>
        <w:spacing w:after="0" w:line="240" w:lineRule="auto"/>
        <w:jc w:val="center"/>
        <w:rPr>
          <w:rFonts w:ascii="宋体" w:hAnsi="宋体" w:cs="宋体" w:eastAsia="宋体" w:hint="default"/>
          <w:sz w:val="18"/>
          <w:szCs w:val="18"/>
        </w:rPr>
        <w:sectPr>
          <w:pgSz w:w="11910" w:h="16840"/>
          <w:pgMar w:header="747" w:footer="1003" w:top="1040" w:bottom="120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0"/>
          <w:szCs w:val="20"/>
        </w:rPr>
      </w:pPr>
    </w:p>
    <w:p>
      <w:pPr>
        <w:pStyle w:val="Heading1"/>
        <w:spacing w:line="240" w:lineRule="auto"/>
        <w:ind w:left="2644" w:right="132"/>
        <w:jc w:val="left"/>
        <w:rPr>
          <w:b w:val="0"/>
          <w:bCs w:val="0"/>
        </w:rPr>
      </w:pPr>
      <w:bookmarkStart w:name="_TOC_250007" w:id="3"/>
      <w:r>
        <w:rPr/>
        <w:t>第三节</w:t>
      </w:r>
      <w:r>
        <w:rPr>
          <w:spacing w:val="-11"/>
        </w:rPr>
        <w:t> </w:t>
      </w:r>
      <w:r>
        <w:rPr/>
        <w:t>会计数据和财务指标摘要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before="0"/>
        <w:ind w:right="132"/>
        <w:jc w:val="left"/>
        <w:rPr>
          <w:b w:val="0"/>
          <w:bCs w:val="0"/>
        </w:rPr>
      </w:pPr>
      <w:r>
        <w:rPr/>
        <w:t>一、主要会计数据和财务指标</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right="132"/>
        <w:jc w:val="left"/>
      </w:pPr>
      <w:r>
        <w:rPr/>
        <w:t>公司是否因会计政策变更及会计差错更正等追溯调整或重述以前年度会计数据</w:t>
      </w:r>
    </w:p>
    <w:p>
      <w:pPr>
        <w:spacing w:line="240" w:lineRule="auto" w:before="10"/>
        <w:rPr>
          <w:rFonts w:ascii="宋体" w:hAnsi="宋体" w:cs="宋体" w:eastAsia="宋体" w:hint="default"/>
          <w:sz w:val="14"/>
          <w:szCs w:val="14"/>
        </w:rPr>
      </w:pPr>
    </w:p>
    <w:p>
      <w:pPr>
        <w:pStyle w:val="BodyText"/>
        <w:spacing w:line="408" w:lineRule="auto"/>
        <w:ind w:right="8510"/>
        <w:jc w:val="left"/>
      </w:pPr>
      <w:r>
        <w:rPr/>
        <w:t>□ 是 √</w:t>
      </w:r>
      <w:r>
        <w:rPr>
          <w:spacing w:val="-1"/>
        </w:rPr>
        <w:t> </w:t>
      </w:r>
      <w:r>
        <w:rPr/>
        <w:t>否</w:t>
      </w:r>
      <w:r>
        <w:rPr/>
        <w:t> 主要会计数据</w:t>
      </w:r>
    </w:p>
    <w:p>
      <w:pPr>
        <w:spacing w:line="229" w:lineRule="exact"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262"/>
        <w:gridCol w:w="1559"/>
        <w:gridCol w:w="1559"/>
        <w:gridCol w:w="1700"/>
        <w:gridCol w:w="1489"/>
      </w:tblGrid>
      <w:tr>
        <w:trPr>
          <w:trHeight w:val="419" w:hRule="exact"/>
        </w:trPr>
        <w:tc>
          <w:tcPr>
            <w:tcW w:w="3262" w:type="dxa"/>
            <w:tcBorders>
              <w:top w:val="single" w:sz="12" w:space="0" w:color="000000"/>
              <w:left w:val="single" w:sz="12" w:space="0" w:color="000000"/>
              <w:bottom w:val="single" w:sz="6" w:space="0" w:color="000000"/>
              <w:right w:val="single" w:sz="6" w:space="0" w:color="000000"/>
            </w:tcBorders>
            <w:shd w:val="clear" w:color="auto" w:fill="D3D3D3"/>
          </w:tcPr>
          <w:p>
            <w:pPr/>
          </w:p>
        </w:tc>
        <w:tc>
          <w:tcPr>
            <w:tcW w:w="1559"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3"/>
              <w:ind w:left="478"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59"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3"/>
              <w:ind w:left="478"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0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3"/>
              <w:ind w:left="21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489"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3"/>
              <w:ind w:left="445"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12" w:hRule="exact"/>
        </w:trPr>
        <w:tc>
          <w:tcPr>
            <w:tcW w:w="3262" w:type="dxa"/>
            <w:tcBorders>
              <w:top w:val="single" w:sz="17" w:space="0" w:color="D3D3D3"/>
              <w:left w:val="single" w:sz="12" w:space="0" w:color="000000"/>
              <w:bottom w:val="single" w:sz="17" w:space="0" w:color="D3D3D3"/>
              <w:right w:val="single" w:sz="6" w:space="0" w:color="000000"/>
            </w:tcBorders>
          </w:tcPr>
          <w:p>
            <w:pPr>
              <w:pStyle w:val="TableParagraph"/>
              <w:tabs>
                <w:tab w:pos="1151" w:val="left" w:leader="none"/>
                <w:tab w:pos="3205" w:val="left" w:leader="none"/>
              </w:tabs>
              <w:spacing w:line="240" w:lineRule="auto" w:before="40"/>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营业总收入</w:t>
              <w:tab/>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385,898,898.22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257,408,204.51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49.92%</w:t>
            </w:r>
          </w:p>
        </w:tc>
        <w:tc>
          <w:tcPr>
            <w:tcW w:w="14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128,310,679.29</w:t>
            </w:r>
          </w:p>
        </w:tc>
      </w:tr>
      <w:tr>
        <w:trPr>
          <w:trHeight w:val="413" w:hRule="exact"/>
        </w:trPr>
        <w:tc>
          <w:tcPr>
            <w:tcW w:w="3262" w:type="dxa"/>
            <w:tcBorders>
              <w:top w:val="single" w:sz="17" w:space="0" w:color="D3D3D3"/>
              <w:left w:val="single" w:sz="12" w:space="0" w:color="000000"/>
              <w:bottom w:val="single" w:sz="40" w:space="0" w:color="D3D3D3"/>
              <w:right w:val="single" w:sz="6" w:space="0" w:color="000000"/>
            </w:tcBorders>
          </w:tcPr>
          <w:p>
            <w:pPr>
              <w:pStyle w:val="TableParagraph"/>
              <w:tabs>
                <w:tab w:pos="1241" w:val="left" w:leader="none"/>
                <w:tab w:pos="3205" w:val="left" w:leader="none"/>
              </w:tabs>
              <w:spacing w:line="240" w:lineRule="auto" w:before="40"/>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营业利润</w:t>
              <w:tab/>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77,905,422.60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55,668,819.22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39.94%</w:t>
            </w:r>
          </w:p>
        </w:tc>
        <w:tc>
          <w:tcPr>
            <w:tcW w:w="14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36,380,230.75</w:t>
            </w:r>
          </w:p>
        </w:tc>
      </w:tr>
      <w:tr>
        <w:trPr>
          <w:trHeight w:val="412" w:hRule="exact"/>
        </w:trPr>
        <w:tc>
          <w:tcPr>
            <w:tcW w:w="3262" w:type="dxa"/>
            <w:tcBorders>
              <w:top w:val="single" w:sz="40" w:space="0" w:color="D3D3D3"/>
              <w:left w:val="single" w:sz="12" w:space="0" w:color="000000"/>
              <w:bottom w:val="single" w:sz="17" w:space="0" w:color="D3D3D3"/>
              <w:right w:val="single" w:sz="6" w:space="0" w:color="000000"/>
            </w:tcBorders>
          </w:tcPr>
          <w:p>
            <w:pPr>
              <w:pStyle w:val="TableParagraph"/>
              <w:tabs>
                <w:tab w:pos="1241" w:val="left" w:leader="none"/>
                <w:tab w:pos="3205" w:val="left" w:leader="none"/>
              </w:tabs>
              <w:spacing w:line="240" w:lineRule="auto" w:before="10"/>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利润总额</w:t>
              <w:tab/>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84,317,066.16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61,924,345.66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36.16%</w:t>
            </w:r>
          </w:p>
        </w:tc>
        <w:tc>
          <w:tcPr>
            <w:tcW w:w="14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42,970,652.09</w:t>
            </w:r>
          </w:p>
        </w:tc>
      </w:tr>
      <w:tr>
        <w:trPr>
          <w:trHeight w:val="412" w:hRule="exact"/>
        </w:trPr>
        <w:tc>
          <w:tcPr>
            <w:tcW w:w="3262" w:type="dxa"/>
            <w:tcBorders>
              <w:top w:val="single" w:sz="17" w:space="0" w:color="D3D3D3"/>
              <w:left w:val="single" w:sz="12" w:space="0" w:color="000000"/>
              <w:bottom w:val="single" w:sz="17" w:space="0" w:color="D3D3D3"/>
              <w:right w:val="single" w:sz="6" w:space="0" w:color="000000"/>
            </w:tcBorders>
          </w:tcPr>
          <w:p>
            <w:pPr>
              <w:pStyle w:val="TableParagraph"/>
              <w:tabs>
                <w:tab w:pos="431" w:val="left" w:leader="none"/>
                <w:tab w:pos="3205" w:val="left" w:leader="none"/>
              </w:tabs>
              <w:spacing w:line="240" w:lineRule="auto" w:before="40"/>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w w:val="95"/>
                <w:sz w:val="18"/>
                <w:szCs w:val="18"/>
                <w:shd w:fill="D3D3D3" w:color="auto" w:val="clear"/>
              </w:rPr>
              <w:t>归属于上市公司股东的净利润</w:t>
              <w:tab/>
            </w:r>
            <w:r>
              <w:rPr>
                <w:rFonts w:ascii="宋体" w:hAnsi="宋体" w:cs="宋体" w:eastAsia="宋体" w:hint="default"/>
                <w:w w:val="95"/>
                <w:sz w:val="18"/>
                <w:szCs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72,656,085.71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52,500,991.56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38.39%</w:t>
            </w:r>
          </w:p>
        </w:tc>
        <w:tc>
          <w:tcPr>
            <w:tcW w:w="14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37,664,775.24</w:t>
            </w:r>
          </w:p>
        </w:tc>
      </w:tr>
      <w:tr>
        <w:trPr>
          <w:trHeight w:val="640" w:hRule="exact"/>
        </w:trPr>
        <w:tc>
          <w:tcPr>
            <w:tcW w:w="326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6" w:lineRule="auto" w:before="11"/>
              <w:ind w:left="1075" w:right="182" w:hanging="90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w:t>
            </w:r>
          </w:p>
        </w:tc>
        <w:tc>
          <w:tcPr>
            <w:tcW w:w="1559" w:type="dxa"/>
            <w:tcBorders>
              <w:top w:val="single" w:sz="6" w:space="0" w:color="000000"/>
              <w:left w:val="single" w:sz="9" w:space="0" w:color="D3D3D3"/>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73,817,165.47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51,238,107.19</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44.07%</w:t>
            </w:r>
          </w:p>
        </w:tc>
        <w:tc>
          <w:tcPr>
            <w:tcW w:w="14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35,264,900.22</w:t>
            </w:r>
          </w:p>
        </w:tc>
      </w:tr>
      <w:tr>
        <w:trPr>
          <w:trHeight w:val="412" w:hRule="exact"/>
        </w:trPr>
        <w:tc>
          <w:tcPr>
            <w:tcW w:w="3262" w:type="dxa"/>
            <w:tcBorders>
              <w:top w:val="single" w:sz="23" w:space="0" w:color="D3D3D3"/>
              <w:left w:val="single" w:sz="12" w:space="0" w:color="000000"/>
              <w:bottom w:val="single" w:sz="17" w:space="0" w:color="D3D3D3"/>
              <w:right w:val="single" w:sz="6" w:space="0" w:color="000000"/>
            </w:tcBorders>
          </w:tcPr>
          <w:p>
            <w:pPr>
              <w:pStyle w:val="TableParagraph"/>
              <w:tabs>
                <w:tab w:pos="431" w:val="left" w:leader="none"/>
                <w:tab w:pos="3205" w:val="left" w:leader="none"/>
              </w:tabs>
              <w:spacing w:line="240" w:lineRule="auto" w:before="32"/>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w w:val="95"/>
                <w:sz w:val="18"/>
                <w:szCs w:val="18"/>
                <w:shd w:fill="D3D3D3" w:color="auto" w:val="clear"/>
              </w:rPr>
              <w:t>经营活动产生的现金流量净额</w:t>
              <w:tab/>
            </w:r>
            <w:r>
              <w:rPr>
                <w:rFonts w:ascii="宋体" w:hAnsi="宋体" w:cs="宋体" w:eastAsia="宋体" w:hint="default"/>
                <w:w w:val="95"/>
                <w:sz w:val="18"/>
                <w:szCs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72,575,019.04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23,638,318.70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207.02%</w:t>
            </w:r>
          </w:p>
        </w:tc>
        <w:tc>
          <w:tcPr>
            <w:tcW w:w="14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33,938,876.64</w:t>
            </w:r>
          </w:p>
        </w:tc>
      </w:tr>
      <w:tr>
        <w:trPr>
          <w:trHeight w:val="412" w:hRule="exact"/>
        </w:trPr>
        <w:tc>
          <w:tcPr>
            <w:tcW w:w="3262" w:type="dxa"/>
            <w:tcBorders>
              <w:top w:val="single" w:sz="6" w:space="0" w:color="000000"/>
              <w:left w:val="single" w:sz="12" w:space="0" w:color="000000"/>
              <w:bottom w:val="single" w:sz="6" w:space="0" w:color="000000"/>
              <w:right w:val="single" w:sz="6" w:space="0" w:color="000000"/>
            </w:tcBorders>
            <w:shd w:val="clear" w:color="auto" w:fill="D3D3D3"/>
          </w:tcPr>
          <w:p>
            <w:pPr/>
          </w:p>
        </w:tc>
        <w:tc>
          <w:tcPr>
            <w:tcW w:w="1559"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559"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0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3"/>
              <w:ind w:right="31"/>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489"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412" w:hRule="exact"/>
        </w:trPr>
        <w:tc>
          <w:tcPr>
            <w:tcW w:w="3262" w:type="dxa"/>
            <w:tcBorders>
              <w:top w:val="single" w:sz="17" w:space="0" w:color="D3D3D3"/>
              <w:left w:val="single" w:sz="12" w:space="0" w:color="000000"/>
              <w:bottom w:val="single" w:sz="40" w:space="0" w:color="D3D3D3"/>
              <w:right w:val="single" w:sz="6" w:space="0" w:color="000000"/>
            </w:tcBorders>
          </w:tcPr>
          <w:p>
            <w:pPr>
              <w:pStyle w:val="TableParagraph"/>
              <w:tabs>
                <w:tab w:pos="1241" w:val="left" w:leader="none"/>
                <w:tab w:pos="3205" w:val="left" w:leader="none"/>
              </w:tabs>
              <w:spacing w:line="240" w:lineRule="auto" w:before="38"/>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资产总额</w:t>
              <w:tab/>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787,143,812.83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335,373,330.41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134.71%</w:t>
            </w:r>
          </w:p>
        </w:tc>
        <w:tc>
          <w:tcPr>
            <w:tcW w:w="14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245,510,518.26</w:t>
            </w:r>
          </w:p>
        </w:tc>
      </w:tr>
      <w:tr>
        <w:trPr>
          <w:trHeight w:val="412" w:hRule="exact"/>
        </w:trPr>
        <w:tc>
          <w:tcPr>
            <w:tcW w:w="3262" w:type="dxa"/>
            <w:tcBorders>
              <w:top w:val="single" w:sz="40" w:space="0" w:color="D3D3D3"/>
              <w:left w:val="single" w:sz="12" w:space="0" w:color="000000"/>
              <w:bottom w:val="single" w:sz="17" w:space="0" w:color="D3D3D3"/>
              <w:right w:val="single" w:sz="6" w:space="0" w:color="000000"/>
            </w:tcBorders>
          </w:tcPr>
          <w:p>
            <w:pPr>
              <w:pStyle w:val="TableParagraph"/>
              <w:tabs>
                <w:tab w:pos="1241" w:val="left" w:leader="none"/>
                <w:tab w:pos="3205" w:val="left" w:leader="none"/>
              </w:tabs>
              <w:spacing w:line="240" w:lineRule="auto" w:before="10"/>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负债总额</w:t>
              <w:tab/>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129,465,436.56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104,642,233.50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23.72%</w:t>
            </w:r>
          </w:p>
        </w:tc>
        <w:tc>
          <w:tcPr>
            <w:tcW w:w="14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54,280,412.91</w:t>
            </w:r>
          </w:p>
        </w:tc>
      </w:tr>
      <w:tr>
        <w:trPr>
          <w:trHeight w:val="413" w:hRule="exact"/>
        </w:trPr>
        <w:tc>
          <w:tcPr>
            <w:tcW w:w="3262" w:type="dxa"/>
            <w:tcBorders>
              <w:top w:val="single" w:sz="17" w:space="0" w:color="D3D3D3"/>
              <w:left w:val="single" w:sz="12" w:space="0" w:color="000000"/>
              <w:bottom w:val="single" w:sz="17" w:space="0" w:color="D3D3D3"/>
              <w:right w:val="single" w:sz="6" w:space="0" w:color="000000"/>
            </w:tcBorders>
          </w:tcPr>
          <w:p>
            <w:pPr>
              <w:pStyle w:val="TableParagraph"/>
              <w:tabs>
                <w:tab w:pos="251" w:val="left" w:leader="none"/>
                <w:tab w:pos="3205" w:val="left" w:leader="none"/>
              </w:tabs>
              <w:spacing w:line="240" w:lineRule="auto" w:before="40"/>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归属于上市公司股东的所有者权益</w:t>
              <w:tab/>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657,678,376.27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230,731,096.91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185.04%</w:t>
            </w:r>
          </w:p>
        </w:tc>
        <w:tc>
          <w:tcPr>
            <w:tcW w:w="14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191,230,105.35</w:t>
            </w:r>
          </w:p>
        </w:tc>
      </w:tr>
      <w:tr>
        <w:trPr>
          <w:trHeight w:val="419" w:hRule="exact"/>
        </w:trPr>
        <w:tc>
          <w:tcPr>
            <w:tcW w:w="3262" w:type="dxa"/>
            <w:tcBorders>
              <w:top w:val="single" w:sz="17" w:space="0" w:color="D3D3D3"/>
              <w:left w:val="single" w:sz="12" w:space="0" w:color="000000"/>
              <w:bottom w:val="single" w:sz="29" w:space="0" w:color="D3D3D3"/>
              <w:right w:val="single" w:sz="6" w:space="0" w:color="000000"/>
            </w:tcBorders>
          </w:tcPr>
          <w:p>
            <w:pPr>
              <w:pStyle w:val="TableParagraph"/>
              <w:tabs>
                <w:tab w:pos="881" w:val="left" w:leader="none"/>
                <w:tab w:pos="3205" w:val="left" w:leader="none"/>
              </w:tabs>
              <w:spacing w:line="240" w:lineRule="auto" w:before="38"/>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期末总股本（股）</w:t>
              <w:tab/>
            </w:r>
            <w:r>
              <w:rPr>
                <w:rFonts w:ascii="宋体" w:hAnsi="宋体" w:cs="宋体" w:eastAsia="宋体" w:hint="default"/>
                <w:sz w:val="18"/>
                <w:szCs w:val="18"/>
              </w:rPr>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86,670,000.00</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65,000,000.00</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33.34%</w:t>
            </w:r>
          </w:p>
        </w:tc>
        <w:tc>
          <w:tcPr>
            <w:tcW w:w="14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65,000,000.00</w:t>
            </w:r>
          </w:p>
        </w:tc>
      </w:tr>
    </w:tbl>
    <w:p>
      <w:pPr>
        <w:spacing w:line="240" w:lineRule="auto" w:before="5"/>
        <w:rPr>
          <w:rFonts w:ascii="宋体" w:hAnsi="宋体" w:cs="宋体" w:eastAsia="宋体" w:hint="default"/>
          <w:sz w:val="12"/>
          <w:szCs w:val="12"/>
        </w:rPr>
      </w:pPr>
    </w:p>
    <w:p>
      <w:pPr>
        <w:pStyle w:val="BodyText"/>
        <w:spacing w:line="240" w:lineRule="auto" w:before="35"/>
        <w:ind w:right="132"/>
        <w:jc w:val="left"/>
      </w:pPr>
      <w:r>
        <w:rPr/>
        <w:pict>
          <v:group style="position:absolute;margin-left:241.380005pt;margin-top:93.093979pt;width:66.6pt;height:19.9pt;mso-position-horizontal-relative:page;mso-position-vertical-relative:paragraph;z-index:-656656" coordorigin="4828,1862" coordsize="1332,398">
            <v:group style="position:absolute;left:4828;top:1862;width:1332;height:398" coordorigin="4828,1862" coordsize="1332,398">
              <v:shape style="position:absolute;left:4828;top:1862;width:1332;height:398" coordorigin="4828,1862" coordsize="1332,398" path="m4828,2259l6160,2259,6160,1862,4828,1862,4828,2259xe" filled="true" fillcolor="#ffffff" stroked="false">
                <v:path arrowok="t"/>
                <v:fill type="solid"/>
              </v:shape>
            </v:group>
            <v:group style="position:absolute;left:4848;top:1904;width:1290;height:312" coordorigin="4848,1904" coordsize="1290,312">
              <v:shape style="position:absolute;left:4848;top:1904;width:1290;height:312" coordorigin="4848,1904" coordsize="1290,312" path="m4848,2216l6138,2216,6138,1904,4848,1904,4848,2216xe" filled="true" fillcolor="#ffffff" stroked="false">
                <v:path arrowok="t"/>
                <v:fill type="solid"/>
              </v:shape>
            </v:group>
            <w10:wrap type="none"/>
          </v:group>
        </w:pict>
      </w:r>
      <w:r>
        <w:rPr/>
        <w:t>主要财务指标</w:t>
      </w:r>
    </w:p>
    <w:p>
      <w:pPr>
        <w:spacing w:line="240" w:lineRule="auto" w:before="11"/>
        <w:rPr>
          <w:rFonts w:ascii="宋体" w:hAnsi="宋体" w:cs="宋体" w:eastAsia="宋体" w:hint="default"/>
          <w:sz w:val="21"/>
          <w:szCs w:val="21"/>
        </w:rPr>
      </w:pPr>
    </w:p>
    <w:tbl>
      <w:tblPr>
        <w:tblW w:w="0" w:type="auto"/>
        <w:jc w:val="left"/>
        <w:tblInd w:w="138" w:type="dxa"/>
        <w:tblLayout w:type="fixed"/>
        <w:tblCellMar>
          <w:top w:w="0" w:type="dxa"/>
          <w:left w:w="0" w:type="dxa"/>
          <w:bottom w:w="0" w:type="dxa"/>
          <w:right w:w="0" w:type="dxa"/>
        </w:tblCellMar>
        <w:tblLook w:val="01E0"/>
      </w:tblPr>
      <w:tblGrid>
        <w:gridCol w:w="3687"/>
        <w:gridCol w:w="1345"/>
        <w:gridCol w:w="1348"/>
        <w:gridCol w:w="1700"/>
        <w:gridCol w:w="1489"/>
      </w:tblGrid>
      <w:tr>
        <w:trPr>
          <w:trHeight w:val="419" w:hRule="exact"/>
        </w:trPr>
        <w:tc>
          <w:tcPr>
            <w:tcW w:w="3687" w:type="dxa"/>
            <w:tcBorders>
              <w:top w:val="single" w:sz="12" w:space="0" w:color="000000"/>
              <w:left w:val="single" w:sz="12" w:space="0" w:color="000000"/>
              <w:bottom w:val="single" w:sz="6" w:space="0" w:color="000000"/>
              <w:right w:val="single" w:sz="6" w:space="0" w:color="000000"/>
            </w:tcBorders>
            <w:shd w:val="clear" w:color="auto" w:fill="D3D3D3"/>
          </w:tcPr>
          <w:p>
            <w:pPr/>
          </w:p>
        </w:tc>
        <w:tc>
          <w:tcPr>
            <w:tcW w:w="1345"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48"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37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0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21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489"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2"/>
              <w:ind w:left="445"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12" w:hRule="exact"/>
        </w:trPr>
        <w:tc>
          <w:tcPr>
            <w:tcW w:w="3687" w:type="dxa"/>
            <w:tcBorders>
              <w:top w:val="single" w:sz="40" w:space="0" w:color="D3D3D3"/>
              <w:left w:val="single" w:sz="12" w:space="0" w:color="000000"/>
              <w:bottom w:val="single" w:sz="17" w:space="0" w:color="D3D3D3"/>
              <w:right w:val="single" w:sz="6" w:space="0" w:color="000000"/>
            </w:tcBorders>
          </w:tcPr>
          <w:p>
            <w:pPr>
              <w:pStyle w:val="TableParagraph"/>
              <w:tabs>
                <w:tab w:pos="883" w:val="left" w:leader="none"/>
                <w:tab w:pos="3643" w:val="left" w:leader="none"/>
              </w:tabs>
              <w:spacing w:line="240" w:lineRule="auto" w:before="10"/>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基本每股收益（元/股）</w:t>
              <w:tab/>
            </w:r>
            <w:r>
              <w:rPr>
                <w:rFonts w:ascii="宋体" w:hAnsi="宋体" w:cs="宋体" w:eastAsia="宋体" w:hint="default"/>
                <w:sz w:val="18"/>
                <w:szCs w:val="18"/>
              </w:rPr>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1.03</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0.81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27.16%</w:t>
            </w:r>
          </w:p>
        </w:tc>
        <w:tc>
          <w:tcPr>
            <w:tcW w:w="14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0"/>
              <w:jc w:val="right"/>
              <w:rPr>
                <w:rFonts w:ascii="宋体" w:hAnsi="宋体" w:cs="宋体" w:eastAsia="宋体" w:hint="default"/>
                <w:sz w:val="18"/>
                <w:szCs w:val="18"/>
              </w:rPr>
            </w:pPr>
            <w:r>
              <w:rPr>
                <w:rFonts w:ascii="宋体"/>
                <w:sz w:val="18"/>
              </w:rPr>
              <w:t>0.71</w:t>
            </w:r>
          </w:p>
        </w:tc>
      </w:tr>
      <w:tr>
        <w:trPr>
          <w:trHeight w:val="412" w:hRule="exact"/>
        </w:trPr>
        <w:tc>
          <w:tcPr>
            <w:tcW w:w="3687" w:type="dxa"/>
            <w:tcBorders>
              <w:top w:val="single" w:sz="17" w:space="0" w:color="D3D3D3"/>
              <w:left w:val="single" w:sz="12" w:space="0" w:color="000000"/>
              <w:bottom w:val="single" w:sz="17" w:space="0" w:color="D3D3D3"/>
              <w:right w:val="single" w:sz="6" w:space="0" w:color="000000"/>
            </w:tcBorders>
          </w:tcPr>
          <w:p>
            <w:pPr>
              <w:pStyle w:val="TableParagraph"/>
              <w:tabs>
                <w:tab w:pos="883" w:val="left" w:leader="none"/>
                <w:tab w:pos="3643" w:val="left" w:leader="none"/>
              </w:tabs>
              <w:spacing w:line="240" w:lineRule="auto" w:before="3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稀释每股收益（元/股）</w:t>
              <w:tab/>
            </w:r>
            <w:r>
              <w:rPr>
                <w:rFonts w:ascii="宋体" w:hAnsi="宋体" w:cs="宋体" w:eastAsia="宋体" w:hint="default"/>
                <w:sz w:val="18"/>
                <w:szCs w:val="18"/>
              </w:rPr>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1.03</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0.81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27.16%</w:t>
            </w:r>
          </w:p>
        </w:tc>
        <w:tc>
          <w:tcPr>
            <w:tcW w:w="14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0"/>
              <w:jc w:val="right"/>
              <w:rPr>
                <w:rFonts w:ascii="宋体" w:hAnsi="宋体" w:cs="宋体" w:eastAsia="宋体" w:hint="default"/>
                <w:sz w:val="18"/>
                <w:szCs w:val="18"/>
              </w:rPr>
            </w:pPr>
            <w:r>
              <w:rPr>
                <w:rFonts w:ascii="宋体"/>
                <w:sz w:val="18"/>
              </w:rPr>
              <w:t>0.71</w:t>
            </w:r>
          </w:p>
        </w:tc>
      </w:tr>
      <w:tr>
        <w:trPr>
          <w:trHeight w:val="412" w:hRule="exact"/>
        </w:trPr>
        <w:tc>
          <w:tcPr>
            <w:tcW w:w="3687"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3"/>
              <w:ind w:left="13" w:right="-39"/>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扣除非经常性损益后的基本每股收益（元/股）</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1.05</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0.79</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32.91%</w:t>
            </w:r>
          </w:p>
        </w:tc>
        <w:tc>
          <w:tcPr>
            <w:tcW w:w="14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0"/>
              <w:jc w:val="right"/>
              <w:rPr>
                <w:rFonts w:ascii="宋体" w:hAnsi="宋体" w:cs="宋体" w:eastAsia="宋体" w:hint="default"/>
                <w:sz w:val="18"/>
                <w:szCs w:val="18"/>
              </w:rPr>
            </w:pPr>
            <w:r>
              <w:rPr>
                <w:rFonts w:ascii="宋体"/>
                <w:sz w:val="18"/>
              </w:rPr>
              <w:t>0.67</w:t>
            </w:r>
          </w:p>
        </w:tc>
      </w:tr>
      <w:tr>
        <w:trPr>
          <w:trHeight w:val="412" w:hRule="exact"/>
        </w:trPr>
        <w:tc>
          <w:tcPr>
            <w:tcW w:w="3687" w:type="dxa"/>
            <w:tcBorders>
              <w:top w:val="single" w:sz="40" w:space="0" w:color="D3D3D3"/>
              <w:left w:val="single" w:sz="12" w:space="0" w:color="000000"/>
              <w:bottom w:val="single" w:sz="17" w:space="0" w:color="D3D3D3"/>
              <w:right w:val="single" w:sz="6" w:space="0" w:color="000000"/>
            </w:tcBorders>
          </w:tcPr>
          <w:p>
            <w:pPr>
              <w:pStyle w:val="TableParagraph"/>
              <w:tabs>
                <w:tab w:pos="927" w:val="left" w:leader="none"/>
                <w:tab w:pos="3643" w:val="left" w:leader="none"/>
              </w:tabs>
              <w:spacing w:line="240" w:lineRule="auto" w:before="10"/>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全面摊薄净资产收益率</w:t>
              <w:tab/>
            </w:r>
            <w:r>
              <w:rPr>
                <w:rFonts w:ascii="宋体" w:hAnsi="宋体" w:cs="宋体" w:eastAsia="宋体" w:hint="default"/>
                <w:sz w:val="18"/>
                <w:szCs w:val="18"/>
              </w:rPr>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11.05%</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22.75%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hAnsi="宋体" w:cs="宋体" w:eastAsia="宋体" w:hint="default"/>
                <w:sz w:val="18"/>
                <w:szCs w:val="18"/>
              </w:rPr>
              <w:t>-11.7</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14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0"/>
              <w:jc w:val="right"/>
              <w:rPr>
                <w:rFonts w:ascii="宋体" w:hAnsi="宋体" w:cs="宋体" w:eastAsia="宋体" w:hint="default"/>
                <w:sz w:val="18"/>
                <w:szCs w:val="18"/>
              </w:rPr>
            </w:pPr>
            <w:r>
              <w:rPr>
                <w:rFonts w:ascii="宋体"/>
                <w:sz w:val="18"/>
              </w:rPr>
              <w:t>19.7%</w:t>
            </w:r>
          </w:p>
        </w:tc>
      </w:tr>
      <w:tr>
        <w:trPr>
          <w:trHeight w:val="412" w:hRule="exact"/>
        </w:trPr>
        <w:tc>
          <w:tcPr>
            <w:tcW w:w="3687" w:type="dxa"/>
            <w:tcBorders>
              <w:top w:val="single" w:sz="17" w:space="0" w:color="D3D3D3"/>
              <w:left w:val="single" w:sz="12" w:space="0" w:color="000000"/>
              <w:bottom w:val="single" w:sz="17" w:space="0" w:color="D3D3D3"/>
              <w:right w:val="single" w:sz="6" w:space="0" w:color="000000"/>
            </w:tcBorders>
          </w:tcPr>
          <w:p>
            <w:pPr>
              <w:pStyle w:val="TableParagraph"/>
              <w:tabs>
                <w:tab w:pos="927" w:val="left" w:leader="none"/>
                <w:tab w:pos="3643" w:val="left" w:leader="none"/>
              </w:tabs>
              <w:spacing w:line="240" w:lineRule="auto" w:before="3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加权平均净资产收益率</w:t>
              <w:tab/>
            </w:r>
            <w:r>
              <w:rPr>
                <w:rFonts w:ascii="宋体" w:hAnsi="宋体" w:cs="宋体" w:eastAsia="宋体" w:hint="default"/>
                <w:sz w:val="18"/>
                <w:szCs w:val="18"/>
              </w:rPr>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20.43%</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25.27%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hAnsi="宋体" w:cs="宋体" w:eastAsia="宋体" w:hint="default"/>
                <w:sz w:val="18"/>
                <w:szCs w:val="18"/>
              </w:rPr>
              <w:t>-4.84</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14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0"/>
              <w:jc w:val="right"/>
              <w:rPr>
                <w:rFonts w:ascii="宋体" w:hAnsi="宋体" w:cs="宋体" w:eastAsia="宋体" w:hint="default"/>
                <w:sz w:val="18"/>
                <w:szCs w:val="18"/>
              </w:rPr>
            </w:pPr>
            <w:r>
              <w:rPr>
                <w:rFonts w:ascii="宋体"/>
                <w:sz w:val="18"/>
              </w:rPr>
              <w:t>33.97%</w:t>
            </w:r>
          </w:p>
        </w:tc>
      </w:tr>
      <w:tr>
        <w:trPr>
          <w:trHeight w:val="412" w:hRule="exact"/>
        </w:trPr>
        <w:tc>
          <w:tcPr>
            <w:tcW w:w="3687" w:type="dxa"/>
            <w:tcBorders>
              <w:top w:val="single" w:sz="17" w:space="0" w:color="D3D3D3"/>
              <w:left w:val="single" w:sz="12" w:space="0" w:color="000000"/>
              <w:bottom w:val="single" w:sz="17" w:space="0" w:color="D3D3D3"/>
              <w:right w:val="single" w:sz="6" w:space="0" w:color="000000"/>
            </w:tcBorders>
          </w:tcPr>
          <w:p>
            <w:pPr>
              <w:pStyle w:val="TableParagraph"/>
              <w:tabs>
                <w:tab w:pos="3643" w:val="left" w:leader="none"/>
              </w:tabs>
              <w:spacing w:line="240" w:lineRule="auto" w:before="3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r>
            <w:r>
              <w:rPr>
                <w:rFonts w:ascii="Times New Roman" w:hAnsi="Times New Roman" w:cs="Times New Roman" w:eastAsia="Times New Roman" w:hint="default"/>
                <w:spacing w:val="14"/>
                <w:sz w:val="18"/>
                <w:szCs w:val="18"/>
                <w:shd w:fill="D3D3D3" w:color="auto" w:val="clear"/>
              </w:rPr>
              <w:t> </w:t>
            </w:r>
            <w:r>
              <w:rPr>
                <w:rFonts w:ascii="宋体" w:hAnsi="宋体" w:cs="宋体" w:eastAsia="宋体" w:hint="default"/>
                <w:sz w:val="18"/>
                <w:szCs w:val="18"/>
                <w:shd w:fill="D3D3D3" w:color="auto" w:val="clear"/>
              </w:rPr>
              <w:t>扣除非经常性损益后全面摊薄净资产收益率</w:t>
              <w:tab/>
            </w:r>
            <w:r>
              <w:rPr>
                <w:rFonts w:ascii="宋体" w:hAnsi="宋体" w:cs="宋体" w:eastAsia="宋体" w:hint="default"/>
                <w:sz w:val="18"/>
                <w:szCs w:val="18"/>
              </w:rPr>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11.22%</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22.21%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hAnsi="宋体" w:cs="宋体" w:eastAsia="宋体" w:hint="default"/>
                <w:sz w:val="18"/>
                <w:szCs w:val="18"/>
              </w:rPr>
              <w:t>-10.99</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14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0"/>
              <w:jc w:val="right"/>
              <w:rPr>
                <w:rFonts w:ascii="宋体" w:hAnsi="宋体" w:cs="宋体" w:eastAsia="宋体" w:hint="default"/>
                <w:sz w:val="18"/>
                <w:szCs w:val="18"/>
              </w:rPr>
            </w:pPr>
            <w:r>
              <w:rPr>
                <w:rFonts w:ascii="宋体"/>
                <w:sz w:val="18"/>
              </w:rPr>
              <w:t>18.44%</w:t>
            </w:r>
          </w:p>
        </w:tc>
      </w:tr>
      <w:tr>
        <w:trPr>
          <w:trHeight w:val="412" w:hRule="exact"/>
        </w:trPr>
        <w:tc>
          <w:tcPr>
            <w:tcW w:w="3687" w:type="dxa"/>
            <w:tcBorders>
              <w:top w:val="single" w:sz="17" w:space="0" w:color="D3D3D3"/>
              <w:left w:val="single" w:sz="12" w:space="0" w:color="000000"/>
              <w:bottom w:val="single" w:sz="17" w:space="0" w:color="D3D3D3"/>
              <w:right w:val="single" w:sz="6" w:space="0" w:color="000000"/>
            </w:tcBorders>
          </w:tcPr>
          <w:p>
            <w:pPr>
              <w:pStyle w:val="TableParagraph"/>
              <w:spacing w:line="240" w:lineRule="auto" w:before="39"/>
              <w:ind w:left="2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扣除非经常性损益后的加权平均净资产收益率</w:t>
            </w:r>
            <w:r>
              <w:rPr>
                <w:rFonts w:ascii="宋体" w:hAnsi="宋体" w:cs="宋体" w:eastAsia="宋体" w:hint="default"/>
                <w:sz w:val="18"/>
                <w:szCs w:val="18"/>
              </w:rPr>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20.76%</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24.67%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hAnsi="宋体" w:cs="宋体" w:eastAsia="宋体" w:hint="default"/>
                <w:sz w:val="18"/>
                <w:szCs w:val="18"/>
              </w:rPr>
              <w:t>-3.91</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14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0"/>
              <w:jc w:val="right"/>
              <w:rPr>
                <w:rFonts w:ascii="宋体" w:hAnsi="宋体" w:cs="宋体" w:eastAsia="宋体" w:hint="default"/>
                <w:sz w:val="18"/>
                <w:szCs w:val="18"/>
              </w:rPr>
            </w:pPr>
            <w:r>
              <w:rPr>
                <w:rFonts w:ascii="宋体"/>
                <w:sz w:val="18"/>
              </w:rPr>
              <w:t>31.8%</w:t>
            </w:r>
          </w:p>
        </w:tc>
      </w:tr>
      <w:tr>
        <w:trPr>
          <w:trHeight w:val="412" w:hRule="exact"/>
        </w:trPr>
        <w:tc>
          <w:tcPr>
            <w:tcW w:w="3687" w:type="dxa"/>
            <w:tcBorders>
              <w:top w:val="single" w:sz="17" w:space="0" w:color="D3D3D3"/>
              <w:left w:val="single" w:sz="12" w:space="0" w:color="000000"/>
              <w:bottom w:val="single" w:sz="17" w:space="0" w:color="D3D3D3"/>
              <w:right w:val="single" w:sz="6" w:space="0" w:color="000000"/>
            </w:tcBorders>
          </w:tcPr>
          <w:p>
            <w:pPr>
              <w:pStyle w:val="TableParagraph"/>
              <w:spacing w:line="240" w:lineRule="auto" w:before="3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5"/>
                <w:sz w:val="18"/>
                <w:szCs w:val="18"/>
                <w:shd w:fill="D3D3D3" w:color="auto" w:val="clear"/>
              </w:rPr>
              <w:t> </w:t>
            </w:r>
            <w:r>
              <w:rPr>
                <w:rFonts w:ascii="宋体" w:hAnsi="宋体" w:cs="宋体" w:eastAsia="宋体" w:hint="default"/>
                <w:sz w:val="18"/>
                <w:szCs w:val="18"/>
                <w:shd w:fill="D3D3D3" w:color="auto" w:val="clear"/>
              </w:rPr>
              <w:t>每股经营活动产生的现金流量净额（元/股）</w:t>
            </w:r>
            <w:r>
              <w:rPr>
                <w:rFonts w:ascii="宋体" w:hAnsi="宋体" w:cs="宋体" w:eastAsia="宋体" w:hint="default"/>
                <w:sz w:val="18"/>
                <w:szCs w:val="18"/>
              </w:rPr>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0.84</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0.36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130.24%</w:t>
            </w:r>
          </w:p>
        </w:tc>
        <w:tc>
          <w:tcPr>
            <w:tcW w:w="14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0"/>
              <w:jc w:val="right"/>
              <w:rPr>
                <w:rFonts w:ascii="宋体" w:hAnsi="宋体" w:cs="宋体" w:eastAsia="宋体" w:hint="default"/>
                <w:sz w:val="18"/>
                <w:szCs w:val="18"/>
              </w:rPr>
            </w:pPr>
            <w:r>
              <w:rPr>
                <w:rFonts w:ascii="宋体"/>
                <w:sz w:val="18"/>
              </w:rPr>
              <w:t>0.52</w:t>
            </w:r>
          </w:p>
        </w:tc>
      </w:tr>
      <w:tr>
        <w:trPr>
          <w:trHeight w:val="420" w:hRule="exact"/>
        </w:trPr>
        <w:tc>
          <w:tcPr>
            <w:tcW w:w="3687" w:type="dxa"/>
            <w:tcBorders>
              <w:top w:val="single" w:sz="6" w:space="0" w:color="000000"/>
              <w:left w:val="single" w:sz="12" w:space="0" w:color="000000"/>
              <w:bottom w:val="single" w:sz="12" w:space="0" w:color="000000"/>
              <w:right w:val="single" w:sz="6" w:space="0" w:color="000000"/>
            </w:tcBorders>
            <w:shd w:val="clear" w:color="auto" w:fill="D3D3D3"/>
          </w:tcPr>
          <w:p>
            <w:pPr/>
          </w:p>
        </w:tc>
        <w:tc>
          <w:tcPr>
            <w:tcW w:w="1345"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3"/>
              <w:ind w:left="28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348"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3"/>
              <w:ind w:left="28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00"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3"/>
              <w:ind w:right="31"/>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489" w:type="dxa"/>
            <w:tcBorders>
              <w:top w:val="single" w:sz="6" w:space="0" w:color="000000"/>
              <w:left w:val="single" w:sz="6" w:space="0" w:color="000000"/>
              <w:bottom w:val="single" w:sz="12" w:space="0" w:color="000000"/>
              <w:right w:val="single" w:sz="12" w:space="0" w:color="000000"/>
            </w:tcBorders>
            <w:shd w:val="clear" w:color="auto" w:fill="D3D3D3"/>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年末</w:t>
            </w:r>
          </w:p>
        </w:tc>
      </w:tr>
    </w:tbl>
    <w:p>
      <w:pPr>
        <w:spacing w:after="0" w:line="240" w:lineRule="auto"/>
        <w:jc w:val="left"/>
        <w:rPr>
          <w:rFonts w:ascii="宋体" w:hAnsi="宋体" w:cs="宋体" w:eastAsia="宋体" w:hint="default"/>
          <w:sz w:val="18"/>
          <w:szCs w:val="18"/>
        </w:rPr>
        <w:sectPr>
          <w:pgSz w:w="11910" w:h="16840"/>
          <w:pgMar w:header="747" w:footer="1003" w:top="1040" w:bottom="1200" w:left="980" w:right="98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3687"/>
        <w:gridCol w:w="1345"/>
        <w:gridCol w:w="1348"/>
        <w:gridCol w:w="1700"/>
        <w:gridCol w:w="1489"/>
      </w:tblGrid>
      <w:tr>
        <w:trPr>
          <w:trHeight w:val="398" w:hRule="exact"/>
        </w:trPr>
        <w:tc>
          <w:tcPr>
            <w:tcW w:w="3687" w:type="dxa"/>
            <w:tcBorders>
              <w:top w:val="single" w:sz="12" w:space="0" w:color="000000"/>
              <w:left w:val="single" w:sz="12" w:space="0" w:color="000000"/>
              <w:bottom w:val="single" w:sz="23" w:space="0" w:color="FFFFFF"/>
              <w:right w:val="single" w:sz="6" w:space="0" w:color="000000"/>
            </w:tcBorders>
            <w:shd w:val="clear" w:color="auto" w:fill="D3D3D3"/>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归属于上市公司股东的每股净资产（元/股）</w:t>
            </w:r>
          </w:p>
        </w:tc>
        <w:tc>
          <w:tcPr>
            <w:tcW w:w="1345" w:type="dxa"/>
            <w:tcBorders>
              <w:top w:val="single" w:sz="12" w:space="0" w:color="000000"/>
              <w:left w:val="single" w:sz="6" w:space="0" w:color="000000"/>
              <w:bottom w:val="single" w:sz="23" w:space="0" w:color="FFFFFF"/>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7.59</w:t>
            </w:r>
          </w:p>
        </w:tc>
        <w:tc>
          <w:tcPr>
            <w:tcW w:w="1348" w:type="dxa"/>
            <w:tcBorders>
              <w:top w:val="single" w:sz="12" w:space="0" w:color="000000"/>
              <w:left w:val="single" w:sz="6" w:space="0" w:color="000000"/>
              <w:bottom w:val="single" w:sz="23" w:space="0" w:color="FFFFFF"/>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3.55</w:t>
            </w:r>
          </w:p>
        </w:tc>
        <w:tc>
          <w:tcPr>
            <w:tcW w:w="1700" w:type="dxa"/>
            <w:tcBorders>
              <w:top w:val="single" w:sz="12" w:space="0" w:color="000000"/>
              <w:left w:val="single" w:sz="6" w:space="0" w:color="000000"/>
              <w:bottom w:val="single" w:sz="23" w:space="0" w:color="FFFFFF"/>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113.77%</w:t>
            </w:r>
          </w:p>
        </w:tc>
        <w:tc>
          <w:tcPr>
            <w:tcW w:w="1489" w:type="dxa"/>
            <w:tcBorders>
              <w:top w:val="single" w:sz="12" w:space="0" w:color="000000"/>
              <w:left w:val="single" w:sz="6" w:space="0" w:color="000000"/>
              <w:bottom w:val="single" w:sz="23" w:space="0" w:color="FFFFFF"/>
              <w:right w:val="single" w:sz="12" w:space="0" w:color="000000"/>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2.94</w:t>
            </w:r>
          </w:p>
        </w:tc>
      </w:tr>
      <w:tr>
        <w:trPr>
          <w:trHeight w:val="441" w:hRule="exact"/>
        </w:trPr>
        <w:tc>
          <w:tcPr>
            <w:tcW w:w="3687" w:type="dxa"/>
            <w:tcBorders>
              <w:top w:val="single" w:sz="23" w:space="0" w:color="FFFFFF"/>
              <w:left w:val="single" w:sz="12" w:space="0" w:color="000000"/>
              <w:bottom w:val="single" w:sz="12" w:space="0" w:color="000000"/>
              <w:right w:val="single" w:sz="6" w:space="0" w:color="000000"/>
            </w:tcBorders>
            <w:shd w:val="clear" w:color="auto" w:fill="D3D3D3"/>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资产负债率</w:t>
            </w:r>
          </w:p>
        </w:tc>
        <w:tc>
          <w:tcPr>
            <w:tcW w:w="1345" w:type="dxa"/>
            <w:tcBorders>
              <w:top w:val="single" w:sz="23" w:space="0" w:color="FFFFFF"/>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16.45%</w:t>
            </w:r>
          </w:p>
        </w:tc>
        <w:tc>
          <w:tcPr>
            <w:tcW w:w="1348" w:type="dxa"/>
            <w:tcBorders>
              <w:top w:val="single" w:sz="23" w:space="0" w:color="FFFFFF"/>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31.2%</w:t>
            </w:r>
          </w:p>
        </w:tc>
        <w:tc>
          <w:tcPr>
            <w:tcW w:w="1700" w:type="dxa"/>
            <w:tcBorders>
              <w:top w:val="single" w:sz="23" w:space="0" w:color="FFFFFF"/>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hAnsi="宋体" w:cs="宋体" w:eastAsia="宋体" w:hint="default"/>
                <w:sz w:val="18"/>
                <w:szCs w:val="18"/>
              </w:rPr>
              <w:t>-14.75</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1489" w:type="dxa"/>
            <w:tcBorders>
              <w:top w:val="single" w:sz="23" w:space="0" w:color="FFFFFF"/>
              <w:left w:val="single" w:sz="6" w:space="0" w:color="000000"/>
              <w:bottom w:val="single" w:sz="12" w:space="0" w:color="000000"/>
              <w:right w:val="single" w:sz="12" w:space="0" w:color="000000"/>
            </w:tcBorders>
          </w:tcPr>
          <w:p>
            <w:pPr>
              <w:pStyle w:val="TableParagraph"/>
              <w:spacing w:line="240" w:lineRule="auto" w:before="53"/>
              <w:ind w:right="10"/>
              <w:jc w:val="right"/>
              <w:rPr>
                <w:rFonts w:ascii="宋体" w:hAnsi="宋体" w:cs="宋体" w:eastAsia="宋体" w:hint="default"/>
                <w:sz w:val="18"/>
                <w:szCs w:val="18"/>
              </w:rPr>
            </w:pPr>
            <w:r>
              <w:rPr>
                <w:rFonts w:ascii="宋体"/>
                <w:sz w:val="18"/>
              </w:rPr>
              <w:t>22.11%</w:t>
            </w:r>
          </w:p>
        </w:tc>
      </w:tr>
    </w:tbl>
    <w:p>
      <w:pPr>
        <w:spacing w:line="240" w:lineRule="auto" w:before="2"/>
        <w:rPr>
          <w:rFonts w:ascii="宋体" w:hAnsi="宋体" w:cs="宋体" w:eastAsia="宋体" w:hint="default"/>
          <w:sz w:val="18"/>
          <w:szCs w:val="18"/>
        </w:rPr>
      </w:pPr>
    </w:p>
    <w:p>
      <w:pPr>
        <w:pStyle w:val="Heading2"/>
        <w:spacing w:line="240" w:lineRule="auto"/>
        <w:ind w:right="132"/>
        <w:jc w:val="left"/>
        <w:rPr>
          <w:b w:val="0"/>
          <w:bCs w:val="0"/>
        </w:rPr>
      </w:pPr>
      <w:r>
        <w:rPr/>
        <w:t>二、报告期内非经常性损益的项目及金额</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3297"/>
        <w:gridCol w:w="1519"/>
        <w:gridCol w:w="1520"/>
        <w:gridCol w:w="1522"/>
        <w:gridCol w:w="1709"/>
      </w:tblGrid>
      <w:tr>
        <w:trPr>
          <w:trHeight w:val="418" w:hRule="exact"/>
        </w:trPr>
        <w:tc>
          <w:tcPr>
            <w:tcW w:w="3297" w:type="dxa"/>
            <w:tcBorders>
              <w:top w:val="single" w:sz="29" w:space="0" w:color="D3D3D3"/>
              <w:left w:val="single" w:sz="12" w:space="0" w:color="000000"/>
              <w:bottom w:val="single" w:sz="23" w:space="0" w:color="D3D3D3"/>
              <w:right w:val="single" w:sz="6" w:space="0" w:color="000000"/>
            </w:tcBorders>
          </w:tcPr>
          <w:p>
            <w:pPr>
              <w:pStyle w:val="TableParagraph"/>
              <w:tabs>
                <w:tab w:pos="1439" w:val="left" w:leader="none"/>
                <w:tab w:pos="3239" w:val="left" w:leader="none"/>
              </w:tabs>
              <w:spacing w:line="240" w:lineRule="auto" w:before="31"/>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项目</w:t>
              <w:tab/>
            </w:r>
            <w:r>
              <w:rPr>
                <w:rFonts w:ascii="宋体" w:hAnsi="宋体" w:cs="宋体" w:eastAsia="宋体" w:hint="default"/>
                <w:sz w:val="18"/>
                <w:szCs w:val="18"/>
              </w:rPr>
            </w:r>
          </w:p>
        </w:tc>
        <w:tc>
          <w:tcPr>
            <w:tcW w:w="1519"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279"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2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28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22"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28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709"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640" w:hRule="exact"/>
        </w:trPr>
        <w:tc>
          <w:tcPr>
            <w:tcW w:w="3297"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11"/>
              <w:ind w:right="6"/>
              <w:jc w:val="center"/>
              <w:rPr>
                <w:rFonts w:ascii="宋体" w:hAnsi="宋体" w:cs="宋体" w:eastAsia="宋体" w:hint="default"/>
                <w:sz w:val="18"/>
                <w:szCs w:val="18"/>
              </w:rPr>
            </w:pPr>
            <w:r>
              <w:rPr>
                <w:rFonts w:ascii="宋体" w:hAnsi="宋体" w:cs="宋体" w:eastAsia="宋体" w:hint="default"/>
                <w:sz w:val="18"/>
                <w:szCs w:val="18"/>
              </w:rPr>
              <w:t>非流动资产处置损益</w:t>
            </w:r>
          </w:p>
          <w:p>
            <w:pPr>
              <w:pStyle w:val="TableParagraph"/>
              <w:spacing w:line="240" w:lineRule="auto" w:before="76"/>
              <w:ind w:right="6"/>
              <w:jc w:val="center"/>
              <w:rPr>
                <w:rFonts w:ascii="宋体" w:hAnsi="宋体" w:cs="宋体" w:eastAsia="宋体" w:hint="default"/>
                <w:sz w:val="18"/>
                <w:szCs w:val="18"/>
              </w:rPr>
            </w:pPr>
            <w:r>
              <w:rPr>
                <w:rFonts w:ascii="宋体" w:hAnsi="宋体" w:cs="宋体" w:eastAsia="宋体" w:hint="default"/>
                <w:sz w:val="18"/>
                <w:szCs w:val="18"/>
              </w:rPr>
              <w:t>（包括已计提资产减值准备的冲销部分）</w:t>
            </w:r>
          </w:p>
        </w:tc>
        <w:tc>
          <w:tcPr>
            <w:tcW w:w="1519" w:type="dxa"/>
            <w:tcBorders>
              <w:top w:val="single" w:sz="6" w:space="0" w:color="000000"/>
              <w:left w:val="single" w:sz="9" w:space="0" w:color="D3D3D3"/>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-28,703.95</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3,746.32</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-82,052.16</w:t>
            </w:r>
          </w:p>
        </w:tc>
        <w:tc>
          <w:tcPr>
            <w:tcW w:w="1709" w:type="dxa"/>
            <w:tcBorders>
              <w:top w:val="single" w:sz="6" w:space="0" w:color="000000"/>
              <w:left w:val="single" w:sz="6" w:space="0" w:color="000000"/>
              <w:bottom w:val="single" w:sz="6" w:space="0" w:color="000000"/>
              <w:right w:val="single" w:sz="12" w:space="0" w:color="000000"/>
            </w:tcBorders>
          </w:tcPr>
          <w:p>
            <w:pPr/>
          </w:p>
        </w:tc>
      </w:tr>
      <w:tr>
        <w:trPr>
          <w:trHeight w:val="950" w:hRule="exact"/>
        </w:trPr>
        <w:tc>
          <w:tcPr>
            <w:tcW w:w="3297"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6" w:lineRule="auto" w:before="10"/>
              <w:ind w:left="13" w:right="19"/>
              <w:jc w:val="center"/>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19" w:type="dxa"/>
            <w:tcBorders>
              <w:top w:val="single" w:sz="6" w:space="0" w:color="000000"/>
              <w:left w:val="single" w:sz="9" w:space="0" w:color="D3D3D3"/>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250,000.00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2,825,000.00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3,537,500.00</w:t>
            </w:r>
          </w:p>
        </w:tc>
        <w:tc>
          <w:tcPr>
            <w:tcW w:w="170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297" w:type="dxa"/>
            <w:tcBorders>
              <w:top w:val="single" w:sz="23" w:space="0" w:color="D3D3D3"/>
              <w:left w:val="single" w:sz="12" w:space="0" w:color="000000"/>
              <w:bottom w:val="single" w:sz="17" w:space="0" w:color="D3D3D3"/>
              <w:right w:val="single" w:sz="6" w:space="0" w:color="000000"/>
            </w:tcBorders>
          </w:tcPr>
          <w:p>
            <w:pPr>
              <w:pStyle w:val="TableParagraph"/>
              <w:spacing w:line="240" w:lineRule="auto" w:before="32"/>
              <w:ind w:right="1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除上述各项之外的其他营业外收入和支出</w:t>
            </w:r>
            <w:r>
              <w:rPr>
                <w:rFonts w:ascii="宋体" w:hAnsi="宋体" w:cs="宋体" w:eastAsia="宋体" w:hint="default"/>
                <w:sz w:val="18"/>
                <w:szCs w:val="18"/>
              </w:rPr>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-1,587,272.24</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-1,343,000.00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-630,316.05</w:t>
            </w:r>
          </w:p>
        </w:tc>
        <w:tc>
          <w:tcPr>
            <w:tcW w:w="170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297" w:type="dxa"/>
            <w:tcBorders>
              <w:top w:val="single" w:sz="17" w:space="0" w:color="D3D3D3"/>
              <w:left w:val="single" w:sz="12" w:space="0" w:color="000000"/>
              <w:bottom w:val="single" w:sz="17" w:space="0" w:color="D3D3D3"/>
              <w:right w:val="single" w:sz="6" w:space="0" w:color="000000"/>
            </w:tcBorders>
          </w:tcPr>
          <w:p>
            <w:pPr>
              <w:pStyle w:val="TableParagraph"/>
              <w:tabs>
                <w:tab w:pos="1079" w:val="left" w:leader="none"/>
                <w:tab w:pos="3239" w:val="left" w:leader="none"/>
              </w:tabs>
              <w:spacing w:line="240" w:lineRule="auto" w:before="3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所得税影响额</w:t>
              <w:tab/>
            </w:r>
            <w:r>
              <w:rPr>
                <w:rFonts w:ascii="宋体" w:hAnsi="宋体" w:cs="宋体" w:eastAsia="宋体" w:hint="default"/>
                <w:sz w:val="18"/>
                <w:szCs w:val="18"/>
              </w:rPr>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-204,896.43</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222,861.95</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425,256.77</w:t>
            </w:r>
          </w:p>
        </w:tc>
        <w:tc>
          <w:tcPr>
            <w:tcW w:w="1709" w:type="dxa"/>
            <w:tcBorders>
              <w:top w:val="single" w:sz="6" w:space="0" w:color="000000"/>
              <w:left w:val="single" w:sz="6" w:space="0" w:color="000000"/>
              <w:bottom w:val="single" w:sz="6" w:space="0" w:color="000000"/>
              <w:right w:val="single" w:sz="12" w:space="0" w:color="000000"/>
            </w:tcBorders>
          </w:tcPr>
          <w:p>
            <w:pPr/>
          </w:p>
        </w:tc>
      </w:tr>
      <w:tr>
        <w:trPr>
          <w:trHeight w:val="419" w:hRule="exact"/>
        </w:trPr>
        <w:tc>
          <w:tcPr>
            <w:tcW w:w="3297" w:type="dxa"/>
            <w:tcBorders>
              <w:top w:val="single" w:sz="17" w:space="0" w:color="D3D3D3"/>
              <w:left w:val="single" w:sz="12" w:space="0" w:color="000000"/>
              <w:bottom w:val="single" w:sz="29" w:space="0" w:color="D3D3D3"/>
              <w:right w:val="single" w:sz="6" w:space="0" w:color="000000"/>
            </w:tcBorders>
          </w:tcPr>
          <w:p>
            <w:pPr>
              <w:pStyle w:val="TableParagraph"/>
              <w:tabs>
                <w:tab w:pos="1439" w:val="left" w:leader="none"/>
                <w:tab w:pos="3239" w:val="left" w:leader="none"/>
              </w:tabs>
              <w:spacing w:line="240" w:lineRule="auto" w:before="40"/>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合计</w:t>
              <w:tab/>
            </w:r>
            <w:r>
              <w:rPr>
                <w:rFonts w:ascii="宋体" w:hAnsi="宋体" w:cs="宋体" w:eastAsia="宋体" w:hint="default"/>
                <w:sz w:val="18"/>
                <w:szCs w:val="18"/>
              </w:rPr>
            </w:r>
          </w:p>
        </w:tc>
        <w:tc>
          <w:tcPr>
            <w:tcW w:w="15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-1,161,079.76</w:t>
            </w:r>
          </w:p>
        </w:tc>
        <w:tc>
          <w:tcPr>
            <w:tcW w:w="15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1,262,884.37</w:t>
            </w:r>
          </w:p>
        </w:tc>
        <w:tc>
          <w:tcPr>
            <w:tcW w:w="15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2,399,875.02</w:t>
            </w:r>
          </w:p>
        </w:tc>
        <w:tc>
          <w:tcPr>
            <w:tcW w:w="1709" w:type="dxa"/>
            <w:tcBorders>
              <w:top w:val="single" w:sz="6" w:space="0" w:color="000000"/>
              <w:left w:val="single" w:sz="6" w:space="0" w:color="000000"/>
              <w:bottom w:val="single" w:sz="12" w:space="0" w:color="000000"/>
              <w:right w:val="single" w:sz="12"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sz w:val="18"/>
              </w:rPr>
              <w:t>--</w:t>
            </w:r>
          </w:p>
        </w:tc>
      </w:tr>
    </w:tbl>
    <w:p>
      <w:pPr>
        <w:pStyle w:val="BodyText"/>
        <w:spacing w:line="240" w:lineRule="auto" w:before="42"/>
        <w:ind w:left="577" w:right="0"/>
        <w:jc w:val="left"/>
      </w:pPr>
      <w:r>
        <w:rPr/>
        <w:t>对公司根据《公开发行证券的公司信息披露解释性公告第</w:t>
      </w:r>
      <w:r>
        <w:rPr>
          <w:spacing w:val="-68"/>
        </w:rPr>
        <w:t> </w:t>
      </w:r>
      <w:r>
        <w:rPr/>
        <w:t>1</w:t>
      </w:r>
      <w:r>
        <w:rPr>
          <w:spacing w:val="-68"/>
        </w:rPr>
        <w:t> </w:t>
      </w:r>
      <w:r>
        <w:rPr/>
        <w:t>号——非经常性损益》定义界定的非经常</w:t>
      </w:r>
    </w:p>
    <w:p>
      <w:pPr>
        <w:spacing w:line="240" w:lineRule="auto" w:before="10"/>
        <w:rPr>
          <w:rFonts w:ascii="宋体" w:hAnsi="宋体" w:cs="宋体" w:eastAsia="宋体" w:hint="default"/>
          <w:sz w:val="14"/>
          <w:szCs w:val="14"/>
        </w:rPr>
      </w:pPr>
    </w:p>
    <w:p>
      <w:pPr>
        <w:pStyle w:val="BodyText"/>
        <w:spacing w:line="408" w:lineRule="auto"/>
        <w:ind w:right="133"/>
        <w:jc w:val="left"/>
      </w:pPr>
      <w:r>
        <w:rPr/>
        <w:t>性损益项目，以及把《公开发行证券的公司信息披露解释性公告第</w:t>
      </w:r>
      <w:r>
        <w:rPr>
          <w:spacing w:val="-64"/>
        </w:rPr>
        <w:t> </w:t>
      </w:r>
      <w:r>
        <w:rPr/>
        <w:t>1</w:t>
      </w:r>
      <w:r>
        <w:rPr>
          <w:spacing w:val="-64"/>
        </w:rPr>
        <w:t> </w:t>
      </w:r>
      <w:r>
        <w:rPr/>
        <w:t>号——非经常性损益》中列举的非经</w:t>
      </w:r>
      <w:r>
        <w:rPr/>
        <w:t> 常性损益项目界定为经常性损益的项目，应说明原因</w:t>
      </w:r>
    </w:p>
    <w:p>
      <w:pPr>
        <w:pStyle w:val="BodyText"/>
        <w:spacing w:line="240" w:lineRule="auto" w:before="46"/>
        <w:ind w:left="577" w:right="132"/>
        <w:jc w:val="left"/>
      </w:pPr>
      <w:r>
        <w:rPr/>
        <w:t>□ 适用 √</w:t>
      </w:r>
      <w:r>
        <w:rPr>
          <w:spacing w:val="-2"/>
        </w:rPr>
        <w:t> </w:t>
      </w:r>
      <w:r>
        <w:rPr/>
        <w:t>不适用</w:t>
      </w:r>
    </w:p>
    <w:p>
      <w:pPr>
        <w:spacing w:line="690" w:lineRule="atLeast" w:before="17"/>
        <w:ind w:left="578" w:right="4906" w:hanging="425"/>
        <w:jc w:val="left"/>
        <w:rPr>
          <w:rFonts w:ascii="宋体" w:hAnsi="宋体" w:cs="宋体" w:eastAsia="宋体" w:hint="default"/>
          <w:sz w:val="24"/>
          <w:szCs w:val="24"/>
        </w:rPr>
      </w:pPr>
      <w:r>
        <w:rPr>
          <w:rFonts w:ascii="宋体" w:hAnsi="宋体" w:cs="宋体" w:eastAsia="宋体" w:hint="default"/>
          <w:b/>
          <w:bCs/>
          <w:sz w:val="24"/>
          <w:szCs w:val="24"/>
        </w:rPr>
        <w:t>三、重大风险提示</w:t>
      </w:r>
      <w:r>
        <w:rPr>
          <w:rFonts w:ascii="宋体" w:hAnsi="宋体" w:cs="宋体" w:eastAsia="宋体" w:hint="default"/>
          <w:b/>
          <w:bCs/>
          <w:spacing w:val="1"/>
          <w:w w:val="99"/>
          <w:sz w:val="24"/>
          <w:szCs w:val="24"/>
        </w:rPr>
        <w:t> </w:t>
      </w:r>
      <w:r>
        <w:rPr>
          <w:rFonts w:ascii="宋体" w:hAnsi="宋体" w:cs="宋体" w:eastAsia="宋体" w:hint="default"/>
          <w:sz w:val="24"/>
          <w:szCs w:val="24"/>
        </w:rPr>
        <w:t>1、对电力行业及国家电网系统依赖的风险</w:t>
      </w:r>
    </w:p>
    <w:p>
      <w:pPr>
        <w:pStyle w:val="Heading3"/>
        <w:spacing w:line="357" w:lineRule="auto" w:before="154"/>
        <w:ind w:right="147" w:firstLine="424"/>
        <w:jc w:val="both"/>
      </w:pPr>
      <w:r>
        <w:rPr/>
        <w:t>公司主营业务为智能用电信息采集系统软硬件的研发、生产和销售，主要销售对象是国</w:t>
      </w:r>
      <w:r>
        <w:rPr>
          <w:spacing w:val="2"/>
        </w:rPr>
        <w:t> </w:t>
      </w:r>
      <w:r>
        <w:rPr/>
        <w:t>家电网及下属各网省公司，公司业务的发展依赖于电力行业的发展和国家电网公司的需求，</w:t>
      </w:r>
      <w:r>
        <w:rPr>
          <w:spacing w:val="-83"/>
        </w:rPr>
        <w:t> </w:t>
      </w:r>
      <w:r>
        <w:rPr>
          <w:spacing w:val="-83"/>
        </w:rPr>
      </w:r>
      <w:r>
        <w:rPr/>
        <w:t>如果国家电网及电力行业相关政策发生不利变化，有可能会对公司的正常生产经营产生较大</w:t>
      </w:r>
      <w:r>
        <w:rPr>
          <w:spacing w:val="-83"/>
        </w:rPr>
        <w:t> </w:t>
      </w:r>
      <w:r>
        <w:rPr>
          <w:spacing w:val="-83"/>
        </w:rPr>
      </w:r>
      <w:r>
        <w:rPr/>
        <w:t>影响。</w:t>
      </w:r>
    </w:p>
    <w:p>
      <w:pPr>
        <w:pStyle w:val="Heading3"/>
        <w:spacing w:line="357" w:lineRule="auto"/>
        <w:ind w:right="147" w:firstLine="424"/>
        <w:jc w:val="both"/>
      </w:pPr>
      <w:r>
        <w:rPr/>
        <w:t>考虑到上述风险发生的可能性，公司在积极开拓国家电网业务的同时，也为进入南方电</w:t>
      </w:r>
      <w:r>
        <w:rPr>
          <w:spacing w:val="2"/>
        </w:rPr>
        <w:t> </w:t>
      </w:r>
      <w:r>
        <w:rPr/>
        <w:t>网市场做了很多前期准备，2013年有望参加南方电网的投标工作。同时，公司已启动海外市</w:t>
      </w:r>
      <w:r>
        <w:rPr>
          <w:spacing w:val="-102"/>
        </w:rPr>
        <w:t> </w:t>
      </w:r>
      <w:r>
        <w:rPr>
          <w:spacing w:val="-102"/>
        </w:rPr>
      </w:r>
      <w:r>
        <w:rPr>
          <w:spacing w:val="-5"/>
        </w:rPr>
        <w:t>场的调研，并计划在今后年度开拓国外智能电网的低压集抄等产品。随着公司在创业板上市，</w:t>
      </w:r>
      <w:r>
        <w:rPr>
          <w:spacing w:val="-117"/>
        </w:rPr>
        <w:t> </w:t>
      </w:r>
      <w:r>
        <w:rPr>
          <w:spacing w:val="-117"/>
        </w:rPr>
      </w:r>
      <w:r>
        <w:rPr>
          <w:spacing w:val="-5"/>
        </w:rPr>
        <w:t>公司也将发挥资本市场优势，充分运用超募资金，希望通过资本助力，促进公司持续、健康、</w:t>
      </w:r>
      <w:r>
        <w:rPr/>
        <w:t> 稳定发展。</w:t>
      </w:r>
    </w:p>
    <w:p>
      <w:pPr>
        <w:pStyle w:val="Heading3"/>
        <w:spacing w:line="357" w:lineRule="auto"/>
        <w:ind w:left="578" w:right="132"/>
        <w:jc w:val="left"/>
      </w:pPr>
      <w:r>
        <w:rPr/>
        <w:t>2、毛利率下降的风险 公司主营业务的综合毛利率保持了较高水平，但总体呈逐年下降的趋势。2011年和2012</w:t>
      </w:r>
    </w:p>
    <w:p>
      <w:pPr>
        <w:spacing w:after="0" w:line="357" w:lineRule="auto"/>
        <w:jc w:val="left"/>
        <w:sectPr>
          <w:pgSz w:w="11910" w:h="16840"/>
          <w:pgMar w:header="747" w:footer="1003" w:top="1040" w:bottom="1200" w:left="980" w:right="980"/>
        </w:sectPr>
      </w:pPr>
    </w:p>
    <w:p>
      <w:pPr>
        <w:spacing w:line="240" w:lineRule="auto" w:before="0"/>
        <w:rPr>
          <w:rFonts w:ascii="宋体" w:hAnsi="宋体" w:cs="宋体" w:eastAsia="宋体" w:hint="default"/>
          <w:sz w:val="20"/>
          <w:szCs w:val="20"/>
        </w:rPr>
      </w:pPr>
    </w:p>
    <w:p>
      <w:pPr>
        <w:pStyle w:val="Heading3"/>
        <w:spacing w:line="357" w:lineRule="auto" w:before="161"/>
        <w:ind w:right="148"/>
        <w:jc w:val="both"/>
      </w:pPr>
      <w:r>
        <w:rPr/>
        <w:t>年主营业务综合毛利率分别为41.87%和38.56%，毛利率下降的主要原因是产品价格的降低和</w:t>
      </w:r>
      <w:r>
        <w:rPr>
          <w:spacing w:val="-100"/>
        </w:rPr>
        <w:t> </w:t>
      </w:r>
      <w:r>
        <w:rPr>
          <w:spacing w:val="-100"/>
        </w:rPr>
      </w:r>
      <w:r>
        <w:rPr/>
        <w:t>产品结构的调整。随着用电信息采集终端产品市场容量的扩大、技术标准的统一以及国网公</w:t>
      </w:r>
      <w:r>
        <w:rPr>
          <w:spacing w:val="-83"/>
        </w:rPr>
        <w:t> </w:t>
      </w:r>
      <w:r>
        <w:rPr>
          <w:spacing w:val="-83"/>
        </w:rPr>
      </w:r>
      <w:r>
        <w:rPr/>
        <w:t>司招标的集中，市场竞争逐步加剧，公司产品平均中标价格出现了下降趋势。虽然报告期内</w:t>
      </w:r>
      <w:r>
        <w:rPr>
          <w:spacing w:val="-83"/>
        </w:rPr>
        <w:t> </w:t>
      </w:r>
      <w:r>
        <w:rPr>
          <w:spacing w:val="-83"/>
        </w:rPr>
      </w:r>
      <w:r>
        <w:rPr/>
        <w:t>公司产品价格逐年下降，但是公司销售规模也逐年快速扩大，在材料采购方面增加了议价能</w:t>
      </w:r>
      <w:r>
        <w:rPr>
          <w:spacing w:val="-83"/>
        </w:rPr>
        <w:t> </w:t>
      </w:r>
      <w:r>
        <w:rPr>
          <w:spacing w:val="-83"/>
        </w:rPr>
      </w:r>
      <w:r>
        <w:rPr/>
        <w:t>力，公司的盈利水平仍保持了稳定增长的态势，销售规模的扩大在一定程度上弥补了毛利率</w:t>
      </w:r>
      <w:r>
        <w:rPr>
          <w:spacing w:val="-83"/>
        </w:rPr>
        <w:t> </w:t>
      </w:r>
      <w:r>
        <w:rPr>
          <w:spacing w:val="-83"/>
        </w:rPr>
      </w:r>
      <w:r>
        <w:rPr/>
        <w:t>下降对公司盈利能力产生的不利影响。</w:t>
      </w:r>
    </w:p>
    <w:p>
      <w:pPr>
        <w:pStyle w:val="Heading3"/>
        <w:spacing w:line="357" w:lineRule="auto"/>
        <w:ind w:left="578" w:right="132"/>
        <w:jc w:val="left"/>
      </w:pPr>
      <w:r>
        <w:rPr/>
        <w:t>3、客户集中的风险 </w:t>
      </w:r>
      <w:r>
        <w:rPr>
          <w:spacing w:val="-4"/>
        </w:rPr>
        <w:t>报告期内，公司前五大客户实现的营业收入占营业收入的比例为80.16%，客户较为集中。</w:t>
      </w:r>
    </w:p>
    <w:p>
      <w:pPr>
        <w:pStyle w:val="Heading3"/>
        <w:spacing w:line="357" w:lineRule="auto"/>
        <w:ind w:left="154" w:right="148"/>
        <w:jc w:val="both"/>
      </w:pPr>
      <w:r>
        <w:rPr/>
        <w:t>尽管公司已与主要客户建立了长期稳定的合作关系，但如果未来主要电力用户用电信息采集</w:t>
      </w:r>
      <w:r>
        <w:rPr>
          <w:spacing w:val="-83"/>
        </w:rPr>
        <w:t> </w:t>
      </w:r>
      <w:r>
        <w:rPr>
          <w:spacing w:val="-83"/>
        </w:rPr>
      </w:r>
      <w:r>
        <w:rPr/>
        <w:t>系统的市场需求格局发生变化、或公司产品的性能或技术服务不能持续满足客户的需求，导</w:t>
      </w:r>
      <w:r>
        <w:rPr>
          <w:spacing w:val="-83"/>
        </w:rPr>
        <w:t> </w:t>
      </w:r>
      <w:r>
        <w:rPr>
          <w:spacing w:val="-83"/>
        </w:rPr>
      </w:r>
      <w:r>
        <w:rPr/>
        <w:t>致与主要客户的合作关系发生变化，有可能会对公司的生产经营带来不利影响。</w:t>
      </w:r>
    </w:p>
    <w:p>
      <w:pPr>
        <w:pStyle w:val="Heading3"/>
        <w:spacing w:line="357" w:lineRule="auto"/>
        <w:ind w:left="154" w:right="147" w:firstLine="424"/>
        <w:jc w:val="both"/>
      </w:pPr>
      <w:r>
        <w:rPr/>
        <w:t>报告期内，公司加大向全国市场的开拓力度，产品陆续进入湖南、江西、福建、吉林等</w:t>
      </w:r>
      <w:r>
        <w:rPr>
          <w:spacing w:val="2"/>
        </w:rPr>
        <w:t> </w:t>
      </w:r>
      <w:r>
        <w:rPr/>
        <w:t>省份，2013年预计将向更多省份拓展市场，客户集中度有望进一步降低。</w:t>
      </w:r>
    </w:p>
    <w:p>
      <w:pPr>
        <w:pStyle w:val="Heading3"/>
        <w:spacing w:line="357" w:lineRule="auto"/>
        <w:ind w:left="578" w:right="132"/>
        <w:jc w:val="left"/>
      </w:pPr>
      <w:r>
        <w:rPr/>
        <w:t>4、季节性风险 各省电力公司的投资立项申请与审批集中在每年的上半年，下半年执行实施相对集中，</w:t>
      </w:r>
    </w:p>
    <w:p>
      <w:pPr>
        <w:pStyle w:val="Heading3"/>
        <w:spacing w:line="357" w:lineRule="auto"/>
        <w:ind w:left="154" w:right="148"/>
        <w:jc w:val="both"/>
      </w:pPr>
      <w:r>
        <w:rPr/>
        <w:t>年底加快执行进度。因此，各省电力公司对电力设备的采购需求主要集中于下半年，与此相</w:t>
      </w:r>
      <w:r>
        <w:rPr>
          <w:spacing w:val="-83"/>
        </w:rPr>
        <w:t> </w:t>
      </w:r>
      <w:r>
        <w:rPr>
          <w:spacing w:val="-83"/>
        </w:rPr>
      </w:r>
      <w:r>
        <w:rPr/>
        <w:t>应，公司营业收入的实现主要集中在下半年，具有较强的季节性特点。</w:t>
      </w:r>
    </w:p>
    <w:p>
      <w:pPr>
        <w:pStyle w:val="Heading3"/>
        <w:spacing w:line="357" w:lineRule="auto"/>
        <w:ind w:left="154" w:right="151" w:firstLine="480"/>
        <w:jc w:val="both"/>
      </w:pPr>
      <w:r>
        <w:rPr>
          <w:spacing w:val="-3"/>
        </w:rPr>
        <w:t>5、本次募集资金项目投产后固定资产折旧、无形资产摊销费用及研发费用变化影响未来</w:t>
      </w:r>
      <w:r>
        <w:rPr/>
        <w:t> 经营成果的风险</w:t>
      </w:r>
    </w:p>
    <w:p>
      <w:pPr>
        <w:pStyle w:val="Heading3"/>
        <w:spacing w:line="357" w:lineRule="auto"/>
        <w:ind w:left="154" w:right="148" w:firstLine="480"/>
        <w:jc w:val="both"/>
      </w:pPr>
      <w:r>
        <w:rPr>
          <w:spacing w:val="-6"/>
        </w:rPr>
        <w:t>本次募投项目实施后，公司的固定资产折旧、无形资产摊销费用及研发费用将大幅增长。</w:t>
      </w:r>
      <w:r>
        <w:rPr/>
        <w:t> 募投项目的建成投产，将有效提高公司主营业务竞争力，带动公司营业收入的增长。但是如</w:t>
      </w:r>
      <w:r>
        <w:rPr>
          <w:spacing w:val="-83"/>
        </w:rPr>
        <w:t> </w:t>
      </w:r>
      <w:r>
        <w:rPr>
          <w:spacing w:val="-83"/>
        </w:rPr>
      </w:r>
      <w:r>
        <w:rPr/>
        <w:t>果未来市场环境或市场需求出现重大变化造成募集资金投资项目不能产生预期收益，该成本</w:t>
      </w:r>
      <w:r>
        <w:rPr>
          <w:spacing w:val="-83"/>
        </w:rPr>
        <w:t> </w:t>
      </w:r>
      <w:r>
        <w:rPr>
          <w:spacing w:val="-83"/>
        </w:rPr>
      </w:r>
      <w:r>
        <w:rPr/>
        <w:t>费用增长将对公司未来业绩造成一定影响。</w:t>
      </w:r>
    </w:p>
    <w:p>
      <w:pPr>
        <w:spacing w:after="0" w:line="357" w:lineRule="auto"/>
        <w:jc w:val="both"/>
        <w:sectPr>
          <w:pgSz w:w="11910" w:h="16840"/>
          <w:pgMar w:header="747" w:footer="1003" w:top="1040" w:bottom="12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Heading1"/>
        <w:spacing w:line="240" w:lineRule="auto"/>
        <w:ind w:right="3233"/>
        <w:jc w:val="center"/>
        <w:rPr>
          <w:b w:val="0"/>
          <w:bCs w:val="0"/>
        </w:rPr>
      </w:pPr>
      <w:bookmarkStart w:name="_TOC_250006"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132"/>
        <w:jc w:val="left"/>
        <w:rPr>
          <w:b w:val="0"/>
          <w:bCs w:val="0"/>
        </w:rPr>
      </w:pPr>
      <w:r>
        <w:rPr/>
        <w:t>一、管理层讨论与分析</w:t>
      </w:r>
      <w:r>
        <w:rPr>
          <w:b w:val="0"/>
          <w:bCs w:val="0"/>
        </w:rPr>
      </w:r>
    </w:p>
    <w:p>
      <w:pPr>
        <w:spacing w:line="240" w:lineRule="auto" w:before="11"/>
        <w:rPr>
          <w:rFonts w:ascii="宋体" w:hAnsi="宋体" w:cs="宋体" w:eastAsia="宋体" w:hint="default"/>
          <w:b/>
          <w:bCs/>
          <w:sz w:val="28"/>
          <w:szCs w:val="28"/>
        </w:rPr>
      </w:pPr>
    </w:p>
    <w:p>
      <w:pPr>
        <w:pStyle w:val="Heading3"/>
        <w:spacing w:line="357" w:lineRule="auto" w:before="0"/>
        <w:ind w:left="154" w:right="146" w:firstLine="424"/>
        <w:jc w:val="both"/>
      </w:pPr>
      <w:r>
        <w:rPr/>
        <w:t>2012年，是光一科技在深圳证券交易所创业板上市的第一年，是公司发展历程中里程碑</w:t>
      </w:r>
      <w:r>
        <w:rPr>
          <w:spacing w:val="2"/>
        </w:rPr>
        <w:t> </w:t>
      </w:r>
      <w:r>
        <w:rPr/>
        <w:t>式的一年，也是国家电网“十二五”电网智能化规划实施全面建设用电信息采集系统的高峰</w:t>
      </w:r>
      <w:r>
        <w:rPr>
          <w:spacing w:val="-83"/>
        </w:rPr>
        <w:t> </w:t>
      </w:r>
      <w:r>
        <w:rPr>
          <w:spacing w:val="-83"/>
        </w:rPr>
      </w:r>
      <w:r>
        <w:rPr/>
        <w:t>期，国家电网公司集中招标采购模式深入推广，面对全新的市场模式，公司妥善应对市场大</w:t>
      </w:r>
      <w:r>
        <w:rPr>
          <w:spacing w:val="-83"/>
        </w:rPr>
        <w:t> </w:t>
      </w:r>
      <w:r>
        <w:rPr>
          <w:spacing w:val="-83"/>
        </w:rPr>
      </w:r>
      <w:r>
        <w:rPr/>
        <w:t>环境的变化，适时调整经营思路和方针，管理团队齐心协力，积极应对挑战，迎难而上，实</w:t>
      </w:r>
      <w:r>
        <w:rPr>
          <w:spacing w:val="-83"/>
        </w:rPr>
        <w:t> </w:t>
      </w:r>
      <w:r>
        <w:rPr>
          <w:spacing w:val="-83"/>
        </w:rPr>
      </w:r>
      <w:r>
        <w:rPr>
          <w:spacing w:val="-5"/>
        </w:rPr>
        <w:t>现了扩大规模、迈向全国的期初构想，同时不断提升科学管理，进一步提升公司核心竞争力、</w:t>
      </w:r>
      <w:r>
        <w:rPr/>
        <w:t> 盈利能力，为公司创造良好的业绩奠定了坚实的基础。</w:t>
      </w:r>
    </w:p>
    <w:p>
      <w:pPr>
        <w:pStyle w:val="Heading3"/>
        <w:spacing w:line="357" w:lineRule="auto"/>
        <w:ind w:left="154" w:right="151" w:firstLine="424"/>
        <w:jc w:val="both"/>
      </w:pPr>
      <w:r>
        <w:rPr>
          <w:spacing w:val="-3"/>
        </w:rPr>
        <w:t>2012年，公司新增订单4.3亿元，实现营业收入38,589.89万元，比上年同期增长49.92%；</w:t>
      </w:r>
      <w:r>
        <w:rPr/>
        <w:t> 实现营业利润7,790.54万元，比上年同期增长39.94%；归属于上市公司股东净利润7,265.61</w:t>
      </w:r>
      <w:r>
        <w:rPr>
          <w:spacing w:val="-107"/>
        </w:rPr>
        <w:t> </w:t>
      </w:r>
      <w:r>
        <w:rPr>
          <w:spacing w:val="-107"/>
        </w:rPr>
      </w:r>
      <w:r>
        <w:rPr/>
        <w:t>万元，比上年同期增长38.39%，各项指标均创新高。</w:t>
      </w:r>
    </w:p>
    <w:p>
      <w:pPr>
        <w:pStyle w:val="Heading3"/>
        <w:spacing w:line="357" w:lineRule="auto"/>
        <w:ind w:left="154" w:right="147" w:firstLine="424"/>
        <w:jc w:val="both"/>
      </w:pPr>
      <w:r>
        <w:rPr/>
        <w:t>报告期内，公司严格按照《深圳证券交易所创业板上市公司规范运作指引》的要求，在</w:t>
      </w:r>
      <w:r>
        <w:rPr>
          <w:spacing w:val="2"/>
        </w:rPr>
        <w:t> </w:t>
      </w:r>
      <w:r>
        <w:rPr/>
        <w:t>完善内控制度体系的同时，从完善公司治理结构的高度，加强了股东回报规划的论证，进一</w:t>
      </w:r>
      <w:r>
        <w:rPr>
          <w:spacing w:val="-83"/>
        </w:rPr>
        <w:t> </w:t>
      </w:r>
      <w:r>
        <w:rPr>
          <w:spacing w:val="-83"/>
        </w:rPr>
      </w:r>
      <w:r>
        <w:rPr>
          <w:spacing w:val="-3"/>
        </w:rPr>
        <w:t>步落实利润分配的政策，提出了《股东分红回报规划（[2012]-[2016]）》。完成了董事会和</w:t>
      </w:r>
      <w:r>
        <w:rPr>
          <w:spacing w:val="-99"/>
        </w:rPr>
        <w:t> </w:t>
      </w:r>
      <w:r>
        <w:rPr>
          <w:spacing w:val="-99"/>
        </w:rPr>
      </w:r>
      <w:r>
        <w:rPr/>
        <w:t>监事会的换届工作，选举产生了第二届董事会和监事会。</w:t>
      </w:r>
    </w:p>
    <w:p>
      <w:pPr>
        <w:pStyle w:val="Heading3"/>
        <w:spacing w:line="357" w:lineRule="auto" w:before="35"/>
        <w:ind w:left="154" w:right="147" w:firstLine="424"/>
        <w:jc w:val="both"/>
      </w:pPr>
      <w:r>
        <w:rPr/>
        <w:t>报告期内，公司根据市场变化及时调整营销策略，积极组织参加国网统一招标和各网省</w:t>
      </w:r>
      <w:r>
        <w:rPr>
          <w:spacing w:val="2"/>
        </w:rPr>
        <w:t> </w:t>
      </w:r>
      <w:r>
        <w:rPr/>
        <w:t>公司招标，进一步优化营销网络和营销服务体系，在巩固原有市场份额的同时努力拓展市场</w:t>
      </w:r>
      <w:r>
        <w:rPr>
          <w:spacing w:val="-83"/>
        </w:rPr>
        <w:t> </w:t>
      </w:r>
      <w:r>
        <w:rPr>
          <w:spacing w:val="-83"/>
        </w:rPr>
      </w:r>
      <w:r>
        <w:rPr/>
        <w:t>覆盖面，有效地保证了公司业绩的持续增长。</w:t>
      </w:r>
    </w:p>
    <w:p>
      <w:pPr>
        <w:pStyle w:val="Heading3"/>
        <w:spacing w:line="357" w:lineRule="auto"/>
        <w:ind w:left="154" w:right="147" w:firstLine="424"/>
        <w:jc w:val="both"/>
      </w:pPr>
      <w:r>
        <w:rPr/>
        <w:t>报告期内，公司加大产品创新和研发力度，积极开展与高校产学研合作和人才培养，以</w:t>
      </w:r>
      <w:r>
        <w:rPr>
          <w:spacing w:val="2"/>
        </w:rPr>
        <w:t> </w:t>
      </w:r>
      <w:r>
        <w:rPr/>
        <w:t>客户需求为导向，持续推进技术研发和产品改进，加快大客户智能交互终端、居民智能交互</w:t>
      </w:r>
      <w:r>
        <w:rPr>
          <w:spacing w:val="-83"/>
        </w:rPr>
        <w:t> </w:t>
      </w:r>
      <w:r>
        <w:rPr>
          <w:spacing w:val="-83"/>
        </w:rPr>
      </w:r>
      <w:r>
        <w:rPr>
          <w:spacing w:val="-2"/>
        </w:rPr>
        <w:t>终端、电网电能质量监测、电力营销GIS信息系统、能效管理决策支持系统等产品的调研和研</w:t>
      </w:r>
      <w:r>
        <w:rPr/>
        <w:t> 发、试制进程，待时机成熟时将研究成果产品化，培养公司新的利润增长点 。</w:t>
      </w:r>
    </w:p>
    <w:p>
      <w:pPr>
        <w:pStyle w:val="Heading3"/>
        <w:spacing w:line="357" w:lineRule="auto"/>
        <w:ind w:left="154" w:right="147" w:firstLine="424"/>
        <w:jc w:val="both"/>
      </w:pPr>
      <w:r>
        <w:rPr/>
        <w:t>报告期内，公司技术支持紧紧围绕服务于市场，服务于生产的主题，在产品的市场适应</w:t>
      </w:r>
      <w:r>
        <w:rPr>
          <w:spacing w:val="2"/>
        </w:rPr>
        <w:t> </w:t>
      </w:r>
      <w:r>
        <w:rPr>
          <w:spacing w:val="-3"/>
        </w:rPr>
        <w:t>性、产品的市场准入、生产测试装备设计、产品设计质量控制等方面投入大量精力，共完成9</w:t>
      </w:r>
      <w:r>
        <w:rPr>
          <w:spacing w:val="-81"/>
        </w:rPr>
        <w:t> </w:t>
      </w:r>
      <w:r>
        <w:rPr>
          <w:spacing w:val="-81"/>
        </w:rPr>
      </w:r>
      <w:r>
        <w:rPr/>
        <w:t>个省的产品研制工作，丰富产品系列,更新设计了负控I、II型机，加强了产品市场适应性，</w:t>
      </w:r>
      <w:r>
        <w:rPr>
          <w:spacing w:val="-98"/>
        </w:rPr>
        <w:t> </w:t>
      </w:r>
      <w:r>
        <w:rPr>
          <w:spacing w:val="-98"/>
        </w:rPr>
      </w:r>
      <w:r>
        <w:rPr/>
        <w:t>为公司产品向省外市场拓展、大规模生产等方面奠定了良好的基础。</w:t>
      </w:r>
    </w:p>
    <w:p>
      <w:pPr>
        <w:pStyle w:val="Heading3"/>
        <w:spacing w:line="240" w:lineRule="auto"/>
        <w:ind w:left="578" w:right="0"/>
        <w:jc w:val="left"/>
      </w:pPr>
      <w:r>
        <w:rPr>
          <w:spacing w:val="-4"/>
        </w:rPr>
        <w:t>报告期内，公司积极推进募投项目的建设，已完成土地购置和基建部分的地基处理工作。</w:t>
      </w:r>
    </w:p>
    <w:p>
      <w:pPr>
        <w:spacing w:after="0" w:line="240" w:lineRule="auto"/>
        <w:jc w:val="left"/>
        <w:sectPr>
          <w:pgSz w:w="11910" w:h="16840"/>
          <w:pgMar w:header="747" w:footer="1003" w:top="1040" w:bottom="1200" w:left="980" w:right="980"/>
        </w:sectPr>
      </w:pPr>
    </w:p>
    <w:p>
      <w:pPr>
        <w:spacing w:line="240" w:lineRule="auto" w:before="0"/>
        <w:rPr>
          <w:rFonts w:ascii="宋体" w:hAnsi="宋体" w:cs="宋体" w:eastAsia="宋体" w:hint="default"/>
          <w:sz w:val="20"/>
          <w:szCs w:val="20"/>
        </w:rPr>
      </w:pPr>
    </w:p>
    <w:p>
      <w:pPr>
        <w:pStyle w:val="Heading3"/>
        <w:spacing w:line="357" w:lineRule="auto" w:before="161"/>
        <w:ind w:right="151"/>
        <w:jc w:val="both"/>
      </w:pPr>
      <w:r>
        <w:rPr/>
        <w:t>“电力用户用电信息采集系统产能扩大建设项目”完成投入1,826.16万元，“研发中心建设</w:t>
      </w:r>
      <w:r>
        <w:rPr>
          <w:spacing w:val="-94"/>
        </w:rPr>
        <w:t> </w:t>
      </w:r>
      <w:r>
        <w:rPr>
          <w:spacing w:val="-94"/>
        </w:rPr>
      </w:r>
      <w:r>
        <w:rPr>
          <w:spacing w:val="-5"/>
        </w:rPr>
        <w:t>项目”完成投入268.58万元。公司将按计划进行项目建设，确保公司持续、快速、健康发展，</w:t>
      </w:r>
      <w:r>
        <w:rPr>
          <w:spacing w:val="-104"/>
        </w:rPr>
        <w:t> </w:t>
      </w:r>
      <w:r>
        <w:rPr>
          <w:spacing w:val="-104"/>
        </w:rPr>
      </w:r>
      <w:r>
        <w:rPr/>
        <w:t>提升公司品牌价值，实现投资者利益最大化。</w:t>
      </w:r>
    </w:p>
    <w:p>
      <w:pPr>
        <w:spacing w:line="240" w:lineRule="auto" w:before="11"/>
        <w:rPr>
          <w:rFonts w:ascii="宋体" w:hAnsi="宋体" w:cs="宋体" w:eastAsia="宋体" w:hint="default"/>
          <w:sz w:val="19"/>
          <w:szCs w:val="19"/>
        </w:rPr>
      </w:pPr>
    </w:p>
    <w:p>
      <w:pPr>
        <w:pStyle w:val="Heading2"/>
        <w:spacing w:line="468" w:lineRule="auto" w:before="0"/>
        <w:ind w:left="153" w:right="6880"/>
        <w:jc w:val="left"/>
        <w:rPr>
          <w:b w:val="0"/>
          <w:bCs w:val="0"/>
        </w:rPr>
      </w:pPr>
      <w:r>
        <w:rPr/>
        <w:t>二、报告期内主要经营情况</w:t>
      </w:r>
      <w:r>
        <w:rPr>
          <w:spacing w:val="1"/>
          <w:w w:val="99"/>
        </w:rPr>
        <w:t> </w:t>
      </w:r>
      <w:r>
        <w:rPr/>
        <w:t>1、主营业务分析</w:t>
      </w:r>
      <w:r>
        <w:rPr>
          <w:b w:val="0"/>
          <w:bCs w:val="0"/>
        </w:rPr>
      </w:r>
    </w:p>
    <w:p>
      <w:pPr>
        <w:pStyle w:val="Heading2"/>
        <w:spacing w:line="240" w:lineRule="auto" w:before="71"/>
        <w:ind w:left="153" w:right="0"/>
        <w:jc w:val="both"/>
        <w:rPr>
          <w:b w:val="0"/>
          <w:bCs w:val="0"/>
        </w:rPr>
      </w:pPr>
      <w:r>
        <w:rPr/>
        <w:t>（1）收入</w:t>
      </w:r>
      <w:r>
        <w:rPr>
          <w:b w:val="0"/>
          <w:bCs w:val="0"/>
        </w:rPr>
      </w:r>
    </w:p>
    <w:p>
      <w:pPr>
        <w:spacing w:line="240" w:lineRule="auto" w:before="10"/>
        <w:rPr>
          <w:rFonts w:ascii="宋体" w:hAnsi="宋体" w:cs="宋体" w:eastAsia="宋体" w:hint="default"/>
          <w:b/>
          <w:bCs/>
          <w:sz w:val="28"/>
          <w:szCs w:val="28"/>
        </w:rPr>
      </w:pPr>
    </w:p>
    <w:p>
      <w:pPr>
        <w:pStyle w:val="Heading3"/>
        <w:spacing w:line="357" w:lineRule="auto" w:before="0"/>
        <w:ind w:right="188" w:firstLine="424"/>
        <w:jc w:val="both"/>
      </w:pPr>
      <w:r>
        <w:rPr/>
        <w:t>2012年是国家智能用电信息采集系统全面建设的高峰期，市场容量迅速扩大，公司在江 苏、浙江、山东、重庆、吉林等地区相继中标，公司营业收入大幅度增加。2012年度公司实 现营业收入38,589.89万元，较2011年度增加了12,849.07万元，同比增长49.92%。</w:t>
      </w:r>
    </w:p>
    <w:p>
      <w:pPr>
        <w:spacing w:line="240" w:lineRule="auto" w:before="0"/>
        <w:rPr>
          <w:rFonts w:ascii="宋体" w:hAnsi="宋体" w:cs="宋体" w:eastAsia="宋体" w:hint="default"/>
          <w:sz w:val="24"/>
          <w:szCs w:val="24"/>
        </w:rPr>
      </w:pPr>
    </w:p>
    <w:p>
      <w:pPr>
        <w:pStyle w:val="BodyText"/>
        <w:spacing w:line="240" w:lineRule="auto" w:before="213"/>
        <w:ind w:right="0"/>
        <w:jc w:val="both"/>
      </w:pPr>
      <w:r>
        <w:rPr/>
        <w:t>公司实物销售收入是否大于劳务收入</w:t>
      </w:r>
    </w:p>
    <w:p>
      <w:pPr>
        <w:spacing w:line="240" w:lineRule="auto" w:before="10"/>
        <w:rPr>
          <w:rFonts w:ascii="宋体" w:hAnsi="宋体" w:cs="宋体" w:eastAsia="宋体" w:hint="default"/>
          <w:sz w:val="14"/>
          <w:szCs w:val="14"/>
        </w:rPr>
      </w:pPr>
    </w:p>
    <w:p>
      <w:pPr>
        <w:pStyle w:val="BodyText"/>
        <w:spacing w:line="240" w:lineRule="auto"/>
        <w:ind w:right="0"/>
        <w:jc w:val="both"/>
      </w:pPr>
      <w:r>
        <w:rPr/>
        <w:t>√ 是 □</w:t>
      </w:r>
      <w:r>
        <w:rPr>
          <w:spacing w:val="-1"/>
        </w:rPr>
        <w:t> </w:t>
      </w:r>
      <w:r>
        <w:rPr/>
        <w:t>否</w:t>
      </w:r>
    </w:p>
    <w:p>
      <w:pPr>
        <w:spacing w:before="14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单位：台/套</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1915"/>
        <w:gridCol w:w="1914"/>
        <w:gridCol w:w="1914"/>
        <w:gridCol w:w="1914"/>
        <w:gridCol w:w="1913"/>
      </w:tblGrid>
      <w:tr>
        <w:trPr>
          <w:trHeight w:val="490" w:hRule="exact"/>
        </w:trPr>
        <w:tc>
          <w:tcPr>
            <w:tcW w:w="1915"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88"/>
              <w:ind w:left="58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91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3"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88"/>
              <w:ind w:left="58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84" w:hRule="exact"/>
        </w:trPr>
        <w:tc>
          <w:tcPr>
            <w:tcW w:w="1915"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401" w:right="0"/>
              <w:jc w:val="left"/>
              <w:rPr>
                <w:rFonts w:ascii="宋体" w:hAnsi="宋体" w:cs="宋体" w:eastAsia="宋体" w:hint="default"/>
                <w:sz w:val="18"/>
                <w:szCs w:val="18"/>
              </w:rPr>
            </w:pPr>
            <w:r>
              <w:rPr>
                <w:rFonts w:ascii="宋体" w:hAnsi="宋体" w:cs="宋体" w:eastAsia="宋体" w:hint="default"/>
                <w:sz w:val="18"/>
                <w:szCs w:val="18"/>
              </w:rPr>
              <w:t>低压集抄终端</w:t>
            </w:r>
          </w:p>
        </w:tc>
        <w:tc>
          <w:tcPr>
            <w:tcW w:w="191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9"/>
              <w:jc w:val="right"/>
              <w:rPr>
                <w:rFonts w:ascii="宋体" w:hAnsi="宋体" w:cs="宋体" w:eastAsia="宋体" w:hint="default"/>
                <w:sz w:val="18"/>
                <w:szCs w:val="18"/>
              </w:rPr>
            </w:pPr>
            <w:r>
              <w:rPr>
                <w:rFonts w:ascii="宋体"/>
                <w:sz w:val="18"/>
              </w:rPr>
              <w:t>1,893,063</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9"/>
              <w:jc w:val="right"/>
              <w:rPr>
                <w:rFonts w:ascii="宋体" w:hAnsi="宋体" w:cs="宋体" w:eastAsia="宋体" w:hint="default"/>
                <w:sz w:val="18"/>
                <w:szCs w:val="18"/>
              </w:rPr>
            </w:pPr>
            <w:r>
              <w:rPr>
                <w:rFonts w:ascii="宋体"/>
                <w:sz w:val="18"/>
              </w:rPr>
              <w:t>1,201,519</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57.56%</w:t>
            </w:r>
          </w:p>
        </w:tc>
      </w:tr>
      <w:tr>
        <w:trPr>
          <w:trHeight w:val="482" w:hRule="exact"/>
        </w:trPr>
        <w:tc>
          <w:tcPr>
            <w:tcW w:w="1915" w:type="dxa"/>
            <w:vMerge/>
            <w:tcBorders>
              <w:left w:val="single" w:sz="12"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19"/>
              <w:jc w:val="right"/>
              <w:rPr>
                <w:rFonts w:ascii="宋体" w:hAnsi="宋体" w:cs="宋体" w:eastAsia="宋体" w:hint="default"/>
                <w:sz w:val="18"/>
                <w:szCs w:val="18"/>
              </w:rPr>
            </w:pPr>
            <w:r>
              <w:rPr>
                <w:rFonts w:ascii="宋体"/>
                <w:sz w:val="18"/>
              </w:rPr>
              <w:t>1,957,418</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19"/>
              <w:jc w:val="right"/>
              <w:rPr>
                <w:rFonts w:ascii="宋体" w:hAnsi="宋体" w:cs="宋体" w:eastAsia="宋体" w:hint="default"/>
                <w:sz w:val="18"/>
                <w:szCs w:val="18"/>
              </w:rPr>
            </w:pPr>
            <w:r>
              <w:rPr>
                <w:rFonts w:ascii="宋体"/>
                <w:sz w:val="18"/>
              </w:rPr>
              <w:t>1,294,707</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51.19%</w:t>
            </w:r>
          </w:p>
        </w:tc>
      </w:tr>
      <w:tr>
        <w:trPr>
          <w:trHeight w:val="484" w:hRule="exact"/>
        </w:trPr>
        <w:tc>
          <w:tcPr>
            <w:tcW w:w="1915" w:type="dxa"/>
            <w:vMerge/>
            <w:tcBorders>
              <w:left w:val="single" w:sz="12"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9"/>
              <w:jc w:val="right"/>
              <w:rPr>
                <w:rFonts w:ascii="宋体" w:hAnsi="宋体" w:cs="宋体" w:eastAsia="宋体" w:hint="default"/>
                <w:sz w:val="18"/>
                <w:szCs w:val="18"/>
              </w:rPr>
            </w:pPr>
            <w:r>
              <w:rPr>
                <w:rFonts w:ascii="宋体"/>
                <w:sz w:val="18"/>
              </w:rPr>
              <w:t>162,901</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9"/>
              <w:jc w:val="right"/>
              <w:rPr>
                <w:rFonts w:ascii="宋体" w:hAnsi="宋体" w:cs="宋体" w:eastAsia="宋体" w:hint="default"/>
                <w:sz w:val="18"/>
                <w:szCs w:val="18"/>
              </w:rPr>
            </w:pPr>
            <w:r>
              <w:rPr>
                <w:rFonts w:ascii="宋体"/>
                <w:sz w:val="18"/>
              </w:rPr>
              <w:t>98,546</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65.3%</w:t>
            </w:r>
          </w:p>
        </w:tc>
      </w:tr>
      <w:tr>
        <w:trPr>
          <w:trHeight w:val="482" w:hRule="exact"/>
        </w:trPr>
        <w:tc>
          <w:tcPr>
            <w:tcW w:w="1915"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401" w:right="0"/>
              <w:jc w:val="left"/>
              <w:rPr>
                <w:rFonts w:ascii="宋体" w:hAnsi="宋体" w:cs="宋体" w:eastAsia="宋体" w:hint="default"/>
                <w:sz w:val="18"/>
                <w:szCs w:val="18"/>
              </w:rPr>
            </w:pPr>
            <w:r>
              <w:rPr>
                <w:rFonts w:ascii="宋体" w:hAnsi="宋体" w:cs="宋体" w:eastAsia="宋体" w:hint="default"/>
                <w:sz w:val="18"/>
                <w:szCs w:val="18"/>
              </w:rPr>
              <w:t>专变采集终端</w:t>
            </w:r>
          </w:p>
        </w:tc>
        <w:tc>
          <w:tcPr>
            <w:tcW w:w="191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19"/>
              <w:jc w:val="right"/>
              <w:rPr>
                <w:rFonts w:ascii="宋体" w:hAnsi="宋体" w:cs="宋体" w:eastAsia="宋体" w:hint="default"/>
                <w:sz w:val="18"/>
                <w:szCs w:val="18"/>
              </w:rPr>
            </w:pPr>
            <w:r>
              <w:rPr>
                <w:rFonts w:ascii="宋体"/>
                <w:sz w:val="18"/>
              </w:rPr>
              <w:t>31,204</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19"/>
              <w:jc w:val="right"/>
              <w:rPr>
                <w:rFonts w:ascii="宋体" w:hAnsi="宋体" w:cs="宋体" w:eastAsia="宋体" w:hint="default"/>
                <w:sz w:val="18"/>
                <w:szCs w:val="18"/>
              </w:rPr>
            </w:pPr>
            <w:r>
              <w:rPr>
                <w:rFonts w:ascii="宋体"/>
                <w:sz w:val="18"/>
              </w:rPr>
              <w:t>11,027</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182.98%</w:t>
            </w:r>
          </w:p>
        </w:tc>
      </w:tr>
      <w:tr>
        <w:trPr>
          <w:trHeight w:val="484" w:hRule="exact"/>
        </w:trPr>
        <w:tc>
          <w:tcPr>
            <w:tcW w:w="1915" w:type="dxa"/>
            <w:vMerge/>
            <w:tcBorders>
              <w:left w:val="single" w:sz="12"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9"/>
              <w:jc w:val="right"/>
              <w:rPr>
                <w:rFonts w:ascii="宋体" w:hAnsi="宋体" w:cs="宋体" w:eastAsia="宋体" w:hint="default"/>
                <w:sz w:val="18"/>
                <w:szCs w:val="18"/>
              </w:rPr>
            </w:pPr>
            <w:r>
              <w:rPr>
                <w:rFonts w:ascii="宋体"/>
                <w:sz w:val="18"/>
              </w:rPr>
              <w:t>29,897</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9"/>
              <w:jc w:val="right"/>
              <w:rPr>
                <w:rFonts w:ascii="宋体" w:hAnsi="宋体" w:cs="宋体" w:eastAsia="宋体" w:hint="default"/>
                <w:sz w:val="18"/>
                <w:szCs w:val="18"/>
              </w:rPr>
            </w:pPr>
            <w:r>
              <w:rPr>
                <w:rFonts w:ascii="宋体"/>
                <w:sz w:val="18"/>
              </w:rPr>
              <w:t>11,057</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170.39%</w:t>
            </w:r>
          </w:p>
        </w:tc>
      </w:tr>
      <w:tr>
        <w:trPr>
          <w:trHeight w:val="482" w:hRule="exact"/>
        </w:trPr>
        <w:tc>
          <w:tcPr>
            <w:tcW w:w="1915" w:type="dxa"/>
            <w:vMerge/>
            <w:tcBorders>
              <w:left w:val="single" w:sz="12"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19"/>
              <w:jc w:val="right"/>
              <w:rPr>
                <w:rFonts w:ascii="宋体" w:hAnsi="宋体" w:cs="宋体" w:eastAsia="宋体" w:hint="default"/>
                <w:sz w:val="18"/>
                <w:szCs w:val="18"/>
              </w:rPr>
            </w:pPr>
            <w:r>
              <w:rPr>
                <w:rFonts w:ascii="宋体"/>
                <w:sz w:val="18"/>
              </w:rPr>
              <w:t>1,437</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19"/>
              <w:jc w:val="right"/>
              <w:rPr>
                <w:rFonts w:ascii="宋体" w:hAnsi="宋体" w:cs="宋体" w:eastAsia="宋体" w:hint="default"/>
                <w:sz w:val="18"/>
                <w:szCs w:val="18"/>
              </w:rPr>
            </w:pPr>
            <w:r>
              <w:rPr>
                <w:rFonts w:ascii="宋体"/>
                <w:sz w:val="18"/>
              </w:rPr>
              <w:t>2,744</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-47.63%</w:t>
            </w:r>
          </w:p>
        </w:tc>
      </w:tr>
      <w:tr>
        <w:trPr>
          <w:trHeight w:val="484" w:hRule="exact"/>
        </w:trPr>
        <w:tc>
          <w:tcPr>
            <w:tcW w:w="1915"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401" w:right="0"/>
              <w:jc w:val="left"/>
              <w:rPr>
                <w:rFonts w:ascii="宋体" w:hAnsi="宋体" w:cs="宋体" w:eastAsia="宋体" w:hint="default"/>
                <w:sz w:val="18"/>
                <w:szCs w:val="18"/>
              </w:rPr>
            </w:pPr>
            <w:r>
              <w:rPr>
                <w:rFonts w:ascii="宋体" w:hAnsi="宋体" w:cs="宋体" w:eastAsia="宋体" w:hint="default"/>
                <w:sz w:val="18"/>
                <w:szCs w:val="18"/>
              </w:rPr>
              <w:t>手持抄表终端</w:t>
            </w:r>
          </w:p>
        </w:tc>
        <w:tc>
          <w:tcPr>
            <w:tcW w:w="191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9"/>
              <w:jc w:val="right"/>
              <w:rPr>
                <w:rFonts w:ascii="宋体" w:hAnsi="宋体" w:cs="宋体" w:eastAsia="宋体" w:hint="default"/>
                <w:sz w:val="18"/>
                <w:szCs w:val="18"/>
              </w:rPr>
            </w:pPr>
            <w:r>
              <w:rPr>
                <w:rFonts w:ascii="宋体"/>
                <w:sz w:val="18"/>
              </w:rPr>
              <w:t>1,703</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9"/>
              <w:jc w:val="right"/>
              <w:rPr>
                <w:rFonts w:ascii="宋体" w:hAnsi="宋体" w:cs="宋体" w:eastAsia="宋体" w:hint="default"/>
                <w:sz w:val="18"/>
                <w:szCs w:val="18"/>
              </w:rPr>
            </w:pPr>
            <w:r>
              <w:rPr>
                <w:rFonts w:ascii="宋体"/>
                <w:sz w:val="18"/>
              </w:rPr>
              <w:t>2,520</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-32.42%</w:t>
            </w:r>
          </w:p>
        </w:tc>
      </w:tr>
      <w:tr>
        <w:trPr>
          <w:trHeight w:val="482" w:hRule="exact"/>
        </w:trPr>
        <w:tc>
          <w:tcPr>
            <w:tcW w:w="1915" w:type="dxa"/>
            <w:vMerge/>
            <w:tcBorders>
              <w:left w:val="single" w:sz="12"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19"/>
              <w:jc w:val="right"/>
              <w:rPr>
                <w:rFonts w:ascii="宋体" w:hAnsi="宋体" w:cs="宋体" w:eastAsia="宋体" w:hint="default"/>
                <w:sz w:val="18"/>
                <w:szCs w:val="18"/>
              </w:rPr>
            </w:pPr>
            <w:r>
              <w:rPr>
                <w:rFonts w:ascii="宋体"/>
                <w:sz w:val="18"/>
              </w:rPr>
              <w:t>3,331</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19"/>
              <w:jc w:val="right"/>
              <w:rPr>
                <w:rFonts w:ascii="宋体" w:hAnsi="宋体" w:cs="宋体" w:eastAsia="宋体" w:hint="default"/>
                <w:sz w:val="18"/>
                <w:szCs w:val="18"/>
              </w:rPr>
            </w:pPr>
            <w:r>
              <w:rPr>
                <w:rFonts w:ascii="宋体"/>
                <w:sz w:val="18"/>
              </w:rPr>
              <w:t>248</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1,243.15%</w:t>
            </w:r>
          </w:p>
        </w:tc>
      </w:tr>
      <w:tr>
        <w:trPr>
          <w:trHeight w:val="484" w:hRule="exact"/>
        </w:trPr>
        <w:tc>
          <w:tcPr>
            <w:tcW w:w="1915" w:type="dxa"/>
            <w:vMerge/>
            <w:tcBorders>
              <w:left w:val="single" w:sz="12"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9"/>
              <w:jc w:val="right"/>
              <w:rPr>
                <w:rFonts w:ascii="宋体" w:hAnsi="宋体" w:cs="宋体" w:eastAsia="宋体" w:hint="default"/>
                <w:sz w:val="18"/>
                <w:szCs w:val="18"/>
              </w:rPr>
            </w:pPr>
            <w:r>
              <w:rPr>
                <w:rFonts w:ascii="宋体"/>
                <w:sz w:val="18"/>
              </w:rPr>
              <w:t>1,774</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9"/>
              <w:jc w:val="right"/>
              <w:rPr>
                <w:rFonts w:ascii="宋体" w:hAnsi="宋体" w:cs="宋体" w:eastAsia="宋体" w:hint="default"/>
                <w:sz w:val="18"/>
                <w:szCs w:val="18"/>
              </w:rPr>
            </w:pPr>
            <w:r>
              <w:rPr>
                <w:rFonts w:ascii="宋体"/>
                <w:sz w:val="18"/>
              </w:rPr>
              <w:t>146</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1,115.07%</w:t>
            </w:r>
          </w:p>
        </w:tc>
      </w:tr>
      <w:tr>
        <w:trPr>
          <w:trHeight w:val="482" w:hRule="exact"/>
        </w:trPr>
        <w:tc>
          <w:tcPr>
            <w:tcW w:w="1915"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合  计</w:t>
            </w:r>
          </w:p>
        </w:tc>
        <w:tc>
          <w:tcPr>
            <w:tcW w:w="191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19"/>
              <w:jc w:val="right"/>
              <w:rPr>
                <w:rFonts w:ascii="宋体" w:hAnsi="宋体" w:cs="宋体" w:eastAsia="宋体" w:hint="default"/>
                <w:sz w:val="18"/>
                <w:szCs w:val="18"/>
              </w:rPr>
            </w:pPr>
            <w:r>
              <w:rPr>
                <w:rFonts w:ascii="宋体"/>
                <w:sz w:val="18"/>
              </w:rPr>
              <w:t>1,925,970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19"/>
              <w:jc w:val="right"/>
              <w:rPr>
                <w:rFonts w:ascii="宋体" w:hAnsi="宋体" w:cs="宋体" w:eastAsia="宋体" w:hint="default"/>
                <w:sz w:val="18"/>
                <w:szCs w:val="18"/>
              </w:rPr>
            </w:pPr>
            <w:r>
              <w:rPr>
                <w:rFonts w:ascii="宋体"/>
                <w:sz w:val="18"/>
              </w:rPr>
              <w:t>1,215,066</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58.51%</w:t>
            </w:r>
          </w:p>
        </w:tc>
      </w:tr>
      <w:tr>
        <w:trPr>
          <w:trHeight w:val="484" w:hRule="exact"/>
        </w:trPr>
        <w:tc>
          <w:tcPr>
            <w:tcW w:w="1915" w:type="dxa"/>
            <w:vMerge/>
            <w:tcBorders>
              <w:left w:val="single" w:sz="12"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9"/>
              <w:jc w:val="right"/>
              <w:rPr>
                <w:rFonts w:ascii="宋体" w:hAnsi="宋体" w:cs="宋体" w:eastAsia="宋体" w:hint="default"/>
                <w:sz w:val="18"/>
                <w:szCs w:val="18"/>
              </w:rPr>
            </w:pPr>
            <w:r>
              <w:rPr>
                <w:rFonts w:ascii="宋体"/>
                <w:sz w:val="18"/>
              </w:rPr>
              <w:t>1,990,646</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9"/>
              <w:jc w:val="right"/>
              <w:rPr>
                <w:rFonts w:ascii="宋体" w:hAnsi="宋体" w:cs="宋体" w:eastAsia="宋体" w:hint="default"/>
                <w:sz w:val="18"/>
                <w:szCs w:val="18"/>
              </w:rPr>
            </w:pPr>
            <w:r>
              <w:rPr>
                <w:rFonts w:ascii="宋体"/>
                <w:sz w:val="18"/>
              </w:rPr>
              <w:t>1,306,012</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52.42%</w:t>
            </w:r>
          </w:p>
        </w:tc>
      </w:tr>
      <w:tr>
        <w:trPr>
          <w:trHeight w:val="490" w:hRule="exact"/>
        </w:trPr>
        <w:tc>
          <w:tcPr>
            <w:tcW w:w="1915" w:type="dxa"/>
            <w:vMerge/>
            <w:tcBorders>
              <w:left w:val="single" w:sz="12" w:space="0" w:color="000000"/>
              <w:bottom w:val="single" w:sz="12" w:space="0" w:color="000000"/>
              <w:right w:val="single" w:sz="6" w:space="0" w:color="000000"/>
            </w:tcBorders>
          </w:tcPr>
          <w:p>
            <w:pPr/>
          </w:p>
        </w:tc>
        <w:tc>
          <w:tcPr>
            <w:tcW w:w="1914"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right="19"/>
              <w:jc w:val="right"/>
              <w:rPr>
                <w:rFonts w:ascii="宋体" w:hAnsi="宋体" w:cs="宋体" w:eastAsia="宋体" w:hint="default"/>
                <w:sz w:val="18"/>
                <w:szCs w:val="18"/>
              </w:rPr>
            </w:pPr>
            <w:r>
              <w:rPr>
                <w:rFonts w:ascii="宋体"/>
                <w:sz w:val="18"/>
              </w:rPr>
              <w:t>166,112</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right="19"/>
              <w:jc w:val="right"/>
              <w:rPr>
                <w:rFonts w:ascii="宋体" w:hAnsi="宋体" w:cs="宋体" w:eastAsia="宋体" w:hint="default"/>
                <w:sz w:val="18"/>
                <w:szCs w:val="18"/>
              </w:rPr>
            </w:pPr>
            <w:r>
              <w:rPr>
                <w:rFonts w:ascii="宋体"/>
                <w:sz w:val="18"/>
              </w:rPr>
              <w:t>101,436</w:t>
            </w: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63.76%</w:t>
            </w:r>
          </w:p>
        </w:tc>
      </w:tr>
    </w:tbl>
    <w:p>
      <w:pPr>
        <w:spacing w:line="240" w:lineRule="auto" w:before="1"/>
        <w:rPr>
          <w:rFonts w:ascii="宋体" w:hAnsi="宋体" w:cs="宋体" w:eastAsia="宋体" w:hint="default"/>
          <w:sz w:val="14"/>
          <w:szCs w:val="14"/>
        </w:rPr>
      </w:pPr>
    </w:p>
    <w:p>
      <w:pPr>
        <w:pStyle w:val="BodyText"/>
        <w:spacing w:line="240" w:lineRule="auto" w:before="35"/>
        <w:ind w:right="132"/>
        <w:jc w:val="left"/>
      </w:pPr>
      <w:r>
        <w:rPr/>
        <w:t>相关数据同比发生变动</w:t>
      </w:r>
      <w:r>
        <w:rPr>
          <w:spacing w:val="-55"/>
        </w:rPr>
        <w:t> </w:t>
      </w:r>
      <w:r>
        <w:rPr/>
        <w:t>30%以上的原因说明</w:t>
      </w:r>
    </w:p>
    <w:p>
      <w:pPr>
        <w:spacing w:after="0" w:line="240" w:lineRule="auto"/>
        <w:jc w:val="left"/>
        <w:sectPr>
          <w:pgSz w:w="11910" w:h="16840"/>
          <w:pgMar w:header="747" w:footer="1003" w:top="1040" w:bottom="120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right="427"/>
        <w:jc w:val="left"/>
      </w:pPr>
      <w:r>
        <w:rPr/>
        <w:t>√ 适用 □</w:t>
      </w:r>
      <w:r>
        <w:rPr>
          <w:spacing w:val="-2"/>
        </w:rPr>
        <w:t> </w:t>
      </w:r>
      <w:r>
        <w:rPr/>
        <w:t>不适用</w:t>
      </w:r>
    </w:p>
    <w:p>
      <w:pPr>
        <w:pStyle w:val="Heading3"/>
        <w:spacing w:line="240" w:lineRule="auto" w:before="170"/>
        <w:ind w:left="578" w:right="427"/>
        <w:jc w:val="left"/>
      </w:pPr>
      <w:r>
        <w:rPr/>
        <w:t>①低压集抄终端2012年产销存同比增长，主要是公司业务规模扩大所致。</w:t>
      </w:r>
    </w:p>
    <w:p>
      <w:pPr>
        <w:pStyle w:val="Heading3"/>
        <w:spacing w:line="357" w:lineRule="auto" w:before="154"/>
        <w:ind w:right="427" w:firstLine="424"/>
        <w:jc w:val="left"/>
      </w:pPr>
      <w:r>
        <w:rPr/>
        <w:t>②专变采集终端2012年产销量大幅增长，主要是公司相继在江苏、山东、吉林等地中标 专变采集终端所致，期末库存下降主要是公司生产完工入库的产品已销售所致。</w:t>
      </w:r>
    </w:p>
    <w:p>
      <w:pPr>
        <w:pStyle w:val="Heading3"/>
        <w:spacing w:line="357" w:lineRule="auto"/>
        <w:ind w:right="427" w:firstLine="424"/>
        <w:jc w:val="left"/>
      </w:pPr>
      <w:r>
        <w:rPr/>
        <w:t>③手持抄表终端2012年销量同比下降32.42%，主要是江苏省电力公司在2012年度减少了 手持抄表终端的招标数量所致。</w:t>
      </w:r>
    </w:p>
    <w:p>
      <w:pPr>
        <w:pStyle w:val="Heading3"/>
        <w:spacing w:line="240" w:lineRule="auto"/>
        <w:ind w:left="578" w:right="0"/>
        <w:jc w:val="left"/>
      </w:pPr>
      <w:r>
        <w:rPr>
          <w:spacing w:val="-4"/>
        </w:rPr>
        <w:t>④公司总的产销存规模总体同比增长50%以上，主要是公司业务规模扩大，收入增长所致。</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5"/>
          <w:szCs w:val="25"/>
        </w:rPr>
      </w:pPr>
    </w:p>
    <w:p>
      <w:pPr>
        <w:pStyle w:val="BodyText"/>
        <w:spacing w:line="240" w:lineRule="auto"/>
        <w:ind w:right="427"/>
        <w:jc w:val="left"/>
      </w:pPr>
      <w:r>
        <w:rPr/>
        <w:t>公司重大的在手订单情况</w:t>
      </w:r>
    </w:p>
    <w:p>
      <w:pPr>
        <w:spacing w:line="240" w:lineRule="auto" w:before="10"/>
        <w:rPr>
          <w:rFonts w:ascii="宋体" w:hAnsi="宋体" w:cs="宋体" w:eastAsia="宋体" w:hint="default"/>
          <w:sz w:val="14"/>
          <w:szCs w:val="14"/>
        </w:rPr>
      </w:pPr>
    </w:p>
    <w:p>
      <w:pPr>
        <w:pStyle w:val="BodyText"/>
        <w:spacing w:line="240" w:lineRule="auto"/>
        <w:ind w:right="427"/>
        <w:jc w:val="left"/>
      </w:pPr>
      <w:r>
        <w:rPr/>
        <w:t>√ 适用 □</w:t>
      </w:r>
      <w:r>
        <w:rPr>
          <w:spacing w:val="-2"/>
        </w:rPr>
        <w:t> </w:t>
      </w:r>
      <w:r>
        <w:rPr/>
        <w:t>不适用</w:t>
      </w:r>
    </w:p>
    <w:p>
      <w:pPr>
        <w:pStyle w:val="Heading3"/>
        <w:spacing w:line="357" w:lineRule="auto" w:before="170"/>
        <w:ind w:right="0" w:firstLine="423"/>
        <w:jc w:val="left"/>
      </w:pPr>
      <w:r>
        <w:rPr>
          <w:spacing w:val="-4"/>
        </w:rPr>
        <w:t>①公司在国家电网公司集中规模招标采购“国网2012年电能表第三批（含用电信息采集）”</w:t>
      </w:r>
      <w:r>
        <w:rPr/>
        <w:t> </w:t>
      </w:r>
      <w:r>
        <w:rPr>
          <w:spacing w:val="-5"/>
        </w:rPr>
        <w:t>中采集器、集中器中标，公司已按要求与项目单位签订书面合同，合同金额为2,184.68万元，</w:t>
      </w:r>
      <w:r>
        <w:rPr>
          <w:spacing w:val="-99"/>
        </w:rPr>
        <w:t> </w:t>
      </w:r>
      <w:r>
        <w:rPr>
          <w:spacing w:val="-99"/>
        </w:rPr>
      </w:r>
      <w:r>
        <w:rPr/>
        <w:t>预计于2013年履行完成。</w:t>
      </w:r>
    </w:p>
    <w:p>
      <w:pPr>
        <w:pStyle w:val="Heading3"/>
        <w:spacing w:line="357" w:lineRule="auto"/>
        <w:ind w:right="0" w:firstLine="405"/>
        <w:jc w:val="left"/>
      </w:pPr>
      <w:r>
        <w:rPr>
          <w:spacing w:val="-4"/>
        </w:rPr>
        <w:t>②公司在国家电网公司集中规模招标采购“国网2012年电能表第四批（含用电信息采集）”</w:t>
      </w:r>
      <w:r>
        <w:rPr/>
        <w:t> </w:t>
      </w:r>
      <w:r>
        <w:rPr>
          <w:spacing w:val="-5"/>
        </w:rPr>
        <w:t>中采集器、集中器中标，公司已按要求与项目单位签订书面合同，合同金额为2,112.00万元，</w:t>
      </w:r>
      <w:r>
        <w:rPr>
          <w:spacing w:val="-99"/>
        </w:rPr>
        <w:t> </w:t>
      </w:r>
      <w:r>
        <w:rPr>
          <w:spacing w:val="-99"/>
        </w:rPr>
      </w:r>
      <w:r>
        <w:rPr/>
        <w:t>预计于2013年履行完成。</w:t>
      </w:r>
    </w:p>
    <w:p>
      <w:pPr>
        <w:pStyle w:val="BodyText"/>
        <w:spacing w:line="240" w:lineRule="auto" w:before="59"/>
        <w:ind w:right="427"/>
        <w:jc w:val="left"/>
      </w:pPr>
      <w:r>
        <w:rPr/>
        <w:t>数量分散的订单情况</w:t>
      </w:r>
    </w:p>
    <w:p>
      <w:pPr>
        <w:spacing w:line="240" w:lineRule="auto" w:before="10"/>
        <w:rPr>
          <w:rFonts w:ascii="宋体" w:hAnsi="宋体" w:cs="宋体" w:eastAsia="宋体" w:hint="default"/>
          <w:sz w:val="14"/>
          <w:szCs w:val="14"/>
        </w:rPr>
      </w:pPr>
    </w:p>
    <w:p>
      <w:pPr>
        <w:pStyle w:val="BodyText"/>
        <w:spacing w:line="408" w:lineRule="auto"/>
        <w:ind w:right="4930"/>
        <w:jc w:val="left"/>
      </w:pPr>
      <w:r>
        <w:rPr/>
        <w:t>□ 适用 √</w:t>
      </w:r>
      <w:r>
        <w:rPr>
          <w:spacing w:val="-2"/>
        </w:rPr>
        <w:t> </w:t>
      </w:r>
      <w:r>
        <w:rPr/>
        <w:t>不适用</w:t>
      </w:r>
      <w:r>
        <w:rPr/>
        <w:t> 公司报告期内产品或服务发生重大变化或调整有关情况</w:t>
      </w:r>
    </w:p>
    <w:p>
      <w:pPr>
        <w:pStyle w:val="BodyText"/>
        <w:spacing w:line="240" w:lineRule="auto" w:before="46"/>
        <w:ind w:right="427"/>
        <w:jc w:val="left"/>
      </w:pPr>
      <w:r>
        <w:rPr/>
        <w:t>□ 适用 √</w:t>
      </w:r>
      <w:r>
        <w:rPr>
          <w:spacing w:val="-2"/>
        </w:rPr>
        <w:t> </w:t>
      </w:r>
      <w:r>
        <w:rPr/>
        <w:t>不适用</w:t>
      </w:r>
    </w:p>
    <w:p>
      <w:pPr>
        <w:spacing w:line="240" w:lineRule="auto" w:before="0"/>
        <w:rPr>
          <w:rFonts w:ascii="宋体" w:hAnsi="宋体" w:cs="宋体" w:eastAsia="宋体" w:hint="default"/>
          <w:sz w:val="20"/>
          <w:szCs w:val="20"/>
        </w:rPr>
      </w:pPr>
    </w:p>
    <w:p>
      <w:pPr>
        <w:pStyle w:val="Heading2"/>
        <w:spacing w:line="240" w:lineRule="auto" w:before="131"/>
        <w:ind w:right="427"/>
        <w:jc w:val="left"/>
        <w:rPr>
          <w:b w:val="0"/>
          <w:bCs w:val="0"/>
        </w:rPr>
      </w:pPr>
      <w:r>
        <w:rPr/>
        <w:t>（2）成本</w:t>
      </w:r>
      <w:r>
        <w:rPr>
          <w:b w:val="0"/>
          <w:bCs w:val="0"/>
        </w:rPr>
      </w:r>
    </w:p>
    <w:p>
      <w:pPr>
        <w:spacing w:line="240" w:lineRule="auto" w:before="7"/>
        <w:rPr>
          <w:rFonts w:ascii="宋体" w:hAnsi="宋体" w:cs="宋体" w:eastAsia="宋体" w:hint="default"/>
          <w:b/>
          <w:bCs/>
          <w:sz w:val="26"/>
          <w:szCs w:val="26"/>
        </w:rPr>
      </w:pPr>
    </w:p>
    <w:p>
      <w:pPr>
        <w:spacing w:before="0"/>
        <w:ind w:left="0" w:right="3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135"/>
        <w:gridCol w:w="1602"/>
        <w:gridCol w:w="1367"/>
        <w:gridCol w:w="1367"/>
        <w:gridCol w:w="1368"/>
        <w:gridCol w:w="1367"/>
        <w:gridCol w:w="1366"/>
      </w:tblGrid>
      <w:tr>
        <w:trPr>
          <w:trHeight w:val="419" w:hRule="exact"/>
        </w:trPr>
        <w:tc>
          <w:tcPr>
            <w:tcW w:w="1135" w:type="dxa"/>
            <w:vMerge w:val="restart"/>
            <w:tcBorders>
              <w:top w:val="single" w:sz="12" w:space="0" w:color="000000"/>
              <w:left w:val="single" w:sz="12" w:space="0" w:color="000000"/>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602" w:type="dxa"/>
            <w:vMerge w:val="restart"/>
            <w:tcBorders>
              <w:top w:val="single" w:sz="12" w:space="0" w:color="000000"/>
              <w:left w:val="single" w:sz="6" w:space="0" w:color="000000"/>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35" w:type="dxa"/>
            <w:gridSpan w:val="2"/>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66" w:type="dxa"/>
            <w:vMerge w:val="restart"/>
            <w:tcBorders>
              <w:top w:val="single" w:sz="12" w:space="0" w:color="000000"/>
              <w:left w:val="single" w:sz="6" w:space="0" w:color="000000"/>
              <w:right w:val="single" w:sz="12" w:space="0" w:color="000000"/>
            </w:tcBorders>
            <w:shd w:val="clear" w:color="auto" w:fill="D3D3D3"/>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12" w:hRule="exact"/>
        </w:trPr>
        <w:tc>
          <w:tcPr>
            <w:tcW w:w="1135" w:type="dxa"/>
            <w:vMerge/>
            <w:tcBorders>
              <w:left w:val="single" w:sz="12" w:space="0" w:color="000000"/>
              <w:bottom w:val="single" w:sz="6" w:space="0" w:color="000000"/>
              <w:right w:val="single" w:sz="6" w:space="0" w:color="000000"/>
            </w:tcBorders>
            <w:shd w:val="clear" w:color="auto" w:fill="D3D3D3"/>
          </w:tcPr>
          <w:p>
            <w:pPr/>
          </w:p>
        </w:tc>
        <w:tc>
          <w:tcPr>
            <w:tcW w:w="1602" w:type="dxa"/>
            <w:vMerge/>
            <w:tcBorders>
              <w:left w:val="single" w:sz="6" w:space="0" w:color="000000"/>
              <w:bottom w:val="single" w:sz="6" w:space="0" w:color="000000"/>
              <w:right w:val="single" w:sz="6" w:space="0" w:color="000000"/>
            </w:tcBorders>
            <w:shd w:val="clear" w:color="auto" w:fill="D3D3D3"/>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3"/>
              <w:ind w:right="43"/>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3"/>
              <w:ind w:right="44"/>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6" w:type="dxa"/>
            <w:vMerge/>
            <w:tcBorders>
              <w:left w:val="single" w:sz="6" w:space="0" w:color="000000"/>
              <w:bottom w:val="single" w:sz="6" w:space="0" w:color="000000"/>
              <w:right w:val="single" w:sz="12" w:space="0" w:color="000000"/>
            </w:tcBorders>
            <w:shd w:val="clear" w:color="auto" w:fill="D3D3D3"/>
          </w:tcPr>
          <w:p>
            <w:pPr/>
          </w:p>
        </w:tc>
      </w:tr>
      <w:tr>
        <w:trPr>
          <w:trHeight w:val="413" w:hRule="exact"/>
        </w:trPr>
        <w:tc>
          <w:tcPr>
            <w:tcW w:w="1135"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电力设备</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162,061,737.80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68.38%</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84,654,529.68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56.95%</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0"/>
              <w:jc w:val="right"/>
              <w:rPr>
                <w:rFonts w:ascii="宋体" w:hAnsi="宋体" w:cs="宋体" w:eastAsia="宋体" w:hint="default"/>
                <w:sz w:val="18"/>
                <w:szCs w:val="18"/>
              </w:rPr>
            </w:pPr>
            <w:r>
              <w:rPr>
                <w:rFonts w:ascii="宋体"/>
                <w:sz w:val="18"/>
              </w:rPr>
              <w:t>11.43%</w:t>
            </w:r>
          </w:p>
        </w:tc>
      </w:tr>
      <w:tr>
        <w:trPr>
          <w:trHeight w:val="412" w:hRule="exact"/>
        </w:trPr>
        <w:tc>
          <w:tcPr>
            <w:tcW w:w="1135" w:type="dxa"/>
            <w:vMerge/>
            <w:tcBorders>
              <w:left w:val="single" w:sz="12"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5,703,271.57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2.41%</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2,437,140.55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1.64%</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0"/>
              <w:jc w:val="right"/>
              <w:rPr>
                <w:rFonts w:ascii="宋体" w:hAnsi="宋体" w:cs="宋体" w:eastAsia="宋体" w:hint="default"/>
                <w:sz w:val="18"/>
                <w:szCs w:val="18"/>
              </w:rPr>
            </w:pPr>
            <w:r>
              <w:rPr>
                <w:rFonts w:ascii="宋体"/>
                <w:sz w:val="18"/>
              </w:rPr>
              <w:t>0.77%</w:t>
            </w:r>
          </w:p>
        </w:tc>
      </w:tr>
      <w:tr>
        <w:trPr>
          <w:trHeight w:val="412" w:hRule="exact"/>
        </w:trPr>
        <w:tc>
          <w:tcPr>
            <w:tcW w:w="1135" w:type="dxa"/>
            <w:vMerge/>
            <w:tcBorders>
              <w:left w:val="single" w:sz="12"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25,898,533.45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10.93%</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13,843,530.69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9.31%</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0"/>
              <w:jc w:val="right"/>
              <w:rPr>
                <w:rFonts w:ascii="宋体" w:hAnsi="宋体" w:cs="宋体" w:eastAsia="宋体" w:hint="default"/>
                <w:sz w:val="18"/>
                <w:szCs w:val="18"/>
              </w:rPr>
            </w:pPr>
            <w:r>
              <w:rPr>
                <w:rFonts w:ascii="宋体"/>
                <w:sz w:val="18"/>
              </w:rPr>
              <w:t>1.62%</w:t>
            </w:r>
          </w:p>
        </w:tc>
      </w:tr>
      <w:tr>
        <w:trPr>
          <w:trHeight w:val="421" w:hRule="exact"/>
        </w:trPr>
        <w:tc>
          <w:tcPr>
            <w:tcW w:w="1135" w:type="dxa"/>
            <w:vMerge/>
            <w:tcBorders>
              <w:left w:val="single" w:sz="12" w:space="0" w:color="000000"/>
              <w:bottom w:val="single" w:sz="12" w:space="0" w:color="000000"/>
              <w:right w:val="single" w:sz="6" w:space="0" w:color="000000"/>
            </w:tcBorders>
          </w:tcPr>
          <w:p>
            <w:pPr/>
          </w:p>
        </w:tc>
        <w:tc>
          <w:tcPr>
            <w:tcW w:w="16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自制商品成本合计</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193,663,542.82</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81.72%</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100,935,200.92</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67.91%</w:t>
            </w: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0"/>
              <w:jc w:val="right"/>
              <w:rPr>
                <w:rFonts w:ascii="宋体" w:hAnsi="宋体" w:cs="宋体" w:eastAsia="宋体" w:hint="default"/>
                <w:sz w:val="18"/>
                <w:szCs w:val="18"/>
              </w:rPr>
            </w:pPr>
            <w:r>
              <w:rPr>
                <w:rFonts w:ascii="宋体"/>
                <w:sz w:val="18"/>
              </w:rPr>
              <w:t>13.81%</w:t>
            </w:r>
          </w:p>
        </w:tc>
      </w:tr>
    </w:tbl>
    <w:p>
      <w:pPr>
        <w:spacing w:after="0" w:line="240" w:lineRule="auto"/>
        <w:jc w:val="right"/>
        <w:rPr>
          <w:rFonts w:ascii="宋体" w:hAnsi="宋体" w:cs="宋体" w:eastAsia="宋体" w:hint="default"/>
          <w:sz w:val="18"/>
          <w:szCs w:val="18"/>
        </w:rPr>
        <w:sectPr>
          <w:pgSz w:w="11910" w:h="16840"/>
          <w:pgMar w:header="747" w:footer="1003" w:top="1040" w:bottom="1200" w:left="980" w:right="780"/>
        </w:sectPr>
      </w:pPr>
    </w:p>
    <w:p>
      <w:pPr>
        <w:spacing w:line="240" w:lineRule="auto" w:before="6"/>
        <w:rPr>
          <w:rFonts w:ascii="宋体" w:hAnsi="宋体" w:cs="宋体" w:eastAsia="宋体" w:hint="default"/>
          <w:sz w:val="24"/>
          <w:szCs w:val="24"/>
        </w:rPr>
      </w:pPr>
    </w:p>
    <w:p>
      <w:pPr>
        <w:pStyle w:val="Heading2"/>
        <w:spacing w:line="240" w:lineRule="auto"/>
        <w:ind w:right="106"/>
        <w:jc w:val="left"/>
        <w:rPr>
          <w:b w:val="0"/>
          <w:bCs w:val="0"/>
        </w:rPr>
      </w:pPr>
      <w:r>
        <w:rPr/>
        <w:t>（3）费用</w:t>
      </w:r>
      <w:r>
        <w:rPr>
          <w:b w:val="0"/>
          <w:bCs w:val="0"/>
        </w:rPr>
      </w:r>
    </w:p>
    <w:p>
      <w:pPr>
        <w:spacing w:line="240" w:lineRule="auto" w:before="2"/>
        <w:rPr>
          <w:rFonts w:ascii="宋体" w:hAnsi="宋体" w:cs="宋体" w:eastAsia="宋体" w:hint="default"/>
          <w:b/>
          <w:bCs/>
          <w:sz w:val="23"/>
          <w:szCs w:val="23"/>
        </w:rPr>
      </w:pPr>
    </w:p>
    <w:p>
      <w:pPr>
        <w:spacing w:before="44"/>
        <w:ind w:left="0" w:right="2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44"/>
        <w:ind w:left="0" w:right="258" w:firstLine="0"/>
        <w:jc w:val="right"/>
        <w:rPr>
          <w:rFonts w:ascii="宋体" w:hAnsi="宋体" w:cs="宋体" w:eastAsia="宋体" w:hint="default"/>
          <w:sz w:val="18"/>
          <w:szCs w:val="18"/>
        </w:rPr>
      </w:pPr>
      <w:r>
        <w:rPr/>
        <w:pict>
          <v:shape style="position:absolute;margin-left:55.919998pt;margin-top:-43.14801pt;width:480.65pt;height:120.5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1"/>
                    <w:gridCol w:w="1654"/>
                    <w:gridCol w:w="1654"/>
                    <w:gridCol w:w="1654"/>
                    <w:gridCol w:w="3046"/>
                  </w:tblGrid>
                  <w:tr>
                    <w:trPr>
                      <w:trHeight w:val="417" w:hRule="exact"/>
                    </w:trPr>
                    <w:tc>
                      <w:tcPr>
                        <w:tcW w:w="1561" w:type="dxa"/>
                        <w:tcBorders>
                          <w:top w:val="single" w:sz="12" w:space="0" w:color="000000"/>
                          <w:left w:val="single" w:sz="12" w:space="0" w:color="000000"/>
                          <w:bottom w:val="single" w:sz="6" w:space="0" w:color="000000"/>
                          <w:right w:val="single" w:sz="6" w:space="0" w:color="000000"/>
                        </w:tcBorders>
                        <w:shd w:val="clear" w:color="auto" w:fill="D3D3D3"/>
                      </w:tcPr>
                      <w:p>
                        <w:pPr/>
                      </w:p>
                    </w:tc>
                    <w:tc>
                      <w:tcPr>
                        <w:tcW w:w="165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526"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5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526"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5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459"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046"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14" w:hRule="exact"/>
                    </w:trPr>
                    <w:tc>
                      <w:tcPr>
                        <w:tcW w:w="1561"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6"/>
                          <w:ind w:right="7"/>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9"/>
                          <w:jc w:val="right"/>
                          <w:rPr>
                            <w:rFonts w:ascii="宋体" w:hAnsi="宋体" w:cs="宋体" w:eastAsia="宋体" w:hint="default"/>
                            <w:sz w:val="18"/>
                            <w:szCs w:val="18"/>
                          </w:rPr>
                        </w:pPr>
                        <w:r>
                          <w:rPr>
                            <w:rFonts w:ascii="宋体"/>
                            <w:sz w:val="18"/>
                          </w:rPr>
                          <w:t>14,449,929.95</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8"/>
                          <w:jc w:val="right"/>
                          <w:rPr>
                            <w:rFonts w:ascii="宋体" w:hAnsi="宋体" w:cs="宋体" w:eastAsia="宋体" w:hint="default"/>
                            <w:sz w:val="18"/>
                            <w:szCs w:val="18"/>
                          </w:rPr>
                        </w:pPr>
                        <w:r>
                          <w:rPr>
                            <w:rFonts w:ascii="宋体"/>
                            <w:sz w:val="18"/>
                          </w:rPr>
                          <w:t>12,198,552.40</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8"/>
                          <w:jc w:val="right"/>
                          <w:rPr>
                            <w:rFonts w:ascii="宋体" w:hAnsi="宋体" w:cs="宋体" w:eastAsia="宋体" w:hint="default"/>
                            <w:sz w:val="18"/>
                            <w:szCs w:val="18"/>
                          </w:rPr>
                        </w:pPr>
                        <w:r>
                          <w:rPr>
                            <w:rFonts w:ascii="宋体"/>
                            <w:sz w:val="18"/>
                          </w:rPr>
                          <w:t>18.46%</w:t>
                        </w:r>
                      </w:p>
                    </w:tc>
                    <w:tc>
                      <w:tcPr>
                        <w:tcW w:w="3046"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1561"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50,994,991.13</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32,499,987.92</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56.91%</w:t>
                        </w:r>
                      </w:p>
                    </w:tc>
                    <w:tc>
                      <w:tcPr>
                        <w:tcW w:w="304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98"/>
                          <w:jc w:val="center"/>
                          <w:rPr>
                            <w:rFonts w:ascii="宋体" w:hAnsi="宋体" w:cs="宋体" w:eastAsia="宋体" w:hint="default"/>
                            <w:sz w:val="18"/>
                            <w:szCs w:val="18"/>
                          </w:rPr>
                        </w:pPr>
                        <w:r>
                          <w:rPr>
                            <w:rFonts w:ascii="宋体" w:hAnsi="宋体" w:cs="宋体" w:eastAsia="宋体" w:hint="default"/>
                            <w:sz w:val="18"/>
                            <w:szCs w:val="18"/>
                          </w:rPr>
                          <w:t>主要是工资、研究开发费等增长所致</w:t>
                        </w:r>
                      </w:p>
                    </w:tc>
                  </w:tr>
                  <w:tr>
                    <w:trPr>
                      <w:trHeight w:val="719" w:hRule="exact"/>
                    </w:trPr>
                    <w:tc>
                      <w:tcPr>
                        <w:tcW w:w="1561"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930,058.93</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289,294.43</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221.49%</w:t>
                        </w:r>
                      </w:p>
                    </w:tc>
                    <w:tc>
                      <w:tcPr>
                        <w:tcW w:w="3046" w:type="dxa"/>
                        <w:tcBorders>
                          <w:top w:val="single" w:sz="6" w:space="0" w:color="000000"/>
                          <w:left w:val="single" w:sz="6" w:space="0" w:color="000000"/>
                          <w:bottom w:val="single" w:sz="6" w:space="0" w:color="000000"/>
                          <w:right w:val="single" w:sz="12" w:space="0" w:color="000000"/>
                        </w:tcBorders>
                      </w:tcPr>
                      <w:p>
                        <w:pPr>
                          <w:pStyle w:val="TableParagraph"/>
                          <w:spacing w:line="319" w:lineRule="auto" w:before="51"/>
                          <w:ind w:left="21" w:right="165"/>
                          <w:jc w:val="left"/>
                          <w:rPr>
                            <w:rFonts w:ascii="宋体" w:hAnsi="宋体" w:cs="宋体" w:eastAsia="宋体" w:hint="default"/>
                            <w:sz w:val="18"/>
                            <w:szCs w:val="18"/>
                          </w:rPr>
                        </w:pPr>
                        <w:r>
                          <w:rPr>
                            <w:rFonts w:ascii="宋体" w:hAnsi="宋体" w:cs="宋体" w:eastAsia="宋体" w:hint="default"/>
                            <w:sz w:val="18"/>
                            <w:szCs w:val="18"/>
                          </w:rPr>
                          <w:t>主要是</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年期间贷款金额较</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z w:val="18"/>
                            <w:szCs w:val="18"/>
                          </w:rPr>
                          <w:t> 年增长，贷款利息支出增加所致。</w:t>
                        </w:r>
                      </w:p>
                    </w:tc>
                  </w:tr>
                  <w:tr>
                    <w:trPr>
                      <w:trHeight w:val="419" w:hRule="exact"/>
                    </w:trPr>
                    <w:tc>
                      <w:tcPr>
                        <w:tcW w:w="1561"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所得税</w:t>
                        </w:r>
                      </w:p>
                    </w:tc>
                    <w:tc>
                      <w:tcPr>
                        <w:tcW w:w="16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19"/>
                          <w:jc w:val="right"/>
                          <w:rPr>
                            <w:rFonts w:ascii="宋体" w:hAnsi="宋体" w:cs="宋体" w:eastAsia="宋体" w:hint="default"/>
                            <w:sz w:val="18"/>
                            <w:szCs w:val="18"/>
                          </w:rPr>
                        </w:pPr>
                        <w:r>
                          <w:rPr>
                            <w:rFonts w:ascii="宋体"/>
                            <w:sz w:val="18"/>
                          </w:rPr>
                          <w:t>11,660,980.45</w:t>
                        </w:r>
                      </w:p>
                    </w:tc>
                    <w:tc>
                      <w:tcPr>
                        <w:tcW w:w="16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9,423,354.10</w:t>
                        </w:r>
                      </w:p>
                    </w:tc>
                    <w:tc>
                      <w:tcPr>
                        <w:tcW w:w="16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23.75%</w:t>
                        </w:r>
                      </w:p>
                    </w:tc>
                    <w:tc>
                      <w:tcPr>
                        <w:tcW w:w="3046" w:type="dxa"/>
                        <w:tcBorders>
                          <w:top w:val="single" w:sz="6" w:space="0" w:color="000000"/>
                          <w:left w:val="single" w:sz="6" w:space="0" w:color="000000"/>
                          <w:bottom w:val="single" w:sz="12" w:space="0" w:color="000000"/>
                          <w:right w:val="single" w:sz="12"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2"/>
        <w:spacing w:line="240" w:lineRule="auto"/>
        <w:ind w:right="106"/>
        <w:jc w:val="left"/>
        <w:rPr>
          <w:b w:val="0"/>
          <w:bCs w:val="0"/>
        </w:rPr>
      </w:pPr>
      <w:r>
        <w:rPr/>
        <w:t>（4）研发投入</w:t>
      </w:r>
      <w:r>
        <w:rPr>
          <w:b w:val="0"/>
          <w:bCs w:val="0"/>
        </w:rPr>
      </w:r>
    </w:p>
    <w:p>
      <w:pPr>
        <w:spacing w:line="240" w:lineRule="auto" w:before="10"/>
        <w:rPr>
          <w:rFonts w:ascii="宋体" w:hAnsi="宋体" w:cs="宋体" w:eastAsia="宋体" w:hint="default"/>
          <w:b/>
          <w:bCs/>
          <w:sz w:val="28"/>
          <w:szCs w:val="28"/>
        </w:rPr>
      </w:pPr>
    </w:p>
    <w:p>
      <w:pPr>
        <w:pStyle w:val="Heading3"/>
        <w:spacing w:line="357" w:lineRule="auto" w:before="0"/>
        <w:ind w:right="106" w:firstLine="480"/>
        <w:jc w:val="left"/>
      </w:pPr>
      <w:r>
        <w:rPr/>
        <w:t>公司一直秉承技术领先的发展战略，十分重视新产品研发和技术创新，不断完善技术管 理流程。在技术创新、工艺改进、产品性能提升、新产品开发等方面取得了显著成果。2012 年公司研发投入1,955.48万元，占营业收入的5.07%。报告期内，根据一贯性和谨慎性原则，</w:t>
      </w:r>
      <w:r>
        <w:rPr>
          <w:spacing w:val="-89"/>
        </w:rPr>
        <w:t> </w:t>
      </w:r>
      <w:r>
        <w:rPr>
          <w:spacing w:val="-89"/>
        </w:rPr>
      </w:r>
      <w:r>
        <w:rPr/>
        <w:t>公司当期研发费用全部计入当期管理费用，未予以资本化。</w:t>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47" w:footer="1003" w:top="1040" w:bottom="1200" w:left="980" w:right="900"/>
        </w:sectPr>
      </w:pPr>
    </w:p>
    <w:p>
      <w:pPr>
        <w:pStyle w:val="BodyText"/>
        <w:spacing w:line="240" w:lineRule="auto" w:before="35"/>
        <w:ind w:right="-20"/>
        <w:jc w:val="left"/>
      </w:pPr>
      <w:r>
        <w:rPr/>
        <w:t>近三年公司研发投入金额及占营业收入的比例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40" w:bottom="1200" w:left="980" w:right="900"/>
          <w:cols w:num="2" w:equalWidth="0">
            <w:col w:w="4355" w:space="4564"/>
            <w:col w:w="1111"/>
          </w:cols>
        </w:sectPr>
      </w:pP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695"/>
        <w:gridCol w:w="2291"/>
        <w:gridCol w:w="2291"/>
        <w:gridCol w:w="2291"/>
      </w:tblGrid>
      <w:tr>
        <w:trPr>
          <w:trHeight w:val="370" w:hRule="exact"/>
        </w:trPr>
        <w:tc>
          <w:tcPr>
            <w:tcW w:w="2695" w:type="dxa"/>
            <w:tcBorders>
              <w:top w:val="single" w:sz="12" w:space="0" w:color="000000"/>
              <w:left w:val="single" w:sz="12" w:space="0" w:color="000000"/>
              <w:bottom w:val="single" w:sz="6" w:space="0" w:color="000000"/>
              <w:right w:val="single" w:sz="6" w:space="0" w:color="000000"/>
            </w:tcBorders>
            <w:shd w:val="clear" w:color="auto" w:fill="D3D3D3"/>
          </w:tcPr>
          <w:p>
            <w:pPr/>
          </w:p>
        </w:tc>
        <w:tc>
          <w:tcPr>
            <w:tcW w:w="2291" w:type="dxa"/>
            <w:tcBorders>
              <w:top w:val="single" w:sz="29" w:space="0" w:color="D3D3D3"/>
              <w:left w:val="single" w:sz="6" w:space="0" w:color="000000"/>
              <w:bottom w:val="single" w:sz="23" w:space="0" w:color="D3D3D3"/>
              <w:right w:val="single" w:sz="6" w:space="0" w:color="000000"/>
            </w:tcBorders>
          </w:tcPr>
          <w:p>
            <w:pPr>
              <w:pStyle w:val="TableParagraph"/>
              <w:tabs>
                <w:tab w:pos="825" w:val="left" w:leader="none"/>
                <w:tab w:pos="2235"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2012</w:t>
            </w:r>
            <w:r>
              <w:rPr>
                <w:rFonts w:ascii="宋体" w:hAnsi="宋体" w:cs="宋体" w:eastAsia="宋体" w:hint="default"/>
                <w:spacing w:val="-46"/>
                <w:sz w:val="18"/>
                <w:szCs w:val="18"/>
                <w:shd w:fill="D3D3D3" w:color="auto" w:val="clear"/>
              </w:rPr>
              <w:t> </w:t>
            </w:r>
            <w:r>
              <w:rPr>
                <w:rFonts w:ascii="宋体" w:hAnsi="宋体" w:cs="宋体" w:eastAsia="宋体" w:hint="default"/>
                <w:sz w:val="18"/>
                <w:szCs w:val="18"/>
                <w:shd w:fill="D3D3D3" w:color="auto" w:val="clear"/>
              </w:rPr>
              <w:t>年</w:t>
              <w:tab/>
            </w:r>
            <w:r>
              <w:rPr>
                <w:rFonts w:ascii="宋体" w:hAnsi="宋体" w:cs="宋体" w:eastAsia="宋体" w:hint="default"/>
                <w:sz w:val="18"/>
                <w:szCs w:val="18"/>
              </w:rPr>
            </w:r>
          </w:p>
        </w:tc>
        <w:tc>
          <w:tcPr>
            <w:tcW w:w="2291" w:type="dxa"/>
            <w:tcBorders>
              <w:top w:val="single" w:sz="29" w:space="0" w:color="D3D3D3"/>
              <w:left w:val="single" w:sz="6" w:space="0" w:color="000000"/>
              <w:bottom w:val="single" w:sz="23" w:space="0" w:color="D3D3D3"/>
              <w:right w:val="single" w:sz="6" w:space="0" w:color="000000"/>
            </w:tcBorders>
          </w:tcPr>
          <w:p>
            <w:pPr>
              <w:pStyle w:val="TableParagraph"/>
              <w:tabs>
                <w:tab w:pos="825" w:val="left" w:leader="none"/>
                <w:tab w:pos="2234"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2011</w:t>
            </w:r>
            <w:r>
              <w:rPr>
                <w:rFonts w:ascii="宋体" w:hAnsi="宋体" w:cs="宋体" w:eastAsia="宋体" w:hint="default"/>
                <w:spacing w:val="-46"/>
                <w:sz w:val="18"/>
                <w:szCs w:val="18"/>
                <w:shd w:fill="D3D3D3" w:color="auto" w:val="clear"/>
              </w:rPr>
              <w:t> </w:t>
            </w:r>
            <w:r>
              <w:rPr>
                <w:rFonts w:ascii="宋体" w:hAnsi="宋体" w:cs="宋体" w:eastAsia="宋体" w:hint="default"/>
                <w:sz w:val="18"/>
                <w:szCs w:val="18"/>
                <w:shd w:fill="D3D3D3" w:color="auto" w:val="clear"/>
              </w:rPr>
              <w:t>年</w:t>
              <w:tab/>
            </w:r>
            <w:r>
              <w:rPr>
                <w:rFonts w:ascii="宋体" w:hAnsi="宋体" w:cs="宋体" w:eastAsia="宋体" w:hint="default"/>
                <w:sz w:val="18"/>
                <w:szCs w:val="18"/>
              </w:rPr>
            </w:r>
          </w:p>
        </w:tc>
        <w:tc>
          <w:tcPr>
            <w:tcW w:w="2291" w:type="dxa"/>
            <w:tcBorders>
              <w:top w:val="single" w:sz="29" w:space="0" w:color="D3D3D3"/>
              <w:left w:val="single" w:sz="6" w:space="0" w:color="000000"/>
              <w:bottom w:val="single" w:sz="23" w:space="0" w:color="D3D3D3"/>
              <w:right w:val="single" w:sz="12" w:space="0" w:color="000000"/>
            </w:tcBorders>
          </w:tcPr>
          <w:p>
            <w:pPr>
              <w:pStyle w:val="TableParagraph"/>
              <w:tabs>
                <w:tab w:pos="825" w:val="left" w:leader="none"/>
                <w:tab w:pos="2235" w:val="left" w:leader="none"/>
              </w:tabs>
              <w:spacing w:line="240" w:lineRule="auto" w:before="10"/>
              <w:ind w:right="11"/>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2010</w:t>
            </w:r>
            <w:r>
              <w:rPr>
                <w:rFonts w:ascii="宋体" w:hAnsi="宋体" w:cs="宋体" w:eastAsia="宋体" w:hint="default"/>
                <w:spacing w:val="-46"/>
                <w:sz w:val="18"/>
                <w:szCs w:val="18"/>
                <w:shd w:fill="D3D3D3" w:color="auto" w:val="clear"/>
              </w:rPr>
              <w:t> </w:t>
            </w:r>
            <w:r>
              <w:rPr>
                <w:rFonts w:ascii="宋体" w:hAnsi="宋体" w:cs="宋体" w:eastAsia="宋体" w:hint="default"/>
                <w:sz w:val="18"/>
                <w:szCs w:val="18"/>
                <w:shd w:fill="D3D3D3" w:color="auto" w:val="clear"/>
              </w:rPr>
              <w:t>年</w:t>
              <w:tab/>
            </w:r>
            <w:r>
              <w:rPr>
                <w:rFonts w:ascii="宋体" w:hAnsi="宋体" w:cs="宋体" w:eastAsia="宋体" w:hint="default"/>
                <w:sz w:val="18"/>
                <w:szCs w:val="18"/>
              </w:rPr>
            </w:r>
          </w:p>
        </w:tc>
      </w:tr>
      <w:tr>
        <w:trPr>
          <w:trHeight w:val="441" w:hRule="exact"/>
        </w:trPr>
        <w:tc>
          <w:tcPr>
            <w:tcW w:w="2695"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82"/>
              <w:ind w:right="6"/>
              <w:jc w:val="center"/>
              <w:rPr>
                <w:rFonts w:ascii="宋体" w:hAnsi="宋体" w:cs="宋体" w:eastAsia="宋体" w:hint="default"/>
                <w:sz w:val="18"/>
                <w:szCs w:val="18"/>
              </w:rPr>
            </w:pPr>
            <w:r>
              <w:rPr>
                <w:rFonts w:ascii="宋体" w:hAnsi="宋体" w:cs="宋体" w:eastAsia="宋体" w:hint="default"/>
                <w:sz w:val="18"/>
                <w:szCs w:val="18"/>
              </w:rPr>
              <w:t>研发投入金额</w:t>
            </w:r>
          </w:p>
        </w:tc>
        <w:tc>
          <w:tcPr>
            <w:tcW w:w="2291" w:type="dxa"/>
            <w:tcBorders>
              <w:top w:val="single" w:sz="23" w:space="0" w:color="D3D3D3"/>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19,554,833.12</w:t>
            </w:r>
          </w:p>
        </w:tc>
        <w:tc>
          <w:tcPr>
            <w:tcW w:w="2291" w:type="dxa"/>
            <w:tcBorders>
              <w:top w:val="single" w:sz="23" w:space="0" w:color="D3D3D3"/>
              <w:left w:val="single" w:sz="6" w:space="0" w:color="000000"/>
              <w:bottom w:val="single" w:sz="6" w:space="0" w:color="000000"/>
              <w:right w:val="single" w:sz="6" w:space="0" w:color="000000"/>
            </w:tcBorders>
          </w:tcPr>
          <w:p>
            <w:pPr>
              <w:pStyle w:val="TableParagraph"/>
              <w:spacing w:line="240" w:lineRule="auto" w:before="61"/>
              <w:ind w:right="17"/>
              <w:jc w:val="right"/>
              <w:rPr>
                <w:rFonts w:ascii="宋体" w:hAnsi="宋体" w:cs="宋体" w:eastAsia="宋体" w:hint="default"/>
                <w:sz w:val="18"/>
                <w:szCs w:val="18"/>
              </w:rPr>
            </w:pPr>
            <w:r>
              <w:rPr>
                <w:rFonts w:ascii="宋体"/>
                <w:sz w:val="18"/>
              </w:rPr>
              <w:t>15,221,588.55</w:t>
            </w:r>
          </w:p>
        </w:tc>
        <w:tc>
          <w:tcPr>
            <w:tcW w:w="2291" w:type="dxa"/>
            <w:tcBorders>
              <w:top w:val="single" w:sz="23" w:space="0" w:color="D3D3D3"/>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8,730,997.99</w:t>
            </w:r>
          </w:p>
        </w:tc>
      </w:tr>
      <w:tr>
        <w:trPr>
          <w:trHeight w:val="419" w:hRule="exact"/>
        </w:trPr>
        <w:tc>
          <w:tcPr>
            <w:tcW w:w="2695" w:type="dxa"/>
            <w:tcBorders>
              <w:top w:val="single" w:sz="17" w:space="0" w:color="D3D3D3"/>
              <w:left w:val="single" w:sz="12" w:space="0" w:color="000000"/>
              <w:bottom w:val="single" w:sz="29" w:space="0" w:color="D3D3D3"/>
              <w:right w:val="single" w:sz="6" w:space="0" w:color="000000"/>
            </w:tcBorders>
          </w:tcPr>
          <w:p>
            <w:pPr>
              <w:pStyle w:val="TableParagraph"/>
              <w:tabs>
                <w:tab w:pos="328" w:val="left" w:leader="none"/>
                <w:tab w:pos="2638" w:val="left" w:leader="none"/>
              </w:tabs>
              <w:spacing w:line="240" w:lineRule="auto" w:before="3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研发投入占营业收入比例</w:t>
              <w:tab/>
            </w:r>
            <w:r>
              <w:rPr>
                <w:rFonts w:ascii="宋体" w:hAnsi="宋体" w:cs="宋体" w:eastAsia="宋体" w:hint="default"/>
                <w:sz w:val="18"/>
                <w:szCs w:val="18"/>
              </w:rPr>
            </w:r>
          </w:p>
        </w:tc>
        <w:tc>
          <w:tcPr>
            <w:tcW w:w="22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5.07%</w:t>
            </w:r>
          </w:p>
        </w:tc>
        <w:tc>
          <w:tcPr>
            <w:tcW w:w="22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5.91%</w:t>
            </w:r>
          </w:p>
        </w:tc>
        <w:tc>
          <w:tcPr>
            <w:tcW w:w="22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6.8%</w:t>
            </w:r>
          </w:p>
        </w:tc>
      </w:tr>
    </w:tbl>
    <w:p>
      <w:pPr>
        <w:spacing w:line="240" w:lineRule="auto" w:before="7"/>
        <w:rPr>
          <w:rFonts w:ascii="宋体" w:hAnsi="宋体" w:cs="宋体" w:eastAsia="宋体" w:hint="default"/>
          <w:sz w:val="16"/>
          <w:szCs w:val="16"/>
        </w:rPr>
      </w:pPr>
    </w:p>
    <w:p>
      <w:pPr>
        <w:pStyle w:val="Heading2"/>
        <w:spacing w:line="240" w:lineRule="auto"/>
        <w:ind w:right="106"/>
        <w:jc w:val="left"/>
        <w:rPr>
          <w:b w:val="0"/>
          <w:bCs w:val="0"/>
        </w:rPr>
      </w:pPr>
      <w:r>
        <w:rPr/>
        <w:t>（5）现金流</w:t>
      </w:r>
      <w:r>
        <w:rPr>
          <w:b w:val="0"/>
          <w:bCs w:val="0"/>
        </w:rPr>
      </w:r>
    </w:p>
    <w:p>
      <w:pPr>
        <w:spacing w:line="240" w:lineRule="auto" w:before="2"/>
        <w:rPr>
          <w:rFonts w:ascii="宋体" w:hAnsi="宋体" w:cs="宋体" w:eastAsia="宋体" w:hint="default"/>
          <w:b/>
          <w:bCs/>
          <w:sz w:val="23"/>
          <w:szCs w:val="23"/>
        </w:rPr>
      </w:pPr>
    </w:p>
    <w:p>
      <w:pPr>
        <w:spacing w:before="44"/>
        <w:ind w:left="0" w:right="2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695"/>
        <w:gridCol w:w="2291"/>
        <w:gridCol w:w="2291"/>
        <w:gridCol w:w="2291"/>
      </w:tblGrid>
      <w:tr>
        <w:trPr>
          <w:trHeight w:val="415" w:hRule="exact"/>
        </w:trPr>
        <w:tc>
          <w:tcPr>
            <w:tcW w:w="2695"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2291"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1"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1"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484,457,416.68</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259,583,042.08</w:t>
            </w: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86.63%</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411,882,397.64</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235,944,723.38</w:t>
            </w: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74.57%</w:t>
            </w:r>
          </w:p>
        </w:tc>
      </w:tr>
      <w:tr>
        <w:trPr>
          <w:trHeight w:val="408" w:hRule="exact"/>
        </w:trPr>
        <w:tc>
          <w:tcPr>
            <w:tcW w:w="2695"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72,575,019.04</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23,638,318.70</w:t>
            </w: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207.02%</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1,650.00</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z w:val="18"/>
                <w:szCs w:val="18"/>
              </w:rPr>
              <w:t>－</w:t>
            </w: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58,143,419.22</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35,189,193.39</w:t>
            </w: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65.23%</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-58,141,769.22</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-35,189,193.39</w:t>
            </w: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65.23%</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410,011,736.02</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15,000,000.00</w:t>
            </w: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2,633.41%</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52,673,675.78</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35,760,541.69</w:t>
            </w: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47.3%</w:t>
            </w:r>
          </w:p>
        </w:tc>
      </w:tr>
      <w:tr>
        <w:trPr>
          <w:trHeight w:val="416" w:hRule="exact"/>
        </w:trPr>
        <w:tc>
          <w:tcPr>
            <w:tcW w:w="2695"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357,338,060.24</w:t>
            </w:r>
          </w:p>
        </w:tc>
        <w:tc>
          <w:tcPr>
            <w:tcW w:w="22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-20,760,541.69</w:t>
            </w:r>
          </w:p>
        </w:tc>
        <w:tc>
          <w:tcPr>
            <w:tcW w:w="22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1,821.24%</w:t>
            </w:r>
          </w:p>
        </w:tc>
      </w:tr>
    </w:tbl>
    <w:p>
      <w:pPr>
        <w:spacing w:after="0" w:line="240" w:lineRule="auto"/>
        <w:jc w:val="right"/>
        <w:rPr>
          <w:rFonts w:ascii="宋体" w:hAnsi="宋体" w:cs="宋体" w:eastAsia="宋体" w:hint="default"/>
          <w:sz w:val="18"/>
          <w:szCs w:val="18"/>
        </w:rPr>
        <w:sectPr>
          <w:type w:val="continuous"/>
          <w:pgSz w:w="11910" w:h="16840"/>
          <w:pgMar w:top="1040" w:bottom="1200" w:left="980" w:right="90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2695"/>
        <w:gridCol w:w="2291"/>
        <w:gridCol w:w="2291"/>
        <w:gridCol w:w="2291"/>
      </w:tblGrid>
      <w:tr>
        <w:trPr>
          <w:trHeight w:val="422" w:hRule="exact"/>
        </w:trPr>
        <w:tc>
          <w:tcPr>
            <w:tcW w:w="2695" w:type="dxa"/>
            <w:tcBorders>
              <w:top w:val="single" w:sz="12"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996" w:right="0"/>
              <w:jc w:val="left"/>
              <w:rPr>
                <w:rFonts w:ascii="宋体" w:hAnsi="宋体" w:cs="宋体" w:eastAsia="宋体" w:hint="default"/>
                <w:sz w:val="18"/>
                <w:szCs w:val="18"/>
              </w:rPr>
            </w:pPr>
            <w:r>
              <w:rPr>
                <w:rFonts w:ascii="宋体"/>
                <w:sz w:val="18"/>
              </w:rPr>
              <w:t>371,771,310.06</w:t>
            </w:r>
          </w:p>
        </w:tc>
        <w:tc>
          <w:tcPr>
            <w:tcW w:w="22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997" w:right="0"/>
              <w:jc w:val="left"/>
              <w:rPr>
                <w:rFonts w:ascii="宋体" w:hAnsi="宋体" w:cs="宋体" w:eastAsia="宋体" w:hint="default"/>
                <w:sz w:val="18"/>
                <w:szCs w:val="18"/>
              </w:rPr>
            </w:pPr>
            <w:r>
              <w:rPr>
                <w:rFonts w:ascii="宋体"/>
                <w:sz w:val="18"/>
              </w:rPr>
              <w:t>-32,311,416.38</w:t>
            </w:r>
          </w:p>
        </w:tc>
        <w:tc>
          <w:tcPr>
            <w:tcW w:w="2291"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left="1447" w:right="0"/>
              <w:jc w:val="left"/>
              <w:rPr>
                <w:rFonts w:ascii="宋体" w:hAnsi="宋体" w:cs="宋体" w:eastAsia="宋体" w:hint="default"/>
                <w:sz w:val="18"/>
                <w:szCs w:val="18"/>
              </w:rPr>
            </w:pPr>
            <w:r>
              <w:rPr>
                <w:rFonts w:ascii="宋体"/>
                <w:sz w:val="18"/>
              </w:rPr>
              <w:t>1,250.59%</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right="106"/>
        <w:jc w:val="left"/>
      </w:pPr>
      <w:r>
        <w:rPr/>
        <w:t>相关数据同比发生变动</w:t>
      </w:r>
      <w:r>
        <w:rPr>
          <w:spacing w:val="-55"/>
        </w:rPr>
        <w:t> </w:t>
      </w:r>
      <w:r>
        <w:rPr/>
        <w:t>30%以上的原因说明</w:t>
      </w:r>
    </w:p>
    <w:p>
      <w:pPr>
        <w:spacing w:line="240" w:lineRule="auto" w:before="10"/>
        <w:rPr>
          <w:rFonts w:ascii="宋体" w:hAnsi="宋体" w:cs="宋体" w:eastAsia="宋体" w:hint="default"/>
          <w:sz w:val="14"/>
          <w:szCs w:val="14"/>
        </w:rPr>
      </w:pPr>
    </w:p>
    <w:p>
      <w:pPr>
        <w:pStyle w:val="BodyText"/>
        <w:spacing w:line="240" w:lineRule="auto"/>
        <w:ind w:right="106"/>
        <w:jc w:val="left"/>
      </w:pPr>
      <w:r>
        <w:rPr/>
        <w:t>√ 适用 □</w:t>
      </w:r>
      <w:r>
        <w:rPr>
          <w:spacing w:val="-2"/>
        </w:rPr>
        <w:t> </w:t>
      </w:r>
      <w:r>
        <w:rPr/>
        <w:t>不适用</w:t>
      </w:r>
    </w:p>
    <w:p>
      <w:pPr>
        <w:pStyle w:val="Heading3"/>
        <w:spacing w:line="357" w:lineRule="auto" w:before="170"/>
        <w:ind w:right="106" w:firstLine="566"/>
        <w:jc w:val="left"/>
      </w:pPr>
      <w:r>
        <w:rPr>
          <w:spacing w:val="-2"/>
        </w:rPr>
        <w:t>①2012年经营活动产生的现金流量净额比2011年增长了207.02%，主要是公司业务增长，</w:t>
      </w:r>
      <w:r>
        <w:rPr/>
        <w:t> 当年销售当年收回款项的比例增大。</w:t>
      </w:r>
    </w:p>
    <w:p>
      <w:pPr>
        <w:pStyle w:val="Heading3"/>
        <w:spacing w:line="357" w:lineRule="auto"/>
        <w:ind w:right="106" w:firstLine="566"/>
        <w:jc w:val="left"/>
      </w:pPr>
      <w:r>
        <w:rPr>
          <w:spacing w:val="-2"/>
        </w:rPr>
        <w:t>②2012年投资活动产生的现金流量净额比2011年增长了65.23%，主要是2012年公司支付</w:t>
      </w:r>
      <w:r>
        <w:rPr/>
        <w:t> 土地出让金款项、东山厂房装修及募投项目投入建设所致。</w:t>
      </w:r>
    </w:p>
    <w:p>
      <w:pPr>
        <w:pStyle w:val="Heading3"/>
        <w:spacing w:line="357" w:lineRule="auto"/>
        <w:ind w:right="215" w:firstLine="566"/>
        <w:jc w:val="left"/>
      </w:pPr>
      <w:r>
        <w:rPr>
          <w:spacing w:val="-1"/>
        </w:rPr>
        <w:t>③2012年筹资活动产生的现金流量净额比2011年增长了1821.24%%，主要是2012年9月24</w:t>
      </w:r>
      <w:r>
        <w:rPr/>
        <w:t> 日公司在创业板首次公开发行股票，募集资金增加所致。</w:t>
      </w:r>
    </w:p>
    <w:p>
      <w:pPr>
        <w:spacing w:line="240" w:lineRule="auto" w:before="0"/>
        <w:rPr>
          <w:rFonts w:ascii="宋体" w:hAnsi="宋体" w:cs="宋体" w:eastAsia="宋体" w:hint="default"/>
          <w:sz w:val="24"/>
          <w:szCs w:val="24"/>
        </w:rPr>
      </w:pPr>
    </w:p>
    <w:p>
      <w:pPr>
        <w:pStyle w:val="BodyText"/>
        <w:spacing w:line="240" w:lineRule="auto" w:before="213"/>
        <w:ind w:right="106"/>
        <w:jc w:val="left"/>
      </w:pPr>
      <w:r>
        <w:rPr/>
        <w:t>报告期内公司经营活动的现金流量与本年度净利润存在重大差异的原因说明</w:t>
      </w:r>
    </w:p>
    <w:p>
      <w:pPr>
        <w:spacing w:line="240" w:lineRule="auto" w:before="10"/>
        <w:rPr>
          <w:rFonts w:ascii="宋体" w:hAnsi="宋体" w:cs="宋体" w:eastAsia="宋体" w:hint="default"/>
          <w:sz w:val="14"/>
          <w:szCs w:val="14"/>
        </w:rPr>
      </w:pPr>
    </w:p>
    <w:p>
      <w:pPr>
        <w:pStyle w:val="BodyText"/>
        <w:spacing w:line="240" w:lineRule="auto"/>
        <w:ind w:right="106"/>
        <w:jc w:val="left"/>
      </w:pPr>
      <w:r>
        <w:rPr/>
        <w:t>□ 适用 √</w:t>
      </w:r>
      <w:r>
        <w:rPr>
          <w:spacing w:val="-2"/>
        </w:rPr>
        <w:t> </w:t>
      </w:r>
      <w:r>
        <w:rPr/>
        <w:t>不适用</w:t>
      </w:r>
    </w:p>
    <w:p>
      <w:pPr>
        <w:spacing w:line="240" w:lineRule="auto" w:before="0"/>
        <w:rPr>
          <w:rFonts w:ascii="宋体" w:hAnsi="宋体" w:cs="宋体" w:eastAsia="宋体" w:hint="default"/>
          <w:sz w:val="20"/>
          <w:szCs w:val="20"/>
        </w:rPr>
      </w:pPr>
    </w:p>
    <w:p>
      <w:pPr>
        <w:pStyle w:val="Heading2"/>
        <w:spacing w:line="240" w:lineRule="auto" w:before="131"/>
        <w:ind w:right="106"/>
        <w:jc w:val="left"/>
        <w:rPr>
          <w:b w:val="0"/>
          <w:bCs w:val="0"/>
        </w:rPr>
      </w:pPr>
      <w:r>
        <w:rPr/>
        <w:t>（6）公司主要供应商、客户情况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106"/>
        <w:jc w:val="left"/>
      </w:pPr>
      <w:r>
        <w:rPr/>
        <w:t>公司主要销售客户情况</w:t>
      </w:r>
    </w:p>
    <w:p>
      <w:pPr>
        <w:spacing w:line="240" w:lineRule="auto" w:before="0"/>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4258"/>
        <w:gridCol w:w="5309"/>
      </w:tblGrid>
      <w:tr>
        <w:trPr>
          <w:trHeight w:val="398" w:hRule="exact"/>
        </w:trPr>
        <w:tc>
          <w:tcPr>
            <w:tcW w:w="4258" w:type="dxa"/>
            <w:tcBorders>
              <w:top w:val="single" w:sz="12" w:space="0" w:color="000000"/>
              <w:left w:val="single" w:sz="12" w:space="0" w:color="000000"/>
              <w:bottom w:val="single" w:sz="23" w:space="0" w:color="FFFFFF"/>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09" w:type="dxa"/>
            <w:tcBorders>
              <w:top w:val="single" w:sz="12" w:space="0" w:color="000000"/>
              <w:left w:val="single" w:sz="6" w:space="0" w:color="000000"/>
              <w:bottom w:val="single" w:sz="23" w:space="0" w:color="FFFFFF"/>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309,347,997.28</w:t>
            </w:r>
          </w:p>
        </w:tc>
      </w:tr>
      <w:tr>
        <w:trPr>
          <w:trHeight w:val="441" w:hRule="exact"/>
        </w:trPr>
        <w:tc>
          <w:tcPr>
            <w:tcW w:w="4258" w:type="dxa"/>
            <w:tcBorders>
              <w:top w:val="single" w:sz="23" w:space="0" w:color="FFFFFF"/>
              <w:left w:val="single" w:sz="12" w:space="0" w:color="000000"/>
              <w:bottom w:val="single" w:sz="12"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09" w:type="dxa"/>
            <w:tcBorders>
              <w:top w:val="single" w:sz="23" w:space="0" w:color="FFFFFF"/>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80.16%</w:t>
            </w:r>
          </w:p>
        </w:tc>
      </w:tr>
    </w:tbl>
    <w:p>
      <w:pPr>
        <w:pStyle w:val="BodyText"/>
        <w:spacing w:line="240" w:lineRule="auto" w:before="63"/>
        <w:ind w:right="106"/>
        <w:jc w:val="left"/>
      </w:pPr>
      <w:r>
        <w:rPr/>
        <w:t>向单一客户销售比例超过</w:t>
      </w:r>
      <w:r>
        <w:rPr>
          <w:spacing w:val="-55"/>
        </w:rPr>
        <w:t> </w:t>
      </w:r>
      <w:r>
        <w:rPr/>
        <w:t>30%的客户资料</w:t>
      </w:r>
    </w:p>
    <w:p>
      <w:pPr>
        <w:spacing w:line="240" w:lineRule="auto" w:before="10"/>
        <w:rPr>
          <w:rFonts w:ascii="宋体" w:hAnsi="宋体" w:cs="宋体" w:eastAsia="宋体" w:hint="default"/>
          <w:sz w:val="14"/>
          <w:szCs w:val="14"/>
        </w:rPr>
      </w:pPr>
    </w:p>
    <w:p>
      <w:pPr>
        <w:pStyle w:val="BodyText"/>
        <w:spacing w:line="240" w:lineRule="auto"/>
        <w:ind w:right="106"/>
        <w:jc w:val="left"/>
      </w:pPr>
      <w:r>
        <w:rPr/>
        <w:t>√ 适用 □</w:t>
      </w:r>
      <w:r>
        <w:rPr>
          <w:spacing w:val="-2"/>
        </w:rPr>
        <w:t> </w:t>
      </w:r>
      <w:r>
        <w:rPr/>
        <w:t>不适用</w:t>
      </w:r>
    </w:p>
    <w:p>
      <w:pPr>
        <w:spacing w:line="240" w:lineRule="auto" w:before="1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843"/>
        <w:gridCol w:w="2128"/>
        <w:gridCol w:w="2778"/>
        <w:gridCol w:w="2819"/>
      </w:tblGrid>
      <w:tr>
        <w:trPr>
          <w:trHeight w:val="725" w:hRule="exact"/>
        </w:trPr>
        <w:tc>
          <w:tcPr>
            <w:tcW w:w="1843"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2128"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778"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c>
          <w:tcPr>
            <w:tcW w:w="2819"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316" w:lineRule="auto" w:before="51"/>
              <w:ind w:left="861" w:right="43" w:hanging="810"/>
              <w:jc w:val="left"/>
              <w:rPr>
                <w:rFonts w:ascii="宋体" w:hAnsi="宋体" w:cs="宋体" w:eastAsia="宋体" w:hint="default"/>
                <w:sz w:val="18"/>
                <w:szCs w:val="18"/>
              </w:rPr>
            </w:pPr>
            <w:r>
              <w:rPr>
                <w:rFonts w:ascii="宋体" w:hAnsi="宋体" w:cs="宋体" w:eastAsia="宋体" w:hint="default"/>
                <w:sz w:val="18"/>
                <w:szCs w:val="18"/>
              </w:rPr>
              <w:t>销售金额或比例与以前年度相比变 化情况的说明</w:t>
            </w:r>
          </w:p>
        </w:tc>
      </w:tr>
      <w:tr>
        <w:trPr>
          <w:trHeight w:val="361" w:hRule="exact"/>
        </w:trPr>
        <w:tc>
          <w:tcPr>
            <w:tcW w:w="1843" w:type="dxa"/>
            <w:tcBorders>
              <w:top w:val="single" w:sz="6" w:space="0" w:color="000000"/>
              <w:left w:val="single" w:sz="12" w:space="0" w:color="000000"/>
              <w:bottom w:val="nil" w:sz="6" w:space="0" w:color="auto"/>
              <w:right w:val="single" w:sz="6" w:space="0" w:color="000000"/>
            </w:tcBorders>
          </w:tcPr>
          <w:p>
            <w:pPr/>
          </w:p>
        </w:tc>
        <w:tc>
          <w:tcPr>
            <w:tcW w:w="2128" w:type="dxa"/>
            <w:tcBorders>
              <w:top w:val="single" w:sz="6" w:space="0" w:color="000000"/>
              <w:left w:val="single" w:sz="6" w:space="0" w:color="000000"/>
              <w:bottom w:val="nil" w:sz="6" w:space="0" w:color="auto"/>
              <w:right w:val="single" w:sz="6" w:space="0" w:color="000000"/>
            </w:tcBorders>
          </w:tcPr>
          <w:p>
            <w:pPr/>
          </w:p>
        </w:tc>
        <w:tc>
          <w:tcPr>
            <w:tcW w:w="2778" w:type="dxa"/>
            <w:tcBorders>
              <w:top w:val="single" w:sz="6" w:space="0" w:color="000000"/>
              <w:left w:val="single" w:sz="6" w:space="0" w:color="000000"/>
              <w:bottom w:val="nil" w:sz="6" w:space="0" w:color="auto"/>
              <w:right w:val="single" w:sz="6" w:space="0" w:color="000000"/>
            </w:tcBorders>
          </w:tcPr>
          <w:p>
            <w:pPr/>
          </w:p>
        </w:tc>
        <w:tc>
          <w:tcPr>
            <w:tcW w:w="2819" w:type="dxa"/>
            <w:tcBorders>
              <w:top w:val="single" w:sz="6" w:space="0" w:color="000000"/>
              <w:left w:val="single" w:sz="6" w:space="0" w:color="000000"/>
              <w:bottom w:val="nil" w:sz="6" w:space="0" w:color="auto"/>
              <w:right w:val="single" w:sz="12" w:space="0" w:color="000000"/>
            </w:tcBorders>
          </w:tcPr>
          <w:p>
            <w:pPr>
              <w:pStyle w:val="TableParagraph"/>
              <w:spacing w:line="240" w:lineRule="auto" w:before="52"/>
              <w:ind w:left="33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17"/>
                <w:sz w:val="18"/>
                <w:szCs w:val="18"/>
              </w:rPr>
              <w:t> </w:t>
            </w:r>
            <w:r>
              <w:rPr>
                <w:rFonts w:ascii="宋体" w:hAnsi="宋体" w:cs="宋体" w:eastAsia="宋体" w:hint="default"/>
                <w:sz w:val="18"/>
                <w:szCs w:val="18"/>
              </w:rPr>
              <w:t>年公司向江苏省电力公司</w:t>
            </w:r>
          </w:p>
        </w:tc>
      </w:tr>
      <w:tr>
        <w:trPr>
          <w:trHeight w:val="311" w:hRule="exact"/>
        </w:trPr>
        <w:tc>
          <w:tcPr>
            <w:tcW w:w="1843" w:type="dxa"/>
            <w:tcBorders>
              <w:top w:val="nil" w:sz="6" w:space="0" w:color="auto"/>
              <w:left w:val="single" w:sz="12" w:space="0" w:color="000000"/>
              <w:bottom w:val="nil" w:sz="6" w:space="0" w:color="auto"/>
              <w:right w:val="single" w:sz="6" w:space="0" w:color="000000"/>
            </w:tcBorders>
          </w:tcPr>
          <w:p>
            <w:pPr/>
          </w:p>
        </w:tc>
        <w:tc>
          <w:tcPr>
            <w:tcW w:w="2128" w:type="dxa"/>
            <w:tcBorders>
              <w:top w:val="nil" w:sz="6" w:space="0" w:color="auto"/>
              <w:left w:val="single" w:sz="6" w:space="0" w:color="000000"/>
              <w:bottom w:val="nil" w:sz="6" w:space="0" w:color="auto"/>
              <w:right w:val="single" w:sz="6" w:space="0" w:color="000000"/>
            </w:tcBorders>
          </w:tcPr>
          <w:p>
            <w:pPr/>
          </w:p>
        </w:tc>
        <w:tc>
          <w:tcPr>
            <w:tcW w:w="2778" w:type="dxa"/>
            <w:tcBorders>
              <w:top w:val="nil" w:sz="6" w:space="0" w:color="auto"/>
              <w:left w:val="single" w:sz="6" w:space="0" w:color="000000"/>
              <w:bottom w:val="nil" w:sz="6" w:space="0" w:color="auto"/>
              <w:right w:val="single" w:sz="6" w:space="0" w:color="000000"/>
            </w:tcBorders>
          </w:tcPr>
          <w:p>
            <w:pPr/>
          </w:p>
        </w:tc>
        <w:tc>
          <w:tcPr>
            <w:tcW w:w="2819" w:type="dxa"/>
            <w:tcBorders>
              <w:top w:val="nil" w:sz="6" w:space="0" w:color="auto"/>
              <w:left w:val="single" w:sz="6" w:space="0" w:color="000000"/>
              <w:bottom w:val="nil" w:sz="6" w:space="0" w:color="auto"/>
              <w:right w:val="single" w:sz="12"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15"/>
                <w:sz w:val="18"/>
                <w:szCs w:val="18"/>
              </w:rPr>
              <w:t>物资采购与配送中心销售金额为</w:t>
            </w:r>
            <w:r>
              <w:rPr>
                <w:rFonts w:ascii="宋体" w:hAnsi="宋体" w:cs="宋体" w:eastAsia="宋体" w:hint="default"/>
                <w:sz w:val="18"/>
                <w:szCs w:val="18"/>
              </w:rPr>
            </w:r>
          </w:p>
        </w:tc>
      </w:tr>
      <w:tr>
        <w:trPr>
          <w:trHeight w:val="312" w:hRule="exact"/>
        </w:trPr>
        <w:tc>
          <w:tcPr>
            <w:tcW w:w="1843" w:type="dxa"/>
            <w:tcBorders>
              <w:top w:val="nil" w:sz="6" w:space="0" w:color="auto"/>
              <w:left w:val="single" w:sz="12" w:space="0" w:color="000000"/>
              <w:bottom w:val="nil" w:sz="6" w:space="0" w:color="auto"/>
              <w:right w:val="single" w:sz="6" w:space="0" w:color="000000"/>
            </w:tcBorders>
          </w:tcPr>
          <w:p>
            <w:pPr/>
          </w:p>
        </w:tc>
        <w:tc>
          <w:tcPr>
            <w:tcW w:w="2128" w:type="dxa"/>
            <w:tcBorders>
              <w:top w:val="nil" w:sz="6" w:space="0" w:color="auto"/>
              <w:left w:val="single" w:sz="6" w:space="0" w:color="000000"/>
              <w:bottom w:val="nil" w:sz="6" w:space="0" w:color="auto"/>
              <w:right w:val="single" w:sz="6" w:space="0" w:color="000000"/>
            </w:tcBorders>
          </w:tcPr>
          <w:p>
            <w:pPr/>
          </w:p>
        </w:tc>
        <w:tc>
          <w:tcPr>
            <w:tcW w:w="2778" w:type="dxa"/>
            <w:tcBorders>
              <w:top w:val="nil" w:sz="6" w:space="0" w:color="auto"/>
              <w:left w:val="single" w:sz="6" w:space="0" w:color="000000"/>
              <w:bottom w:val="nil" w:sz="6" w:space="0" w:color="auto"/>
              <w:right w:val="single" w:sz="6" w:space="0" w:color="000000"/>
            </w:tcBorders>
          </w:tcPr>
          <w:p>
            <w:pPr/>
          </w:p>
        </w:tc>
        <w:tc>
          <w:tcPr>
            <w:tcW w:w="2819" w:type="dxa"/>
            <w:tcBorders>
              <w:top w:val="nil" w:sz="6" w:space="0" w:color="auto"/>
              <w:left w:val="single" w:sz="6" w:space="0" w:color="000000"/>
              <w:bottom w:val="nil" w:sz="6" w:space="0" w:color="auto"/>
              <w:right w:val="single" w:sz="12"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147,531,495.26</w:t>
            </w:r>
            <w:r>
              <w:rPr>
                <w:rFonts w:ascii="宋体" w:hAnsi="宋体" w:cs="宋体" w:eastAsia="宋体" w:hint="default"/>
                <w:spacing w:val="-43"/>
                <w:sz w:val="18"/>
                <w:szCs w:val="18"/>
              </w:rPr>
              <w:t> </w:t>
            </w:r>
            <w:r>
              <w:rPr>
                <w:rFonts w:ascii="宋体" w:hAnsi="宋体" w:cs="宋体" w:eastAsia="宋体" w:hint="default"/>
                <w:spacing w:val="-3"/>
                <w:sz w:val="18"/>
                <w:szCs w:val="18"/>
              </w:rPr>
              <w:t>元，占当年销售比</w:t>
            </w:r>
          </w:p>
        </w:tc>
      </w:tr>
      <w:tr>
        <w:trPr>
          <w:trHeight w:val="625" w:hRule="exact"/>
        </w:trPr>
        <w:tc>
          <w:tcPr>
            <w:tcW w:w="1843" w:type="dxa"/>
            <w:tcBorders>
              <w:top w:val="nil" w:sz="6" w:space="0" w:color="auto"/>
              <w:left w:val="single" w:sz="12" w:space="0" w:color="000000"/>
              <w:bottom w:val="nil" w:sz="6" w:space="0" w:color="auto"/>
              <w:right w:val="single" w:sz="6" w:space="0" w:color="000000"/>
            </w:tcBorders>
          </w:tcPr>
          <w:p>
            <w:pPr>
              <w:pStyle w:val="TableParagraph"/>
              <w:spacing w:line="316" w:lineRule="auto" w:before="11"/>
              <w:ind w:left="275" w:right="102" w:hanging="180"/>
              <w:jc w:val="left"/>
              <w:rPr>
                <w:rFonts w:ascii="宋体" w:hAnsi="宋体" w:cs="宋体" w:eastAsia="宋体" w:hint="default"/>
                <w:sz w:val="18"/>
                <w:szCs w:val="18"/>
              </w:rPr>
            </w:pPr>
            <w:r>
              <w:rPr>
                <w:rFonts w:ascii="宋体" w:hAnsi="宋体" w:cs="宋体" w:eastAsia="宋体" w:hint="default"/>
                <w:sz w:val="18"/>
                <w:szCs w:val="18"/>
              </w:rPr>
              <w:t>江苏省电力公司物资 采购与配送中心</w:t>
            </w:r>
          </w:p>
        </w:tc>
        <w:tc>
          <w:tcPr>
            <w:tcW w:w="2128"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173,708,437.95</w:t>
            </w:r>
          </w:p>
        </w:tc>
        <w:tc>
          <w:tcPr>
            <w:tcW w:w="2778"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45.01%</w:t>
            </w:r>
          </w:p>
        </w:tc>
        <w:tc>
          <w:tcPr>
            <w:tcW w:w="2819" w:type="dxa"/>
            <w:tcBorders>
              <w:top w:val="nil" w:sz="6" w:space="0" w:color="auto"/>
              <w:left w:val="single" w:sz="6" w:space="0" w:color="000000"/>
              <w:bottom w:val="nil" w:sz="6" w:space="0" w:color="auto"/>
              <w:right w:val="single" w:sz="12" w:space="0" w:color="000000"/>
            </w:tcBorders>
          </w:tcPr>
          <w:p>
            <w:pPr>
              <w:pStyle w:val="TableParagraph"/>
              <w:spacing w:line="316" w:lineRule="auto" w:before="10"/>
              <w:ind w:left="20" w:right="53"/>
              <w:jc w:val="left"/>
              <w:rPr>
                <w:rFonts w:ascii="宋体" w:hAnsi="宋体" w:cs="宋体" w:eastAsia="宋体" w:hint="default"/>
                <w:sz w:val="18"/>
                <w:szCs w:val="18"/>
              </w:rPr>
            </w:pPr>
            <w:r>
              <w:rPr>
                <w:rFonts w:ascii="宋体" w:hAnsi="宋体" w:cs="宋体" w:eastAsia="宋体" w:hint="default"/>
                <w:sz w:val="18"/>
                <w:szCs w:val="18"/>
              </w:rPr>
              <w:t>例为</w:t>
            </w:r>
            <w:r>
              <w:rPr>
                <w:rFonts w:ascii="宋体" w:hAnsi="宋体" w:cs="宋体" w:eastAsia="宋体" w:hint="default"/>
                <w:spacing w:val="-46"/>
                <w:sz w:val="18"/>
                <w:szCs w:val="18"/>
              </w:rPr>
              <w:t> </w:t>
            </w:r>
            <w:r>
              <w:rPr>
                <w:rFonts w:ascii="宋体" w:hAnsi="宋体" w:cs="宋体" w:eastAsia="宋体" w:hint="default"/>
                <w:spacing w:val="-6"/>
                <w:sz w:val="18"/>
                <w:szCs w:val="18"/>
              </w:rPr>
              <w:t>57.31%。2012</w:t>
            </w:r>
            <w:r>
              <w:rPr>
                <w:rFonts w:ascii="宋体" w:hAnsi="宋体" w:cs="宋体" w:eastAsia="宋体" w:hint="default"/>
                <w:spacing w:val="-46"/>
                <w:sz w:val="18"/>
                <w:szCs w:val="18"/>
              </w:rPr>
              <w:t> </w:t>
            </w:r>
            <w:r>
              <w:rPr>
                <w:rFonts w:ascii="宋体" w:hAnsi="宋体" w:cs="宋体" w:eastAsia="宋体" w:hint="default"/>
                <w:sz w:val="18"/>
                <w:szCs w:val="18"/>
              </w:rPr>
              <w:t>年销售额比上年</w:t>
            </w:r>
            <w:r>
              <w:rPr>
                <w:rFonts w:ascii="宋体" w:hAnsi="宋体" w:cs="宋体" w:eastAsia="宋体" w:hint="default"/>
                <w:sz w:val="18"/>
                <w:szCs w:val="18"/>
              </w:rPr>
              <w:t> 增加 26,176,942.69</w:t>
            </w:r>
            <w:r>
              <w:rPr>
                <w:rFonts w:ascii="宋体" w:hAnsi="宋体" w:cs="宋体" w:eastAsia="宋体" w:hint="default"/>
                <w:spacing w:val="-68"/>
                <w:sz w:val="18"/>
                <w:szCs w:val="18"/>
              </w:rPr>
              <w:t> </w:t>
            </w:r>
            <w:r>
              <w:rPr>
                <w:rFonts w:ascii="宋体" w:hAnsi="宋体" w:cs="宋体" w:eastAsia="宋体" w:hint="default"/>
                <w:sz w:val="18"/>
                <w:szCs w:val="18"/>
              </w:rPr>
              <w:t>元，但占总销</w:t>
            </w:r>
          </w:p>
        </w:tc>
      </w:tr>
      <w:tr>
        <w:trPr>
          <w:trHeight w:val="311" w:hRule="exact"/>
        </w:trPr>
        <w:tc>
          <w:tcPr>
            <w:tcW w:w="1843" w:type="dxa"/>
            <w:tcBorders>
              <w:top w:val="nil" w:sz="6" w:space="0" w:color="auto"/>
              <w:left w:val="single" w:sz="12" w:space="0" w:color="000000"/>
              <w:bottom w:val="nil" w:sz="6" w:space="0" w:color="auto"/>
              <w:right w:val="single" w:sz="6" w:space="0" w:color="000000"/>
            </w:tcBorders>
          </w:tcPr>
          <w:p>
            <w:pPr/>
          </w:p>
        </w:tc>
        <w:tc>
          <w:tcPr>
            <w:tcW w:w="2128" w:type="dxa"/>
            <w:tcBorders>
              <w:top w:val="nil" w:sz="6" w:space="0" w:color="auto"/>
              <w:left w:val="single" w:sz="6" w:space="0" w:color="000000"/>
              <w:bottom w:val="nil" w:sz="6" w:space="0" w:color="auto"/>
              <w:right w:val="single" w:sz="6" w:space="0" w:color="000000"/>
            </w:tcBorders>
          </w:tcPr>
          <w:p>
            <w:pPr/>
          </w:p>
        </w:tc>
        <w:tc>
          <w:tcPr>
            <w:tcW w:w="2778" w:type="dxa"/>
            <w:tcBorders>
              <w:top w:val="nil" w:sz="6" w:space="0" w:color="auto"/>
              <w:left w:val="single" w:sz="6" w:space="0" w:color="000000"/>
              <w:bottom w:val="nil" w:sz="6" w:space="0" w:color="auto"/>
              <w:right w:val="single" w:sz="6" w:space="0" w:color="000000"/>
            </w:tcBorders>
          </w:tcPr>
          <w:p>
            <w:pPr/>
          </w:p>
        </w:tc>
        <w:tc>
          <w:tcPr>
            <w:tcW w:w="2819" w:type="dxa"/>
            <w:tcBorders>
              <w:top w:val="nil" w:sz="6" w:space="0" w:color="auto"/>
              <w:left w:val="single" w:sz="6" w:space="0" w:color="000000"/>
              <w:bottom w:val="nil" w:sz="6" w:space="0" w:color="auto"/>
              <w:right w:val="single" w:sz="12"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售收入的比例却下降了</w:t>
            </w:r>
            <w:r>
              <w:rPr>
                <w:rFonts w:ascii="宋体" w:hAnsi="宋体" w:cs="宋体" w:eastAsia="宋体" w:hint="default"/>
                <w:spacing w:val="19"/>
                <w:sz w:val="18"/>
                <w:szCs w:val="18"/>
              </w:rPr>
              <w:t> </w:t>
            </w:r>
            <w:r>
              <w:rPr>
                <w:rFonts w:ascii="宋体" w:hAnsi="宋体" w:cs="宋体" w:eastAsia="宋体" w:hint="default"/>
                <w:sz w:val="18"/>
                <w:szCs w:val="18"/>
              </w:rPr>
              <w:t>12.3%，主</w:t>
            </w:r>
          </w:p>
        </w:tc>
      </w:tr>
      <w:tr>
        <w:trPr>
          <w:trHeight w:val="313" w:hRule="exact"/>
        </w:trPr>
        <w:tc>
          <w:tcPr>
            <w:tcW w:w="1843" w:type="dxa"/>
            <w:tcBorders>
              <w:top w:val="nil" w:sz="6" w:space="0" w:color="auto"/>
              <w:left w:val="single" w:sz="12" w:space="0" w:color="000000"/>
              <w:bottom w:val="nil" w:sz="6" w:space="0" w:color="auto"/>
              <w:right w:val="single" w:sz="6" w:space="0" w:color="000000"/>
            </w:tcBorders>
          </w:tcPr>
          <w:p>
            <w:pPr/>
          </w:p>
        </w:tc>
        <w:tc>
          <w:tcPr>
            <w:tcW w:w="2128" w:type="dxa"/>
            <w:tcBorders>
              <w:top w:val="nil" w:sz="6" w:space="0" w:color="auto"/>
              <w:left w:val="single" w:sz="6" w:space="0" w:color="000000"/>
              <w:bottom w:val="nil" w:sz="6" w:space="0" w:color="auto"/>
              <w:right w:val="single" w:sz="6" w:space="0" w:color="000000"/>
            </w:tcBorders>
          </w:tcPr>
          <w:p>
            <w:pPr/>
          </w:p>
        </w:tc>
        <w:tc>
          <w:tcPr>
            <w:tcW w:w="2778" w:type="dxa"/>
            <w:tcBorders>
              <w:top w:val="nil" w:sz="6" w:space="0" w:color="auto"/>
              <w:left w:val="single" w:sz="6" w:space="0" w:color="000000"/>
              <w:bottom w:val="nil" w:sz="6" w:space="0" w:color="auto"/>
              <w:right w:val="single" w:sz="6" w:space="0" w:color="000000"/>
            </w:tcBorders>
          </w:tcPr>
          <w:p>
            <w:pPr/>
          </w:p>
        </w:tc>
        <w:tc>
          <w:tcPr>
            <w:tcW w:w="2819" w:type="dxa"/>
            <w:tcBorders>
              <w:top w:val="nil" w:sz="6" w:space="0" w:color="auto"/>
              <w:left w:val="single" w:sz="6" w:space="0" w:color="000000"/>
              <w:bottom w:val="nil" w:sz="6" w:space="0" w:color="auto"/>
              <w:right w:val="single" w:sz="12"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要是公司销售总额增长，市场销售</w:t>
            </w:r>
          </w:p>
        </w:tc>
      </w:tr>
      <w:tr>
        <w:trPr>
          <w:trHeight w:val="359" w:hRule="exact"/>
        </w:trPr>
        <w:tc>
          <w:tcPr>
            <w:tcW w:w="1843" w:type="dxa"/>
            <w:tcBorders>
              <w:top w:val="nil" w:sz="6" w:space="0" w:color="auto"/>
              <w:left w:val="single" w:sz="12" w:space="0" w:color="000000"/>
              <w:bottom w:val="single" w:sz="6" w:space="0" w:color="000000"/>
              <w:right w:val="single" w:sz="6" w:space="0" w:color="000000"/>
            </w:tcBorders>
          </w:tcPr>
          <w:p>
            <w:pPr/>
          </w:p>
        </w:tc>
        <w:tc>
          <w:tcPr>
            <w:tcW w:w="2128" w:type="dxa"/>
            <w:tcBorders>
              <w:top w:val="nil" w:sz="6" w:space="0" w:color="auto"/>
              <w:left w:val="single" w:sz="6" w:space="0" w:color="000000"/>
              <w:bottom w:val="single" w:sz="6" w:space="0" w:color="000000"/>
              <w:right w:val="single" w:sz="6" w:space="0" w:color="000000"/>
            </w:tcBorders>
          </w:tcPr>
          <w:p>
            <w:pPr/>
          </w:p>
        </w:tc>
        <w:tc>
          <w:tcPr>
            <w:tcW w:w="2778" w:type="dxa"/>
            <w:tcBorders>
              <w:top w:val="nil" w:sz="6" w:space="0" w:color="auto"/>
              <w:left w:val="single" w:sz="6" w:space="0" w:color="000000"/>
              <w:bottom w:val="single" w:sz="6" w:space="0" w:color="000000"/>
              <w:right w:val="single" w:sz="6" w:space="0" w:color="000000"/>
            </w:tcBorders>
          </w:tcPr>
          <w:p>
            <w:pPr/>
          </w:p>
        </w:tc>
        <w:tc>
          <w:tcPr>
            <w:tcW w:w="2819" w:type="dxa"/>
            <w:tcBorders>
              <w:top w:val="nil" w:sz="6" w:space="0" w:color="auto"/>
              <w:left w:val="single" w:sz="6" w:space="0" w:color="000000"/>
              <w:bottom w:val="single" w:sz="6" w:space="0" w:color="000000"/>
              <w:right w:val="single" w:sz="12"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区域扩大所致。</w:t>
            </w:r>
          </w:p>
        </w:tc>
      </w:tr>
      <w:tr>
        <w:trPr>
          <w:trHeight w:val="415" w:hRule="exact"/>
        </w:trPr>
        <w:tc>
          <w:tcPr>
            <w:tcW w:w="1843"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173,708,437.95</w:t>
            </w:r>
          </w:p>
        </w:tc>
        <w:tc>
          <w:tcPr>
            <w:tcW w:w="27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45.01%</w:t>
            </w:r>
          </w:p>
        </w:tc>
        <w:tc>
          <w:tcPr>
            <w:tcW w:w="2819" w:type="dxa"/>
            <w:tcBorders>
              <w:top w:val="single" w:sz="6" w:space="0" w:color="000000"/>
              <w:left w:val="single" w:sz="6" w:space="0" w:color="000000"/>
              <w:bottom w:val="single" w:sz="12" w:space="0" w:color="000000"/>
              <w:right w:val="single" w:sz="12" w:space="0" w:color="000000"/>
            </w:tcBorders>
            <w:shd w:val="clear" w:color="auto" w:fill="D3D3D3"/>
          </w:tcPr>
          <w:p>
            <w:pPr>
              <w:pStyle w:val="TableParagraph"/>
              <w:spacing w:line="240" w:lineRule="auto" w:before="51"/>
              <w:ind w:left="6" w:right="0"/>
              <w:jc w:val="center"/>
              <w:rPr>
                <w:rFonts w:ascii="宋体" w:hAnsi="宋体" w:cs="宋体" w:eastAsia="宋体" w:hint="default"/>
                <w:sz w:val="18"/>
                <w:szCs w:val="18"/>
              </w:rPr>
            </w:pPr>
            <w:r>
              <w:rPr>
                <w:rFonts w:ascii="宋体"/>
                <w:sz w:val="18"/>
              </w:rPr>
              <w:t>--</w:t>
            </w:r>
          </w:p>
        </w:tc>
      </w:tr>
    </w:tbl>
    <w:p>
      <w:pPr>
        <w:pStyle w:val="BodyText"/>
        <w:spacing w:line="240" w:lineRule="auto" w:before="63"/>
        <w:ind w:right="106"/>
        <w:jc w:val="left"/>
      </w:pPr>
      <w:r>
        <w:rPr/>
        <w:t>公司主要供应商情况</w:t>
      </w:r>
    </w:p>
    <w:p>
      <w:pPr>
        <w:spacing w:line="240" w:lineRule="auto" w:before="10"/>
        <w:rPr>
          <w:rFonts w:ascii="宋体" w:hAnsi="宋体" w:cs="宋体" w:eastAsia="宋体" w:hint="default"/>
          <w:sz w:val="8"/>
          <w:szCs w:val="8"/>
        </w:rPr>
      </w:pPr>
    </w:p>
    <w:p>
      <w:pPr>
        <w:spacing w:line="487" w:lineRule="exact"/>
        <w:ind w:left="123"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81.4pt;height:24.4pt;mso-position-horizontal-relative:char;mso-position-vertical-relative:line" coordorigin="0,0" coordsize="9628,488">
            <v:group style="position:absolute;left:45;top:45;width:3948;height:42" coordorigin="45,45" coordsize="3948,42">
              <v:shape style="position:absolute;left:45;top:45;width:3948;height:42" coordorigin="45,45" coordsize="3948,42" path="m45,87l3993,87,3993,45,45,45,45,87xe" filled="true" fillcolor="#d3d3d3" stroked="false">
                <v:path arrowok="t"/>
                <v:fill type="solid"/>
              </v:shape>
            </v:group>
            <v:group style="position:absolute;left:45;top:399;width:3948;height:44" coordorigin="45,399" coordsize="3948,44">
              <v:shape style="position:absolute;left:45;top:399;width:3948;height:44" coordorigin="45,399" coordsize="3948,44" path="m45,442l3993,442,3993,399,45,399,45,442xe" filled="true" fillcolor="#d3d3d3" stroked="false">
                <v:path arrowok="t"/>
                <v:fill type="solid"/>
              </v:shape>
            </v:group>
            <v:group style="position:absolute;left:58;top:87;width:3914;height:312" coordorigin="58,87" coordsize="3914,312">
              <v:shape style="position:absolute;left:58;top:87;width:3914;height:312" coordorigin="58,87" coordsize="3914,312" path="m58,399l3971,399,3971,87,58,87,58,399xe" filled="true" fillcolor="#d3d3d3" stroked="false">
                <v:path arrowok="t"/>
                <v:fill type="solid"/>
              </v:shape>
            </v:group>
            <v:group style="position:absolute;left:15;top:30;width:9598;height:2" coordorigin="15,30" coordsize="9598,2">
              <v:shape style="position:absolute;left:15;top:30;width:9598;height:2" coordorigin="15,30" coordsize="9598,0" path="m15,30l9613,30e" filled="false" stroked="true" strokeweight="1.5pt" strokecolor="#000000">
                <v:path arrowok="t"/>
              </v:shape>
            </v:group>
            <v:group style="position:absolute;left:30;top:15;width:2;height:458" coordorigin="30,15" coordsize="2,458">
              <v:shape style="position:absolute;left:30;top:15;width:2;height:458" coordorigin="30,15" coordsize="0,458" path="m30,15l30,472e" filled="false" stroked="true" strokeweight="1.5pt" strokecolor="#000000">
                <v:path arrowok="t"/>
              </v:shape>
            </v:group>
            <v:group style="position:absolute;left:15;top:457;width:3978;height:2" coordorigin="15,457" coordsize="3978,2">
              <v:shape style="position:absolute;left:15;top:457;width:3978;height:2" coordorigin="15,457" coordsize="3978,0" path="m15,457l3993,457e" filled="false" stroked="true" strokeweight="1.5pt" strokecolor="#000000">
                <v:path arrowok="t"/>
              </v:shape>
            </v:group>
            <v:group style="position:absolute;left:4000;top:45;width:2;height:398" coordorigin="4000,45" coordsize="2,398">
              <v:shape style="position:absolute;left:4000;top:45;width:2;height:398" coordorigin="4000,45" coordsize="0,398" path="m4000,45l4000,442e" filled="false" stroked="true" strokeweight=".72pt" strokecolor="#000000">
                <v:path arrowok="t"/>
              </v:shape>
            </v:group>
            <v:group style="position:absolute;left:3993;top:457;width:5590;height:2" coordorigin="3993,457" coordsize="5590,2">
              <v:shape style="position:absolute;left:3993;top:457;width:5590;height:2" coordorigin="3993,457" coordsize="5590,0" path="m3993,457l9583,457e" filled="false" stroked="true" strokeweight="1.5pt" strokecolor="#000000">
                <v:path arrowok="t"/>
              </v:shape>
            </v:group>
            <v:group style="position:absolute;left:9598;top:15;width:2;height:458" coordorigin="9598,15" coordsize="2,458">
              <v:shape style="position:absolute;left:9598;top:15;width:2;height:458" coordorigin="9598,15" coordsize="0,458" path="m9598,15l9598,472e" filled="false" stroked="true" strokeweight="1.5pt" strokecolor="#000000">
                <v:path arrowok="t"/>
              </v:shape>
              <v:shape style="position:absolute;left:30;top:30;width:3971;height:428" type="#_x0000_t202" filled="false" stroked="false">
                <v:textbox inset="0,0,0,0">
                  <w:txbxContent>
                    <w:p>
                      <w:pPr>
                        <w:spacing w:before="67"/>
                        <w:ind w:left="634" w:right="0" w:firstLine="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xbxContent>
                </v:textbox>
                <w10:wrap type="none"/>
              </v:shape>
              <v:shape style="position:absolute;left:4000;top:30;width:5598;height:428" type="#_x0000_t202" filled="false" stroked="false">
                <v:textbox inset="0,0,0,0">
                  <w:txbxContent>
                    <w:p>
                      <w:pPr>
                        <w:spacing w:before="67"/>
                        <w:ind w:left="0" w:right="26" w:firstLine="0"/>
                        <w:jc w:val="right"/>
                        <w:rPr>
                          <w:rFonts w:ascii="宋体" w:hAnsi="宋体" w:cs="宋体" w:eastAsia="宋体" w:hint="default"/>
                          <w:sz w:val="18"/>
                          <w:szCs w:val="18"/>
                        </w:rPr>
                      </w:pPr>
                      <w:r>
                        <w:rPr>
                          <w:rFonts w:ascii="宋体"/>
                          <w:sz w:val="18"/>
                        </w:rPr>
                        <w:t>36,990,190.69</w:t>
                      </w:r>
                    </w:p>
                  </w:txbxContent>
                </v:textbox>
                <w10:wrap type="none"/>
              </v:shape>
            </v:group>
          </v:group>
        </w:pict>
      </w:r>
      <w:r>
        <w:rPr>
          <w:rFonts w:ascii="宋体" w:hAnsi="宋体" w:cs="宋体" w:eastAsia="宋体" w:hint="default"/>
          <w:position w:val="-9"/>
          <w:sz w:val="20"/>
          <w:szCs w:val="20"/>
        </w:rPr>
      </w:r>
    </w:p>
    <w:p>
      <w:pPr>
        <w:spacing w:after="0" w:line="487" w:lineRule="exact"/>
        <w:rPr>
          <w:rFonts w:ascii="宋体" w:hAnsi="宋体" w:cs="宋体" w:eastAsia="宋体" w:hint="default"/>
          <w:sz w:val="20"/>
          <w:szCs w:val="20"/>
        </w:rPr>
        <w:sectPr>
          <w:pgSz w:w="11910" w:h="16840"/>
          <w:pgMar w:header="747" w:footer="1003" w:top="1040" w:bottom="1200" w:left="980" w:right="900"/>
        </w:sectPr>
      </w:pPr>
    </w:p>
    <w:p>
      <w:pPr>
        <w:spacing w:line="240" w:lineRule="auto" w:before="1"/>
        <w:rPr>
          <w:rFonts w:ascii="宋体" w:hAnsi="宋体" w:cs="宋体" w:eastAsia="宋体" w:hint="default"/>
          <w:sz w:val="28"/>
          <w:szCs w:val="28"/>
        </w:rPr>
      </w:pPr>
    </w:p>
    <w:p>
      <w:pPr>
        <w:spacing w:line="487" w:lineRule="exact"/>
        <w:ind w:left="123"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81.4pt;height:24.4pt;mso-position-horizontal-relative:char;mso-position-vertical-relative:line" coordorigin="0,0" coordsize="9628,488">
            <v:group style="position:absolute;left:45;top:45;width:3948;height:42" coordorigin="45,45" coordsize="3948,42">
              <v:shape style="position:absolute;left:45;top:45;width:3948;height:42" coordorigin="45,45" coordsize="3948,42" path="m45,87l3993,87,3993,45,45,45,45,87xe" filled="true" fillcolor="#d3d3d3" stroked="false">
                <v:path arrowok="t"/>
                <v:fill type="solid"/>
              </v:shape>
            </v:group>
            <v:group style="position:absolute;left:45;top:399;width:3948;height:44" coordorigin="45,399" coordsize="3948,44">
              <v:shape style="position:absolute;left:45;top:399;width:3948;height:44" coordorigin="45,399" coordsize="3948,44" path="m45,442l3993,442,3993,399,45,399,45,442xe" filled="true" fillcolor="#d3d3d3" stroked="false">
                <v:path arrowok="t"/>
                <v:fill type="solid"/>
              </v:shape>
            </v:group>
            <v:group style="position:absolute;left:58;top:87;width:3914;height:312" coordorigin="58,87" coordsize="3914,312">
              <v:shape style="position:absolute;left:58;top:87;width:3914;height:312" coordorigin="58,87" coordsize="3914,312" path="m58,399l3971,399,3971,87,58,87,58,399xe" filled="true" fillcolor="#d3d3d3" stroked="false">
                <v:path arrowok="t"/>
                <v:fill type="solid"/>
              </v:shape>
            </v:group>
            <v:group style="position:absolute;left:15;top:30;width:9598;height:2" coordorigin="15,30" coordsize="9598,2">
              <v:shape style="position:absolute;left:15;top:30;width:9598;height:2" coordorigin="15,30" coordsize="9598,0" path="m15,30l9613,30e" filled="false" stroked="true" strokeweight="1.5pt" strokecolor="#000000">
                <v:path arrowok="t"/>
              </v:shape>
            </v:group>
            <v:group style="position:absolute;left:30;top:15;width:2;height:458" coordorigin="30,15" coordsize="2,458">
              <v:shape style="position:absolute;left:30;top:15;width:2;height:458" coordorigin="30,15" coordsize="0,458" path="m30,15l30,472e" filled="false" stroked="true" strokeweight="1.5pt" strokecolor="#000000">
                <v:path arrowok="t"/>
              </v:shape>
            </v:group>
            <v:group style="position:absolute;left:15;top:457;width:3978;height:2" coordorigin="15,457" coordsize="3978,2">
              <v:shape style="position:absolute;left:15;top:457;width:3978;height:2" coordorigin="15,457" coordsize="3978,0" path="m15,457l3993,457e" filled="false" stroked="true" strokeweight="1.5pt" strokecolor="#000000">
                <v:path arrowok="t"/>
              </v:shape>
            </v:group>
            <v:group style="position:absolute;left:4000;top:45;width:2;height:398" coordorigin="4000,45" coordsize="2,398">
              <v:shape style="position:absolute;left:4000;top:45;width:2;height:398" coordorigin="4000,45" coordsize="0,398" path="m4000,45l4000,442e" filled="false" stroked="true" strokeweight=".72pt" strokecolor="#000000">
                <v:path arrowok="t"/>
              </v:shape>
            </v:group>
            <v:group style="position:absolute;left:3993;top:457;width:5590;height:2" coordorigin="3993,457" coordsize="5590,2">
              <v:shape style="position:absolute;left:3993;top:457;width:5590;height:2" coordorigin="3993,457" coordsize="5590,0" path="m3993,457l9583,457e" filled="false" stroked="true" strokeweight="1.5pt" strokecolor="#000000">
                <v:path arrowok="t"/>
              </v:shape>
            </v:group>
            <v:group style="position:absolute;left:9598;top:15;width:2;height:458" coordorigin="9598,15" coordsize="2,458">
              <v:shape style="position:absolute;left:9598;top:15;width:2;height:458" coordorigin="9598,15" coordsize="0,458" path="m9598,15l9598,472e" filled="false" stroked="true" strokeweight="1.5pt" strokecolor="#000000">
                <v:path arrowok="t"/>
              </v:shape>
              <v:shape style="position:absolute;left:30;top:30;width:3971;height:428" type="#_x0000_t202" filled="false" stroked="false">
                <v:textbox inset="0,0,0,0">
                  <w:txbxContent>
                    <w:p>
                      <w:pPr>
                        <w:spacing w:before="67"/>
                        <w:ind w:left="28" w:right="0" w:firstLine="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xbxContent>
                </v:textbox>
                <w10:wrap type="none"/>
              </v:shape>
              <v:shape style="position:absolute;left:9031;top:15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22.25%</w:t>
                      </w:r>
                    </w:p>
                  </w:txbxContent>
                </v:textbox>
                <w10:wrap type="none"/>
              </v:shape>
            </v:group>
          </v:group>
        </w:pict>
      </w:r>
      <w:r>
        <w:rPr>
          <w:rFonts w:ascii="宋体" w:hAnsi="宋体" w:cs="宋体" w:eastAsia="宋体" w:hint="default"/>
          <w:position w:val="-9"/>
          <w:sz w:val="20"/>
          <w:szCs w:val="20"/>
        </w:rPr>
      </w:r>
    </w:p>
    <w:p>
      <w:pPr>
        <w:pStyle w:val="BodyText"/>
        <w:spacing w:line="240" w:lineRule="auto" w:before="48"/>
        <w:ind w:right="0"/>
        <w:jc w:val="both"/>
      </w:pPr>
      <w:r>
        <w:rPr/>
        <w:t>向单一供应商采购比例超过</w:t>
      </w:r>
      <w:r>
        <w:rPr>
          <w:spacing w:val="-55"/>
        </w:rPr>
        <w:t> </w:t>
      </w:r>
      <w:r>
        <w:rPr/>
        <w:t>30%的客户资料</w:t>
      </w:r>
    </w:p>
    <w:p>
      <w:pPr>
        <w:spacing w:line="240" w:lineRule="auto" w:before="10"/>
        <w:rPr>
          <w:rFonts w:ascii="宋体" w:hAnsi="宋体" w:cs="宋体" w:eastAsia="宋体" w:hint="default"/>
          <w:sz w:val="14"/>
          <w:szCs w:val="14"/>
        </w:rPr>
      </w:pPr>
    </w:p>
    <w:p>
      <w:pPr>
        <w:pStyle w:val="BodyText"/>
        <w:spacing w:line="240" w:lineRule="auto"/>
        <w:ind w:right="0"/>
        <w:jc w:val="both"/>
      </w:pPr>
      <w:r>
        <w:rPr/>
        <w:t>□ 适用 √</w:t>
      </w:r>
      <w:r>
        <w:rPr>
          <w:spacing w:val="-2"/>
        </w:rPr>
        <w:t> </w:t>
      </w:r>
      <w:r>
        <w:rPr/>
        <w:t>不适用</w:t>
      </w:r>
    </w:p>
    <w:p>
      <w:pPr>
        <w:spacing w:line="240" w:lineRule="auto" w:before="0"/>
        <w:rPr>
          <w:rFonts w:ascii="宋体" w:hAnsi="宋体" w:cs="宋体" w:eastAsia="宋体" w:hint="default"/>
          <w:sz w:val="20"/>
          <w:szCs w:val="20"/>
        </w:rPr>
      </w:pPr>
    </w:p>
    <w:p>
      <w:pPr>
        <w:pStyle w:val="Heading2"/>
        <w:spacing w:line="240" w:lineRule="auto" w:before="131"/>
        <w:ind w:right="0"/>
        <w:jc w:val="both"/>
        <w:rPr>
          <w:b w:val="0"/>
          <w:bCs w:val="0"/>
        </w:rPr>
      </w:pPr>
      <w:r>
        <w:rPr/>
        <w:t>（7）公司未来发展与规划延续至报告期的说明</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right="0"/>
        <w:jc w:val="both"/>
      </w:pPr>
      <w:r>
        <w:rPr/>
        <w:t>首次公开发行招股说明书中披露的未来发展与规划在本报告期的实施情况</w:t>
      </w:r>
    </w:p>
    <w:p>
      <w:pPr>
        <w:spacing w:line="240" w:lineRule="auto" w:before="10"/>
        <w:rPr>
          <w:rFonts w:ascii="宋体" w:hAnsi="宋体" w:cs="宋体" w:eastAsia="宋体" w:hint="default"/>
          <w:sz w:val="14"/>
          <w:szCs w:val="14"/>
        </w:rPr>
      </w:pPr>
    </w:p>
    <w:p>
      <w:pPr>
        <w:pStyle w:val="BodyText"/>
        <w:spacing w:line="240" w:lineRule="auto"/>
        <w:ind w:right="0"/>
        <w:jc w:val="both"/>
      </w:pPr>
      <w:r>
        <w:rPr/>
        <w:t>√ 适用 □</w:t>
      </w:r>
      <w:r>
        <w:rPr>
          <w:spacing w:val="-2"/>
        </w:rPr>
        <w:t> </w:t>
      </w:r>
      <w:r>
        <w:rPr/>
        <w:t>不适用</w:t>
      </w:r>
    </w:p>
    <w:p>
      <w:pPr>
        <w:pStyle w:val="Heading3"/>
        <w:spacing w:line="357" w:lineRule="auto" w:before="170"/>
        <w:ind w:left="578" w:right="132"/>
        <w:jc w:val="left"/>
      </w:pPr>
      <w:r>
        <w:rPr/>
        <w:t>公司在首次公开发行招股说明书中对当年和未来三年发展规划如下： 本公司将以本次公开发行股票并上市为契机，在智能电网全面建设的大好形势下，通过</w:t>
      </w:r>
    </w:p>
    <w:p>
      <w:pPr>
        <w:pStyle w:val="Heading3"/>
        <w:spacing w:line="357" w:lineRule="auto"/>
        <w:ind w:right="148"/>
        <w:jc w:val="both"/>
      </w:pPr>
      <w:r>
        <w:rPr/>
        <w:t>募集资金项目的实施，在全面扩大产能的同时，采取积极的营销策略，拓展营销网络，不断</w:t>
      </w:r>
      <w:r>
        <w:rPr>
          <w:spacing w:val="-83"/>
        </w:rPr>
        <w:t> </w:t>
      </w:r>
      <w:r>
        <w:rPr>
          <w:spacing w:val="-83"/>
        </w:rPr>
      </w:r>
      <w:r>
        <w:rPr/>
        <w:t>提高市场占有率，进一步扩大公司产品在行业领域中的品牌影响力；建设新的研发中心，扩</w:t>
      </w:r>
      <w:r>
        <w:rPr>
          <w:spacing w:val="-83"/>
        </w:rPr>
        <w:t> </w:t>
      </w:r>
      <w:r>
        <w:rPr>
          <w:spacing w:val="-83"/>
        </w:rPr>
      </w:r>
      <w:r>
        <w:rPr/>
        <w:t>大现有研发中心的规模并进行技术升级，进一步增强公司的自主研发能力，全面提升公司在</w:t>
      </w:r>
      <w:r>
        <w:rPr>
          <w:spacing w:val="-83"/>
        </w:rPr>
        <w:t> </w:t>
      </w:r>
      <w:r>
        <w:rPr>
          <w:spacing w:val="-83"/>
        </w:rPr>
      </w:r>
      <w:r>
        <w:rPr/>
        <w:t>自主创新、产品、技术等方面的核心竞争力，确保公司持续、快速、健康发展，提升公司品</w:t>
      </w:r>
      <w:r>
        <w:rPr>
          <w:spacing w:val="-83"/>
        </w:rPr>
        <w:t> </w:t>
      </w:r>
      <w:r>
        <w:rPr>
          <w:spacing w:val="-83"/>
        </w:rPr>
      </w:r>
      <w:r>
        <w:rPr/>
        <w:t>牌价值，实现投资者利益最大化。</w:t>
      </w:r>
    </w:p>
    <w:p>
      <w:pPr>
        <w:pStyle w:val="Heading3"/>
        <w:spacing w:line="357" w:lineRule="auto"/>
        <w:ind w:right="147" w:firstLine="424"/>
        <w:jc w:val="both"/>
      </w:pPr>
      <w:r>
        <w:rPr/>
        <w:t>发行当年和未来三年，公司将以低压集抄系统、专变采集终端为主、以配变计量终端、</w:t>
      </w:r>
      <w:r>
        <w:rPr>
          <w:spacing w:val="2"/>
        </w:rPr>
        <w:t> </w:t>
      </w:r>
      <w:r>
        <w:rPr/>
        <w:t>手持抄表终端产品为辅，扩大公司产品的产能和提高公司产品的品质；国内市场全面拓展营</w:t>
      </w:r>
      <w:r>
        <w:rPr>
          <w:spacing w:val="-83"/>
        </w:rPr>
        <w:t> </w:t>
      </w:r>
      <w:r>
        <w:rPr>
          <w:spacing w:val="-83"/>
        </w:rPr>
      </w:r>
      <w:r>
        <w:rPr/>
        <w:t>销网络和完善营销服务体系的建设，增强公司的销售能力，加大市场推广力度，提升公司产</w:t>
      </w:r>
      <w:r>
        <w:rPr>
          <w:spacing w:val="-83"/>
        </w:rPr>
        <w:t> </w:t>
      </w:r>
      <w:r>
        <w:rPr>
          <w:spacing w:val="-83"/>
        </w:rPr>
      </w:r>
      <w:r>
        <w:rPr/>
        <w:t>品的市场影响力；同时积极开拓国际市场，争取“光一”品牌实现“走出去”。另外紧跟国</w:t>
      </w:r>
      <w:r>
        <w:rPr>
          <w:spacing w:val="-83"/>
        </w:rPr>
        <w:t> </w:t>
      </w:r>
      <w:r>
        <w:rPr>
          <w:spacing w:val="-83"/>
        </w:rPr>
      </w:r>
      <w:r>
        <w:rPr/>
        <w:t>家智能电网发展动态，围绕电力客户需求，持续推进技术研发和产品改进，加快大客户智能</w:t>
      </w:r>
      <w:r>
        <w:rPr>
          <w:spacing w:val="-83"/>
        </w:rPr>
        <w:t> </w:t>
      </w:r>
      <w:r>
        <w:rPr>
          <w:spacing w:val="-83"/>
        </w:rPr>
      </w:r>
      <w:r>
        <w:rPr>
          <w:spacing w:val="-2"/>
        </w:rPr>
        <w:t>交互终端、居民智能交互终端、电网电能质量监测、电力营销GIS信息系统、能效管理决策支</w:t>
      </w:r>
      <w:r>
        <w:rPr/>
        <w:t> 持系统等产品的研发和试制进程，并在时机成熟时将研究成果产品化，不断形成公司新的利</w:t>
      </w:r>
      <w:r>
        <w:rPr>
          <w:spacing w:val="-83"/>
        </w:rPr>
        <w:t> </w:t>
      </w:r>
      <w:r>
        <w:rPr>
          <w:spacing w:val="-83"/>
        </w:rPr>
      </w:r>
      <w:r>
        <w:rPr/>
        <w:t>润增长点，通过公司技术创新能力的提升，巩固和加强市场盈利能力，使公司在行业占据领</w:t>
      </w:r>
      <w:r>
        <w:rPr>
          <w:spacing w:val="-83"/>
        </w:rPr>
        <w:t> </w:t>
      </w:r>
      <w:r>
        <w:rPr>
          <w:spacing w:val="-83"/>
        </w:rPr>
      </w:r>
      <w:r>
        <w:rPr/>
        <w:t>先的市场份额，并形成强大的“光一”品牌，实现成为智能用电信息采集的重要供应商、服</w:t>
      </w:r>
      <w:r>
        <w:rPr>
          <w:spacing w:val="-83"/>
        </w:rPr>
        <w:t> </w:t>
      </w:r>
      <w:r>
        <w:rPr>
          <w:spacing w:val="-83"/>
        </w:rPr>
      </w:r>
      <w:r>
        <w:rPr/>
        <w:t>务商和技术领先者的战略目标。</w:t>
      </w:r>
    </w:p>
    <w:p>
      <w:pPr>
        <w:pStyle w:val="Heading3"/>
        <w:spacing w:line="357" w:lineRule="auto"/>
        <w:ind w:left="578" w:right="142"/>
        <w:jc w:val="left"/>
      </w:pPr>
      <w:r>
        <w:rPr/>
        <w:t>本报告期的实施情况： </w:t>
      </w:r>
      <w:r>
        <w:rPr>
          <w:spacing w:val="-4"/>
        </w:rPr>
        <w:t>报告期内，公司把握国家智能电网发展阶段的高峰时期，加快拓展市场，加大研发投入，</w:t>
      </w:r>
    </w:p>
    <w:p>
      <w:pPr>
        <w:pStyle w:val="Heading3"/>
        <w:spacing w:line="240" w:lineRule="auto"/>
        <w:ind w:right="0"/>
        <w:jc w:val="both"/>
      </w:pPr>
      <w:r>
        <w:rPr/>
        <w:t>在做大做强本年业绩的同时，也为未来发展做充分的准备：</w:t>
      </w:r>
    </w:p>
    <w:p>
      <w:pPr>
        <w:pStyle w:val="Heading3"/>
        <w:spacing w:line="357" w:lineRule="auto" w:before="154"/>
        <w:ind w:left="578" w:right="132"/>
        <w:jc w:val="left"/>
      </w:pPr>
      <w:r>
        <w:rPr/>
        <w:t>①产能扩大实施 报告期内，公司在现有东山生产基地内，加大投入，新增生产厂地，投入自动化贴片生</w:t>
      </w:r>
    </w:p>
    <w:p>
      <w:pPr>
        <w:pStyle w:val="Heading3"/>
        <w:spacing w:line="240" w:lineRule="auto"/>
        <w:ind w:right="0"/>
        <w:jc w:val="both"/>
      </w:pPr>
      <w:r>
        <w:rPr/>
        <w:t>产线、自动化老化测试台、各类物料周转设备、测试设备等，有效增加公司产能的输出。</w:t>
      </w:r>
    </w:p>
    <w:p>
      <w:pPr>
        <w:spacing w:after="0" w:line="240" w:lineRule="auto"/>
        <w:jc w:val="both"/>
        <w:sectPr>
          <w:pgSz w:w="11910" w:h="16840"/>
          <w:pgMar w:header="747" w:footer="1003" w:top="1040" w:bottom="1200" w:left="980" w:right="980"/>
        </w:sectPr>
      </w:pPr>
    </w:p>
    <w:p>
      <w:pPr>
        <w:spacing w:line="240" w:lineRule="auto" w:before="0"/>
        <w:rPr>
          <w:rFonts w:ascii="宋体" w:hAnsi="宋体" w:cs="宋体" w:eastAsia="宋体" w:hint="default"/>
          <w:sz w:val="20"/>
          <w:szCs w:val="20"/>
        </w:rPr>
      </w:pPr>
    </w:p>
    <w:p>
      <w:pPr>
        <w:pStyle w:val="Heading3"/>
        <w:spacing w:line="357" w:lineRule="auto" w:before="161"/>
        <w:ind w:right="143" w:firstLine="424"/>
        <w:jc w:val="left"/>
      </w:pPr>
      <w:r>
        <w:rPr>
          <w:spacing w:val="-4"/>
        </w:rPr>
        <w:t>公司募投项目生产基地完成规划立项、图纸审批、建筑工程招标、桩基工程施工等工作，</w:t>
      </w:r>
      <w:r>
        <w:rPr/>
        <w:t> 预计于2013年底建成投产，为公司有效增加产能奠定坚实的基础。</w:t>
      </w:r>
    </w:p>
    <w:p>
      <w:pPr>
        <w:pStyle w:val="Heading3"/>
        <w:spacing w:line="357" w:lineRule="auto"/>
        <w:ind w:left="578" w:right="132"/>
        <w:jc w:val="left"/>
      </w:pPr>
      <w:r>
        <w:rPr/>
        <w:t>②研发中心建设 2012年度“研发中心建设项目”投入建设，公司大力引进研发人员，建立了一支高素质</w:t>
      </w:r>
    </w:p>
    <w:p>
      <w:pPr>
        <w:pStyle w:val="Heading3"/>
        <w:spacing w:line="357" w:lineRule="auto"/>
        <w:ind w:left="154" w:right="148"/>
        <w:jc w:val="both"/>
      </w:pPr>
      <w:r>
        <w:rPr/>
        <w:t>有战斗力的研发队伍；加大对研发相关测试设备的投入，加强公司研发能力；积极开展与高</w:t>
      </w:r>
      <w:r>
        <w:rPr>
          <w:spacing w:val="-83"/>
        </w:rPr>
        <w:t> </w:t>
      </w:r>
      <w:r>
        <w:rPr>
          <w:spacing w:val="-83"/>
        </w:rPr>
      </w:r>
      <w:r>
        <w:rPr/>
        <w:t>校的产学研合作，在公司未来产品及核心技术开发方面展开合作，为持续保持公司核心竞争</w:t>
      </w:r>
      <w:r>
        <w:rPr>
          <w:spacing w:val="-83"/>
        </w:rPr>
        <w:t> </w:t>
      </w:r>
      <w:r>
        <w:rPr>
          <w:spacing w:val="-83"/>
        </w:rPr>
      </w:r>
      <w:r>
        <w:rPr/>
        <w:t>力提供坚实基础。</w:t>
      </w:r>
    </w:p>
    <w:p>
      <w:pPr>
        <w:pStyle w:val="Heading3"/>
        <w:spacing w:line="357" w:lineRule="auto"/>
        <w:ind w:left="154" w:right="132" w:firstLine="424"/>
        <w:jc w:val="left"/>
      </w:pPr>
      <w:r>
        <w:rPr/>
        <w:t>公司募投项目研发中心基础建设与生产基地建设同步实施，确保公司研发中心尽早投入</w:t>
      </w:r>
      <w:r>
        <w:rPr>
          <w:spacing w:val="2"/>
        </w:rPr>
        <w:t> </w:t>
      </w:r>
      <w:r>
        <w:rPr/>
        <w:t>使用。</w:t>
      </w:r>
    </w:p>
    <w:p>
      <w:pPr>
        <w:pStyle w:val="Heading3"/>
        <w:spacing w:line="357" w:lineRule="auto"/>
        <w:ind w:left="578" w:right="132"/>
        <w:jc w:val="left"/>
      </w:pPr>
      <w:r>
        <w:rPr/>
        <w:t>③营销网络建设 2012年度随着公司市场覆盖面的扩大，公司加强营销网络及机构建设，全年新增服务机</w:t>
      </w:r>
    </w:p>
    <w:p>
      <w:pPr>
        <w:pStyle w:val="Heading3"/>
        <w:spacing w:line="240" w:lineRule="auto"/>
        <w:ind w:left="154" w:right="0"/>
        <w:jc w:val="both"/>
      </w:pPr>
      <w:r>
        <w:rPr/>
        <w:t>构8个，加强了公司产品售后服务能力。</w:t>
      </w:r>
    </w:p>
    <w:p>
      <w:pPr>
        <w:pStyle w:val="Heading3"/>
        <w:spacing w:line="357" w:lineRule="auto" w:before="154"/>
        <w:ind w:left="578" w:right="132"/>
        <w:jc w:val="left"/>
      </w:pPr>
      <w:r>
        <w:rPr/>
        <w:t>④未来规划及新兴市场开拓 目前公司正在围绕电力客户需求，持续推进技术研发和产品改进；加快大客户智能交互</w:t>
      </w:r>
    </w:p>
    <w:p>
      <w:pPr>
        <w:pStyle w:val="Heading3"/>
        <w:spacing w:line="357" w:lineRule="auto"/>
        <w:ind w:left="154" w:right="151"/>
        <w:jc w:val="both"/>
      </w:pPr>
      <w:r>
        <w:rPr>
          <w:spacing w:val="-2"/>
        </w:rPr>
        <w:t>终端、电网电能质量监测、电力营销GIS信息系统、能效管理决策支持系统等产品的调研和研</w:t>
      </w:r>
      <w:r>
        <w:rPr/>
        <w:t> 发、试制进程，并在时机成熟时将研究成果产品化，形成公司新的利润增长点 。</w:t>
      </w:r>
    </w:p>
    <w:p>
      <w:pPr>
        <w:pStyle w:val="Heading3"/>
        <w:spacing w:line="357" w:lineRule="auto"/>
        <w:ind w:left="154" w:right="135" w:firstLine="424"/>
        <w:jc w:val="left"/>
      </w:pPr>
      <w:r>
        <w:rPr/>
        <w:t>报告期内，公司安排专门部门进行新兴市场及新产品战略规划研究，开展并落实海外市</w:t>
      </w:r>
      <w:r>
        <w:rPr>
          <w:spacing w:val="2"/>
        </w:rPr>
        <w:t> </w:t>
      </w:r>
      <w:r>
        <w:rPr>
          <w:spacing w:val="-5"/>
        </w:rPr>
        <w:t>场的开拓工作。公司已与巴西、加拿大、韩国、越南等国相关电力机构和公司进行多次交流。</w:t>
      </w:r>
    </w:p>
    <w:p>
      <w:pPr>
        <w:spacing w:line="240" w:lineRule="auto" w:before="11"/>
        <w:rPr>
          <w:rFonts w:ascii="宋体" w:hAnsi="宋体" w:cs="宋体" w:eastAsia="宋体" w:hint="default"/>
          <w:sz w:val="19"/>
          <w:szCs w:val="19"/>
        </w:rPr>
      </w:pPr>
    </w:p>
    <w:p>
      <w:pPr>
        <w:pStyle w:val="Heading2"/>
        <w:spacing w:line="240" w:lineRule="auto" w:before="0"/>
        <w:ind w:right="0"/>
        <w:jc w:val="both"/>
        <w:rPr>
          <w:b w:val="0"/>
          <w:bCs w:val="0"/>
        </w:rPr>
      </w:pPr>
      <w:r>
        <w:rPr/>
        <w:t>2、主营业务分部报告</w:t>
      </w:r>
      <w:r>
        <w:rPr>
          <w:b w:val="0"/>
          <w:bCs w:val="0"/>
        </w:rPr>
      </w:r>
    </w:p>
    <w:p>
      <w:pPr>
        <w:spacing w:line="240" w:lineRule="auto" w:before="7"/>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367"/>
        <w:gridCol w:w="1514"/>
        <w:gridCol w:w="1514"/>
        <w:gridCol w:w="1070"/>
        <w:gridCol w:w="1367"/>
        <w:gridCol w:w="1367"/>
        <w:gridCol w:w="1371"/>
      </w:tblGrid>
      <w:tr>
        <w:trPr>
          <w:trHeight w:val="646" w:hRule="exact"/>
        </w:trPr>
        <w:tc>
          <w:tcPr>
            <w:tcW w:w="1367" w:type="dxa"/>
            <w:tcBorders>
              <w:top w:val="single" w:sz="12" w:space="0" w:color="000000"/>
              <w:left w:val="single" w:sz="12" w:space="0" w:color="000000"/>
              <w:bottom w:val="single" w:sz="6" w:space="0" w:color="000000"/>
              <w:right w:val="single" w:sz="6" w:space="0" w:color="000000"/>
            </w:tcBorders>
            <w:shd w:val="clear" w:color="auto" w:fill="D3D3D3"/>
          </w:tcPr>
          <w:p>
            <w:pPr/>
          </w:p>
        </w:tc>
        <w:tc>
          <w:tcPr>
            <w:tcW w:w="151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1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7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10"/>
              <w:ind w:left="315" w:right="44"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10"/>
              <w:ind w:left="316" w:right="43"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316" w:lineRule="auto" w:before="10"/>
              <w:ind w:left="319" w:right="127"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13" w:hRule="exact"/>
        </w:trPr>
        <w:tc>
          <w:tcPr>
            <w:tcW w:w="9571" w:type="dxa"/>
            <w:gridSpan w:val="7"/>
            <w:tcBorders>
              <w:top w:val="single" w:sz="6" w:space="0" w:color="000000"/>
              <w:left w:val="single" w:sz="12" w:space="0" w:color="000000"/>
              <w:bottom w:val="single" w:sz="6" w:space="0" w:color="000000"/>
              <w:right w:val="single" w:sz="12" w:space="0" w:color="000000"/>
            </w:tcBorders>
            <w:shd w:val="clear" w:color="auto" w:fill="D3D3D3"/>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12" w:hRule="exact"/>
        </w:trPr>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电力设备行业</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385,748,197.22</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236,996,904.05</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38.56%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50.9%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59.49%</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110" w:right="0"/>
              <w:jc w:val="center"/>
              <w:rPr>
                <w:rFonts w:ascii="宋体" w:hAnsi="宋体" w:cs="宋体" w:eastAsia="宋体" w:hint="default"/>
                <w:sz w:val="18"/>
                <w:szCs w:val="18"/>
              </w:rPr>
            </w:pPr>
            <w:r>
              <w:rPr>
                <w:rFonts w:ascii="宋体" w:hAnsi="宋体" w:cs="宋体" w:eastAsia="宋体" w:hint="default"/>
                <w:sz w:val="18"/>
                <w:szCs w:val="18"/>
              </w:rPr>
              <w:t>-3.31</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12" w:hRule="exact"/>
        </w:trPr>
        <w:tc>
          <w:tcPr>
            <w:tcW w:w="9571" w:type="dxa"/>
            <w:gridSpan w:val="7"/>
            <w:tcBorders>
              <w:top w:val="single" w:sz="6" w:space="0" w:color="000000"/>
              <w:left w:val="single" w:sz="12" w:space="0" w:color="000000"/>
              <w:bottom w:val="single" w:sz="6" w:space="0" w:color="000000"/>
              <w:right w:val="single" w:sz="12" w:space="0" w:color="000000"/>
            </w:tcBorders>
            <w:shd w:val="clear" w:color="auto" w:fill="D3D3D3"/>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13" w:hRule="exact"/>
        </w:trPr>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低压集抄系统</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283,249,552.50</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178,197,940.87</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37.09%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37.67%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49.93%</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110" w:right="0"/>
              <w:jc w:val="center"/>
              <w:rPr>
                <w:rFonts w:ascii="宋体" w:hAnsi="宋体" w:cs="宋体" w:eastAsia="宋体" w:hint="default"/>
                <w:sz w:val="18"/>
                <w:szCs w:val="18"/>
              </w:rPr>
            </w:pPr>
            <w:r>
              <w:rPr>
                <w:rFonts w:ascii="宋体" w:hAnsi="宋体" w:cs="宋体" w:eastAsia="宋体" w:hint="default"/>
                <w:sz w:val="18"/>
                <w:szCs w:val="18"/>
              </w:rPr>
              <w:t>-5.14</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12" w:hRule="exact"/>
        </w:trPr>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手持抄表终端</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1,184,589.77</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576,760.13</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51.31%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-66.28%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-45.44%</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110" w:right="0"/>
              <w:jc w:val="center"/>
              <w:rPr>
                <w:rFonts w:ascii="宋体" w:hAnsi="宋体" w:cs="宋体" w:eastAsia="宋体" w:hint="default"/>
                <w:sz w:val="18"/>
                <w:szCs w:val="18"/>
              </w:rPr>
            </w:pPr>
            <w:r>
              <w:rPr>
                <w:rFonts w:ascii="宋体" w:hAnsi="宋体" w:cs="宋体" w:eastAsia="宋体" w:hint="default"/>
                <w:sz w:val="18"/>
                <w:szCs w:val="18"/>
              </w:rPr>
              <w:t>-18.6</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12" w:hRule="exact"/>
        </w:trPr>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专变采集终端</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76,953,796.42</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44,922,301.43</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41.62%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165.93%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125.71%</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200" w:right="0"/>
              <w:jc w:val="center"/>
              <w:rPr>
                <w:rFonts w:ascii="宋体" w:hAnsi="宋体" w:cs="宋体" w:eastAsia="宋体" w:hint="default"/>
                <w:sz w:val="18"/>
                <w:szCs w:val="18"/>
              </w:rPr>
            </w:pPr>
            <w:r>
              <w:rPr>
                <w:rFonts w:ascii="宋体" w:hAnsi="宋体" w:cs="宋体" w:eastAsia="宋体" w:hint="default"/>
                <w:sz w:val="18"/>
                <w:szCs w:val="18"/>
              </w:rPr>
              <w:t>10.4</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13" w:hRule="exact"/>
        </w:trPr>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其他收入</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24,360,258.53</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13,299,901.62</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45.4%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39.67%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51.48%</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110" w:right="0"/>
              <w:jc w:val="center"/>
              <w:rPr>
                <w:rFonts w:ascii="宋体" w:hAnsi="宋体" w:cs="宋体" w:eastAsia="宋体" w:hint="default"/>
                <w:sz w:val="18"/>
                <w:szCs w:val="18"/>
              </w:rPr>
            </w:pPr>
            <w:r>
              <w:rPr>
                <w:rFonts w:ascii="宋体" w:hAnsi="宋体" w:cs="宋体" w:eastAsia="宋体" w:hint="default"/>
                <w:sz w:val="18"/>
                <w:szCs w:val="18"/>
              </w:rPr>
              <w:t>-4.26</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19" w:hRule="exact"/>
        </w:trPr>
        <w:tc>
          <w:tcPr>
            <w:tcW w:w="9571" w:type="dxa"/>
            <w:gridSpan w:val="7"/>
            <w:tcBorders>
              <w:top w:val="single" w:sz="6" w:space="0" w:color="000000"/>
              <w:left w:val="single" w:sz="12" w:space="0" w:color="000000"/>
              <w:bottom w:val="single" w:sz="12" w:space="0" w:color="000000"/>
              <w:right w:val="single" w:sz="12" w:space="0" w:color="000000"/>
            </w:tcBorders>
            <w:shd w:val="clear" w:color="auto" w:fill="D3D3D3"/>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pgSz w:w="11910" w:h="16840"/>
          <w:pgMar w:header="747" w:footer="1003" w:top="1040" w:bottom="1200" w:left="980" w:right="98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1367"/>
        <w:gridCol w:w="1514"/>
        <w:gridCol w:w="1514"/>
        <w:gridCol w:w="1070"/>
        <w:gridCol w:w="1367"/>
        <w:gridCol w:w="1367"/>
        <w:gridCol w:w="1371"/>
      </w:tblGrid>
      <w:tr>
        <w:trPr>
          <w:trHeight w:val="419" w:hRule="exact"/>
        </w:trPr>
        <w:tc>
          <w:tcPr>
            <w:tcW w:w="136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华东地区</w:t>
            </w:r>
          </w:p>
        </w:tc>
        <w:tc>
          <w:tcPr>
            <w:tcW w:w="15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362,431,323.85</w:t>
            </w:r>
          </w:p>
        </w:tc>
        <w:tc>
          <w:tcPr>
            <w:tcW w:w="15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219,893,700.19</w:t>
            </w:r>
          </w:p>
        </w:tc>
        <w:tc>
          <w:tcPr>
            <w:tcW w:w="10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39.33%</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42.81%</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49.11%</w:t>
            </w:r>
          </w:p>
        </w:tc>
        <w:tc>
          <w:tcPr>
            <w:tcW w:w="137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hAnsi="宋体" w:cs="宋体" w:eastAsia="宋体" w:hint="default"/>
                <w:sz w:val="18"/>
                <w:szCs w:val="18"/>
              </w:rPr>
              <w:t>-2.57</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12" w:hRule="exact"/>
        </w:trPr>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华北地区</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332,324.93</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173,577.72</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47.77%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527.64%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450.23%</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hAnsi="宋体" w:cs="宋体" w:eastAsia="宋体" w:hint="default"/>
                <w:sz w:val="18"/>
                <w:szCs w:val="18"/>
              </w:rPr>
              <w:t>7.35</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13" w:hRule="exact"/>
        </w:trPr>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华中地区</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3,299,745.21</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1,889,361.05</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42.74%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786.95%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534.83%</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hAnsi="宋体" w:cs="宋体" w:eastAsia="宋体" w:hint="default"/>
                <w:sz w:val="18"/>
                <w:szCs w:val="18"/>
              </w:rPr>
              <w:t>22.74</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12" w:hRule="exact"/>
        </w:trPr>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华南地区</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13,263,941.89</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11,061,766.13</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16.6%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202,760.03%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284,886.89%</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hAnsi="宋体" w:cs="宋体" w:eastAsia="宋体" w:hint="default"/>
                <w:sz w:val="18"/>
                <w:szCs w:val="18"/>
              </w:rPr>
              <w:t>-24.03</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12" w:hRule="exact"/>
        </w:trPr>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西南地区</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4,305,478.84</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2,546,263.01</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40.86%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205.25%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220.97%</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21" w:hRule="exact"/>
        </w:trPr>
        <w:tc>
          <w:tcPr>
            <w:tcW w:w="136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东北地区</w:t>
            </w:r>
          </w:p>
        </w:tc>
        <w:tc>
          <w:tcPr>
            <w:tcW w:w="15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2,115,382.50</w:t>
            </w:r>
          </w:p>
        </w:tc>
        <w:tc>
          <w:tcPr>
            <w:tcW w:w="15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1,432,235.95</w:t>
            </w:r>
          </w:p>
        </w:tc>
        <w:tc>
          <w:tcPr>
            <w:tcW w:w="1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32.29%</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hAnsi="宋体" w:cs="宋体" w:eastAsia="宋体" w:hint="default"/>
                <w:sz w:val="18"/>
                <w:szCs w:val="18"/>
              </w:rPr>
              <w:t>－</w:t>
            </w:r>
          </w:p>
        </w:tc>
        <w:tc>
          <w:tcPr>
            <w:tcW w:w="137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0"/>
              <w:jc w:val="right"/>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2"/>
        <w:rPr>
          <w:rFonts w:ascii="宋体" w:hAnsi="宋体" w:cs="宋体" w:eastAsia="宋体" w:hint="default"/>
          <w:sz w:val="18"/>
          <w:szCs w:val="18"/>
        </w:rPr>
      </w:pPr>
    </w:p>
    <w:p>
      <w:pPr>
        <w:pStyle w:val="Heading2"/>
        <w:spacing w:line="240" w:lineRule="auto"/>
        <w:ind w:right="132"/>
        <w:jc w:val="left"/>
        <w:rPr>
          <w:b w:val="0"/>
          <w:bCs w:val="0"/>
        </w:rPr>
      </w:pPr>
      <w:r>
        <w:rPr/>
        <w:t>3、资产、负债状况分析</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before="0"/>
        <w:ind w:right="132"/>
        <w:jc w:val="left"/>
        <w:rPr>
          <w:b w:val="0"/>
          <w:bCs w:val="0"/>
        </w:rPr>
      </w:pPr>
      <w:r>
        <w:rPr/>
        <w:t>（1）资产项目重大变动情况</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1369"/>
        <w:gridCol w:w="1326"/>
        <w:gridCol w:w="901"/>
        <w:gridCol w:w="1367"/>
        <w:gridCol w:w="892"/>
        <w:gridCol w:w="1376"/>
        <w:gridCol w:w="2338"/>
      </w:tblGrid>
      <w:tr>
        <w:trPr>
          <w:trHeight w:val="388" w:hRule="exact"/>
        </w:trPr>
        <w:tc>
          <w:tcPr>
            <w:tcW w:w="1369" w:type="dxa"/>
            <w:vMerge w:val="restart"/>
            <w:tcBorders>
              <w:top w:val="single" w:sz="12" w:space="0" w:color="000000"/>
              <w:left w:val="single" w:sz="12" w:space="0" w:color="000000"/>
              <w:right w:val="single" w:sz="6" w:space="0" w:color="000000"/>
            </w:tcBorders>
            <w:shd w:val="clear" w:color="auto" w:fill="D3D3D3"/>
          </w:tcPr>
          <w:p>
            <w:pPr/>
          </w:p>
        </w:tc>
        <w:tc>
          <w:tcPr>
            <w:tcW w:w="2227" w:type="dxa"/>
            <w:gridSpan w:val="2"/>
            <w:tcBorders>
              <w:top w:val="single" w:sz="29" w:space="0" w:color="D3D3D3"/>
              <w:left w:val="single" w:sz="6" w:space="0" w:color="000000"/>
              <w:bottom w:val="single" w:sz="24" w:space="0" w:color="D3D3D3"/>
              <w:right w:val="single" w:sz="6" w:space="0" w:color="000000"/>
            </w:tcBorders>
          </w:tcPr>
          <w:p>
            <w:pPr>
              <w:pStyle w:val="TableParagraph"/>
              <w:tabs>
                <w:tab w:pos="723" w:val="left" w:leader="none"/>
                <w:tab w:pos="2192" w:val="left" w:leader="none"/>
              </w:tabs>
              <w:spacing w:line="240" w:lineRule="auto" w:before="3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2012</w:t>
            </w:r>
            <w:r>
              <w:rPr>
                <w:rFonts w:ascii="宋体" w:hAnsi="宋体" w:cs="宋体" w:eastAsia="宋体" w:hint="default"/>
                <w:spacing w:val="-46"/>
                <w:sz w:val="18"/>
                <w:szCs w:val="18"/>
                <w:shd w:fill="D3D3D3" w:color="auto" w:val="clear"/>
              </w:rPr>
              <w:t> </w:t>
            </w:r>
            <w:r>
              <w:rPr>
                <w:rFonts w:ascii="宋体" w:hAnsi="宋体" w:cs="宋体" w:eastAsia="宋体" w:hint="default"/>
                <w:sz w:val="18"/>
                <w:szCs w:val="18"/>
                <w:shd w:fill="D3D3D3" w:color="auto" w:val="clear"/>
              </w:rPr>
              <w:t>年末</w:t>
              <w:tab/>
            </w:r>
            <w:r>
              <w:rPr>
                <w:rFonts w:ascii="宋体" w:hAnsi="宋体" w:cs="宋体" w:eastAsia="宋体" w:hint="default"/>
                <w:sz w:val="18"/>
                <w:szCs w:val="18"/>
              </w:rPr>
            </w:r>
          </w:p>
        </w:tc>
        <w:tc>
          <w:tcPr>
            <w:tcW w:w="2258" w:type="dxa"/>
            <w:gridSpan w:val="2"/>
            <w:tcBorders>
              <w:top w:val="single" w:sz="29" w:space="0" w:color="D3D3D3"/>
              <w:left w:val="single" w:sz="6" w:space="0" w:color="000000"/>
              <w:bottom w:val="single" w:sz="24" w:space="0" w:color="D3D3D3"/>
              <w:right w:val="single" w:sz="6" w:space="0" w:color="000000"/>
            </w:tcBorders>
          </w:tcPr>
          <w:p>
            <w:pPr>
              <w:pStyle w:val="TableParagraph"/>
              <w:tabs>
                <w:tab w:pos="739" w:val="left" w:leader="none"/>
                <w:tab w:pos="2222" w:val="left" w:leader="none"/>
              </w:tabs>
              <w:spacing w:line="240" w:lineRule="auto" w:before="3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2011</w:t>
            </w:r>
            <w:r>
              <w:rPr>
                <w:rFonts w:ascii="宋体" w:hAnsi="宋体" w:cs="宋体" w:eastAsia="宋体" w:hint="default"/>
                <w:spacing w:val="-46"/>
                <w:sz w:val="18"/>
                <w:szCs w:val="18"/>
                <w:shd w:fill="D3D3D3" w:color="auto" w:val="clear"/>
              </w:rPr>
              <w:t> </w:t>
            </w:r>
            <w:r>
              <w:rPr>
                <w:rFonts w:ascii="宋体" w:hAnsi="宋体" w:cs="宋体" w:eastAsia="宋体" w:hint="default"/>
                <w:sz w:val="18"/>
                <w:szCs w:val="18"/>
                <w:shd w:fill="D3D3D3" w:color="auto" w:val="clear"/>
              </w:rPr>
              <w:t>年末</w:t>
              <w:tab/>
            </w:r>
            <w:r>
              <w:rPr>
                <w:rFonts w:ascii="宋体" w:hAnsi="宋体" w:cs="宋体" w:eastAsia="宋体" w:hint="default"/>
                <w:sz w:val="18"/>
                <w:szCs w:val="18"/>
              </w:rPr>
            </w:r>
          </w:p>
        </w:tc>
        <w:tc>
          <w:tcPr>
            <w:tcW w:w="1376" w:type="dxa"/>
            <w:vMerge w:val="restart"/>
            <w:tcBorders>
              <w:top w:val="single" w:sz="12" w:space="0" w:color="000000"/>
              <w:left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2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338" w:type="dxa"/>
            <w:tcBorders>
              <w:top w:val="single" w:sz="12" w:space="0" w:color="000000"/>
              <w:left w:val="single" w:sz="6" w:space="0" w:color="000000"/>
              <w:bottom w:val="nil" w:sz="6" w:space="0" w:color="auto"/>
              <w:right w:val="single" w:sz="12" w:space="0" w:color="000000"/>
            </w:tcBorders>
            <w:shd w:val="clear" w:color="auto" w:fill="D3D3D3"/>
          </w:tcPr>
          <w:p>
            <w:pPr/>
          </w:p>
        </w:tc>
      </w:tr>
      <w:tr>
        <w:trPr>
          <w:trHeight w:val="302" w:hRule="exact"/>
        </w:trPr>
        <w:tc>
          <w:tcPr>
            <w:tcW w:w="1369" w:type="dxa"/>
            <w:vMerge/>
            <w:tcBorders>
              <w:left w:val="single" w:sz="12" w:space="0" w:color="000000"/>
              <w:right w:val="single" w:sz="6" w:space="0" w:color="000000"/>
            </w:tcBorders>
            <w:shd w:val="clear" w:color="auto" w:fill="D3D3D3"/>
          </w:tcPr>
          <w:p>
            <w:pPr/>
          </w:p>
        </w:tc>
        <w:tc>
          <w:tcPr>
            <w:tcW w:w="1326" w:type="dxa"/>
            <w:vMerge w:val="restart"/>
            <w:tcBorders>
              <w:top w:val="single" w:sz="6" w:space="0" w:color="000000"/>
              <w:left w:val="single" w:sz="6" w:space="0" w:color="000000"/>
              <w:right w:val="single" w:sz="6" w:space="0" w:color="000000"/>
            </w:tcBorders>
            <w:shd w:val="clear" w:color="auto" w:fill="D3D3D3"/>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val="restart"/>
            <w:tcBorders>
              <w:top w:val="single" w:sz="6" w:space="0" w:color="000000"/>
              <w:left w:val="single" w:sz="6" w:space="0" w:color="000000"/>
              <w:right w:val="single" w:sz="6" w:space="0" w:color="000000"/>
            </w:tcBorders>
            <w:shd w:val="clear" w:color="auto" w:fill="D3D3D3"/>
          </w:tcPr>
          <w:p>
            <w:pPr>
              <w:pStyle w:val="TableParagraph"/>
              <w:spacing w:line="316" w:lineRule="auto" w:before="42"/>
              <w:ind w:left="262" w:right="83"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67" w:type="dxa"/>
            <w:vMerge w:val="restart"/>
            <w:tcBorders>
              <w:top w:val="single" w:sz="6" w:space="0" w:color="000000"/>
              <w:left w:val="single" w:sz="6" w:space="0" w:color="000000"/>
              <w:right w:val="single" w:sz="6" w:space="0" w:color="000000"/>
            </w:tcBorders>
            <w:shd w:val="clear" w:color="auto" w:fill="D3D3D3"/>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92" w:type="dxa"/>
            <w:vMerge w:val="restart"/>
            <w:tcBorders>
              <w:top w:val="single" w:sz="6" w:space="0" w:color="000000"/>
              <w:left w:val="single" w:sz="6" w:space="0" w:color="000000"/>
              <w:right w:val="single" w:sz="6" w:space="0" w:color="000000"/>
            </w:tcBorders>
            <w:shd w:val="clear" w:color="auto" w:fill="D3D3D3"/>
          </w:tcPr>
          <w:p>
            <w:pPr>
              <w:pStyle w:val="TableParagraph"/>
              <w:spacing w:line="316" w:lineRule="auto" w:before="42"/>
              <w:ind w:left="257" w:right="77"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76" w:type="dxa"/>
            <w:vMerge/>
            <w:tcBorders>
              <w:left w:val="single" w:sz="6" w:space="0" w:color="000000"/>
              <w:right w:val="single" w:sz="6" w:space="0" w:color="000000"/>
            </w:tcBorders>
            <w:shd w:val="clear" w:color="auto" w:fill="D3D3D3"/>
          </w:tcPr>
          <w:p>
            <w:pPr/>
          </w:p>
        </w:tc>
        <w:tc>
          <w:tcPr>
            <w:tcW w:w="2338" w:type="dxa"/>
            <w:tcBorders>
              <w:top w:val="nil" w:sz="6" w:space="0" w:color="auto"/>
              <w:left w:val="single" w:sz="6" w:space="0" w:color="000000"/>
              <w:bottom w:val="nil" w:sz="6" w:space="0" w:color="auto"/>
              <w:right w:val="single" w:sz="12" w:space="0" w:color="000000"/>
            </w:tcBorders>
          </w:tcPr>
          <w:p>
            <w:pPr>
              <w:pStyle w:val="TableParagraph"/>
              <w:tabs>
                <w:tab w:pos="621" w:val="left" w:leader="none"/>
                <w:tab w:pos="2303" w:val="left" w:leader="none"/>
              </w:tabs>
              <w:spacing w:line="240" w:lineRule="auto"/>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重大变动说明</w:t>
              <w:tab/>
            </w:r>
            <w:r>
              <w:rPr>
                <w:rFonts w:ascii="宋体" w:hAnsi="宋体" w:cs="宋体" w:eastAsia="宋体" w:hint="default"/>
                <w:sz w:val="18"/>
                <w:szCs w:val="18"/>
              </w:rPr>
            </w:r>
          </w:p>
        </w:tc>
      </w:tr>
      <w:tr>
        <w:trPr>
          <w:trHeight w:val="368" w:hRule="exact"/>
        </w:trPr>
        <w:tc>
          <w:tcPr>
            <w:tcW w:w="1369" w:type="dxa"/>
            <w:vMerge/>
            <w:tcBorders>
              <w:left w:val="single" w:sz="12" w:space="0" w:color="000000"/>
              <w:bottom w:val="single" w:sz="6" w:space="0" w:color="000000"/>
              <w:right w:val="single" w:sz="6" w:space="0" w:color="000000"/>
            </w:tcBorders>
            <w:shd w:val="clear" w:color="auto" w:fill="D3D3D3"/>
          </w:tcPr>
          <w:p>
            <w:pPr/>
          </w:p>
        </w:tc>
        <w:tc>
          <w:tcPr>
            <w:tcW w:w="1326" w:type="dxa"/>
            <w:vMerge/>
            <w:tcBorders>
              <w:left w:val="single" w:sz="6" w:space="0" w:color="000000"/>
              <w:bottom w:val="single" w:sz="6" w:space="0" w:color="000000"/>
              <w:right w:val="single" w:sz="6" w:space="0" w:color="000000"/>
            </w:tcBorders>
            <w:shd w:val="clear" w:color="auto" w:fill="D3D3D3"/>
          </w:tcPr>
          <w:p>
            <w:pPr/>
          </w:p>
        </w:tc>
        <w:tc>
          <w:tcPr>
            <w:tcW w:w="901" w:type="dxa"/>
            <w:vMerge/>
            <w:tcBorders>
              <w:left w:val="single" w:sz="6" w:space="0" w:color="000000"/>
              <w:bottom w:val="single" w:sz="6" w:space="0" w:color="000000"/>
              <w:right w:val="single" w:sz="6" w:space="0" w:color="000000"/>
            </w:tcBorders>
            <w:shd w:val="clear" w:color="auto" w:fill="D3D3D3"/>
          </w:tcPr>
          <w:p>
            <w:pPr/>
          </w:p>
        </w:tc>
        <w:tc>
          <w:tcPr>
            <w:tcW w:w="1367" w:type="dxa"/>
            <w:vMerge/>
            <w:tcBorders>
              <w:left w:val="single" w:sz="6" w:space="0" w:color="000000"/>
              <w:bottom w:val="single" w:sz="6" w:space="0" w:color="000000"/>
              <w:right w:val="single" w:sz="6" w:space="0" w:color="000000"/>
            </w:tcBorders>
            <w:shd w:val="clear" w:color="auto" w:fill="D3D3D3"/>
          </w:tcPr>
          <w:p>
            <w:pPr/>
          </w:p>
        </w:tc>
        <w:tc>
          <w:tcPr>
            <w:tcW w:w="892" w:type="dxa"/>
            <w:vMerge/>
            <w:tcBorders>
              <w:left w:val="single" w:sz="6" w:space="0" w:color="000000"/>
              <w:bottom w:val="single" w:sz="6" w:space="0" w:color="000000"/>
              <w:right w:val="single" w:sz="6" w:space="0" w:color="000000"/>
            </w:tcBorders>
            <w:shd w:val="clear" w:color="auto" w:fill="D3D3D3"/>
          </w:tcPr>
          <w:p>
            <w:pPr/>
          </w:p>
        </w:tc>
        <w:tc>
          <w:tcPr>
            <w:tcW w:w="1376" w:type="dxa"/>
            <w:vMerge/>
            <w:tcBorders>
              <w:left w:val="single" w:sz="6" w:space="0" w:color="000000"/>
              <w:bottom w:val="single" w:sz="6" w:space="0" w:color="000000"/>
              <w:right w:val="single" w:sz="6" w:space="0" w:color="000000"/>
            </w:tcBorders>
            <w:shd w:val="clear" w:color="auto" w:fill="D3D3D3"/>
          </w:tcPr>
          <w:p>
            <w:pPr/>
          </w:p>
        </w:tc>
        <w:tc>
          <w:tcPr>
            <w:tcW w:w="2338" w:type="dxa"/>
            <w:tcBorders>
              <w:top w:val="nil" w:sz="6" w:space="0" w:color="auto"/>
              <w:left w:val="single" w:sz="6" w:space="0" w:color="000000"/>
              <w:bottom w:val="single" w:sz="6" w:space="0" w:color="000000"/>
              <w:right w:val="single" w:sz="12" w:space="0" w:color="000000"/>
            </w:tcBorders>
            <w:shd w:val="clear" w:color="auto" w:fill="D3D3D3"/>
          </w:tcPr>
          <w:p>
            <w:pPr/>
          </w:p>
        </w:tc>
      </w:tr>
      <w:tr>
        <w:trPr>
          <w:trHeight w:val="640" w:hRule="exact"/>
        </w:trPr>
        <w:tc>
          <w:tcPr>
            <w:tcW w:w="136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 w:right="0"/>
              <w:jc w:val="center"/>
              <w:rPr>
                <w:rFonts w:ascii="宋体" w:hAnsi="宋体" w:cs="宋体" w:eastAsia="宋体" w:hint="default"/>
                <w:sz w:val="18"/>
                <w:szCs w:val="18"/>
              </w:rPr>
            </w:pPr>
            <w:r>
              <w:rPr>
                <w:rFonts w:ascii="宋体"/>
                <w:sz w:val="18"/>
              </w:rPr>
              <w:t>474,178,650.82</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60.24%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91,833,830.73</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27.38%</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hAnsi="宋体" w:cs="宋体" w:eastAsia="宋体" w:hint="default"/>
                <w:sz w:val="18"/>
                <w:szCs w:val="18"/>
              </w:rPr>
              <w:t>32.86</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2338"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11"/>
              <w:ind w:left="20" w:right="44"/>
              <w:jc w:val="left"/>
              <w:rPr>
                <w:rFonts w:ascii="宋体" w:hAnsi="宋体" w:cs="宋体" w:eastAsia="宋体" w:hint="default"/>
                <w:sz w:val="18"/>
                <w:szCs w:val="18"/>
              </w:rPr>
            </w:pPr>
            <w:r>
              <w:rPr>
                <w:rFonts w:ascii="宋体" w:hAnsi="宋体" w:cs="宋体" w:eastAsia="宋体" w:hint="default"/>
                <w:sz w:val="18"/>
                <w:szCs w:val="18"/>
              </w:rPr>
              <w:t>主要是公司</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年公开发行</w:t>
            </w:r>
            <w:r>
              <w:rPr>
                <w:rFonts w:ascii="宋体" w:hAnsi="宋体" w:cs="宋体" w:eastAsia="宋体" w:hint="default"/>
                <w:sz w:val="18"/>
                <w:szCs w:val="18"/>
              </w:rPr>
              <w:t> 股票，募集资金增加所致。</w:t>
            </w:r>
          </w:p>
        </w:tc>
      </w:tr>
      <w:tr>
        <w:trPr>
          <w:trHeight w:val="412" w:hRule="exact"/>
        </w:trPr>
        <w:tc>
          <w:tcPr>
            <w:tcW w:w="136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sz w:val="18"/>
              </w:rPr>
              <w:t>118,166,642.69</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15.01%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108,206,892.06</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32.26%</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hAnsi="宋体" w:cs="宋体" w:eastAsia="宋体" w:hint="default"/>
                <w:sz w:val="18"/>
                <w:szCs w:val="18"/>
              </w:rPr>
              <w:t>-17.25</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136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存货</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98" w:right="0"/>
              <w:jc w:val="center"/>
              <w:rPr>
                <w:rFonts w:ascii="宋体" w:hAnsi="宋体" w:cs="宋体" w:eastAsia="宋体" w:hint="default"/>
                <w:sz w:val="18"/>
                <w:szCs w:val="18"/>
              </w:rPr>
            </w:pPr>
            <w:r>
              <w:rPr>
                <w:rFonts w:ascii="宋体"/>
                <w:sz w:val="18"/>
              </w:rPr>
              <w:t>38,033,551.02</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4.83%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35,701,166.53</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10.65%</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hAnsi="宋体" w:cs="宋体" w:eastAsia="宋体" w:hint="default"/>
                <w:sz w:val="18"/>
                <w:szCs w:val="18"/>
              </w:rPr>
              <w:t>-5.82</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136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88" w:right="0"/>
              <w:jc w:val="center"/>
              <w:rPr>
                <w:rFonts w:ascii="宋体" w:hAnsi="宋体" w:cs="宋体" w:eastAsia="宋体" w:hint="default"/>
                <w:sz w:val="18"/>
                <w:szCs w:val="18"/>
              </w:rPr>
            </w:pPr>
            <w:r>
              <w:rPr>
                <w:rFonts w:ascii="宋体"/>
                <w:sz w:val="18"/>
              </w:rPr>
              <w:t>6,742,650.93</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0.86%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1,995,488.40</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0.6%</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hAnsi="宋体" w:cs="宋体" w:eastAsia="宋体" w:hint="default"/>
                <w:sz w:val="18"/>
                <w:szCs w:val="18"/>
              </w:rPr>
              <w:t>0.26</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136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98" w:right="0"/>
              <w:jc w:val="center"/>
              <w:rPr>
                <w:rFonts w:ascii="宋体" w:hAnsi="宋体" w:cs="宋体" w:eastAsia="宋体" w:hint="default"/>
                <w:sz w:val="18"/>
                <w:szCs w:val="18"/>
              </w:rPr>
            </w:pPr>
            <w:r>
              <w:rPr>
                <w:rFonts w:ascii="宋体"/>
                <w:sz w:val="18"/>
              </w:rPr>
              <w:t>91,452,069.20</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11.62%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58,567,400.58</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17.46%</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hAnsi="宋体" w:cs="宋体" w:eastAsia="宋体" w:hint="default"/>
                <w:sz w:val="18"/>
                <w:szCs w:val="18"/>
              </w:rPr>
              <w:t>-5.84</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21" w:hRule="exact"/>
        </w:trPr>
        <w:tc>
          <w:tcPr>
            <w:tcW w:w="1369"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3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left="188" w:right="0"/>
              <w:jc w:val="center"/>
              <w:rPr>
                <w:rFonts w:ascii="宋体" w:hAnsi="宋体" w:cs="宋体" w:eastAsia="宋体" w:hint="default"/>
                <w:sz w:val="18"/>
                <w:szCs w:val="18"/>
              </w:rPr>
            </w:pPr>
            <w:r>
              <w:rPr>
                <w:rFonts w:ascii="宋体"/>
                <w:sz w:val="18"/>
              </w:rPr>
              <w:t>9,560,318.33</w:t>
            </w:r>
          </w:p>
        </w:tc>
        <w:tc>
          <w:tcPr>
            <w:tcW w:w="9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1.21%</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4,014,055.00</w:t>
            </w:r>
          </w:p>
        </w:tc>
        <w:tc>
          <w:tcPr>
            <w:tcW w:w="8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1.2%</w:t>
            </w:r>
          </w:p>
        </w:tc>
        <w:tc>
          <w:tcPr>
            <w:tcW w:w="1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hAnsi="宋体" w:cs="宋体" w:eastAsia="宋体" w:hint="default"/>
                <w:sz w:val="18"/>
                <w:szCs w:val="18"/>
              </w:rPr>
              <w:t>0.01</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2338"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ind w:right="132"/>
        <w:jc w:val="left"/>
        <w:rPr>
          <w:b w:val="0"/>
          <w:bCs w:val="0"/>
        </w:rPr>
      </w:pPr>
      <w:r>
        <w:rPr/>
        <w:t>（2）负债项目重大变动情况</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369"/>
        <w:gridCol w:w="1326"/>
        <w:gridCol w:w="901"/>
        <w:gridCol w:w="1367"/>
        <w:gridCol w:w="892"/>
        <w:gridCol w:w="1376"/>
        <w:gridCol w:w="2338"/>
      </w:tblGrid>
      <w:tr>
        <w:trPr>
          <w:trHeight w:val="407" w:hRule="exact"/>
        </w:trPr>
        <w:tc>
          <w:tcPr>
            <w:tcW w:w="1369" w:type="dxa"/>
            <w:vMerge w:val="restart"/>
            <w:tcBorders>
              <w:top w:val="single" w:sz="12" w:space="0" w:color="000000"/>
              <w:left w:val="single" w:sz="12" w:space="0" w:color="000000"/>
              <w:right w:val="single" w:sz="6" w:space="0" w:color="000000"/>
            </w:tcBorders>
            <w:shd w:val="clear" w:color="auto" w:fill="D3D3D3"/>
          </w:tcPr>
          <w:p>
            <w:pPr/>
          </w:p>
        </w:tc>
        <w:tc>
          <w:tcPr>
            <w:tcW w:w="2227" w:type="dxa"/>
            <w:gridSpan w:val="2"/>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58" w:type="dxa"/>
            <w:gridSpan w:val="2"/>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76" w:type="dxa"/>
            <w:vMerge w:val="restart"/>
            <w:tcBorders>
              <w:top w:val="single" w:sz="12" w:space="0" w:color="000000"/>
              <w:left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338" w:type="dxa"/>
            <w:tcBorders>
              <w:top w:val="single" w:sz="12" w:space="0" w:color="000000"/>
              <w:left w:val="single" w:sz="6" w:space="0" w:color="000000"/>
              <w:bottom w:val="nil" w:sz="6" w:space="0" w:color="auto"/>
              <w:right w:val="single" w:sz="12" w:space="0" w:color="000000"/>
            </w:tcBorders>
            <w:shd w:val="clear" w:color="auto" w:fill="D3D3D3"/>
          </w:tcPr>
          <w:p>
            <w:pPr/>
          </w:p>
        </w:tc>
      </w:tr>
      <w:tr>
        <w:trPr>
          <w:trHeight w:val="382" w:hRule="exact"/>
        </w:trPr>
        <w:tc>
          <w:tcPr>
            <w:tcW w:w="1369" w:type="dxa"/>
            <w:vMerge/>
            <w:tcBorders>
              <w:left w:val="single" w:sz="12" w:space="0" w:color="000000"/>
              <w:right w:val="single" w:sz="6" w:space="0" w:color="000000"/>
            </w:tcBorders>
            <w:shd w:val="clear" w:color="auto" w:fill="D3D3D3"/>
          </w:tcPr>
          <w:p>
            <w:pPr/>
          </w:p>
        </w:tc>
        <w:tc>
          <w:tcPr>
            <w:tcW w:w="1326" w:type="dxa"/>
            <w:vMerge w:val="restart"/>
            <w:tcBorders>
              <w:top w:val="single" w:sz="6" w:space="0" w:color="000000"/>
              <w:left w:val="single" w:sz="6" w:space="0" w:color="000000"/>
              <w:right w:val="single" w:sz="6" w:space="0" w:color="000000"/>
            </w:tcBorders>
            <w:shd w:val="clear" w:color="auto" w:fill="D3D3D3"/>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val="restart"/>
            <w:tcBorders>
              <w:top w:val="single" w:sz="6" w:space="0" w:color="000000"/>
              <w:left w:val="single" w:sz="6" w:space="0" w:color="000000"/>
              <w:right w:val="single" w:sz="6" w:space="0" w:color="000000"/>
            </w:tcBorders>
            <w:shd w:val="clear" w:color="auto" w:fill="D3D3D3"/>
          </w:tcPr>
          <w:p>
            <w:pPr>
              <w:pStyle w:val="TableParagraph"/>
              <w:spacing w:line="360" w:lineRule="auto" w:before="63"/>
              <w:ind w:left="262" w:right="83"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67" w:type="dxa"/>
            <w:vMerge w:val="restart"/>
            <w:tcBorders>
              <w:top w:val="single" w:sz="6" w:space="0" w:color="000000"/>
              <w:left w:val="single" w:sz="6" w:space="0" w:color="000000"/>
              <w:right w:val="single" w:sz="6" w:space="0" w:color="000000"/>
            </w:tcBorders>
            <w:shd w:val="clear" w:color="auto" w:fill="D3D3D3"/>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92" w:type="dxa"/>
            <w:vMerge w:val="restart"/>
            <w:tcBorders>
              <w:top w:val="single" w:sz="6" w:space="0" w:color="000000"/>
              <w:left w:val="single" w:sz="6" w:space="0" w:color="000000"/>
              <w:right w:val="single" w:sz="6" w:space="0" w:color="000000"/>
            </w:tcBorders>
            <w:shd w:val="clear" w:color="auto" w:fill="D3D3D3"/>
          </w:tcPr>
          <w:p>
            <w:pPr>
              <w:pStyle w:val="TableParagraph"/>
              <w:spacing w:line="360" w:lineRule="auto" w:before="63"/>
              <w:ind w:left="257" w:right="77"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76" w:type="dxa"/>
            <w:vMerge/>
            <w:tcBorders>
              <w:left w:val="single" w:sz="6" w:space="0" w:color="000000"/>
              <w:right w:val="single" w:sz="6" w:space="0" w:color="000000"/>
            </w:tcBorders>
            <w:shd w:val="clear" w:color="auto" w:fill="D3D3D3"/>
          </w:tcPr>
          <w:p>
            <w:pPr/>
          </w:p>
        </w:tc>
        <w:tc>
          <w:tcPr>
            <w:tcW w:w="2338" w:type="dxa"/>
            <w:tcBorders>
              <w:top w:val="nil" w:sz="6" w:space="0" w:color="auto"/>
              <w:left w:val="single" w:sz="6" w:space="0" w:color="000000"/>
              <w:bottom w:val="nil" w:sz="6" w:space="0" w:color="auto"/>
              <w:right w:val="single" w:sz="12" w:space="0" w:color="000000"/>
            </w:tcBorders>
            <w:shd w:val="clear" w:color="auto" w:fill="D3D3D3"/>
          </w:tcPr>
          <w:p>
            <w:pPr>
              <w:pStyle w:val="TableParagraph"/>
              <w:spacing w:line="240" w:lineRule="auto" w:before="40"/>
              <w:ind w:left="62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89" w:hRule="exact"/>
        </w:trPr>
        <w:tc>
          <w:tcPr>
            <w:tcW w:w="1369" w:type="dxa"/>
            <w:vMerge/>
            <w:tcBorders>
              <w:left w:val="single" w:sz="12" w:space="0" w:color="000000"/>
              <w:bottom w:val="single" w:sz="6" w:space="0" w:color="000000"/>
              <w:right w:val="single" w:sz="6" w:space="0" w:color="000000"/>
            </w:tcBorders>
            <w:shd w:val="clear" w:color="auto" w:fill="D3D3D3"/>
          </w:tcPr>
          <w:p>
            <w:pPr/>
          </w:p>
        </w:tc>
        <w:tc>
          <w:tcPr>
            <w:tcW w:w="1326" w:type="dxa"/>
            <w:vMerge/>
            <w:tcBorders>
              <w:left w:val="single" w:sz="6" w:space="0" w:color="000000"/>
              <w:bottom w:val="single" w:sz="6" w:space="0" w:color="000000"/>
              <w:right w:val="single" w:sz="6" w:space="0" w:color="000000"/>
            </w:tcBorders>
            <w:shd w:val="clear" w:color="auto" w:fill="D3D3D3"/>
          </w:tcPr>
          <w:p>
            <w:pPr/>
          </w:p>
        </w:tc>
        <w:tc>
          <w:tcPr>
            <w:tcW w:w="901" w:type="dxa"/>
            <w:vMerge/>
            <w:tcBorders>
              <w:left w:val="single" w:sz="6" w:space="0" w:color="000000"/>
              <w:bottom w:val="single" w:sz="6" w:space="0" w:color="000000"/>
              <w:right w:val="single" w:sz="6" w:space="0" w:color="000000"/>
            </w:tcBorders>
            <w:shd w:val="clear" w:color="auto" w:fill="D3D3D3"/>
          </w:tcPr>
          <w:p>
            <w:pPr/>
          </w:p>
        </w:tc>
        <w:tc>
          <w:tcPr>
            <w:tcW w:w="1367" w:type="dxa"/>
            <w:vMerge/>
            <w:tcBorders>
              <w:left w:val="single" w:sz="6" w:space="0" w:color="000000"/>
              <w:bottom w:val="single" w:sz="6" w:space="0" w:color="000000"/>
              <w:right w:val="single" w:sz="6" w:space="0" w:color="000000"/>
            </w:tcBorders>
            <w:shd w:val="clear" w:color="auto" w:fill="D3D3D3"/>
          </w:tcPr>
          <w:p>
            <w:pPr/>
          </w:p>
        </w:tc>
        <w:tc>
          <w:tcPr>
            <w:tcW w:w="892" w:type="dxa"/>
            <w:vMerge/>
            <w:tcBorders>
              <w:left w:val="single" w:sz="6" w:space="0" w:color="000000"/>
              <w:bottom w:val="single" w:sz="6" w:space="0" w:color="000000"/>
              <w:right w:val="single" w:sz="6" w:space="0" w:color="000000"/>
            </w:tcBorders>
            <w:shd w:val="clear" w:color="auto" w:fill="D3D3D3"/>
          </w:tcPr>
          <w:p>
            <w:pPr/>
          </w:p>
        </w:tc>
        <w:tc>
          <w:tcPr>
            <w:tcW w:w="1376" w:type="dxa"/>
            <w:vMerge/>
            <w:tcBorders>
              <w:left w:val="single" w:sz="6" w:space="0" w:color="000000"/>
              <w:bottom w:val="single" w:sz="6" w:space="0" w:color="000000"/>
              <w:right w:val="single" w:sz="6" w:space="0" w:color="000000"/>
            </w:tcBorders>
            <w:shd w:val="clear" w:color="auto" w:fill="D3D3D3"/>
          </w:tcPr>
          <w:p>
            <w:pPr/>
          </w:p>
        </w:tc>
        <w:tc>
          <w:tcPr>
            <w:tcW w:w="2338" w:type="dxa"/>
            <w:tcBorders>
              <w:top w:val="nil" w:sz="6" w:space="0" w:color="auto"/>
              <w:left w:val="single" w:sz="6" w:space="0" w:color="000000"/>
              <w:bottom w:val="single" w:sz="6" w:space="0" w:color="000000"/>
              <w:right w:val="single" w:sz="12" w:space="0" w:color="000000"/>
            </w:tcBorders>
            <w:shd w:val="clear" w:color="auto" w:fill="D3D3D3"/>
          </w:tcPr>
          <w:p>
            <w:pPr/>
          </w:p>
        </w:tc>
      </w:tr>
      <w:tr>
        <w:trPr>
          <w:trHeight w:val="421" w:hRule="exact"/>
        </w:trPr>
        <w:tc>
          <w:tcPr>
            <w:tcW w:w="1369"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5"/>
              <w:ind w:left="30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119" w:right="0"/>
              <w:jc w:val="left"/>
              <w:rPr>
                <w:rFonts w:ascii="宋体" w:hAnsi="宋体" w:cs="宋体" w:eastAsia="宋体" w:hint="default"/>
                <w:sz w:val="18"/>
                <w:szCs w:val="18"/>
              </w:rPr>
            </w:pPr>
            <w:r>
              <w:rPr>
                <w:rFonts w:ascii="宋体"/>
                <w:sz w:val="18"/>
              </w:rPr>
              <w:t>13,000,000.00</w:t>
            </w:r>
          </w:p>
        </w:tc>
        <w:tc>
          <w:tcPr>
            <w:tcW w:w="9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415" w:right="0"/>
              <w:jc w:val="left"/>
              <w:rPr>
                <w:rFonts w:ascii="宋体" w:hAnsi="宋体" w:cs="宋体" w:eastAsia="宋体" w:hint="default"/>
                <w:sz w:val="18"/>
                <w:szCs w:val="18"/>
              </w:rPr>
            </w:pPr>
            <w:r>
              <w:rPr>
                <w:rFonts w:ascii="宋体"/>
                <w:sz w:val="18"/>
              </w:rPr>
              <w:t>1.65%</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162" w:right="0"/>
              <w:jc w:val="left"/>
              <w:rPr>
                <w:rFonts w:ascii="宋体" w:hAnsi="宋体" w:cs="宋体" w:eastAsia="宋体" w:hint="default"/>
                <w:sz w:val="18"/>
                <w:szCs w:val="18"/>
              </w:rPr>
            </w:pPr>
            <w:r>
              <w:rPr>
                <w:rFonts w:ascii="宋体"/>
                <w:sz w:val="18"/>
              </w:rPr>
              <w:t>15,000,000.00</w:t>
            </w:r>
          </w:p>
        </w:tc>
        <w:tc>
          <w:tcPr>
            <w:tcW w:w="8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405" w:right="0"/>
              <w:jc w:val="left"/>
              <w:rPr>
                <w:rFonts w:ascii="宋体" w:hAnsi="宋体" w:cs="宋体" w:eastAsia="宋体" w:hint="default"/>
                <w:sz w:val="18"/>
                <w:szCs w:val="18"/>
              </w:rPr>
            </w:pPr>
            <w:r>
              <w:rPr>
                <w:rFonts w:ascii="宋体"/>
                <w:sz w:val="18"/>
              </w:rPr>
              <w:t>4.47%</w:t>
            </w:r>
          </w:p>
        </w:tc>
        <w:tc>
          <w:tcPr>
            <w:tcW w:w="1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127" w:right="0"/>
              <w:jc w:val="left"/>
              <w:rPr>
                <w:rFonts w:ascii="宋体" w:hAnsi="宋体" w:cs="宋体" w:eastAsia="宋体" w:hint="default"/>
                <w:sz w:val="18"/>
                <w:szCs w:val="18"/>
              </w:rPr>
            </w:pPr>
            <w:r>
              <w:rPr>
                <w:rFonts w:ascii="宋体" w:hAnsi="宋体" w:cs="宋体" w:eastAsia="宋体" w:hint="default"/>
                <w:sz w:val="18"/>
                <w:szCs w:val="18"/>
              </w:rPr>
              <w:t>-2.82</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2338"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ind w:right="132"/>
        <w:jc w:val="left"/>
        <w:rPr>
          <w:b w:val="0"/>
          <w:bCs w:val="0"/>
        </w:rPr>
      </w:pPr>
      <w:r>
        <w:rPr/>
        <w:t>（3）以公允价值计量的资产和负债</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5150"/>
        <w:jc w:val="left"/>
      </w:pPr>
      <w:r>
        <w:rPr/>
        <w:t>□ 适用 √</w:t>
      </w:r>
      <w:r>
        <w:rPr>
          <w:spacing w:val="-2"/>
        </w:rPr>
        <w:t> </w:t>
      </w:r>
      <w:r>
        <w:rPr/>
        <w:t>不适用</w:t>
      </w:r>
      <w:r>
        <w:rPr/>
        <w:t> 报告期内公司主要资产计量属性是否发生重大变化</w:t>
      </w:r>
    </w:p>
    <w:p>
      <w:pPr>
        <w:pStyle w:val="BodyText"/>
        <w:spacing w:line="240" w:lineRule="auto" w:before="46"/>
        <w:ind w:right="132"/>
        <w:jc w:val="left"/>
      </w:pPr>
      <w:r>
        <w:rPr/>
        <w:t>□ 是 √</w:t>
      </w:r>
      <w:r>
        <w:rPr>
          <w:spacing w:val="-1"/>
        </w:rPr>
        <w:t> </w:t>
      </w:r>
      <w:r>
        <w:rPr/>
        <w:t>否</w:t>
      </w:r>
    </w:p>
    <w:p>
      <w:pPr>
        <w:spacing w:after="0" w:line="240" w:lineRule="auto"/>
        <w:jc w:val="left"/>
        <w:sectPr>
          <w:pgSz w:w="11910" w:h="16840"/>
          <w:pgMar w:header="747" w:footer="1003" w:top="1040" w:bottom="1200" w:left="980" w:right="980"/>
        </w:sectPr>
      </w:pPr>
    </w:p>
    <w:p>
      <w:pPr>
        <w:spacing w:line="240" w:lineRule="auto" w:before="6"/>
        <w:rPr>
          <w:rFonts w:ascii="宋体" w:hAnsi="宋体" w:cs="宋体" w:eastAsia="宋体" w:hint="default"/>
          <w:sz w:val="24"/>
          <w:szCs w:val="24"/>
        </w:rPr>
      </w:pPr>
    </w:p>
    <w:p>
      <w:pPr>
        <w:pStyle w:val="Heading2"/>
        <w:spacing w:line="240" w:lineRule="auto"/>
        <w:ind w:right="132"/>
        <w:jc w:val="left"/>
        <w:rPr>
          <w:b w:val="0"/>
          <w:bCs w:val="0"/>
        </w:rPr>
      </w:pPr>
      <w:r>
        <w:rPr/>
        <w:t>4、公司竞争能力重大变化分析</w:t>
      </w:r>
      <w:r>
        <w:rPr>
          <w:b w:val="0"/>
          <w:bCs w:val="0"/>
        </w:rPr>
      </w:r>
    </w:p>
    <w:p>
      <w:pPr>
        <w:spacing w:line="240" w:lineRule="auto" w:before="10"/>
        <w:rPr>
          <w:rFonts w:ascii="宋体" w:hAnsi="宋体" w:cs="宋体" w:eastAsia="宋体" w:hint="default"/>
          <w:b/>
          <w:bCs/>
          <w:sz w:val="28"/>
          <w:szCs w:val="28"/>
        </w:rPr>
      </w:pPr>
    </w:p>
    <w:p>
      <w:pPr>
        <w:pStyle w:val="Heading3"/>
        <w:spacing w:line="357" w:lineRule="auto" w:before="0"/>
        <w:ind w:right="132" w:firstLine="424"/>
        <w:jc w:val="left"/>
      </w:pPr>
      <w:r>
        <w:rPr/>
        <w:t>公司竞争能力不存重大变化。报告期内，公司除大力开拓市场外，在生产、研发、服务</w:t>
      </w:r>
      <w:r>
        <w:rPr>
          <w:spacing w:val="2"/>
        </w:rPr>
        <w:t> </w:t>
      </w:r>
      <w:r>
        <w:rPr/>
        <w:t>网络建设等方面均开展全面建设，有效的提高了公司的竞争力：</w:t>
      </w:r>
    </w:p>
    <w:p>
      <w:pPr>
        <w:pStyle w:val="Heading3"/>
        <w:spacing w:line="357" w:lineRule="auto"/>
        <w:ind w:right="132" w:firstLine="424"/>
        <w:jc w:val="left"/>
      </w:pPr>
      <w:r>
        <w:rPr/>
        <w:t>①通过对生产场地及生产相关设备的投入，有效地释放了部分产能，一定程度上缓减了</w:t>
      </w:r>
      <w:r>
        <w:rPr>
          <w:spacing w:val="2"/>
        </w:rPr>
        <w:t> </w:t>
      </w:r>
      <w:r>
        <w:rPr/>
        <w:t>市场扩大带来的产能压力；</w:t>
      </w:r>
    </w:p>
    <w:p>
      <w:pPr>
        <w:pStyle w:val="Heading3"/>
        <w:spacing w:line="357" w:lineRule="auto"/>
        <w:ind w:left="154" w:right="142" w:firstLine="424"/>
        <w:jc w:val="left"/>
      </w:pPr>
      <w:r>
        <w:rPr>
          <w:spacing w:val="-4"/>
        </w:rPr>
        <w:t>②通过对生产自动化测试设备及系统的投入，提高了生产效率的同时，提高了生产质量，</w:t>
      </w:r>
      <w:r>
        <w:rPr/>
        <w:t> 公司产品的竞争力得到加强；</w:t>
      </w:r>
    </w:p>
    <w:p>
      <w:pPr>
        <w:pStyle w:val="Heading3"/>
        <w:spacing w:line="357" w:lineRule="auto"/>
        <w:ind w:left="154" w:right="132" w:firstLine="424"/>
        <w:jc w:val="left"/>
      </w:pPr>
      <w:r>
        <w:rPr/>
        <w:t>③通过对研发团队及研发设备的投入，增强了企业研发实力，提高了公司对新兴市场产</w:t>
      </w:r>
      <w:r>
        <w:rPr>
          <w:spacing w:val="2"/>
        </w:rPr>
        <w:t> </w:t>
      </w:r>
      <w:r>
        <w:rPr/>
        <w:t>品的技术快速反应能力；</w:t>
      </w:r>
    </w:p>
    <w:p>
      <w:pPr>
        <w:pStyle w:val="Heading3"/>
        <w:spacing w:line="240" w:lineRule="auto"/>
        <w:ind w:left="578" w:right="132"/>
        <w:jc w:val="left"/>
      </w:pPr>
      <w:r>
        <w:rPr/>
        <w:t>④通过新增服务网络的建设，增强公司售后服务能力；</w:t>
      </w:r>
    </w:p>
    <w:p>
      <w:pPr>
        <w:pStyle w:val="Heading3"/>
        <w:spacing w:line="240" w:lineRule="auto" w:before="154"/>
        <w:ind w:left="578" w:right="132"/>
        <w:jc w:val="left"/>
      </w:pPr>
      <w:r>
        <w:rPr/>
        <w:t>⑤通过与高校产学研合作，加强公司未来产品核心技术的发展及核心竞争力持续保持；</w:t>
      </w:r>
    </w:p>
    <w:p>
      <w:pPr>
        <w:spacing w:line="528" w:lineRule="auto" w:before="154"/>
        <w:ind w:left="154" w:right="4066" w:firstLine="424"/>
        <w:jc w:val="left"/>
        <w:rPr>
          <w:rFonts w:ascii="宋体" w:hAnsi="宋体" w:cs="宋体" w:eastAsia="宋体" w:hint="default"/>
          <w:sz w:val="24"/>
          <w:szCs w:val="24"/>
        </w:rPr>
      </w:pPr>
      <w:r>
        <w:rPr>
          <w:rFonts w:ascii="宋体" w:hAnsi="宋体" w:cs="宋体" w:eastAsia="宋体" w:hint="default"/>
          <w:sz w:val="24"/>
          <w:szCs w:val="24"/>
        </w:rPr>
        <w:t>⑥通过募投项目的实施将进一步提高公司竞争力。 </w:t>
      </w:r>
      <w:r>
        <w:rPr>
          <w:rFonts w:ascii="宋体" w:hAnsi="宋体" w:cs="宋体" w:eastAsia="宋体" w:hint="default"/>
          <w:b/>
          <w:bCs/>
          <w:sz w:val="24"/>
          <w:szCs w:val="24"/>
        </w:rPr>
        <w:t>5、投资状况分析</w:t>
      </w:r>
      <w:r>
        <w:rPr>
          <w:rFonts w:ascii="宋体" w:hAnsi="宋体" w:cs="宋体" w:eastAsia="宋体" w:hint="default"/>
          <w:sz w:val="24"/>
          <w:szCs w:val="24"/>
        </w:rPr>
      </w:r>
    </w:p>
    <w:p>
      <w:pPr>
        <w:pStyle w:val="Heading2"/>
        <w:spacing w:line="240" w:lineRule="auto" w:before="11"/>
        <w:ind w:right="132"/>
        <w:jc w:val="left"/>
        <w:rPr>
          <w:b w:val="0"/>
          <w:bCs w:val="0"/>
        </w:rPr>
      </w:pPr>
      <w:r>
        <w:rPr/>
        <w:t>（1）募集资金总体使用情况</w:t>
      </w:r>
      <w:r>
        <w:rPr>
          <w:b w:val="0"/>
          <w:bCs w:val="0"/>
        </w:rPr>
      </w:r>
    </w:p>
    <w:p>
      <w:pPr>
        <w:spacing w:line="240" w:lineRule="auto" w:before="7"/>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6"/>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4101"/>
        <w:gridCol w:w="5467"/>
      </w:tblGrid>
      <w:tr>
        <w:trPr>
          <w:trHeight w:val="419" w:hRule="exact"/>
        </w:trPr>
        <w:tc>
          <w:tcPr>
            <w:tcW w:w="4101" w:type="dxa"/>
            <w:tcBorders>
              <w:top w:val="single" w:sz="29" w:space="0" w:color="D3D3D3"/>
              <w:left w:val="single" w:sz="12" w:space="0" w:color="000000"/>
              <w:bottom w:val="single" w:sz="17" w:space="0" w:color="D3D3D3"/>
              <w:right w:val="single" w:sz="6" w:space="0" w:color="000000"/>
            </w:tcBorders>
          </w:tcPr>
          <w:p>
            <w:pPr>
              <w:pStyle w:val="TableParagraph"/>
              <w:tabs>
                <w:tab w:pos="4043" w:val="left" w:leader="none"/>
              </w:tabs>
              <w:spacing w:line="240" w:lineRule="auto" w:before="31"/>
              <w:ind w:right="1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募集资金总额</w:t>
              <w:tab/>
            </w:r>
            <w:r>
              <w:rPr>
                <w:rFonts w:ascii="宋体" w:hAnsi="宋体" w:cs="宋体" w:eastAsia="宋体" w:hint="default"/>
                <w:sz w:val="18"/>
                <w:szCs w:val="18"/>
              </w:rPr>
            </w:r>
          </w:p>
        </w:tc>
        <w:tc>
          <w:tcPr>
            <w:tcW w:w="546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35,429.12</w:t>
            </w:r>
          </w:p>
        </w:tc>
      </w:tr>
      <w:tr>
        <w:trPr>
          <w:trHeight w:val="412" w:hRule="exact"/>
        </w:trPr>
        <w:tc>
          <w:tcPr>
            <w:tcW w:w="4101" w:type="dxa"/>
            <w:tcBorders>
              <w:top w:val="single" w:sz="17" w:space="0" w:color="D3D3D3"/>
              <w:left w:val="single" w:sz="12" w:space="0" w:color="000000"/>
              <w:bottom w:val="single" w:sz="17" w:space="0" w:color="D3D3D3"/>
              <w:right w:val="single" w:sz="6" w:space="0" w:color="000000"/>
            </w:tcBorders>
          </w:tcPr>
          <w:p>
            <w:pPr>
              <w:pStyle w:val="TableParagraph"/>
              <w:tabs>
                <w:tab w:pos="4043" w:val="left" w:leader="none"/>
              </w:tabs>
              <w:spacing w:line="240" w:lineRule="auto" w:before="39"/>
              <w:ind w:right="1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报告期投入募集资金总额</w:t>
              <w:tab/>
            </w:r>
            <w:r>
              <w:rPr>
                <w:rFonts w:ascii="宋体" w:hAnsi="宋体" w:cs="宋体" w:eastAsia="宋体" w:hint="default"/>
                <w:sz w:val="18"/>
                <w:szCs w:val="18"/>
              </w:rPr>
            </w:r>
          </w:p>
        </w:tc>
        <w:tc>
          <w:tcPr>
            <w:tcW w:w="54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5,094.74</w:t>
            </w:r>
          </w:p>
        </w:tc>
      </w:tr>
      <w:tr>
        <w:trPr>
          <w:trHeight w:val="412" w:hRule="exact"/>
        </w:trPr>
        <w:tc>
          <w:tcPr>
            <w:tcW w:w="4101" w:type="dxa"/>
            <w:tcBorders>
              <w:top w:val="single" w:sz="17" w:space="0" w:color="D3D3D3"/>
              <w:left w:val="single" w:sz="12" w:space="0" w:color="000000"/>
              <w:bottom w:val="single" w:sz="17" w:space="0" w:color="D3D3D3"/>
              <w:right w:val="single" w:sz="6" w:space="0" w:color="000000"/>
            </w:tcBorders>
          </w:tcPr>
          <w:p>
            <w:pPr>
              <w:pStyle w:val="TableParagraph"/>
              <w:tabs>
                <w:tab w:pos="4043" w:val="left" w:leader="none"/>
              </w:tabs>
              <w:spacing w:line="240" w:lineRule="auto" w:before="39"/>
              <w:ind w:right="1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已累计投入募集资金总额</w:t>
              <w:tab/>
            </w:r>
            <w:r>
              <w:rPr>
                <w:rFonts w:ascii="宋体" w:hAnsi="宋体" w:cs="宋体" w:eastAsia="宋体" w:hint="default"/>
                <w:sz w:val="18"/>
                <w:szCs w:val="18"/>
              </w:rPr>
            </w:r>
          </w:p>
        </w:tc>
        <w:tc>
          <w:tcPr>
            <w:tcW w:w="54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5,094.74</w:t>
            </w:r>
          </w:p>
        </w:tc>
      </w:tr>
      <w:tr>
        <w:trPr>
          <w:trHeight w:val="412" w:hRule="exact"/>
        </w:trPr>
        <w:tc>
          <w:tcPr>
            <w:tcW w:w="4101" w:type="dxa"/>
            <w:tcBorders>
              <w:top w:val="single" w:sz="17" w:space="0" w:color="D3D3D3"/>
              <w:left w:val="single" w:sz="12" w:space="0" w:color="000000"/>
              <w:bottom w:val="single" w:sz="17" w:space="0" w:color="D3D3D3"/>
              <w:right w:val="single" w:sz="6" w:space="0" w:color="000000"/>
            </w:tcBorders>
          </w:tcPr>
          <w:p>
            <w:pPr>
              <w:pStyle w:val="TableParagraph"/>
              <w:tabs>
                <w:tab w:pos="4043" w:val="left" w:leader="none"/>
              </w:tabs>
              <w:spacing w:line="240" w:lineRule="auto" w:before="39"/>
              <w:ind w:right="1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报告期内变更用途的募集资金总额</w:t>
              <w:tab/>
            </w:r>
            <w:r>
              <w:rPr>
                <w:rFonts w:ascii="宋体" w:hAnsi="宋体" w:cs="宋体" w:eastAsia="宋体" w:hint="default"/>
                <w:sz w:val="18"/>
                <w:szCs w:val="18"/>
              </w:rPr>
            </w:r>
          </w:p>
        </w:tc>
        <w:tc>
          <w:tcPr>
            <w:tcW w:w="54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12" w:hRule="exact"/>
        </w:trPr>
        <w:tc>
          <w:tcPr>
            <w:tcW w:w="4101" w:type="dxa"/>
            <w:tcBorders>
              <w:top w:val="single" w:sz="17" w:space="0" w:color="D3D3D3"/>
              <w:left w:val="single" w:sz="12" w:space="0" w:color="000000"/>
              <w:bottom w:val="single" w:sz="40" w:space="0" w:color="D3D3D3"/>
              <w:right w:val="single" w:sz="6" w:space="0" w:color="000000"/>
            </w:tcBorders>
          </w:tcPr>
          <w:p>
            <w:pPr>
              <w:pStyle w:val="TableParagraph"/>
              <w:tabs>
                <w:tab w:pos="4043" w:val="left" w:leader="none"/>
              </w:tabs>
              <w:spacing w:line="240" w:lineRule="auto" w:before="39"/>
              <w:ind w:right="1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累计变更用途的募集资金总额</w:t>
              <w:tab/>
            </w:r>
            <w:r>
              <w:rPr>
                <w:rFonts w:ascii="宋体" w:hAnsi="宋体" w:cs="宋体" w:eastAsia="宋体" w:hint="default"/>
                <w:sz w:val="18"/>
                <w:szCs w:val="18"/>
              </w:rPr>
            </w:r>
          </w:p>
        </w:tc>
        <w:tc>
          <w:tcPr>
            <w:tcW w:w="54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20" w:hRule="exact"/>
        </w:trPr>
        <w:tc>
          <w:tcPr>
            <w:tcW w:w="4101" w:type="dxa"/>
            <w:tcBorders>
              <w:top w:val="single" w:sz="40" w:space="0" w:color="D3D3D3"/>
              <w:left w:val="single" w:sz="12" w:space="0" w:color="000000"/>
              <w:bottom w:val="single" w:sz="23" w:space="0" w:color="D3D3D3"/>
              <w:right w:val="single" w:sz="6" w:space="0" w:color="000000"/>
            </w:tcBorders>
          </w:tcPr>
          <w:p>
            <w:pPr>
              <w:pStyle w:val="TableParagraph"/>
              <w:tabs>
                <w:tab w:pos="4043" w:val="left" w:leader="none"/>
              </w:tabs>
              <w:spacing w:line="240" w:lineRule="auto" w:before="10"/>
              <w:ind w:right="1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累计变更用途的募集资金总额比例（%）</w:t>
              <w:tab/>
            </w:r>
            <w:r>
              <w:rPr>
                <w:rFonts w:ascii="宋体" w:hAnsi="宋体" w:cs="宋体" w:eastAsia="宋体" w:hint="default"/>
                <w:sz w:val="18"/>
                <w:szCs w:val="18"/>
              </w:rPr>
            </w:r>
          </w:p>
        </w:tc>
        <w:tc>
          <w:tcPr>
            <w:tcW w:w="54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9568" w:type="dxa"/>
            <w:gridSpan w:val="2"/>
            <w:tcBorders>
              <w:top w:val="single" w:sz="6" w:space="0" w:color="000000"/>
              <w:left w:val="single" w:sz="12" w:space="0" w:color="000000"/>
              <w:bottom w:val="single" w:sz="6" w:space="0" w:color="000000"/>
              <w:right w:val="single" w:sz="12" w:space="0" w:color="000000"/>
            </w:tcBorders>
            <w:shd w:val="clear" w:color="auto" w:fill="D3D3D3"/>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363" w:hRule="exact"/>
        </w:trPr>
        <w:tc>
          <w:tcPr>
            <w:tcW w:w="9568" w:type="dxa"/>
            <w:gridSpan w:val="2"/>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89"/>
              <w:ind w:left="373" w:right="0"/>
              <w:jc w:val="left"/>
              <w:rPr>
                <w:rFonts w:ascii="宋体" w:hAnsi="宋体" w:cs="宋体" w:eastAsia="宋体" w:hint="default"/>
                <w:sz w:val="18"/>
                <w:szCs w:val="18"/>
              </w:rPr>
            </w:pPr>
            <w:r>
              <w:rPr>
                <w:rFonts w:ascii="宋体" w:hAnsi="宋体" w:cs="宋体" w:eastAsia="宋体" w:hint="default"/>
                <w:sz w:val="18"/>
                <w:szCs w:val="18"/>
              </w:rPr>
              <w:t>2012 </w:t>
            </w:r>
            <w:r>
              <w:rPr>
                <w:rFonts w:ascii="宋体" w:hAnsi="宋体" w:cs="宋体" w:eastAsia="宋体" w:hint="default"/>
                <w:spacing w:val="2"/>
                <w:sz w:val="18"/>
                <w:szCs w:val="18"/>
              </w:rPr>
              <w:t>年度，公司共使用募集资金 </w:t>
            </w:r>
            <w:r>
              <w:rPr>
                <w:rFonts w:ascii="宋体" w:hAnsi="宋体" w:cs="宋体" w:eastAsia="宋体" w:hint="default"/>
                <w:sz w:val="18"/>
                <w:szCs w:val="18"/>
              </w:rPr>
              <w:t>5,094.74 </w:t>
            </w:r>
            <w:r>
              <w:rPr>
                <w:rFonts w:ascii="宋体" w:hAnsi="宋体" w:cs="宋体" w:eastAsia="宋体" w:hint="default"/>
                <w:spacing w:val="2"/>
                <w:sz w:val="18"/>
                <w:szCs w:val="18"/>
              </w:rPr>
              <w:t>万元，其中：“电力用户用电信息采集系统产能扩大建设项目”</w:t>
            </w:r>
            <w:r>
              <w:rPr>
                <w:rFonts w:ascii="宋体" w:hAnsi="宋体" w:cs="宋体" w:eastAsia="宋体" w:hint="default"/>
                <w:spacing w:val="45"/>
                <w:sz w:val="18"/>
                <w:szCs w:val="18"/>
              </w:rPr>
              <w:t> </w:t>
            </w:r>
            <w:r>
              <w:rPr>
                <w:rFonts w:ascii="宋体" w:hAnsi="宋体" w:cs="宋体" w:eastAsia="宋体" w:hint="default"/>
                <w:sz w:val="18"/>
                <w:szCs w:val="18"/>
              </w:rPr>
              <w:t>投入</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1,826.16</w:t>
            </w:r>
            <w:r>
              <w:rPr>
                <w:rFonts w:ascii="宋体" w:hAnsi="宋体" w:cs="宋体" w:eastAsia="宋体" w:hint="default"/>
                <w:spacing w:val="-42"/>
                <w:sz w:val="18"/>
                <w:szCs w:val="18"/>
              </w:rPr>
              <w:t> </w:t>
            </w:r>
            <w:r>
              <w:rPr>
                <w:rFonts w:ascii="宋体" w:hAnsi="宋体" w:cs="宋体" w:eastAsia="宋体" w:hint="default"/>
                <w:sz w:val="18"/>
                <w:szCs w:val="18"/>
              </w:rPr>
              <w:t>万元，“研发中心建设项目”投入</w:t>
            </w:r>
            <w:r>
              <w:rPr>
                <w:rFonts w:ascii="宋体" w:hAnsi="宋体" w:cs="宋体" w:eastAsia="宋体" w:hint="default"/>
                <w:spacing w:val="-42"/>
                <w:sz w:val="18"/>
                <w:szCs w:val="18"/>
              </w:rPr>
              <w:t> </w:t>
            </w:r>
            <w:r>
              <w:rPr>
                <w:rFonts w:ascii="宋体" w:hAnsi="宋体" w:cs="宋体" w:eastAsia="宋体" w:hint="default"/>
                <w:sz w:val="18"/>
                <w:szCs w:val="18"/>
              </w:rPr>
              <w:t>268.58</w:t>
            </w:r>
            <w:r>
              <w:rPr>
                <w:rFonts w:ascii="宋体" w:hAnsi="宋体" w:cs="宋体" w:eastAsia="宋体" w:hint="default"/>
                <w:spacing w:val="-42"/>
                <w:sz w:val="18"/>
                <w:szCs w:val="18"/>
              </w:rPr>
              <w:t> </w:t>
            </w:r>
            <w:r>
              <w:rPr>
                <w:rFonts w:ascii="宋体" w:hAnsi="宋体" w:cs="宋体" w:eastAsia="宋体" w:hint="default"/>
                <w:sz w:val="18"/>
                <w:szCs w:val="18"/>
              </w:rPr>
              <w:t>万元，超募资金永久补充流动资金</w:t>
            </w:r>
            <w:r>
              <w:rPr>
                <w:rFonts w:ascii="宋体" w:hAnsi="宋体" w:cs="宋体" w:eastAsia="宋体" w:hint="default"/>
                <w:spacing w:val="-42"/>
                <w:sz w:val="18"/>
                <w:szCs w:val="18"/>
              </w:rPr>
              <w:t> </w:t>
            </w:r>
            <w:r>
              <w:rPr>
                <w:rFonts w:ascii="宋体" w:hAnsi="宋体" w:cs="宋体" w:eastAsia="宋体" w:hint="default"/>
                <w:sz w:val="18"/>
                <w:szCs w:val="18"/>
              </w:rPr>
              <w:t>3,000</w:t>
            </w:r>
            <w:r>
              <w:rPr>
                <w:rFonts w:ascii="宋体" w:hAnsi="宋体" w:cs="宋体" w:eastAsia="宋体" w:hint="default"/>
                <w:spacing w:val="-42"/>
                <w:sz w:val="18"/>
                <w:szCs w:val="18"/>
              </w:rPr>
              <w:t> </w:t>
            </w:r>
            <w:r>
              <w:rPr>
                <w:rFonts w:ascii="宋体" w:hAnsi="宋体" w:cs="宋体" w:eastAsia="宋体" w:hint="default"/>
                <w:sz w:val="18"/>
                <w:szCs w:val="18"/>
              </w:rPr>
              <w:t>万元。此外，公司从“电力</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用户用电信息采集系统产能扩大建设项目”尚未使用的闲置募集资金中，使用</w:t>
            </w:r>
            <w:r>
              <w:rPr>
                <w:rFonts w:ascii="宋体" w:hAnsi="宋体" w:cs="宋体" w:eastAsia="宋体" w:hint="default"/>
                <w:spacing w:val="-61"/>
                <w:sz w:val="18"/>
                <w:szCs w:val="18"/>
              </w:rPr>
              <w:t> </w:t>
            </w:r>
            <w:r>
              <w:rPr>
                <w:rFonts w:ascii="宋体" w:hAnsi="宋体" w:cs="宋体" w:eastAsia="宋体" w:hint="default"/>
                <w:sz w:val="18"/>
                <w:szCs w:val="18"/>
              </w:rPr>
              <w:t>3,000</w:t>
            </w:r>
            <w:r>
              <w:rPr>
                <w:rFonts w:ascii="宋体" w:hAnsi="宋体" w:cs="宋体" w:eastAsia="宋体" w:hint="default"/>
                <w:spacing w:val="-61"/>
                <w:sz w:val="18"/>
                <w:szCs w:val="18"/>
              </w:rPr>
              <w:t> </w:t>
            </w:r>
            <w:r>
              <w:rPr>
                <w:rFonts w:ascii="宋体" w:hAnsi="宋体" w:cs="宋体" w:eastAsia="宋体" w:hint="default"/>
                <w:sz w:val="18"/>
                <w:szCs w:val="18"/>
              </w:rPr>
              <w:t>万元用于暂时补充流动资金，期限不</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超过董事会批准之日起</w:t>
            </w:r>
            <w:r>
              <w:rPr>
                <w:rFonts w:ascii="宋体" w:hAnsi="宋体" w:cs="宋体" w:eastAsia="宋体" w:hint="default"/>
                <w:spacing w:val="-27"/>
                <w:sz w:val="18"/>
                <w:szCs w:val="18"/>
              </w:rPr>
              <w:t> </w:t>
            </w:r>
            <w:r>
              <w:rPr>
                <w:rFonts w:ascii="宋体" w:hAnsi="宋体" w:cs="宋体" w:eastAsia="宋体" w:hint="default"/>
                <w:sz w:val="18"/>
                <w:szCs w:val="18"/>
              </w:rPr>
              <w:t>6</w:t>
            </w:r>
            <w:r>
              <w:rPr>
                <w:rFonts w:ascii="宋体" w:hAnsi="宋体" w:cs="宋体" w:eastAsia="宋体" w:hint="default"/>
                <w:spacing w:val="-27"/>
                <w:sz w:val="18"/>
                <w:szCs w:val="18"/>
              </w:rPr>
              <w:t> </w:t>
            </w:r>
            <w:r>
              <w:rPr>
                <w:rFonts w:ascii="宋体" w:hAnsi="宋体" w:cs="宋体" w:eastAsia="宋体" w:hint="default"/>
                <w:sz w:val="18"/>
                <w:szCs w:val="18"/>
              </w:rPr>
              <w:t>个月，到期将归还至募集资金专户。 截至</w:t>
            </w:r>
            <w:r>
              <w:rPr>
                <w:rFonts w:ascii="宋体" w:hAnsi="宋体" w:cs="宋体" w:eastAsia="宋体" w:hint="default"/>
                <w:spacing w:val="-27"/>
                <w:sz w:val="18"/>
                <w:szCs w:val="18"/>
              </w:rPr>
              <w:t> </w:t>
            </w:r>
            <w:r>
              <w:rPr>
                <w:rFonts w:ascii="宋体" w:hAnsi="宋体" w:cs="宋体" w:eastAsia="宋体" w:hint="default"/>
                <w:sz w:val="18"/>
                <w:szCs w:val="18"/>
              </w:rPr>
              <w:t>2012</w:t>
            </w:r>
            <w:r>
              <w:rPr>
                <w:rFonts w:ascii="宋体" w:hAnsi="宋体" w:cs="宋体" w:eastAsia="宋体" w:hint="default"/>
                <w:spacing w:val="-27"/>
                <w:sz w:val="18"/>
                <w:szCs w:val="18"/>
              </w:rPr>
              <w:t> </w:t>
            </w:r>
            <w:r>
              <w:rPr>
                <w:rFonts w:ascii="宋体" w:hAnsi="宋体" w:cs="宋体" w:eastAsia="宋体" w:hint="default"/>
                <w:sz w:val="18"/>
                <w:szCs w:val="18"/>
              </w:rPr>
              <w:t>年</w:t>
            </w:r>
            <w:r>
              <w:rPr>
                <w:rFonts w:ascii="宋体" w:hAnsi="宋体" w:cs="宋体" w:eastAsia="宋体" w:hint="default"/>
                <w:spacing w:val="-27"/>
                <w:sz w:val="18"/>
                <w:szCs w:val="18"/>
              </w:rPr>
              <w:t> </w:t>
            </w:r>
            <w:r>
              <w:rPr>
                <w:rFonts w:ascii="宋体" w:hAnsi="宋体" w:cs="宋体" w:eastAsia="宋体" w:hint="default"/>
                <w:sz w:val="18"/>
                <w:szCs w:val="18"/>
              </w:rPr>
              <w:t>12</w:t>
            </w:r>
            <w:r>
              <w:rPr>
                <w:rFonts w:ascii="宋体" w:hAnsi="宋体" w:cs="宋体" w:eastAsia="宋体" w:hint="default"/>
                <w:spacing w:val="-27"/>
                <w:sz w:val="18"/>
                <w:szCs w:val="18"/>
              </w:rPr>
              <w:t> </w:t>
            </w:r>
            <w:r>
              <w:rPr>
                <w:rFonts w:ascii="宋体" w:hAnsi="宋体" w:cs="宋体" w:eastAsia="宋体" w:hint="default"/>
                <w:sz w:val="18"/>
                <w:szCs w:val="18"/>
              </w:rPr>
              <w:t>月</w:t>
            </w:r>
            <w:r>
              <w:rPr>
                <w:rFonts w:ascii="宋体" w:hAnsi="宋体" w:cs="宋体" w:eastAsia="宋体" w:hint="default"/>
                <w:spacing w:val="-27"/>
                <w:sz w:val="18"/>
                <w:szCs w:val="18"/>
              </w:rPr>
              <w:t> </w:t>
            </w:r>
            <w:r>
              <w:rPr>
                <w:rFonts w:ascii="宋体" w:hAnsi="宋体" w:cs="宋体" w:eastAsia="宋体" w:hint="default"/>
                <w:sz w:val="18"/>
                <w:szCs w:val="18"/>
              </w:rPr>
              <w:t>31</w:t>
            </w:r>
            <w:r>
              <w:rPr>
                <w:rFonts w:ascii="宋体" w:hAnsi="宋体" w:cs="宋体" w:eastAsia="宋体" w:hint="default"/>
                <w:spacing w:val="-27"/>
                <w:sz w:val="18"/>
                <w:szCs w:val="18"/>
              </w:rPr>
              <w:t> </w:t>
            </w:r>
            <w:r>
              <w:rPr>
                <w:rFonts w:ascii="宋体" w:hAnsi="宋体" w:cs="宋体" w:eastAsia="宋体" w:hint="default"/>
                <w:sz w:val="18"/>
                <w:szCs w:val="18"/>
              </w:rPr>
              <w:t>日，公司募集资金专户实际余额为</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27,395.53</w:t>
            </w:r>
            <w:r>
              <w:rPr>
                <w:rFonts w:ascii="宋体" w:hAnsi="宋体" w:cs="宋体" w:eastAsia="宋体" w:hint="default"/>
                <w:spacing w:val="-46"/>
                <w:sz w:val="18"/>
                <w:szCs w:val="18"/>
              </w:rPr>
              <w:t> </w:t>
            </w:r>
            <w:r>
              <w:rPr>
                <w:rFonts w:ascii="宋体" w:hAnsi="宋体" w:cs="宋体" w:eastAsia="宋体" w:hint="default"/>
                <w:sz w:val="18"/>
                <w:szCs w:val="18"/>
              </w:rPr>
              <w:t>万元，其中募集资金实际余额为</w:t>
            </w:r>
            <w:r>
              <w:rPr>
                <w:rFonts w:ascii="宋体" w:hAnsi="宋体" w:cs="宋体" w:eastAsia="宋体" w:hint="default"/>
                <w:spacing w:val="-46"/>
                <w:sz w:val="18"/>
                <w:szCs w:val="18"/>
              </w:rPr>
              <w:t> </w:t>
            </w:r>
            <w:r>
              <w:rPr>
                <w:rFonts w:ascii="宋体" w:hAnsi="宋体" w:cs="宋体" w:eastAsia="宋体" w:hint="default"/>
                <w:sz w:val="18"/>
                <w:szCs w:val="18"/>
              </w:rPr>
              <w:t>27,334.38</w:t>
            </w:r>
            <w:r>
              <w:rPr>
                <w:rFonts w:ascii="宋体" w:hAnsi="宋体" w:cs="宋体" w:eastAsia="宋体" w:hint="default"/>
                <w:spacing w:val="-46"/>
                <w:sz w:val="18"/>
                <w:szCs w:val="18"/>
              </w:rPr>
              <w:t> </w:t>
            </w:r>
            <w:r>
              <w:rPr>
                <w:rFonts w:ascii="宋体" w:hAnsi="宋体" w:cs="宋体" w:eastAsia="宋体" w:hint="default"/>
                <w:sz w:val="18"/>
                <w:szCs w:val="18"/>
              </w:rPr>
              <w:t>万元，存款利息收入</w:t>
            </w:r>
            <w:r>
              <w:rPr>
                <w:rFonts w:ascii="宋体" w:hAnsi="宋体" w:cs="宋体" w:eastAsia="宋体" w:hint="default"/>
                <w:spacing w:val="-46"/>
                <w:sz w:val="18"/>
                <w:szCs w:val="18"/>
              </w:rPr>
              <w:t> </w:t>
            </w:r>
            <w:r>
              <w:rPr>
                <w:rFonts w:ascii="宋体" w:hAnsi="宋体" w:cs="宋体" w:eastAsia="宋体" w:hint="default"/>
                <w:sz w:val="18"/>
                <w:szCs w:val="18"/>
              </w:rPr>
              <w:t>61.15</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747" w:footer="1003" w:top="1040" w:bottom="1200" w:left="980" w:right="980"/>
        </w:sectPr>
      </w:pPr>
    </w:p>
    <w:p>
      <w:pPr>
        <w:spacing w:line="240" w:lineRule="auto" w:before="6"/>
        <w:rPr>
          <w:rFonts w:ascii="宋体" w:hAnsi="宋体" w:cs="宋体" w:eastAsia="宋体" w:hint="default"/>
          <w:sz w:val="24"/>
          <w:szCs w:val="24"/>
        </w:rPr>
      </w:pPr>
      <w:r>
        <w:rPr/>
        <w:pict>
          <v:group style="position:absolute;margin-left:135.059998pt;margin-top:450.839996pt;width:399.3pt;height:15.6pt;mso-position-horizontal-relative:page;mso-position-vertical-relative:page;z-index:-656440" coordorigin="2701,9017" coordsize="7986,312">
            <v:shape style="position:absolute;left:2701;top:9017;width:7986;height:312" coordorigin="2701,9017" coordsize="7986,312" path="m2701,9329l10687,9329,10687,9017,2701,9017,2701,9329xe" filled="true" fillcolor="#ffffff" stroked="false">
              <v:path arrowok="t"/>
              <v:fill type="solid"/>
            </v:shape>
            <w10:wrap type="none"/>
          </v:group>
        </w:pict>
      </w:r>
    </w:p>
    <w:p>
      <w:pPr>
        <w:pStyle w:val="Heading2"/>
        <w:spacing w:line="240" w:lineRule="auto"/>
        <w:ind w:right="132"/>
        <w:jc w:val="left"/>
        <w:rPr>
          <w:b w:val="0"/>
          <w:bCs w:val="0"/>
        </w:rPr>
      </w:pPr>
      <w:r>
        <w:rPr/>
        <w:t>（2）募集资金承诺项目情况</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561"/>
        <w:gridCol w:w="568"/>
        <w:gridCol w:w="991"/>
        <w:gridCol w:w="990"/>
        <w:gridCol w:w="779"/>
        <w:gridCol w:w="780"/>
        <w:gridCol w:w="780"/>
        <w:gridCol w:w="924"/>
        <w:gridCol w:w="708"/>
        <w:gridCol w:w="708"/>
        <w:gridCol w:w="779"/>
      </w:tblGrid>
      <w:tr>
        <w:trPr>
          <w:trHeight w:val="1463" w:hRule="exact"/>
        </w:trPr>
        <w:tc>
          <w:tcPr>
            <w:tcW w:w="1561"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314" w:right="53"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568"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exact"/>
              <w:ind w:left="50" w:right="50" w:firstLine="45"/>
              <w:jc w:val="both"/>
              <w:rPr>
                <w:rFonts w:ascii="宋体" w:hAnsi="宋体" w:cs="宋体" w:eastAsia="宋体" w:hint="default"/>
                <w:sz w:val="18"/>
                <w:szCs w:val="18"/>
              </w:rPr>
            </w:pPr>
            <w:r>
              <w:rPr>
                <w:rFonts w:ascii="宋体" w:hAnsi="宋体" w:cs="宋体" w:eastAsia="宋体" w:hint="default"/>
                <w:sz w:val="18"/>
                <w:szCs w:val="18"/>
              </w:rPr>
              <w:t>是否 已变 更项 目(含 部分 变更)</w:t>
            </w:r>
          </w:p>
        </w:tc>
        <w:tc>
          <w:tcPr>
            <w:tcW w:w="991"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38" w:right="36"/>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99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172" w:right="35" w:hanging="135"/>
              <w:jc w:val="left"/>
              <w:rPr>
                <w:rFonts w:ascii="宋体" w:hAnsi="宋体" w:cs="宋体" w:eastAsia="宋体" w:hint="default"/>
                <w:sz w:val="18"/>
                <w:szCs w:val="18"/>
              </w:rPr>
            </w:pPr>
            <w:r>
              <w:rPr>
                <w:rFonts w:ascii="宋体" w:hAnsi="宋体" w:cs="宋体" w:eastAsia="宋体" w:hint="default"/>
                <w:sz w:val="18"/>
                <w:szCs w:val="18"/>
              </w:rPr>
              <w:t>调整后投资 总额(1)</w:t>
            </w:r>
          </w:p>
        </w:tc>
        <w:tc>
          <w:tcPr>
            <w:tcW w:w="779"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22" w:right="20"/>
              <w:jc w:val="both"/>
              <w:rPr>
                <w:rFonts w:ascii="宋体" w:hAnsi="宋体" w:cs="宋体" w:eastAsia="宋体" w:hint="default"/>
                <w:sz w:val="18"/>
                <w:szCs w:val="18"/>
              </w:rPr>
            </w:pPr>
            <w:r>
              <w:rPr>
                <w:rFonts w:ascii="宋体" w:hAnsi="宋体" w:cs="宋体" w:eastAsia="宋体" w:hint="default"/>
                <w:sz w:val="18"/>
                <w:szCs w:val="18"/>
              </w:rPr>
              <w:t>截至期末 累计投入 金额(2)</w:t>
            </w:r>
          </w:p>
        </w:tc>
        <w:tc>
          <w:tcPr>
            <w:tcW w:w="78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106"/>
              <w:ind w:left="22" w:right="20"/>
              <w:jc w:val="both"/>
              <w:rPr>
                <w:rFonts w:ascii="宋体" w:hAnsi="宋体" w:cs="宋体" w:eastAsia="宋体" w:hint="default"/>
                <w:sz w:val="18"/>
                <w:szCs w:val="18"/>
              </w:rPr>
            </w:pPr>
            <w:r>
              <w:rPr>
                <w:rFonts w:ascii="宋体" w:hAnsi="宋体" w:cs="宋体" w:eastAsia="宋体" w:hint="default"/>
                <w:sz w:val="18"/>
                <w:szCs w:val="18"/>
              </w:rPr>
              <w:t>截至期末 投资进度 (%)(3)＝</w:t>
            </w:r>
          </w:p>
          <w:p>
            <w:pPr>
              <w:pStyle w:val="TableParagraph"/>
              <w:spacing w:line="240" w:lineRule="auto" w:before="19"/>
              <w:ind w:left="68" w:right="0"/>
              <w:jc w:val="both"/>
              <w:rPr>
                <w:rFonts w:ascii="宋体" w:hAnsi="宋体" w:cs="宋体" w:eastAsia="宋体" w:hint="default"/>
                <w:sz w:val="18"/>
                <w:szCs w:val="18"/>
              </w:rPr>
            </w:pPr>
            <w:r>
              <w:rPr>
                <w:rFonts w:ascii="宋体"/>
                <w:sz w:val="18"/>
              </w:rPr>
              <w:t>(2)/(1)</w:t>
            </w:r>
          </w:p>
        </w:tc>
        <w:tc>
          <w:tcPr>
            <w:tcW w:w="92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106"/>
              <w:ind w:left="94" w:right="92"/>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08"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08"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79"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316" w:lineRule="auto" w:before="106"/>
              <w:ind w:left="22" w:right="12"/>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327" w:hRule="exact"/>
        </w:trPr>
        <w:tc>
          <w:tcPr>
            <w:tcW w:w="9568" w:type="dxa"/>
            <w:gridSpan w:val="11"/>
            <w:tcBorders>
              <w:top w:val="single" w:sz="6" w:space="0" w:color="000000"/>
              <w:left w:val="single" w:sz="12" w:space="0" w:color="000000"/>
              <w:bottom w:val="single" w:sz="6" w:space="0" w:color="000000"/>
              <w:right w:val="single" w:sz="12" w:space="0" w:color="000000"/>
            </w:tcBorders>
            <w:shd w:val="clear" w:color="auto" w:fill="D3D3D3"/>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950" w:hRule="exact"/>
        </w:trPr>
        <w:tc>
          <w:tcPr>
            <w:tcW w:w="1561"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44" w:right="53"/>
              <w:jc w:val="center"/>
              <w:rPr>
                <w:rFonts w:ascii="宋体" w:hAnsi="宋体" w:cs="宋体" w:eastAsia="宋体" w:hint="default"/>
                <w:sz w:val="18"/>
                <w:szCs w:val="18"/>
              </w:rPr>
            </w:pPr>
            <w:r>
              <w:rPr>
                <w:rFonts w:ascii="宋体" w:hAnsi="宋体" w:cs="宋体" w:eastAsia="宋体" w:hint="default"/>
                <w:sz w:val="18"/>
                <w:szCs w:val="18"/>
              </w:rPr>
              <w:t>电力用户用电信息 采集系统产能扩大 建设项目</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15,300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15,300</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1,826.16</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1,826.16</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11.94%</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7" w:right="-16"/>
              <w:jc w:val="center"/>
              <w:rPr>
                <w:rFonts w:ascii="宋体" w:hAnsi="宋体" w:cs="宋体" w:eastAsia="宋体" w:hint="default"/>
                <w:sz w:val="18"/>
                <w:szCs w:val="18"/>
              </w:rPr>
            </w:pPr>
            <w:r>
              <w:rPr>
                <w:rFonts w:ascii="宋体" w:hAnsi="宋体" w:cs="宋体" w:eastAsia="宋体" w:hint="default"/>
                <w:spacing w:val="14"/>
                <w:sz w:val="18"/>
                <w:szCs w:val="18"/>
              </w:rPr>
              <w:t>09月</w:t>
            </w:r>
            <w:r>
              <w:rPr>
                <w:rFonts w:ascii="宋体" w:hAnsi="宋体" w:cs="宋体" w:eastAsia="宋体" w:hint="default"/>
                <w:spacing w:val="-43"/>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7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8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15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研发中心建设项目</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5,100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5,100</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268.58</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268.58</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5.27%</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7" w:right="-16"/>
              <w:jc w:val="center"/>
              <w:rPr>
                <w:rFonts w:ascii="宋体" w:hAnsi="宋体" w:cs="宋体" w:eastAsia="宋体" w:hint="default"/>
                <w:sz w:val="18"/>
                <w:szCs w:val="18"/>
              </w:rPr>
            </w:pPr>
            <w:r>
              <w:rPr>
                <w:rFonts w:ascii="宋体" w:hAnsi="宋体" w:cs="宋体" w:eastAsia="宋体" w:hint="default"/>
                <w:spacing w:val="14"/>
                <w:sz w:val="18"/>
                <w:szCs w:val="18"/>
              </w:rPr>
              <w:t>09月</w:t>
            </w:r>
            <w:r>
              <w:rPr>
                <w:rFonts w:ascii="宋体" w:hAnsi="宋体" w:cs="宋体" w:eastAsia="宋体" w:hint="default"/>
                <w:spacing w:val="-43"/>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7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8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5" w:hRule="exact"/>
        </w:trPr>
        <w:tc>
          <w:tcPr>
            <w:tcW w:w="1561"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56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left="186" w:right="0"/>
              <w:jc w:val="left"/>
              <w:rPr>
                <w:rFonts w:ascii="宋体" w:hAnsi="宋体" w:cs="宋体" w:eastAsia="宋体" w:hint="default"/>
                <w:sz w:val="18"/>
                <w:szCs w:val="18"/>
              </w:rPr>
            </w:pPr>
            <w:r>
              <w:rPr>
                <w:rFonts w:ascii="宋体"/>
                <w:sz w:val="18"/>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20,400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20,400</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2,094.74</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2,094.74</w:t>
            </w:r>
          </w:p>
        </w:tc>
        <w:tc>
          <w:tcPr>
            <w:tcW w:w="78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92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56" w:right="0"/>
              <w:jc w:val="left"/>
              <w:rPr>
                <w:rFonts w:ascii="宋体" w:hAnsi="宋体" w:cs="宋体" w:eastAsia="宋体" w:hint="default"/>
                <w:sz w:val="18"/>
                <w:szCs w:val="18"/>
              </w:rPr>
            </w:pPr>
            <w:r>
              <w:rPr>
                <w:rFonts w:ascii="宋体" w:hAnsi="宋体" w:cs="宋体" w:eastAsia="宋体" w:hint="default"/>
                <w:sz w:val="18"/>
                <w:szCs w:val="18"/>
              </w:rPr>
              <w:t>－</w:t>
            </w:r>
          </w:p>
        </w:tc>
        <w:tc>
          <w:tcPr>
            <w:tcW w:w="70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779"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10"/>
              <w:ind w:right="282"/>
              <w:jc w:val="right"/>
              <w:rPr>
                <w:rFonts w:ascii="宋体" w:hAnsi="宋体" w:cs="宋体" w:eastAsia="宋体" w:hint="default"/>
                <w:sz w:val="18"/>
                <w:szCs w:val="18"/>
              </w:rPr>
            </w:pPr>
            <w:r>
              <w:rPr>
                <w:rFonts w:ascii="宋体"/>
                <w:sz w:val="18"/>
              </w:rPr>
              <w:t>--</w:t>
            </w:r>
          </w:p>
        </w:tc>
      </w:tr>
      <w:tr>
        <w:trPr>
          <w:trHeight w:val="319" w:hRule="exact"/>
        </w:trPr>
        <w:tc>
          <w:tcPr>
            <w:tcW w:w="9568" w:type="dxa"/>
            <w:gridSpan w:val="11"/>
            <w:tcBorders>
              <w:top w:val="single" w:sz="6" w:space="0" w:color="000000"/>
              <w:left w:val="single" w:sz="12" w:space="0" w:color="000000"/>
              <w:bottom w:val="single" w:sz="6" w:space="0" w:color="000000"/>
              <w:right w:val="single" w:sz="12" w:space="0" w:color="000000"/>
            </w:tcBorders>
            <w:shd w:val="clear" w:color="auto" w:fill="D3D3D3"/>
          </w:tcPr>
          <w:p>
            <w:pPr>
              <w:pStyle w:val="TableParagraph"/>
              <w:spacing w:line="240" w:lineRule="auto" w:before="3"/>
              <w:ind w:left="1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638" w:hRule="exact"/>
        </w:trPr>
        <w:tc>
          <w:tcPr>
            <w:tcW w:w="1561"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224" w:right="53" w:hanging="180"/>
              <w:jc w:val="left"/>
              <w:rPr>
                <w:rFonts w:ascii="宋体" w:hAnsi="宋体" w:cs="宋体" w:eastAsia="宋体" w:hint="default"/>
                <w:sz w:val="18"/>
                <w:szCs w:val="18"/>
              </w:rPr>
            </w:pPr>
            <w:r>
              <w:rPr>
                <w:rFonts w:ascii="宋体" w:hAnsi="宋体" w:cs="宋体" w:eastAsia="宋体" w:hint="default"/>
                <w:sz w:val="18"/>
                <w:szCs w:val="18"/>
              </w:rPr>
              <w:t>其他与主营业务相 关的营运资金</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15,029.12</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15,029.12</w:t>
            </w:r>
          </w:p>
        </w:tc>
        <w:tc>
          <w:tcPr>
            <w:tcW w:w="779"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w:t>
            </w:r>
          </w:p>
        </w:tc>
        <w:tc>
          <w:tcPr>
            <w:tcW w:w="708"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1561"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补充流动资金</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56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6" w:right="0"/>
              <w:jc w:val="left"/>
              <w:rPr>
                <w:rFonts w:ascii="宋体" w:hAnsi="宋体" w:cs="宋体" w:eastAsia="宋体" w:hint="default"/>
                <w:sz w:val="18"/>
                <w:szCs w:val="18"/>
              </w:rPr>
            </w:pPr>
            <w:r>
              <w:rPr>
                <w:rFonts w:ascii="宋体"/>
                <w:sz w:val="18"/>
              </w:rPr>
              <w:t>--</w:t>
            </w:r>
          </w:p>
        </w:tc>
        <w:tc>
          <w:tcPr>
            <w:tcW w:w="991"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3,000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3,000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19.96%</w:t>
            </w:r>
          </w:p>
        </w:tc>
        <w:tc>
          <w:tcPr>
            <w:tcW w:w="92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6" w:right="0"/>
              <w:jc w:val="lef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79"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82"/>
              <w:jc w:val="right"/>
              <w:rPr>
                <w:rFonts w:ascii="宋体" w:hAnsi="宋体" w:cs="宋体" w:eastAsia="宋体" w:hint="default"/>
                <w:sz w:val="18"/>
                <w:szCs w:val="18"/>
              </w:rPr>
            </w:pPr>
            <w:r>
              <w:rPr>
                <w:rFonts w:ascii="宋体"/>
                <w:sz w:val="18"/>
              </w:rPr>
              <w:t>--</w:t>
            </w:r>
          </w:p>
        </w:tc>
      </w:tr>
      <w:tr>
        <w:trPr>
          <w:trHeight w:val="326" w:hRule="exact"/>
        </w:trPr>
        <w:tc>
          <w:tcPr>
            <w:tcW w:w="1561"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56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left="186" w:right="0"/>
              <w:jc w:val="left"/>
              <w:rPr>
                <w:rFonts w:ascii="宋体" w:hAnsi="宋体" w:cs="宋体" w:eastAsia="宋体" w:hint="default"/>
                <w:sz w:val="18"/>
                <w:szCs w:val="18"/>
              </w:rPr>
            </w:pPr>
            <w:r>
              <w:rPr>
                <w:rFonts w:ascii="宋体"/>
                <w:sz w:val="18"/>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15,029.12</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15,029.12</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3,000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3,000</w:t>
            </w:r>
          </w:p>
        </w:tc>
        <w:tc>
          <w:tcPr>
            <w:tcW w:w="78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92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0</w:t>
            </w:r>
          </w:p>
        </w:tc>
        <w:tc>
          <w:tcPr>
            <w:tcW w:w="70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779"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10"/>
              <w:ind w:right="282"/>
              <w:jc w:val="right"/>
              <w:rPr>
                <w:rFonts w:ascii="宋体" w:hAnsi="宋体" w:cs="宋体" w:eastAsia="宋体" w:hint="default"/>
                <w:sz w:val="18"/>
                <w:szCs w:val="18"/>
              </w:rPr>
            </w:pPr>
            <w:r>
              <w:rPr>
                <w:rFonts w:ascii="宋体"/>
                <w:sz w:val="18"/>
              </w:rPr>
              <w:t>--</w:t>
            </w:r>
          </w:p>
        </w:tc>
      </w:tr>
      <w:tr>
        <w:trPr>
          <w:trHeight w:val="328" w:hRule="exact"/>
        </w:trPr>
        <w:tc>
          <w:tcPr>
            <w:tcW w:w="1561"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left="186" w:right="0"/>
              <w:jc w:val="left"/>
              <w:rPr>
                <w:rFonts w:ascii="宋体" w:hAnsi="宋体" w:cs="宋体" w:eastAsia="宋体" w:hint="default"/>
                <w:sz w:val="18"/>
                <w:szCs w:val="18"/>
              </w:rPr>
            </w:pPr>
            <w:r>
              <w:rPr>
                <w:rFonts w:ascii="宋体"/>
                <w:sz w:val="18"/>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
              <w:jc w:val="right"/>
              <w:rPr>
                <w:rFonts w:ascii="宋体" w:hAnsi="宋体" w:cs="宋体" w:eastAsia="宋体" w:hint="default"/>
                <w:sz w:val="18"/>
                <w:szCs w:val="18"/>
              </w:rPr>
            </w:pPr>
            <w:r>
              <w:rPr>
                <w:rFonts w:ascii="宋体"/>
                <w:sz w:val="18"/>
              </w:rPr>
              <w:t>35,429.12</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
              <w:jc w:val="right"/>
              <w:rPr>
                <w:rFonts w:ascii="宋体" w:hAnsi="宋体" w:cs="宋体" w:eastAsia="宋体" w:hint="default"/>
                <w:sz w:val="18"/>
                <w:szCs w:val="18"/>
              </w:rPr>
            </w:pPr>
            <w:r>
              <w:rPr>
                <w:rFonts w:ascii="宋体"/>
                <w:sz w:val="18"/>
              </w:rPr>
              <w:t>35,429.12</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
              <w:jc w:val="right"/>
              <w:rPr>
                <w:rFonts w:ascii="宋体" w:hAnsi="宋体" w:cs="宋体" w:eastAsia="宋体" w:hint="default"/>
                <w:sz w:val="18"/>
                <w:szCs w:val="18"/>
              </w:rPr>
            </w:pPr>
            <w:r>
              <w:rPr>
                <w:rFonts w:ascii="宋体"/>
                <w:sz w:val="18"/>
              </w:rPr>
              <w:t>5,094.74</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
              <w:jc w:val="right"/>
              <w:rPr>
                <w:rFonts w:ascii="宋体" w:hAnsi="宋体" w:cs="宋体" w:eastAsia="宋体" w:hint="default"/>
                <w:sz w:val="18"/>
                <w:szCs w:val="18"/>
              </w:rPr>
            </w:pPr>
            <w:r>
              <w:rPr>
                <w:rFonts w:ascii="宋体"/>
                <w:sz w:val="18"/>
              </w:rPr>
              <w:t>5,094.74</w:t>
            </w:r>
          </w:p>
        </w:tc>
        <w:tc>
          <w:tcPr>
            <w:tcW w:w="78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c>
          <w:tcPr>
            <w:tcW w:w="92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
              <w:jc w:val="right"/>
              <w:rPr>
                <w:rFonts w:ascii="宋体" w:hAnsi="宋体" w:cs="宋体" w:eastAsia="宋体" w:hint="default"/>
                <w:sz w:val="18"/>
                <w:szCs w:val="18"/>
              </w:rPr>
            </w:pPr>
            <w:r>
              <w:rPr>
                <w:rFonts w:ascii="宋体"/>
                <w:sz w:val="18"/>
              </w:rPr>
              <w:t>0</w:t>
            </w:r>
          </w:p>
        </w:tc>
        <w:tc>
          <w:tcPr>
            <w:tcW w:w="70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c>
          <w:tcPr>
            <w:tcW w:w="779"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11"/>
              <w:ind w:right="282"/>
              <w:jc w:val="right"/>
              <w:rPr>
                <w:rFonts w:ascii="宋体" w:hAnsi="宋体" w:cs="宋体" w:eastAsia="宋体" w:hint="default"/>
                <w:sz w:val="18"/>
                <w:szCs w:val="18"/>
              </w:rPr>
            </w:pPr>
            <w:r>
              <w:rPr>
                <w:rFonts w:ascii="宋体"/>
                <w:sz w:val="18"/>
              </w:rPr>
              <w:t>--</w:t>
            </w:r>
          </w:p>
        </w:tc>
      </w:tr>
      <w:tr>
        <w:trPr>
          <w:trHeight w:val="950" w:hRule="exact"/>
        </w:trPr>
        <w:tc>
          <w:tcPr>
            <w:tcW w:w="1561"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6" w:lineRule="auto" w:before="10"/>
              <w:ind w:left="13" w:right="83"/>
              <w:jc w:val="both"/>
              <w:rPr>
                <w:rFonts w:ascii="宋体" w:hAnsi="宋体" w:cs="宋体" w:eastAsia="宋体" w:hint="default"/>
                <w:sz w:val="18"/>
                <w:szCs w:val="18"/>
              </w:rPr>
            </w:pPr>
            <w:r>
              <w:rPr>
                <w:rFonts w:ascii="宋体" w:hAnsi="宋体" w:cs="宋体" w:eastAsia="宋体" w:hint="default"/>
                <w:sz w:val="18"/>
                <w:szCs w:val="18"/>
              </w:rPr>
              <w:t>未达到计划进度或 预计收益的情况和 </w:t>
            </w:r>
            <w:r>
              <w:rPr>
                <w:rFonts w:ascii="宋体" w:hAnsi="宋体" w:cs="宋体" w:eastAsia="宋体" w:hint="default"/>
                <w:spacing w:val="-4"/>
                <w:sz w:val="18"/>
                <w:szCs w:val="18"/>
              </w:rPr>
              <w:t>原因（分具体项目</w:t>
            </w:r>
          </w:p>
        </w:tc>
        <w:tc>
          <w:tcPr>
            <w:tcW w:w="8007" w:type="dxa"/>
            <w:gridSpan w:val="10"/>
            <w:tcBorders>
              <w:top w:val="single" w:sz="6" w:space="0" w:color="000000"/>
              <w:left w:val="single" w:sz="6" w:space="0" w:color="000000"/>
              <w:bottom w:val="single" w:sz="6" w:space="0" w:color="000000"/>
              <w:right w:val="single" w:sz="12" w:space="0" w:color="000000"/>
            </w:tcBorders>
          </w:tcPr>
          <w:p>
            <w:pPr>
              <w:pStyle w:val="TableParagraph"/>
              <w:spacing w:line="312" w:lineRule="exact"/>
              <w:ind w:right="-52"/>
              <w:jc w:val="left"/>
              <w:rPr>
                <w:rFonts w:ascii="宋体" w:hAnsi="宋体" w:cs="宋体" w:eastAsia="宋体" w:hint="default"/>
                <w:sz w:val="20"/>
                <w:szCs w:val="20"/>
              </w:rPr>
            </w:pPr>
            <w:r>
              <w:rPr>
                <w:rFonts w:ascii="宋体" w:hAnsi="宋体" w:cs="宋体" w:eastAsia="宋体" w:hint="default"/>
                <w:position w:val="-5"/>
                <w:sz w:val="20"/>
                <w:szCs w:val="20"/>
              </w:rPr>
              <w:pict>
                <v:group style="width:399.3pt;height:15.6pt;mso-position-horizontal-relative:char;mso-position-vertical-relative:line" coordorigin="0,0" coordsize="7986,312">
                  <v:group style="position:absolute;left:0;top:0;width:7986;height:312" coordorigin="0,0" coordsize="7986,312">
                    <v:shape style="position:absolute;left:0;top:0;width:7986;height:312" coordorigin="0,0" coordsize="7986,312" path="m0,312l7986,312,7986,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不适用</w:t>
            </w:r>
          </w:p>
          <w:p>
            <w:pPr>
              <w:pStyle w:val="TableParagraph"/>
              <w:spacing w:line="240" w:lineRule="auto" w:before="76"/>
              <w:ind w:left="-127"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640" w:hRule="exact"/>
        </w:trPr>
        <w:tc>
          <w:tcPr>
            <w:tcW w:w="1561"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6" w:lineRule="auto" w:before="11"/>
              <w:ind w:left="13" w:right="83"/>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8007" w:type="dxa"/>
            <w:gridSpan w:val="10"/>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6" w:hRule="exact"/>
        </w:trPr>
        <w:tc>
          <w:tcPr>
            <w:tcW w:w="1561" w:type="dxa"/>
            <w:vMerge w:val="restart"/>
            <w:tcBorders>
              <w:top w:val="single" w:sz="6" w:space="0" w:color="000000"/>
              <w:left w:val="single" w:sz="12"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316" w:lineRule="auto"/>
              <w:ind w:left="13" w:right="8"/>
              <w:jc w:val="both"/>
              <w:rPr>
                <w:rFonts w:ascii="宋体" w:hAnsi="宋体" w:cs="宋体" w:eastAsia="宋体" w:hint="default"/>
                <w:sz w:val="18"/>
                <w:szCs w:val="18"/>
              </w:rPr>
            </w:pPr>
            <w:r>
              <w:rPr>
                <w:rFonts w:ascii="宋体" w:hAnsi="宋体" w:cs="宋体" w:eastAsia="宋体" w:hint="default"/>
                <w:spacing w:val="8"/>
                <w:sz w:val="18"/>
                <w:szCs w:val="18"/>
              </w:rPr>
              <w:t>超募资金的金额、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用途及使用进展情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况</w:t>
            </w:r>
          </w:p>
        </w:tc>
        <w:tc>
          <w:tcPr>
            <w:tcW w:w="8007" w:type="dxa"/>
            <w:gridSpan w:val="10"/>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356" w:hRule="exact"/>
        </w:trPr>
        <w:tc>
          <w:tcPr>
            <w:tcW w:w="1561" w:type="dxa"/>
            <w:vMerge/>
            <w:tcBorders>
              <w:left w:val="single" w:sz="12" w:space="0" w:color="000000"/>
              <w:bottom w:val="single" w:sz="6" w:space="0" w:color="000000"/>
              <w:right w:val="single" w:sz="6" w:space="0" w:color="000000"/>
            </w:tcBorders>
            <w:shd w:val="clear" w:color="auto" w:fill="D3D3D3"/>
          </w:tcPr>
          <w:p>
            <w:pPr/>
          </w:p>
        </w:tc>
        <w:tc>
          <w:tcPr>
            <w:tcW w:w="8007" w:type="dxa"/>
            <w:gridSpan w:val="10"/>
            <w:tcBorders>
              <w:top w:val="single" w:sz="6" w:space="0" w:color="000000"/>
              <w:left w:val="single" w:sz="6" w:space="0" w:color="000000"/>
              <w:bottom w:val="single" w:sz="6" w:space="0" w:color="000000"/>
              <w:right w:val="single" w:sz="12" w:space="0" w:color="000000"/>
            </w:tcBorders>
          </w:tcPr>
          <w:p>
            <w:pPr>
              <w:pStyle w:val="TableParagraph"/>
              <w:spacing w:line="240" w:lineRule="auto" w:before="89"/>
              <w:ind w:left="380" w:right="0"/>
              <w:jc w:val="left"/>
              <w:rPr>
                <w:rFonts w:ascii="宋体" w:hAnsi="宋体" w:cs="宋体" w:eastAsia="宋体" w:hint="default"/>
                <w:sz w:val="18"/>
                <w:szCs w:val="18"/>
              </w:rPr>
            </w:pPr>
            <w:r>
              <w:rPr>
                <w:rFonts w:ascii="宋体" w:hAnsi="宋体" w:cs="宋体" w:eastAsia="宋体" w:hint="default"/>
                <w:sz w:val="18"/>
                <w:szCs w:val="18"/>
              </w:rPr>
              <w:t>2012 </w:t>
            </w:r>
            <w:r>
              <w:rPr>
                <w:rFonts w:ascii="宋体" w:hAnsi="宋体" w:cs="宋体" w:eastAsia="宋体" w:hint="default"/>
                <w:spacing w:val="3"/>
                <w:sz w:val="18"/>
                <w:szCs w:val="18"/>
              </w:rPr>
              <w:t>年 9 </w:t>
            </w:r>
            <w:r>
              <w:rPr>
                <w:rFonts w:ascii="宋体" w:hAnsi="宋体" w:cs="宋体" w:eastAsia="宋体" w:hint="default"/>
                <w:sz w:val="18"/>
                <w:szCs w:val="18"/>
              </w:rPr>
              <w:t>月 24 </w:t>
            </w:r>
            <w:r>
              <w:rPr>
                <w:rFonts w:ascii="宋体" w:hAnsi="宋体" w:cs="宋体" w:eastAsia="宋体" w:hint="default"/>
                <w:spacing w:val="2"/>
                <w:sz w:val="18"/>
                <w:szCs w:val="18"/>
              </w:rPr>
              <w:t>日，公司首次公开发行股票募集资金净额为 </w:t>
            </w:r>
            <w:r>
              <w:rPr>
                <w:rFonts w:ascii="宋体" w:hAnsi="宋体" w:cs="宋体" w:eastAsia="宋体" w:hint="default"/>
                <w:sz w:val="18"/>
                <w:szCs w:val="18"/>
              </w:rPr>
              <w:t>35,429.12</w:t>
            </w:r>
            <w:r>
              <w:rPr>
                <w:rFonts w:ascii="宋体" w:hAnsi="宋体" w:cs="宋体" w:eastAsia="宋体" w:hint="default"/>
                <w:spacing w:val="30"/>
                <w:sz w:val="18"/>
                <w:szCs w:val="18"/>
              </w:rPr>
              <w:t> </w:t>
            </w:r>
            <w:r>
              <w:rPr>
                <w:rFonts w:ascii="宋体" w:hAnsi="宋体" w:cs="宋体" w:eastAsia="宋体" w:hint="default"/>
                <w:spacing w:val="2"/>
                <w:sz w:val="18"/>
                <w:szCs w:val="18"/>
              </w:rPr>
              <w:t>万元，其中超募资金</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0" w:right="0"/>
              <w:jc w:val="both"/>
              <w:rPr>
                <w:rFonts w:ascii="宋体" w:hAnsi="宋体" w:cs="宋体" w:eastAsia="宋体" w:hint="default"/>
                <w:sz w:val="18"/>
                <w:szCs w:val="18"/>
              </w:rPr>
            </w:pPr>
            <w:r>
              <w:rPr>
                <w:rFonts w:ascii="宋体" w:hAnsi="宋体" w:cs="宋体" w:eastAsia="宋体" w:hint="default"/>
                <w:sz w:val="18"/>
                <w:szCs w:val="18"/>
              </w:rPr>
              <w:t>15,029.12</w:t>
            </w:r>
            <w:r>
              <w:rPr>
                <w:rFonts w:ascii="宋体" w:hAnsi="宋体" w:cs="宋体" w:eastAsia="宋体" w:hint="default"/>
                <w:spacing w:val="-30"/>
                <w:sz w:val="18"/>
                <w:szCs w:val="18"/>
              </w:rPr>
              <w:t> </w:t>
            </w:r>
            <w:r>
              <w:rPr>
                <w:rFonts w:ascii="宋体" w:hAnsi="宋体" w:cs="宋体" w:eastAsia="宋体" w:hint="default"/>
                <w:sz w:val="18"/>
                <w:szCs w:val="18"/>
              </w:rPr>
              <w:t>万元。 2012</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宋体" w:hAnsi="宋体" w:cs="宋体" w:eastAsia="宋体" w:hint="default"/>
                <w:sz w:val="18"/>
                <w:szCs w:val="18"/>
              </w:rPr>
              <w:t>10</w:t>
            </w:r>
            <w:r>
              <w:rPr>
                <w:rFonts w:ascii="宋体" w:hAnsi="宋体" w:cs="宋体" w:eastAsia="宋体" w:hint="default"/>
                <w:spacing w:val="-30"/>
                <w:sz w:val="18"/>
                <w:szCs w:val="18"/>
              </w:rPr>
              <w:t> </w:t>
            </w:r>
            <w:r>
              <w:rPr>
                <w:rFonts w:ascii="宋体" w:hAnsi="宋体" w:cs="宋体" w:eastAsia="宋体" w:hint="default"/>
                <w:sz w:val="18"/>
                <w:szCs w:val="18"/>
              </w:rPr>
              <w:t>月 30</w:t>
            </w:r>
            <w:r>
              <w:rPr>
                <w:rFonts w:ascii="宋体" w:hAnsi="宋体" w:cs="宋体" w:eastAsia="宋体" w:hint="default"/>
                <w:spacing w:val="-30"/>
                <w:sz w:val="18"/>
                <w:szCs w:val="18"/>
              </w:rPr>
              <w:t> </w:t>
            </w:r>
            <w:r>
              <w:rPr>
                <w:rFonts w:ascii="宋体" w:hAnsi="宋体" w:cs="宋体" w:eastAsia="宋体" w:hint="default"/>
                <w:sz w:val="18"/>
                <w:szCs w:val="18"/>
              </w:rPr>
              <w:t>日，公司披露了《关于使用部分超募资金永久补充流动资金的公</w:t>
            </w:r>
          </w:p>
          <w:p>
            <w:pPr>
              <w:pStyle w:val="TableParagraph"/>
              <w:spacing w:line="460" w:lineRule="atLeast" w:before="8"/>
              <w:ind w:left="20" w:right="8"/>
              <w:jc w:val="both"/>
              <w:rPr>
                <w:rFonts w:ascii="宋体" w:hAnsi="宋体" w:cs="宋体" w:eastAsia="宋体" w:hint="default"/>
                <w:sz w:val="18"/>
                <w:szCs w:val="18"/>
              </w:rPr>
            </w:pPr>
            <w:r>
              <w:rPr>
                <w:rFonts w:ascii="宋体" w:hAnsi="宋体" w:cs="宋体" w:eastAsia="宋体" w:hint="default"/>
                <w:spacing w:val="-9"/>
                <w:sz w:val="18"/>
                <w:szCs w:val="18"/>
              </w:rPr>
              <w:t>告》（公告编号：（2012）1030-010），公司使用超募资金</w:t>
            </w:r>
            <w:r>
              <w:rPr>
                <w:rFonts w:ascii="宋体" w:hAnsi="宋体" w:cs="宋体" w:eastAsia="宋体" w:hint="default"/>
                <w:spacing w:val="13"/>
                <w:sz w:val="18"/>
                <w:szCs w:val="18"/>
              </w:rPr>
              <w:t> </w:t>
            </w:r>
            <w:r>
              <w:rPr>
                <w:rFonts w:ascii="宋体" w:hAnsi="宋体" w:cs="宋体" w:eastAsia="宋体" w:hint="default"/>
                <w:spacing w:val="-1"/>
                <w:sz w:val="18"/>
                <w:szCs w:val="18"/>
              </w:rPr>
              <w:t>3,000</w:t>
            </w:r>
            <w:r>
              <w:rPr>
                <w:rFonts w:ascii="宋体" w:hAnsi="宋体" w:cs="宋体" w:eastAsia="宋体" w:hint="default"/>
                <w:spacing w:val="13"/>
                <w:sz w:val="18"/>
                <w:szCs w:val="18"/>
              </w:rPr>
              <w:t> </w:t>
            </w:r>
            <w:r>
              <w:rPr>
                <w:rFonts w:ascii="宋体" w:hAnsi="宋体" w:cs="宋体" w:eastAsia="宋体" w:hint="default"/>
                <w:sz w:val="18"/>
                <w:szCs w:val="18"/>
              </w:rPr>
              <w:t>万元用于永久补充流动资金，公司承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诺在永久补充流动资金后十二个月内不进行证券投资、委托理财、衍生品投资、创业投资等高风险投</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资。上述款项公司已划转完成。</w:t>
            </w:r>
          </w:p>
        </w:tc>
      </w:tr>
      <w:tr>
        <w:trPr>
          <w:trHeight w:val="638" w:hRule="exact"/>
        </w:trPr>
        <w:tc>
          <w:tcPr>
            <w:tcW w:w="1561"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6" w:lineRule="auto" w:before="10"/>
              <w:ind w:left="13" w:right="83"/>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8007" w:type="dxa"/>
            <w:gridSpan w:val="10"/>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40" w:hRule="exact"/>
        </w:trPr>
        <w:tc>
          <w:tcPr>
            <w:tcW w:w="1561"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6" w:lineRule="auto" w:before="11"/>
              <w:ind w:left="13" w:right="83"/>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8007" w:type="dxa"/>
            <w:gridSpan w:val="10"/>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6" w:hRule="exact"/>
        </w:trPr>
        <w:tc>
          <w:tcPr>
            <w:tcW w:w="1561" w:type="dxa"/>
            <w:vMerge w:val="restart"/>
            <w:tcBorders>
              <w:top w:val="single" w:sz="6" w:space="0" w:color="000000"/>
              <w:left w:val="single" w:sz="12" w:space="0" w:color="000000"/>
              <w:right w:val="single" w:sz="6" w:space="0" w:color="000000"/>
            </w:tcBorders>
            <w:shd w:val="clear" w:color="auto" w:fill="D3D3D3"/>
          </w:tcPr>
          <w:p>
            <w:pPr>
              <w:pStyle w:val="TableParagraph"/>
              <w:spacing w:line="240" w:lineRule="auto" w:before="5"/>
              <w:ind w:right="0"/>
              <w:jc w:val="left"/>
              <w:rPr>
                <w:rFonts w:ascii="宋体" w:hAnsi="宋体" w:cs="宋体" w:eastAsia="宋体" w:hint="default"/>
                <w:sz w:val="13"/>
                <w:szCs w:val="13"/>
              </w:rPr>
            </w:pPr>
          </w:p>
          <w:p>
            <w:pPr>
              <w:pStyle w:val="TableParagraph"/>
              <w:spacing w:line="316" w:lineRule="auto"/>
              <w:ind w:left="13" w:right="83"/>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8007" w:type="dxa"/>
            <w:gridSpan w:val="10"/>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959" w:hRule="exact"/>
        </w:trPr>
        <w:tc>
          <w:tcPr>
            <w:tcW w:w="1561" w:type="dxa"/>
            <w:vMerge/>
            <w:tcBorders>
              <w:left w:val="single" w:sz="12" w:space="0" w:color="000000"/>
              <w:bottom w:val="single" w:sz="12" w:space="0" w:color="000000"/>
              <w:right w:val="single" w:sz="6" w:space="0" w:color="000000"/>
            </w:tcBorders>
            <w:shd w:val="clear" w:color="auto" w:fill="D3D3D3"/>
          </w:tcPr>
          <w:p>
            <w:pPr/>
          </w:p>
        </w:tc>
        <w:tc>
          <w:tcPr>
            <w:tcW w:w="8007" w:type="dxa"/>
            <w:gridSpan w:val="10"/>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9"/>
              <w:ind w:left="38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10</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20"/>
                <w:sz w:val="18"/>
                <w:szCs w:val="18"/>
              </w:rPr>
              <w:t> </w:t>
            </w:r>
            <w:r>
              <w:rPr>
                <w:rFonts w:ascii="宋体" w:hAnsi="宋体" w:cs="宋体" w:eastAsia="宋体" w:hint="default"/>
                <w:sz w:val="18"/>
                <w:szCs w:val="18"/>
              </w:rPr>
              <w:t>30</w:t>
            </w:r>
            <w:r>
              <w:rPr>
                <w:rFonts w:ascii="宋体" w:hAnsi="宋体" w:cs="宋体" w:eastAsia="宋体" w:hint="default"/>
                <w:spacing w:val="-56"/>
                <w:sz w:val="18"/>
                <w:szCs w:val="18"/>
              </w:rPr>
              <w:t> </w:t>
            </w:r>
            <w:r>
              <w:rPr>
                <w:rFonts w:ascii="宋体" w:hAnsi="宋体" w:cs="宋体" w:eastAsia="宋体" w:hint="default"/>
                <w:sz w:val="18"/>
                <w:szCs w:val="18"/>
              </w:rPr>
              <w:t>日，公司披露了《关于以募集资金置换预先投入募集资金投资项目的自筹资金的</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公告</w:t>
            </w:r>
            <w:r>
              <w:rPr>
                <w:rFonts w:ascii="宋体" w:hAnsi="宋体" w:cs="宋体" w:eastAsia="宋体" w:hint="default"/>
                <w:spacing w:val="-94"/>
                <w:sz w:val="18"/>
                <w:szCs w:val="18"/>
              </w:rPr>
              <w:t>》</w:t>
            </w:r>
            <w:r>
              <w:rPr>
                <w:rFonts w:ascii="宋体" w:hAnsi="宋体" w:cs="宋体" w:eastAsia="宋体" w:hint="default"/>
                <w:sz w:val="18"/>
                <w:szCs w:val="18"/>
              </w:rPr>
              <w:t>（公告编号</w:t>
            </w:r>
            <w:r>
              <w:rPr>
                <w:rFonts w:ascii="宋体" w:hAnsi="宋体" w:cs="宋体" w:eastAsia="宋体" w:hint="default"/>
                <w:spacing w:val="-94"/>
                <w:sz w:val="18"/>
                <w:szCs w:val="18"/>
              </w:rPr>
              <w:t>：</w:t>
            </w:r>
            <w:r>
              <w:rPr>
                <w:rFonts w:ascii="宋体" w:hAnsi="宋体" w:cs="宋体" w:eastAsia="宋体" w:hint="default"/>
                <w:sz w:val="18"/>
                <w:szCs w:val="18"/>
              </w:rPr>
              <w:t>（2012</w:t>
            </w:r>
            <w:r>
              <w:rPr>
                <w:rFonts w:ascii="宋体" w:hAnsi="宋体" w:cs="宋体" w:eastAsia="宋体" w:hint="default"/>
                <w:spacing w:val="-4"/>
                <w:sz w:val="18"/>
                <w:szCs w:val="18"/>
              </w:rPr>
              <w:t>）</w:t>
            </w:r>
            <w:r>
              <w:rPr>
                <w:rFonts w:ascii="宋体" w:hAnsi="宋体" w:cs="宋体" w:eastAsia="宋体" w:hint="default"/>
                <w:sz w:val="18"/>
                <w:szCs w:val="18"/>
              </w:rPr>
              <w:t>1</w:t>
            </w:r>
            <w:r>
              <w:rPr>
                <w:rFonts w:ascii="宋体" w:hAnsi="宋体" w:cs="宋体" w:eastAsia="宋体" w:hint="default"/>
                <w:spacing w:val="1"/>
                <w:sz w:val="18"/>
                <w:szCs w:val="18"/>
              </w:rPr>
              <w:t>0</w:t>
            </w:r>
            <w:r>
              <w:rPr>
                <w:rFonts w:ascii="宋体" w:hAnsi="宋体" w:cs="宋体" w:eastAsia="宋体" w:hint="default"/>
                <w:sz w:val="18"/>
                <w:szCs w:val="18"/>
              </w:rPr>
              <w:t>30-009</w:t>
            </w:r>
            <w:r>
              <w:rPr>
                <w:rFonts w:ascii="宋体" w:hAnsi="宋体" w:cs="宋体" w:eastAsia="宋体" w:hint="default"/>
                <w:spacing w:val="-90"/>
                <w:sz w:val="18"/>
                <w:szCs w:val="18"/>
              </w:rPr>
              <w:t>）</w:t>
            </w:r>
            <w:r>
              <w:rPr>
                <w:rFonts w:ascii="宋体" w:hAnsi="宋体" w:cs="宋体" w:eastAsia="宋体" w:hint="default"/>
                <w:spacing w:val="-4"/>
                <w:sz w:val="18"/>
                <w:szCs w:val="18"/>
              </w:rPr>
              <w:t>，</w:t>
            </w:r>
            <w:r>
              <w:rPr>
                <w:rFonts w:ascii="宋体" w:hAnsi="宋体" w:cs="宋体" w:eastAsia="宋体" w:hint="default"/>
                <w:sz w:val="18"/>
                <w:szCs w:val="18"/>
              </w:rPr>
              <w:t>公司使用募集资金</w:t>
            </w:r>
            <w:r>
              <w:rPr>
                <w:rFonts w:ascii="宋体" w:hAnsi="宋体" w:cs="宋体" w:eastAsia="宋体" w:hint="default"/>
                <w:spacing w:val="-46"/>
                <w:sz w:val="18"/>
                <w:szCs w:val="18"/>
              </w:rPr>
              <w:t> </w:t>
            </w:r>
            <w:r>
              <w:rPr>
                <w:rFonts w:ascii="宋体" w:hAnsi="宋体" w:cs="宋体" w:eastAsia="宋体" w:hint="default"/>
                <w:sz w:val="18"/>
                <w:szCs w:val="18"/>
              </w:rPr>
              <w:t>1,189.82 万元置换预先已投入募集资金投</w:t>
            </w:r>
          </w:p>
        </w:tc>
      </w:tr>
    </w:tbl>
    <w:p>
      <w:pPr>
        <w:spacing w:after="0" w:line="240" w:lineRule="auto"/>
        <w:jc w:val="left"/>
        <w:rPr>
          <w:rFonts w:ascii="宋体" w:hAnsi="宋体" w:cs="宋体" w:eastAsia="宋体" w:hint="default"/>
          <w:sz w:val="18"/>
          <w:szCs w:val="18"/>
        </w:rPr>
        <w:sectPr>
          <w:pgSz w:w="11910" w:h="16840"/>
          <w:pgMar w:header="747" w:footer="1003" w:top="1040" w:bottom="12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44"/>
        <w:ind w:left="0" w:right="159" w:firstLine="0"/>
        <w:jc w:val="right"/>
        <w:rPr>
          <w:rFonts w:ascii="宋体" w:hAnsi="宋体" w:cs="宋体" w:eastAsia="宋体" w:hint="default"/>
          <w:sz w:val="18"/>
          <w:szCs w:val="18"/>
        </w:rPr>
      </w:pPr>
      <w:r>
        <w:rPr/>
        <w:pict>
          <v:shape style="position:absolute;margin-left:55.919998pt;margin-top:-292.14798pt;width:480.65pt;height:326.5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1"/>
                    <w:gridCol w:w="8007"/>
                  </w:tblGrid>
                  <w:tr>
                    <w:trPr>
                      <w:trHeight w:val="958" w:hRule="exact"/>
                    </w:trPr>
                    <w:tc>
                      <w:tcPr>
                        <w:tcW w:w="1561" w:type="dxa"/>
                        <w:tcBorders>
                          <w:top w:val="single" w:sz="12" w:space="0" w:color="000000"/>
                          <w:left w:val="single" w:sz="12" w:space="0" w:color="000000"/>
                          <w:bottom w:val="single" w:sz="6" w:space="0" w:color="000000"/>
                          <w:right w:val="single" w:sz="6" w:space="0" w:color="000000"/>
                        </w:tcBorders>
                        <w:shd w:val="clear" w:color="auto" w:fill="D3D3D3"/>
                      </w:tcPr>
                      <w:p>
                        <w:pPr/>
                      </w:p>
                    </w:tc>
                    <w:tc>
                      <w:tcPr>
                        <w:tcW w:w="800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8"/>
                          <w:ind w:left="20" w:right="-1"/>
                          <w:jc w:val="left"/>
                          <w:rPr>
                            <w:rFonts w:ascii="宋体" w:hAnsi="宋体" w:cs="宋体" w:eastAsia="宋体" w:hint="default"/>
                            <w:sz w:val="18"/>
                            <w:szCs w:val="18"/>
                          </w:rPr>
                        </w:pPr>
                        <w:r>
                          <w:rPr>
                            <w:rFonts w:ascii="宋体" w:hAnsi="宋体" w:cs="宋体" w:eastAsia="宋体" w:hint="default"/>
                            <w:sz w:val="18"/>
                            <w:szCs w:val="18"/>
                          </w:rPr>
                          <w:t>资项目的自筹资金，上海众华沪银会计师事务所有限公司出具了沪众会字（2012）3221</w:t>
                        </w:r>
                        <w:r>
                          <w:rPr>
                            <w:rFonts w:ascii="宋体" w:hAnsi="宋体" w:cs="宋体" w:eastAsia="宋体" w:hint="default"/>
                            <w:spacing w:val="-46"/>
                            <w:sz w:val="18"/>
                            <w:szCs w:val="18"/>
                          </w:rPr>
                          <w:t> </w:t>
                        </w:r>
                        <w:r>
                          <w:rPr>
                            <w:rFonts w:ascii="宋体" w:hAnsi="宋体" w:cs="宋体" w:eastAsia="宋体" w:hint="default"/>
                            <w:sz w:val="18"/>
                            <w:szCs w:val="18"/>
                          </w:rPr>
                          <w:t>号鉴证报告，</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对该项情况进行了审验。该项置换工作已划转完成。</w:t>
                        </w:r>
                      </w:p>
                    </w:tc>
                  </w:tr>
                  <w:tr>
                    <w:trPr>
                      <w:trHeight w:val="326" w:hRule="exact"/>
                    </w:trPr>
                    <w:tc>
                      <w:tcPr>
                        <w:tcW w:w="1561" w:type="dxa"/>
                        <w:tcBorders>
                          <w:top w:val="single" w:sz="6" w:space="0" w:color="000000"/>
                          <w:left w:val="single" w:sz="12" w:space="0" w:color="000000"/>
                          <w:bottom w:val="nil" w:sz="6" w:space="0" w:color="auto"/>
                          <w:right w:val="single" w:sz="6" w:space="0" w:color="000000"/>
                        </w:tcBorders>
                        <w:shd w:val="clear" w:color="auto" w:fill="D3D3D3"/>
                      </w:tcPr>
                      <w:p>
                        <w:pPr/>
                      </w:p>
                    </w:tc>
                    <w:tc>
                      <w:tcPr>
                        <w:tcW w:w="80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25" w:hRule="exact"/>
                    </w:trPr>
                    <w:tc>
                      <w:tcPr>
                        <w:tcW w:w="1561" w:type="dxa"/>
                        <w:tcBorders>
                          <w:top w:val="nil" w:sz="6" w:space="0" w:color="auto"/>
                          <w:left w:val="single" w:sz="12" w:space="0" w:color="000000"/>
                          <w:bottom w:val="nil" w:sz="6" w:space="0" w:color="auto"/>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用闲置募集资金暂</w:t>
                        </w:r>
                      </w:p>
                    </w:tc>
                    <w:tc>
                      <w:tcPr>
                        <w:tcW w:w="8007" w:type="dxa"/>
                        <w:vMerge w:val="restart"/>
                        <w:tcBorders>
                          <w:top w:val="single" w:sz="6" w:space="0" w:color="000000"/>
                          <w:left w:val="single" w:sz="6" w:space="0" w:color="000000"/>
                          <w:right w:val="single" w:sz="12" w:space="0" w:color="000000"/>
                        </w:tcBorders>
                      </w:tcPr>
                      <w:p>
                        <w:pPr>
                          <w:pStyle w:val="TableParagraph"/>
                          <w:spacing w:line="477" w:lineRule="auto" w:before="89"/>
                          <w:ind w:left="20" w:right="9" w:firstLine="360"/>
                          <w:jc w:val="both"/>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30</w:t>
                        </w:r>
                        <w:r>
                          <w:rPr>
                            <w:rFonts w:ascii="宋体" w:hAnsi="宋体" w:cs="宋体" w:eastAsia="宋体" w:hint="default"/>
                            <w:spacing w:val="5"/>
                            <w:sz w:val="18"/>
                            <w:szCs w:val="18"/>
                          </w:rPr>
                          <w:t> </w:t>
                        </w:r>
                        <w:r>
                          <w:rPr>
                            <w:rFonts w:ascii="宋体" w:hAnsi="宋体" w:cs="宋体" w:eastAsia="宋体" w:hint="default"/>
                            <w:spacing w:val="-5"/>
                            <w:sz w:val="18"/>
                            <w:szCs w:val="18"/>
                          </w:rPr>
                          <w:t>日，公司披露了《关于使用部分闲置募集资金暂时补充流动资金的公告》（公告</w:t>
                        </w:r>
                        <w:r>
                          <w:rPr>
                            <w:rFonts w:ascii="宋体" w:hAnsi="宋体" w:cs="宋体" w:eastAsia="宋体" w:hint="default"/>
                            <w:sz w:val="18"/>
                            <w:szCs w:val="18"/>
                          </w:rPr>
                          <w:t> </w:t>
                        </w:r>
                        <w:r>
                          <w:rPr>
                            <w:rFonts w:ascii="宋体" w:hAnsi="宋体" w:cs="宋体" w:eastAsia="宋体" w:hint="default"/>
                            <w:spacing w:val="-4"/>
                            <w:sz w:val="18"/>
                            <w:szCs w:val="18"/>
                          </w:rPr>
                          <w:t>编号：（2012）1030-011），公司从“电力用户用电信息采集系统产能扩大建设项目”尚未使用的闲置</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募集资金中，使用</w:t>
                        </w:r>
                        <w:r>
                          <w:rPr>
                            <w:rFonts w:ascii="宋体" w:hAnsi="宋体" w:cs="宋体" w:eastAsia="宋体" w:hint="default"/>
                            <w:spacing w:val="-49"/>
                            <w:sz w:val="18"/>
                            <w:szCs w:val="18"/>
                          </w:rPr>
                          <w:t> </w:t>
                        </w:r>
                        <w:r>
                          <w:rPr>
                            <w:rFonts w:ascii="宋体" w:hAnsi="宋体" w:cs="宋体" w:eastAsia="宋体" w:hint="default"/>
                            <w:sz w:val="18"/>
                            <w:szCs w:val="18"/>
                          </w:rPr>
                          <w:t>3,000</w:t>
                        </w:r>
                        <w:r>
                          <w:rPr>
                            <w:rFonts w:ascii="宋体" w:hAnsi="宋体" w:cs="宋体" w:eastAsia="宋体" w:hint="default"/>
                            <w:spacing w:val="-6"/>
                            <w:sz w:val="18"/>
                            <w:szCs w:val="18"/>
                          </w:rPr>
                          <w:t> </w:t>
                        </w:r>
                        <w:r>
                          <w:rPr>
                            <w:rFonts w:ascii="宋体" w:hAnsi="宋体" w:cs="宋体" w:eastAsia="宋体" w:hint="default"/>
                            <w:sz w:val="18"/>
                            <w:szCs w:val="18"/>
                          </w:rPr>
                          <w:t>万元用于暂时补充流动资金，期限不超过董事会批准之日起</w:t>
                        </w:r>
                        <w:r>
                          <w:rPr>
                            <w:rFonts w:ascii="宋体" w:hAnsi="宋体" w:cs="宋体" w:eastAsia="宋体" w:hint="default"/>
                            <w:spacing w:val="-49"/>
                            <w:sz w:val="18"/>
                            <w:szCs w:val="18"/>
                          </w:rPr>
                          <w:t> </w:t>
                        </w:r>
                        <w:r>
                          <w:rPr>
                            <w:rFonts w:ascii="宋体" w:hAnsi="宋体" w:cs="宋体" w:eastAsia="宋体" w:hint="default"/>
                            <w:sz w:val="18"/>
                            <w:szCs w:val="18"/>
                          </w:rPr>
                          <w:t>6</w:t>
                        </w:r>
                        <w:r>
                          <w:rPr>
                            <w:rFonts w:ascii="宋体" w:hAnsi="宋体" w:cs="宋体" w:eastAsia="宋体" w:hint="default"/>
                            <w:spacing w:val="-49"/>
                            <w:sz w:val="18"/>
                            <w:szCs w:val="18"/>
                          </w:rPr>
                          <w:t> </w:t>
                        </w:r>
                        <w:r>
                          <w:rPr>
                            <w:rFonts w:ascii="宋体" w:hAnsi="宋体" w:cs="宋体" w:eastAsia="宋体" w:hint="default"/>
                            <w:sz w:val="18"/>
                            <w:szCs w:val="18"/>
                          </w:rPr>
                          <w:t>个月，到期将</w:t>
                        </w:r>
                      </w:p>
                      <w:p>
                        <w:pPr>
                          <w:pStyle w:val="TableParagraph"/>
                          <w:spacing w:line="240" w:lineRule="auto" w:before="54"/>
                          <w:ind w:left="20" w:right="0"/>
                          <w:jc w:val="left"/>
                          <w:rPr>
                            <w:rFonts w:ascii="宋体" w:hAnsi="宋体" w:cs="宋体" w:eastAsia="宋体" w:hint="default"/>
                            <w:sz w:val="18"/>
                            <w:szCs w:val="18"/>
                          </w:rPr>
                        </w:pPr>
                        <w:r>
                          <w:rPr>
                            <w:rFonts w:ascii="宋体" w:hAnsi="宋体" w:cs="宋体" w:eastAsia="宋体" w:hint="default"/>
                            <w:sz w:val="18"/>
                            <w:szCs w:val="18"/>
                          </w:rPr>
                          <w:t>归还至募集资金专户。该项工作已划转完成。</w:t>
                        </w:r>
                      </w:p>
                    </w:tc>
                  </w:tr>
                  <w:tr>
                    <w:trPr>
                      <w:trHeight w:val="312" w:hRule="exact"/>
                    </w:trPr>
                    <w:tc>
                      <w:tcPr>
                        <w:tcW w:w="1561" w:type="dxa"/>
                        <w:tcBorders>
                          <w:top w:val="nil" w:sz="6" w:space="0" w:color="auto"/>
                          <w:left w:val="single" w:sz="12" w:space="0" w:color="000000"/>
                          <w:bottom w:val="nil" w:sz="6" w:space="0" w:color="auto"/>
                          <w:right w:val="single" w:sz="6" w:space="0" w:color="000000"/>
                        </w:tcBorders>
                        <w:shd w:val="clear" w:color="auto" w:fill="D3D3D3"/>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时补充流动资金情</w:t>
                        </w:r>
                      </w:p>
                    </w:tc>
                    <w:tc>
                      <w:tcPr>
                        <w:tcW w:w="8007" w:type="dxa"/>
                        <w:vMerge/>
                        <w:tcBorders>
                          <w:left w:val="single" w:sz="6" w:space="0" w:color="000000"/>
                          <w:right w:val="single" w:sz="12" w:space="0" w:color="000000"/>
                        </w:tcBorders>
                      </w:tcPr>
                      <w:p>
                        <w:pPr/>
                      </w:p>
                    </w:tc>
                  </w:tr>
                  <w:tr>
                    <w:trPr>
                      <w:trHeight w:val="950" w:hRule="exact"/>
                    </w:trPr>
                    <w:tc>
                      <w:tcPr>
                        <w:tcW w:w="1561" w:type="dxa"/>
                        <w:tcBorders>
                          <w:top w:val="nil" w:sz="6" w:space="0" w:color="auto"/>
                          <w:left w:val="single" w:sz="12" w:space="0" w:color="000000"/>
                          <w:bottom w:val="single" w:sz="6" w:space="0" w:color="000000"/>
                          <w:right w:val="single" w:sz="6" w:space="0" w:color="000000"/>
                        </w:tcBorders>
                        <w:shd w:val="clear" w:color="auto" w:fill="D3D3D3"/>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况</w:t>
                        </w:r>
                      </w:p>
                    </w:tc>
                    <w:tc>
                      <w:tcPr>
                        <w:tcW w:w="8007" w:type="dxa"/>
                        <w:vMerge/>
                        <w:tcBorders>
                          <w:left w:val="single" w:sz="6" w:space="0" w:color="000000"/>
                          <w:bottom w:val="single" w:sz="6" w:space="0" w:color="000000"/>
                          <w:right w:val="single" w:sz="12" w:space="0" w:color="000000"/>
                        </w:tcBorders>
                      </w:tcPr>
                      <w:p>
                        <w:pPr/>
                      </w:p>
                    </w:tc>
                  </w:tr>
                  <w:tr>
                    <w:trPr>
                      <w:trHeight w:val="319" w:hRule="exact"/>
                    </w:trPr>
                    <w:tc>
                      <w:tcPr>
                        <w:tcW w:w="1561" w:type="dxa"/>
                        <w:tcBorders>
                          <w:top w:val="single" w:sz="6" w:space="0" w:color="000000"/>
                          <w:left w:val="single" w:sz="12" w:space="0" w:color="000000"/>
                          <w:bottom w:val="nil" w:sz="6" w:space="0" w:color="auto"/>
                          <w:right w:val="single" w:sz="6" w:space="0" w:color="000000"/>
                        </w:tcBorders>
                        <w:shd w:val="clear" w:color="auto" w:fill="D3D3D3"/>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项目实施出现募集</w:t>
                        </w:r>
                      </w:p>
                    </w:tc>
                    <w:tc>
                      <w:tcPr>
                        <w:tcW w:w="8007" w:type="dxa"/>
                        <w:tcBorders>
                          <w:top w:val="single" w:sz="6" w:space="0" w:color="000000"/>
                          <w:left w:val="single" w:sz="6" w:space="0" w:color="000000"/>
                          <w:bottom w:val="nil" w:sz="6" w:space="0" w:color="auto"/>
                          <w:right w:val="single" w:sz="12" w:space="0" w:color="000000"/>
                        </w:tcBorders>
                      </w:tcPr>
                      <w:p>
                        <w:pPr/>
                      </w:p>
                    </w:tc>
                  </w:tr>
                  <w:tr>
                    <w:trPr>
                      <w:trHeight w:val="312" w:hRule="exact"/>
                    </w:trPr>
                    <w:tc>
                      <w:tcPr>
                        <w:tcW w:w="1561" w:type="dxa"/>
                        <w:tcBorders>
                          <w:top w:val="nil" w:sz="6" w:space="0" w:color="auto"/>
                          <w:left w:val="single" w:sz="12" w:space="0" w:color="000000"/>
                          <w:bottom w:val="nil" w:sz="6" w:space="0" w:color="auto"/>
                          <w:right w:val="single" w:sz="6" w:space="0" w:color="000000"/>
                        </w:tcBorders>
                        <w:shd w:val="clear" w:color="auto" w:fill="D3D3D3"/>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资金结余的金额及</w:t>
                        </w:r>
                      </w:p>
                    </w:tc>
                    <w:tc>
                      <w:tcPr>
                        <w:tcW w:w="8007" w:type="dxa"/>
                        <w:tcBorders>
                          <w:top w:val="nil" w:sz="6" w:space="0" w:color="auto"/>
                          <w:left w:val="single" w:sz="6" w:space="0" w:color="000000"/>
                          <w:bottom w:val="nil" w:sz="6" w:space="0" w:color="auto"/>
                          <w:right w:val="single" w:sz="12"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9" w:hRule="exact"/>
                    </w:trPr>
                    <w:tc>
                      <w:tcPr>
                        <w:tcW w:w="1561" w:type="dxa"/>
                        <w:tcBorders>
                          <w:top w:val="nil" w:sz="6" w:space="0" w:color="auto"/>
                          <w:left w:val="single" w:sz="12" w:space="0" w:color="000000"/>
                          <w:bottom w:val="single" w:sz="6" w:space="0" w:color="000000"/>
                          <w:right w:val="single" w:sz="6" w:space="0" w:color="000000"/>
                        </w:tcBorders>
                        <w:shd w:val="clear" w:color="auto" w:fill="D3D3D3"/>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原因</w:t>
                        </w:r>
                      </w:p>
                    </w:tc>
                    <w:tc>
                      <w:tcPr>
                        <w:tcW w:w="8007" w:type="dxa"/>
                        <w:tcBorders>
                          <w:top w:val="nil" w:sz="6" w:space="0" w:color="auto"/>
                          <w:left w:val="single" w:sz="6" w:space="0" w:color="000000"/>
                          <w:bottom w:val="single" w:sz="6" w:space="0" w:color="000000"/>
                          <w:right w:val="single" w:sz="12" w:space="0" w:color="000000"/>
                        </w:tcBorders>
                      </w:tcPr>
                      <w:p>
                        <w:pPr/>
                      </w:p>
                    </w:tc>
                  </w:tr>
                  <w:tr>
                    <w:trPr>
                      <w:trHeight w:val="399" w:hRule="exact"/>
                    </w:trPr>
                    <w:tc>
                      <w:tcPr>
                        <w:tcW w:w="1561" w:type="dxa"/>
                        <w:tcBorders>
                          <w:top w:val="single" w:sz="6" w:space="0" w:color="000000"/>
                          <w:left w:val="single" w:sz="12" w:space="0" w:color="000000"/>
                          <w:bottom w:val="nil" w:sz="6" w:space="0" w:color="auto"/>
                          <w:right w:val="single" w:sz="6" w:space="0" w:color="000000"/>
                        </w:tcBorders>
                        <w:shd w:val="clear" w:color="auto" w:fill="D3D3D3"/>
                      </w:tcPr>
                      <w:p>
                        <w:pPr/>
                      </w:p>
                    </w:tc>
                    <w:tc>
                      <w:tcPr>
                        <w:tcW w:w="8007" w:type="dxa"/>
                        <w:tcBorders>
                          <w:top w:val="single" w:sz="6" w:space="0" w:color="000000"/>
                          <w:left w:val="single" w:sz="6" w:space="0" w:color="000000"/>
                          <w:bottom w:val="nil" w:sz="6" w:space="0" w:color="auto"/>
                          <w:right w:val="single" w:sz="12" w:space="0" w:color="000000"/>
                        </w:tcBorders>
                      </w:tcPr>
                      <w:p>
                        <w:pPr>
                          <w:pStyle w:val="TableParagraph"/>
                          <w:spacing w:line="240" w:lineRule="auto" w:before="89"/>
                          <w:ind w:left="380" w:right="0"/>
                          <w:jc w:val="left"/>
                          <w:rPr>
                            <w:rFonts w:ascii="宋体" w:hAnsi="宋体" w:cs="宋体" w:eastAsia="宋体" w:hint="default"/>
                            <w:sz w:val="18"/>
                            <w:szCs w:val="18"/>
                          </w:rPr>
                        </w:pPr>
                        <w:r>
                          <w:rPr>
                            <w:rFonts w:ascii="宋体" w:hAnsi="宋体" w:cs="宋体" w:eastAsia="宋体" w:hint="default"/>
                            <w:sz w:val="18"/>
                            <w:szCs w:val="18"/>
                          </w:rPr>
                          <w:t>公司尚未使用的募集资金将用于募投项目后续资金支付，募集资金存放于公司在招商银行股份有</w:t>
                        </w:r>
                      </w:p>
                    </w:tc>
                  </w:tr>
                  <w:tr>
                    <w:trPr>
                      <w:trHeight w:val="624" w:hRule="exact"/>
                    </w:trPr>
                    <w:tc>
                      <w:tcPr>
                        <w:tcW w:w="1561" w:type="dxa"/>
                        <w:tcBorders>
                          <w:top w:val="nil" w:sz="6" w:space="0" w:color="auto"/>
                          <w:left w:val="single" w:sz="12" w:space="0" w:color="000000"/>
                          <w:bottom w:val="nil" w:sz="6" w:space="0" w:color="auto"/>
                          <w:right w:val="single" w:sz="6" w:space="0" w:color="000000"/>
                        </w:tcBorders>
                        <w:shd w:val="clear" w:color="auto" w:fill="D3D3D3"/>
                      </w:tcPr>
                      <w:p>
                        <w:pPr>
                          <w:pStyle w:val="TableParagraph"/>
                          <w:spacing w:line="316" w:lineRule="auto" w:before="10"/>
                          <w:ind w:left="13" w:right="83"/>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8007" w:type="dxa"/>
                        <w:tcBorders>
                          <w:top w:val="nil" w:sz="6" w:space="0" w:color="auto"/>
                          <w:left w:val="single" w:sz="6" w:space="0" w:color="000000"/>
                          <w:bottom w:val="nil" w:sz="6" w:space="0" w:color="auto"/>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限公司南京月牙湖支行、南京银行股份有限公司城南支行以及中信银行股份有限公司苏州分行营业部</w:t>
                        </w:r>
                      </w:p>
                    </w:tc>
                  </w:tr>
                  <w:tr>
                    <w:trPr>
                      <w:trHeight w:val="397" w:hRule="exact"/>
                    </w:trPr>
                    <w:tc>
                      <w:tcPr>
                        <w:tcW w:w="1561" w:type="dxa"/>
                        <w:tcBorders>
                          <w:top w:val="nil" w:sz="6" w:space="0" w:color="auto"/>
                          <w:left w:val="single" w:sz="12" w:space="0" w:color="000000"/>
                          <w:bottom w:val="single" w:sz="6" w:space="0" w:color="000000"/>
                          <w:right w:val="single" w:sz="6" w:space="0" w:color="000000"/>
                        </w:tcBorders>
                        <w:shd w:val="clear" w:color="auto" w:fill="D3D3D3"/>
                      </w:tcPr>
                      <w:p>
                        <w:pPr/>
                      </w:p>
                    </w:tc>
                    <w:tc>
                      <w:tcPr>
                        <w:tcW w:w="8007" w:type="dxa"/>
                        <w:tcBorders>
                          <w:top w:val="nil" w:sz="6" w:space="0" w:color="auto"/>
                          <w:left w:val="single" w:sz="6" w:space="0" w:color="000000"/>
                          <w:bottom w:val="single" w:sz="6" w:space="0" w:color="000000"/>
                          <w:right w:val="single" w:sz="12"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设立的募集资金专用账户。</w:t>
                        </w:r>
                      </w:p>
                    </w:tc>
                  </w:tr>
                  <w:tr>
                    <w:trPr>
                      <w:trHeight w:val="319" w:hRule="exact"/>
                    </w:trPr>
                    <w:tc>
                      <w:tcPr>
                        <w:tcW w:w="1561" w:type="dxa"/>
                        <w:tcBorders>
                          <w:top w:val="single" w:sz="6" w:space="0" w:color="000000"/>
                          <w:left w:val="single" w:sz="12" w:space="0" w:color="000000"/>
                          <w:bottom w:val="nil" w:sz="6" w:space="0" w:color="auto"/>
                          <w:right w:val="single" w:sz="6" w:space="0" w:color="000000"/>
                        </w:tcBorders>
                        <w:shd w:val="clear" w:color="auto" w:fill="D3D3D3"/>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募集资金使用及披</w:t>
                        </w:r>
                      </w:p>
                    </w:tc>
                    <w:tc>
                      <w:tcPr>
                        <w:tcW w:w="8007" w:type="dxa"/>
                        <w:tcBorders>
                          <w:top w:val="single" w:sz="6" w:space="0" w:color="000000"/>
                          <w:left w:val="single" w:sz="6" w:space="0" w:color="000000"/>
                          <w:bottom w:val="nil" w:sz="6" w:space="0" w:color="auto"/>
                          <w:right w:val="single" w:sz="12" w:space="0" w:color="000000"/>
                        </w:tcBorders>
                      </w:tcPr>
                      <w:p>
                        <w:pPr/>
                      </w:p>
                    </w:tc>
                  </w:tr>
                  <w:tr>
                    <w:trPr>
                      <w:trHeight w:val="312" w:hRule="exact"/>
                    </w:trPr>
                    <w:tc>
                      <w:tcPr>
                        <w:tcW w:w="1561" w:type="dxa"/>
                        <w:tcBorders>
                          <w:top w:val="nil" w:sz="6" w:space="0" w:color="auto"/>
                          <w:left w:val="single" w:sz="12" w:space="0" w:color="000000"/>
                          <w:bottom w:val="nil" w:sz="6" w:space="0" w:color="auto"/>
                          <w:right w:val="single" w:sz="6" w:space="0" w:color="000000"/>
                        </w:tcBorders>
                        <w:shd w:val="clear" w:color="auto" w:fill="D3D3D3"/>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露中存在的问题或</w:t>
                        </w:r>
                      </w:p>
                    </w:tc>
                    <w:tc>
                      <w:tcPr>
                        <w:tcW w:w="8007" w:type="dxa"/>
                        <w:tcBorders>
                          <w:top w:val="nil" w:sz="6" w:space="0" w:color="auto"/>
                          <w:left w:val="single" w:sz="6" w:space="0" w:color="000000"/>
                          <w:bottom w:val="nil" w:sz="6" w:space="0" w:color="auto"/>
                          <w:right w:val="single" w:sz="12" w:space="0" w:color="000000"/>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pacing w:val="-4"/>
                            <w:sz w:val="18"/>
                            <w:szCs w:val="18"/>
                          </w:rPr>
                          <w:t>报告期内，公司募集资金不存在未按规定使用以及相关信息未及时、真实、准确、完整披露的情况</w:t>
                        </w:r>
                      </w:p>
                    </w:tc>
                  </w:tr>
                  <w:tr>
                    <w:trPr>
                      <w:trHeight w:val="327" w:hRule="exact"/>
                    </w:trPr>
                    <w:tc>
                      <w:tcPr>
                        <w:tcW w:w="1561" w:type="dxa"/>
                        <w:tcBorders>
                          <w:top w:val="nil" w:sz="6" w:space="0" w:color="auto"/>
                          <w:left w:val="single" w:sz="12" w:space="0" w:color="000000"/>
                          <w:bottom w:val="single" w:sz="12" w:space="0" w:color="000000"/>
                          <w:right w:val="single" w:sz="6" w:space="0" w:color="000000"/>
                        </w:tcBorders>
                        <w:shd w:val="clear" w:color="auto" w:fill="D3D3D3"/>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其他情况</w:t>
                        </w:r>
                      </w:p>
                    </w:tc>
                    <w:tc>
                      <w:tcPr>
                        <w:tcW w:w="8007" w:type="dxa"/>
                        <w:tcBorders>
                          <w:top w:val="nil" w:sz="6" w:space="0" w:color="auto"/>
                          <w:left w:val="single" w:sz="6" w:space="0" w:color="000000"/>
                          <w:bottom w:val="single" w:sz="12" w:space="0" w:color="000000"/>
                          <w:right w:val="single" w:sz="12"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2"/>
        <w:spacing w:line="240" w:lineRule="auto"/>
        <w:ind w:right="132"/>
        <w:jc w:val="left"/>
        <w:rPr>
          <w:b w:val="0"/>
          <w:bCs w:val="0"/>
        </w:rPr>
      </w:pPr>
      <w:r>
        <w:rPr/>
        <w:t>6、主要控股参股公司分析</w:t>
      </w:r>
      <w:r>
        <w:rPr>
          <w:b w:val="0"/>
          <w:bCs w:val="0"/>
        </w:rPr>
      </w:r>
    </w:p>
    <w:p>
      <w:pPr>
        <w:spacing w:line="240" w:lineRule="auto" w:before="11"/>
        <w:rPr>
          <w:rFonts w:ascii="宋体" w:hAnsi="宋体" w:cs="宋体" w:eastAsia="宋体" w:hint="default"/>
          <w:b/>
          <w:bCs/>
          <w:sz w:val="28"/>
          <w:szCs w:val="28"/>
        </w:rPr>
      </w:pPr>
    </w:p>
    <w:p>
      <w:pPr>
        <w:pStyle w:val="Heading3"/>
        <w:spacing w:line="357" w:lineRule="auto" w:before="0"/>
        <w:ind w:right="147" w:firstLine="374"/>
        <w:jc w:val="both"/>
      </w:pPr>
      <w:r>
        <w:rPr/>
        <w:t>江苏苏源光一科技有限公司（简称“苏源光一”）系公司全资子公司，于2003年9月29日 </w:t>
      </w:r>
      <w:r>
        <w:rPr>
          <w:spacing w:val="-3"/>
        </w:rPr>
        <w:t>成立，注册资本3,000万元，经营范围为：电子产品、机电产品、电子计算机应用系统、网络</w:t>
      </w:r>
      <w:r>
        <w:rPr>
          <w:spacing w:val="-112"/>
        </w:rPr>
        <w:t> </w:t>
      </w:r>
      <w:r>
        <w:rPr>
          <w:spacing w:val="-112"/>
        </w:rPr>
      </w:r>
      <w:r>
        <w:rPr/>
        <w:t>工程的开发、转让工程安装服务；电子计算机软件系统开发、生产、销售；电子系统产品开</w:t>
      </w:r>
      <w:r>
        <w:rPr>
          <w:spacing w:val="-83"/>
        </w:rPr>
        <w:t> </w:t>
      </w:r>
      <w:r>
        <w:rPr>
          <w:spacing w:val="-83"/>
        </w:rPr>
      </w:r>
      <w:r>
        <w:rPr>
          <w:spacing w:val="-5"/>
        </w:rPr>
        <w:t>发、研制、销售与工程服务；计算机及配件、家电及配件销售；为技术合同签定方代购器材、</w:t>
      </w:r>
      <w:r>
        <w:rPr/>
        <w:t> 设备；电力负荷管理终端、配变监测终端生产。</w:t>
      </w:r>
    </w:p>
    <w:p>
      <w:pPr>
        <w:pStyle w:val="Heading3"/>
        <w:spacing w:line="357" w:lineRule="auto"/>
        <w:ind w:right="147" w:firstLine="374"/>
        <w:jc w:val="both"/>
      </w:pPr>
      <w:r>
        <w:rPr>
          <w:spacing w:val="2"/>
        </w:rPr>
        <w:t>经上海众华沪银会计师事务所有限公司审计，截至2012年12月31日，苏源光一总资产为</w:t>
      </w:r>
      <w:r>
        <w:rPr>
          <w:spacing w:val="3"/>
        </w:rPr>
        <w:t> </w:t>
      </w:r>
      <w:r>
        <w:rPr/>
        <w:t>9,861.46万元、净资产为5,743.21万元；2012年度实现主营业务收入8,348.10万元、营业利</w:t>
      </w:r>
      <w:r>
        <w:rPr>
          <w:spacing w:val="-106"/>
        </w:rPr>
        <w:t> </w:t>
      </w:r>
      <w:r>
        <w:rPr>
          <w:spacing w:val="-106"/>
        </w:rPr>
      </w:r>
      <w:r>
        <w:rPr/>
        <w:t>润3,325.19万元、净利润3,221.22万元。2012年下半年开始,因业务发展需要,公司对母子公</w:t>
      </w:r>
      <w:r>
        <w:rPr>
          <w:spacing w:val="-96"/>
        </w:rPr>
        <w:t> </w:t>
      </w:r>
      <w:r>
        <w:rPr>
          <w:spacing w:val="-96"/>
        </w:rPr>
      </w:r>
      <w:r>
        <w:rPr/>
        <w:t>司的经营模式进行了调整,由苏源光一负责研发并向母公司销售软件产品。因此,苏源光一在</w:t>
      </w:r>
      <w:r>
        <w:rPr>
          <w:spacing w:val="-98"/>
        </w:rPr>
        <w:t> </w:t>
      </w:r>
      <w:r>
        <w:rPr>
          <w:spacing w:val="-98"/>
        </w:rPr>
      </w:r>
      <w:r>
        <w:rPr/>
        <w:t>2012年实现了较高的利润。</w:t>
      </w:r>
    </w:p>
    <w:p>
      <w:pPr>
        <w:pStyle w:val="Heading3"/>
        <w:spacing w:line="240" w:lineRule="auto"/>
        <w:ind w:left="528" w:right="132"/>
        <w:jc w:val="left"/>
      </w:pPr>
      <w:r>
        <w:rPr/>
        <w:t>报告期内，公司无取得和处置子公司的情况。</w:t>
      </w:r>
    </w:p>
    <w:p>
      <w:pPr>
        <w:spacing w:after="0" w:line="240" w:lineRule="auto"/>
        <w:jc w:val="left"/>
        <w:sectPr>
          <w:pgSz w:w="11910" w:h="16840"/>
          <w:pgMar w:header="747" w:footer="1003" w:top="1040" w:bottom="1200" w:left="980" w:right="980"/>
        </w:sectPr>
      </w:pPr>
    </w:p>
    <w:p>
      <w:pPr>
        <w:spacing w:line="240" w:lineRule="auto" w:before="6"/>
        <w:rPr>
          <w:rFonts w:ascii="宋体" w:hAnsi="宋体" w:cs="宋体" w:eastAsia="宋体" w:hint="default"/>
          <w:sz w:val="24"/>
          <w:szCs w:val="24"/>
        </w:rPr>
      </w:pPr>
    </w:p>
    <w:p>
      <w:pPr>
        <w:pStyle w:val="Heading2"/>
        <w:spacing w:line="240" w:lineRule="auto"/>
        <w:ind w:right="132"/>
        <w:jc w:val="left"/>
        <w:rPr>
          <w:b w:val="0"/>
          <w:bCs w:val="0"/>
        </w:rPr>
      </w:pPr>
      <w:r>
        <w:rPr/>
        <w:t>三、公司未来发展的展望</w:t>
      </w:r>
      <w:r>
        <w:rPr>
          <w:b w:val="0"/>
          <w:bCs w:val="0"/>
        </w:rPr>
      </w:r>
    </w:p>
    <w:p>
      <w:pPr>
        <w:spacing w:line="240" w:lineRule="auto" w:before="10"/>
        <w:rPr>
          <w:rFonts w:ascii="宋体" w:hAnsi="宋体" w:cs="宋体" w:eastAsia="宋体" w:hint="default"/>
          <w:b/>
          <w:bCs/>
          <w:sz w:val="28"/>
          <w:szCs w:val="28"/>
        </w:rPr>
      </w:pPr>
    </w:p>
    <w:p>
      <w:pPr>
        <w:pStyle w:val="Heading3"/>
        <w:spacing w:line="357" w:lineRule="auto" w:before="0"/>
        <w:ind w:left="577" w:right="132"/>
        <w:jc w:val="left"/>
      </w:pPr>
      <w:r>
        <w:rPr/>
        <w:t>（一）公司所处行业竞争格局和趋势 </w:t>
      </w:r>
      <w:r>
        <w:rPr>
          <w:spacing w:val="2"/>
        </w:rPr>
        <w:t>根据国家《十二五智能化规划》总体要求，国家发改委、工业信息化部、科学技术部相</w:t>
      </w:r>
      <w:r>
        <w:rPr/>
      </w:r>
    </w:p>
    <w:p>
      <w:pPr>
        <w:pStyle w:val="Heading3"/>
        <w:spacing w:line="357" w:lineRule="auto"/>
        <w:ind w:left="0" w:right="146"/>
        <w:jc w:val="right"/>
      </w:pPr>
      <w:r>
        <w:rPr/>
        <w:t>继出台了《智能电网重大科技产业化工程“十二五”专项规划》、《关于做好工业领域电力</w:t>
      </w:r>
      <w:r>
        <w:rPr>
          <w:spacing w:val="-96"/>
        </w:rPr>
        <w:t> </w:t>
      </w:r>
      <w:r>
        <w:rPr>
          <w:spacing w:val="-96"/>
        </w:rPr>
      </w:r>
      <w:r>
        <w:rPr/>
        <w:t>需求侧管理工作的指导意见》、《电力需求侧管理办法》等相关规划和办法，明确提出了我</w:t>
      </w:r>
      <w:r>
        <w:rPr>
          <w:spacing w:val="-96"/>
        </w:rPr>
        <w:t> </w:t>
      </w:r>
      <w:r>
        <w:rPr>
          <w:spacing w:val="-96"/>
        </w:rPr>
      </w:r>
      <w:r>
        <w:rPr/>
        <w:t>国要在核心技术研发与产业化、关键标准研究与制定、产业链条建立与完善、重大应用示范</w:t>
      </w:r>
      <w:r>
        <w:rPr>
          <w:spacing w:val="-96"/>
        </w:rPr>
        <w:t> </w:t>
      </w:r>
      <w:r>
        <w:rPr>
          <w:spacing w:val="-96"/>
        </w:rPr>
      </w:r>
      <w:r>
        <w:rPr/>
        <w:t>与推广等方面取得显著成效，初步形成创新驱动、应用牵引、协同发展、安全可控的物联网</w:t>
      </w:r>
      <w:r>
        <w:rPr>
          <w:spacing w:val="-96"/>
        </w:rPr>
        <w:t> </w:t>
      </w:r>
      <w:r>
        <w:rPr>
          <w:spacing w:val="-96"/>
        </w:rPr>
      </w:r>
      <w:r>
        <w:rPr/>
        <w:t>发展格局；指明，以能源多元化、清洁化为方向，以优化能源结构、推进能源战略转型为目</w:t>
      </w:r>
      <w:r>
        <w:rPr>
          <w:spacing w:val="-96"/>
        </w:rPr>
        <w:t> </w:t>
      </w:r>
      <w:r>
        <w:rPr>
          <w:spacing w:val="-96"/>
        </w:rPr>
      </w:r>
      <w:r>
        <w:rPr/>
        <w:t>标，以清洁能源和智能电网为特征的新一轮能源变革正在全球范围推进。智能电网在其中发</w:t>
      </w:r>
      <w:r>
        <w:rPr>
          <w:spacing w:val="-96"/>
        </w:rPr>
        <w:t> </w:t>
      </w:r>
      <w:r>
        <w:rPr>
          <w:spacing w:val="-96"/>
        </w:rPr>
      </w:r>
      <w:r>
        <w:rPr>
          <w:spacing w:val="-3"/>
        </w:rPr>
        <w:t>挥着核心和引领作用，并已成为未来电网发展趋势;“十二五”将重点培育九大重点领域分别</w:t>
      </w:r>
      <w:r>
        <w:rPr>
          <w:spacing w:val="-96"/>
        </w:rPr>
        <w:t> </w:t>
      </w:r>
      <w:r>
        <w:rPr>
          <w:spacing w:val="-96"/>
        </w:rPr>
      </w:r>
      <w:r>
        <w:rPr>
          <w:spacing w:val="-5"/>
        </w:rPr>
        <w:t>是智能工业、智能农业、智能物流、智能交通、智能电网、智能环保、智能安防、智能医疗、</w:t>
      </w:r>
      <w:r>
        <w:rPr/>
        <w:t> 智能家居。在此指引下，国家电网公司也研究制定了《国家电网公司“十二五”电网智能化</w:t>
      </w:r>
      <w:r>
        <w:rPr>
          <w:spacing w:val="-96"/>
        </w:rPr>
        <w:t> </w:t>
      </w:r>
      <w:r>
        <w:rPr>
          <w:spacing w:val="-96"/>
        </w:rPr>
      </w:r>
      <w:r>
        <w:rPr/>
        <w:t>规划》、《统一坚强智能电网发展规划纲要》、《统一智能电网综合研究报告》、《国家电</w:t>
      </w:r>
      <w:r>
        <w:rPr>
          <w:spacing w:val="-96"/>
        </w:rPr>
        <w:t> </w:t>
      </w:r>
      <w:r>
        <w:rPr>
          <w:spacing w:val="-96"/>
        </w:rPr>
      </w:r>
      <w:r>
        <w:rPr/>
        <w:t>网总体规划设计》、《统一坚强智能电网第一阶段重点项目实施方案综合报告》等相应的规</w:t>
      </w:r>
      <w:r>
        <w:rPr>
          <w:spacing w:val="-96"/>
        </w:rPr>
        <w:t> </w:t>
      </w:r>
      <w:r>
        <w:rPr>
          <w:spacing w:val="-96"/>
        </w:rPr>
      </w:r>
      <w:r>
        <w:rPr/>
        <w:t>划并具体实施,</w:t>
      </w:r>
      <w:r>
        <w:rPr>
          <w:spacing w:val="20"/>
        </w:rPr>
        <w:t> </w:t>
      </w:r>
      <w:r>
        <w:rPr/>
        <w:t>特别是党的十八大报告中对生态文明、城镇化进程、智慧城市以及美丽中国</w:t>
      </w:r>
      <w:r>
        <w:rPr>
          <w:spacing w:val="1"/>
        </w:rPr>
        <w:t> </w:t>
      </w:r>
      <w:r>
        <w:rPr/>
        <w:t>概念的提出，更加明确了这一战略方向。智能电网从2009年——2010年的规划试点阶段已进</w:t>
      </w:r>
      <w:r>
        <w:rPr/>
        <w:t> 入到现在的全面建设阶段。作为智能电网信息化基础的用电信息采集系统，已是现阶段我国</w:t>
      </w:r>
      <w:r>
        <w:rPr>
          <w:spacing w:val="-96"/>
        </w:rPr>
        <w:t> </w:t>
      </w:r>
      <w:r>
        <w:rPr>
          <w:spacing w:val="-96"/>
        </w:rPr>
      </w:r>
      <w:r>
        <w:rPr/>
        <w:t>智能电网建设的重点之一，公司所处智能用电信息采集这一行业也因此得到了快速的发展。</w:t>
      </w:r>
      <w:r>
        <w:rPr/>
        <w:t> </w:t>
      </w:r>
      <w:r>
        <w:rPr>
          <w:spacing w:val="2"/>
        </w:rPr>
        <w:t>公司是国内最早从事用电信息采集全业务链的公司之一，积累了丰富的产品、技术经验</w:t>
      </w:r>
      <w:r>
        <w:rPr>
          <w:spacing w:val="2"/>
        </w:rPr>
        <w:t> </w:t>
      </w:r>
      <w:r>
        <w:rPr/>
        <w:t>和技术成果，拥有多项专利和软件著作权，并参与了相关行业标准的讨论与制定，特别是在</w:t>
      </w:r>
      <w:r>
        <w:rPr>
          <w:spacing w:val="-96"/>
        </w:rPr>
        <w:t> </w:t>
      </w:r>
      <w:r>
        <w:rPr>
          <w:spacing w:val="-96"/>
        </w:rPr>
      </w:r>
      <w:r>
        <w:rPr/>
        <w:t>核心业务——低压居民用户集中抄表方面，有着丰富的系统经验和技术沉淀，在该领域形成</w:t>
      </w:r>
      <w:r>
        <w:rPr>
          <w:spacing w:val="-96"/>
        </w:rPr>
        <w:t> </w:t>
      </w:r>
      <w:r>
        <w:rPr>
          <w:spacing w:val="-96"/>
        </w:rPr>
      </w:r>
      <w:r>
        <w:rPr/>
        <w:t>了一只专业化、知识化富有创造力团队，在信息采集领域已稳居行业第一梯队，在技术创新</w:t>
      </w:r>
      <w:r>
        <w:rPr>
          <w:spacing w:val="-96"/>
        </w:rPr>
        <w:t> </w:t>
      </w:r>
      <w:r>
        <w:rPr>
          <w:spacing w:val="-96"/>
        </w:rPr>
      </w:r>
      <w:r>
        <w:rPr/>
        <w:t>能力上也是行业领先，在信息采集系统建设方面具有完整的一体化业务链能力和大规模实施</w:t>
      </w:r>
      <w:r>
        <w:rPr>
          <w:spacing w:val="-96"/>
        </w:rPr>
        <w:t> </w:t>
      </w:r>
      <w:r>
        <w:rPr>
          <w:spacing w:val="-96"/>
        </w:rPr>
      </w:r>
      <w:r>
        <w:rPr/>
        <w:t>经验，并在此基础上形成了不断增长的特色增值业务，在用电信息采集全面建设完成以后，</w:t>
      </w:r>
    </w:p>
    <w:p>
      <w:pPr>
        <w:pStyle w:val="Heading3"/>
        <w:spacing w:line="240" w:lineRule="auto"/>
        <w:ind w:right="132"/>
        <w:jc w:val="left"/>
      </w:pPr>
      <w:r>
        <w:rPr/>
        <w:t>将更加凸显公司这一优势，以形成用电信息采集的深化应用。</w:t>
      </w:r>
    </w:p>
    <w:p>
      <w:pPr>
        <w:pStyle w:val="Heading3"/>
        <w:spacing w:line="357" w:lineRule="auto" w:before="154"/>
        <w:ind w:left="633" w:right="132" w:hanging="57"/>
        <w:jc w:val="left"/>
      </w:pPr>
      <w:r>
        <w:rPr/>
        <w:t>（二）公司未来发展战略及2013年经营计划 </w:t>
      </w:r>
      <w:r>
        <w:rPr>
          <w:spacing w:val="-3"/>
        </w:rPr>
        <w:t>1、公司的战略目标是信息采集行业领导者。未来，公司将以智能用电信息采集的系统建</w:t>
      </w:r>
    </w:p>
    <w:p>
      <w:pPr>
        <w:pStyle w:val="Heading3"/>
        <w:spacing w:line="357" w:lineRule="auto"/>
        <w:ind w:left="0" w:right="148"/>
        <w:jc w:val="right"/>
      </w:pPr>
      <w:r>
        <w:rPr/>
        <w:t>设与运用为契机，秉承公司“把握信息之源、创造客户价值”的企业宗旨，围绕信息采集、</w:t>
      </w:r>
      <w:r>
        <w:rPr>
          <w:spacing w:val="-94"/>
        </w:rPr>
        <w:t> </w:t>
      </w:r>
      <w:r>
        <w:rPr>
          <w:spacing w:val="-94"/>
        </w:rPr>
      </w:r>
      <w:r>
        <w:rPr/>
        <w:t>传输、处理、运用的业务模式，进行信息采集技术的深化研究与业务运用，向信息采集业务</w:t>
      </w:r>
    </w:p>
    <w:p>
      <w:pPr>
        <w:spacing w:after="0" w:line="357" w:lineRule="auto"/>
        <w:jc w:val="right"/>
        <w:sectPr>
          <w:pgSz w:w="11910" w:h="16840"/>
          <w:pgMar w:header="747" w:footer="1003" w:top="1040" w:bottom="1200" w:left="980" w:right="980"/>
        </w:sectPr>
      </w:pPr>
    </w:p>
    <w:p>
      <w:pPr>
        <w:spacing w:line="240" w:lineRule="auto" w:before="0"/>
        <w:rPr>
          <w:rFonts w:ascii="宋体" w:hAnsi="宋体" w:cs="宋体" w:eastAsia="宋体" w:hint="default"/>
          <w:sz w:val="20"/>
          <w:szCs w:val="20"/>
        </w:rPr>
      </w:pPr>
    </w:p>
    <w:p>
      <w:pPr>
        <w:pStyle w:val="Heading3"/>
        <w:spacing w:line="357" w:lineRule="auto" w:before="161"/>
        <w:ind w:right="106"/>
        <w:jc w:val="left"/>
      </w:pPr>
      <w:r>
        <w:rPr/>
        <w:t>的纵深和领域扩张，为未来大规模的物联网发展奠定基础、抢占先机，抓住城镇化发展、智</w:t>
      </w:r>
      <w:r>
        <w:rPr>
          <w:spacing w:val="-83"/>
        </w:rPr>
        <w:t> </w:t>
      </w:r>
      <w:r>
        <w:rPr>
          <w:spacing w:val="-83"/>
        </w:rPr>
      </w:r>
      <w:r>
        <w:rPr/>
        <w:t>慧城市和美丽中国建设的历史机遇，实现公司信息采集行业领导者的战略目标。</w:t>
      </w:r>
    </w:p>
    <w:p>
      <w:pPr>
        <w:pStyle w:val="Heading3"/>
        <w:spacing w:line="357" w:lineRule="auto"/>
        <w:ind w:right="106" w:firstLine="480"/>
        <w:jc w:val="left"/>
      </w:pPr>
      <w:r>
        <w:rPr/>
        <w:t>2、2013年，公司将充分发挥用电信息采集系统建设中所积累的技术、人才、管理优势， </w:t>
      </w:r>
      <w:r>
        <w:rPr>
          <w:spacing w:val="-5"/>
        </w:rPr>
        <w:t>特别是成功上市后的资本和品牌优势，结合自身的优势和特点，按照公司提出的“创新驱动、</w:t>
      </w:r>
      <w:r>
        <w:rPr/>
        <w:t> 资本助力，一体两翼、协调发展”的战略部署，在以下方面持续推进：</w:t>
      </w:r>
    </w:p>
    <w:p>
      <w:pPr>
        <w:pStyle w:val="Heading3"/>
        <w:spacing w:line="357" w:lineRule="auto"/>
        <w:ind w:left="154" w:right="106" w:firstLine="423"/>
        <w:jc w:val="left"/>
      </w:pPr>
      <w:r>
        <w:rPr/>
        <w:t>（1）进一步巩固和扩大公司的技术创新能力，与东南大学共建信息技术联合研究中心，</w:t>
      </w:r>
      <w:r>
        <w:rPr>
          <w:spacing w:val="2"/>
        </w:rPr>
        <w:t> </w:t>
      </w:r>
      <w:r>
        <w:rPr/>
        <w:t>发挥著名高校在通信技术、电气自动化、电力电子、信息传感等技术领域的优势，利用这一</w:t>
      </w:r>
      <w:r>
        <w:rPr>
          <w:spacing w:val="-83"/>
        </w:rPr>
        <w:t> </w:t>
      </w:r>
      <w:r>
        <w:rPr>
          <w:spacing w:val="-83"/>
        </w:rPr>
      </w:r>
      <w:r>
        <w:rPr/>
        <w:t>平台，为公司汇聚相关领域的一流人才，占领技术的至高点。拟围绕用电信息采集进行深度</w:t>
      </w:r>
      <w:r>
        <w:rPr>
          <w:spacing w:val="-83"/>
        </w:rPr>
        <w:t> </w:t>
      </w:r>
      <w:r>
        <w:rPr>
          <w:spacing w:val="-83"/>
        </w:rPr>
      </w:r>
      <w:r>
        <w:rPr/>
        <w:t>的运用开发，扩大公司的产品线，形成新的利润增长点；向智能用电的其它业务领域，如能</w:t>
      </w:r>
      <w:r>
        <w:rPr>
          <w:spacing w:val="-83"/>
        </w:rPr>
        <w:t> </w:t>
      </w:r>
      <w:r>
        <w:rPr>
          <w:spacing w:val="-83"/>
        </w:rPr>
      </w:r>
      <w:r>
        <w:rPr/>
        <w:t>效管理、谐波治理、现场服务、电动汽车充放电等扩张；向智能配电领域特别是分布式电源</w:t>
      </w:r>
      <w:r>
        <w:rPr>
          <w:spacing w:val="-83"/>
        </w:rPr>
        <w:t> </w:t>
      </w:r>
      <w:r>
        <w:rPr>
          <w:spacing w:val="-83"/>
        </w:rPr>
      </w:r>
      <w:r>
        <w:rPr/>
        <w:t>的并网等拓展。</w:t>
      </w:r>
    </w:p>
    <w:p>
      <w:pPr>
        <w:pStyle w:val="Heading3"/>
        <w:spacing w:line="357" w:lineRule="auto"/>
        <w:ind w:left="154" w:right="226" w:firstLine="423"/>
        <w:jc w:val="left"/>
      </w:pPr>
      <w:r>
        <w:rPr>
          <w:spacing w:val="-1"/>
        </w:rPr>
        <w:t>（2）利用资本手段对用电信息采集业务链的上、下游进行整合，对南方电网市场通过并</w:t>
      </w:r>
      <w:r>
        <w:rPr/>
        <w:t> 购整合快速发展，以实现业务链的延伸和市场的扩张；</w:t>
      </w:r>
    </w:p>
    <w:p>
      <w:pPr>
        <w:pStyle w:val="Heading3"/>
        <w:spacing w:line="357" w:lineRule="auto"/>
        <w:ind w:left="154" w:right="228" w:firstLine="423"/>
        <w:jc w:val="both"/>
      </w:pPr>
      <w:r>
        <w:rPr>
          <w:spacing w:val="-1"/>
        </w:rPr>
        <w:t>（3）加快募投项目的建设，尽快实现产能的释放，弥补公司规模上的不足；加快公司用</w:t>
      </w:r>
      <w:r>
        <w:rPr/>
        <w:t> 电信息采集仿真培训系统的推广运用，扩大销售规模；进一步巩固现有市场，利用国家电网</w:t>
      </w:r>
      <w:r>
        <w:rPr>
          <w:spacing w:val="-83"/>
        </w:rPr>
        <w:t> </w:t>
      </w:r>
      <w:r>
        <w:rPr>
          <w:spacing w:val="-83"/>
        </w:rPr>
      </w:r>
      <w:r>
        <w:rPr/>
        <w:t>统一招标的契机，进一步扩大市场覆盖面；同时加快营销网络建设，为公司的市场扩张和技</w:t>
      </w:r>
      <w:r>
        <w:rPr>
          <w:spacing w:val="-83"/>
        </w:rPr>
        <w:t> </w:t>
      </w:r>
      <w:r>
        <w:rPr>
          <w:spacing w:val="-83"/>
        </w:rPr>
      </w:r>
      <w:r>
        <w:rPr/>
        <w:t>术服务提供保障。</w:t>
      </w:r>
    </w:p>
    <w:p>
      <w:pPr>
        <w:pStyle w:val="Heading3"/>
        <w:spacing w:line="357" w:lineRule="auto"/>
        <w:ind w:left="154" w:right="231" w:firstLine="423"/>
        <w:jc w:val="both"/>
      </w:pPr>
      <w:r>
        <w:rPr>
          <w:spacing w:val="-1"/>
        </w:rPr>
        <w:t>（4）坚持“客户为中心、质量为保障、市场为龙头、技术为依托”的经营方针，充分发</w:t>
      </w:r>
      <w:r>
        <w:rPr/>
        <w:t> </w:t>
      </w:r>
      <w:r>
        <w:rPr>
          <w:spacing w:val="-2"/>
        </w:rPr>
        <w:t>挥公司自主开发的MASII生产自动测调系统的优势，全面实现生产过程的自动化，服务的规范</w:t>
      </w:r>
      <w:r>
        <w:rPr>
          <w:spacing w:val="-116"/>
        </w:rPr>
        <w:t> </w:t>
      </w:r>
      <w:r>
        <w:rPr>
          <w:spacing w:val="-116"/>
        </w:rPr>
      </w:r>
      <w:r>
        <w:rPr/>
        <w:t>化、标准化，形成强大的“光一”品牌。</w:t>
      </w:r>
    </w:p>
    <w:p>
      <w:pPr>
        <w:pStyle w:val="Heading3"/>
        <w:spacing w:line="357" w:lineRule="auto"/>
        <w:ind w:left="154" w:right="106" w:firstLine="423"/>
        <w:jc w:val="left"/>
      </w:pPr>
      <w:r>
        <w:rPr/>
        <w:t>（5）充分利用先进的科学管理理念和工具，在公司精细化管理上持续深化，完善规范、</w:t>
      </w:r>
      <w:r>
        <w:rPr>
          <w:spacing w:val="2"/>
        </w:rPr>
        <w:t> </w:t>
      </w:r>
      <w:r>
        <w:rPr/>
        <w:t>提高效率，使公司精细化管理得到长足有效的发展；充分利用公司科技创新的能力优势，优</w:t>
      </w:r>
      <w:r>
        <w:rPr>
          <w:spacing w:val="-83"/>
        </w:rPr>
        <w:t> </w:t>
      </w:r>
      <w:r>
        <w:rPr>
          <w:spacing w:val="-83"/>
        </w:rPr>
      </w:r>
      <w:r>
        <w:rPr/>
        <w:t>化产品设计、提高产品品质，降低生产成本，发挥公司专业化的优势，进一步提高公司的产</w:t>
      </w:r>
      <w:r>
        <w:rPr>
          <w:spacing w:val="-83"/>
        </w:rPr>
        <w:t> </w:t>
      </w:r>
      <w:r>
        <w:rPr>
          <w:spacing w:val="-83"/>
        </w:rPr>
      </w:r>
      <w:r>
        <w:rPr/>
        <w:t>品竞争力。</w:t>
      </w:r>
    </w:p>
    <w:p>
      <w:pPr>
        <w:pStyle w:val="Heading3"/>
        <w:spacing w:line="357" w:lineRule="auto"/>
        <w:ind w:left="154" w:right="106" w:firstLine="423"/>
        <w:jc w:val="left"/>
      </w:pPr>
      <w:r>
        <w:rPr>
          <w:spacing w:val="-2"/>
        </w:rPr>
        <w:t>（6）严格按照《公司法》、《证券法》、《创业板上市指引》等相关要求，进一步完善</w:t>
      </w:r>
      <w:r>
        <w:rPr>
          <w:spacing w:val="-1"/>
        </w:rPr>
        <w:t> </w:t>
      </w:r>
      <w:r>
        <w:rPr/>
        <w:t>公司治理结构、提高信息披露质量、规范公司管理，防范各种风险。</w:t>
      </w:r>
    </w:p>
    <w:p>
      <w:pPr>
        <w:pStyle w:val="Heading3"/>
        <w:spacing w:line="357" w:lineRule="auto"/>
        <w:ind w:left="154" w:right="226" w:firstLine="423"/>
        <w:jc w:val="left"/>
      </w:pPr>
      <w:r>
        <w:rPr>
          <w:spacing w:val="-1"/>
        </w:rPr>
        <w:t>（7）“承载社会责任、尊重投资者、重视人才、关爱员工”是我们的经营理念，我们将</w:t>
      </w:r>
      <w:r>
        <w:rPr/>
        <w:t> 加强投资者关系管理，利用各种平台和机会客观的树立公司良好的资本市场形象。</w:t>
      </w:r>
    </w:p>
    <w:p>
      <w:pPr>
        <w:pStyle w:val="Heading3"/>
        <w:spacing w:line="240" w:lineRule="auto"/>
        <w:ind w:left="577" w:right="106"/>
        <w:jc w:val="left"/>
      </w:pPr>
      <w:r>
        <w:rPr/>
        <w:t>（8）2013年公司将努力实现6个亿的新增订单，但此目标并不代表公司对2013年度的盈</w:t>
      </w:r>
    </w:p>
    <w:p>
      <w:pPr>
        <w:spacing w:after="0" w:line="240" w:lineRule="auto"/>
        <w:jc w:val="left"/>
        <w:sectPr>
          <w:pgSz w:w="11910" w:h="16840"/>
          <w:pgMar w:header="747" w:footer="1003" w:top="1040" w:bottom="1200" w:left="980" w:right="900"/>
        </w:sectPr>
      </w:pPr>
    </w:p>
    <w:p>
      <w:pPr>
        <w:spacing w:line="240" w:lineRule="auto" w:before="0"/>
        <w:rPr>
          <w:rFonts w:ascii="宋体" w:hAnsi="宋体" w:cs="宋体" w:eastAsia="宋体" w:hint="default"/>
          <w:sz w:val="20"/>
          <w:szCs w:val="20"/>
        </w:rPr>
      </w:pPr>
    </w:p>
    <w:p>
      <w:pPr>
        <w:pStyle w:val="Heading3"/>
        <w:spacing w:line="240" w:lineRule="auto" w:before="161"/>
        <w:ind w:left="154" w:right="427"/>
        <w:jc w:val="left"/>
      </w:pPr>
      <w:r>
        <w:rPr/>
        <w:t>利预测，能否实现或超额完成还存在很大的不确定性，提请投资者关注。</w:t>
      </w:r>
    </w:p>
    <w:p>
      <w:pPr>
        <w:pStyle w:val="Heading3"/>
        <w:spacing w:line="357" w:lineRule="auto" w:before="154"/>
        <w:ind w:left="577" w:right="0"/>
        <w:jc w:val="left"/>
      </w:pPr>
      <w:r>
        <w:rPr/>
        <w:t>（三）可能的风险与对策 </w:t>
      </w:r>
      <w:r>
        <w:rPr>
          <w:spacing w:val="2"/>
        </w:rPr>
        <w:t>公司目前主要从事的用电信息采集产品与国家宏观政策密切相关，不排除未来国家宏观</w:t>
      </w:r>
      <w:r>
        <w:rPr/>
      </w:r>
    </w:p>
    <w:p>
      <w:pPr>
        <w:pStyle w:val="Heading3"/>
        <w:spacing w:line="357" w:lineRule="auto"/>
        <w:ind w:right="0"/>
        <w:jc w:val="left"/>
      </w:pPr>
      <w:r>
        <w:rPr/>
        <w:t>调控或用电信息采集系统的建设节奏发生变化，或国家电网公司进一步扩大集中招标范围的</w:t>
      </w:r>
      <w:r>
        <w:rPr>
          <w:spacing w:val="-83"/>
        </w:rPr>
        <w:t> </w:t>
      </w:r>
      <w:r>
        <w:rPr>
          <w:spacing w:val="-83"/>
        </w:rPr>
      </w:r>
      <w:r>
        <w:rPr>
          <w:spacing w:val="-5"/>
        </w:rPr>
        <w:t>同时进一步限制企业中标规模，从而给公司的增长带来不确定性。对此，公司提出一体两翼、</w:t>
      </w:r>
      <w:r>
        <w:rPr/>
        <w:t> 协调发展的战略思路，一方面确保公司现有业务的稳定增长，另一方面，围绕信息采集的业</w:t>
      </w:r>
      <w:r>
        <w:rPr>
          <w:spacing w:val="-83"/>
        </w:rPr>
        <w:t> </w:t>
      </w:r>
      <w:r>
        <w:rPr>
          <w:spacing w:val="-83"/>
        </w:rPr>
      </w:r>
      <w:r>
        <w:rPr>
          <w:spacing w:val="-5"/>
        </w:rPr>
        <w:t>务模式和相关联领域，进行产品线的拓展，弥补公司因产品线过短抵御政策风险的能力不足，</w:t>
      </w:r>
      <w:r>
        <w:rPr>
          <w:spacing w:val="-117"/>
        </w:rPr>
        <w:t> </w:t>
      </w:r>
      <w:r>
        <w:rPr>
          <w:spacing w:val="-117"/>
        </w:rPr>
      </w:r>
      <w:r>
        <w:rPr/>
        <w:t>目前公司的用电信息采集仿真培训系统和现场服务终端已完成试点并形成了一定规模的销售，</w:t>
      </w:r>
      <w:r>
        <w:rPr>
          <w:spacing w:val="-98"/>
        </w:rPr>
        <w:t> </w:t>
      </w:r>
      <w:r>
        <w:rPr>
          <w:spacing w:val="-98"/>
        </w:rPr>
      </w:r>
      <w:r>
        <w:rPr/>
        <w:t>2013年将积极开拓新的市场，扩大销售。</w:t>
      </w:r>
    </w:p>
    <w:p>
      <w:pPr>
        <w:pStyle w:val="Heading3"/>
        <w:spacing w:line="357" w:lineRule="auto"/>
        <w:ind w:right="346" w:firstLine="423"/>
        <w:jc w:val="both"/>
      </w:pPr>
      <w:r>
        <w:rPr>
          <w:spacing w:val="2"/>
        </w:rPr>
        <w:t>如国家电网公司改变中标价格导向，竞争加剧将导致产品毛利率有下降的可能，对此： </w:t>
      </w:r>
      <w:r>
        <w:rPr/>
        <w:t>公司将持续优化产品方案提高产品品质，在保障优质服务的同时，通过产品质量的提高，降</w:t>
      </w:r>
      <w:r>
        <w:rPr>
          <w:spacing w:val="-83"/>
        </w:rPr>
        <w:t> </w:t>
      </w:r>
      <w:r>
        <w:rPr>
          <w:spacing w:val="-83"/>
        </w:rPr>
      </w:r>
      <w:r>
        <w:rPr/>
        <w:t>低服务成本，巩固并进一步扩大公司因技术和经验优势所带来的成本优势，提高公司产品投</w:t>
      </w:r>
      <w:r>
        <w:rPr>
          <w:spacing w:val="-83"/>
        </w:rPr>
        <w:t> </w:t>
      </w:r>
      <w:r>
        <w:rPr>
          <w:spacing w:val="-83"/>
        </w:rPr>
      </w:r>
      <w:r>
        <w:rPr/>
        <w:t>标的价格竞争力。</w:t>
      </w:r>
    </w:p>
    <w:p>
      <w:pPr>
        <w:pStyle w:val="Heading3"/>
        <w:spacing w:line="357" w:lineRule="auto"/>
        <w:ind w:right="346" w:firstLine="423"/>
        <w:jc w:val="both"/>
      </w:pPr>
      <w:r>
        <w:rPr>
          <w:spacing w:val="2"/>
        </w:rPr>
        <w:t>公司现处于快速扩张期，特别是众多新产品的推出和新市场的拓展，以及生产规模的扩 </w:t>
      </w:r>
      <w:r>
        <w:rPr/>
        <w:t>大，将要引入更多的管理人才和技术人才，不排除短期内因人才不能及时到位，对企业扩张</w:t>
      </w:r>
      <w:r>
        <w:rPr>
          <w:spacing w:val="-83"/>
        </w:rPr>
        <w:t> </w:t>
      </w:r>
      <w:r>
        <w:rPr>
          <w:spacing w:val="-83"/>
        </w:rPr>
      </w:r>
      <w:r>
        <w:rPr/>
        <w:t>形成影响的风险，对此，公司将一如既往的加强企业文化的建设，努力为员工营造一个梦想</w:t>
      </w:r>
      <w:r>
        <w:rPr>
          <w:spacing w:val="-83"/>
        </w:rPr>
        <w:t> </w:t>
      </w:r>
      <w:r>
        <w:rPr>
          <w:spacing w:val="-83"/>
        </w:rPr>
      </w:r>
      <w:r>
        <w:rPr/>
        <w:t>的舞台、事业的平台，充分发挥并持续改进有效的激励措施和公平、开放的绩效系统，树立</w:t>
      </w:r>
      <w:r>
        <w:rPr>
          <w:spacing w:val="-83"/>
        </w:rPr>
        <w:t> </w:t>
      </w:r>
      <w:r>
        <w:rPr>
          <w:spacing w:val="-83"/>
        </w:rPr>
      </w:r>
      <w:r>
        <w:rPr/>
        <w:t>良好的企业公众形象和品牌形象，吸引人才、留住人才、培养人才并用好人才，公司不但与</w:t>
      </w:r>
      <w:r>
        <w:rPr>
          <w:spacing w:val="-83"/>
        </w:rPr>
        <w:t> </w:t>
      </w:r>
      <w:r>
        <w:rPr>
          <w:spacing w:val="-83"/>
        </w:rPr>
      </w:r>
      <w:r>
        <w:rPr/>
        <w:t>著名高校共建研究中心，而且签订了人才培养计划、并提供各种形式的实践基地，这些，将</w:t>
      </w:r>
      <w:r>
        <w:rPr>
          <w:spacing w:val="-83"/>
        </w:rPr>
        <w:t> </w:t>
      </w:r>
      <w:r>
        <w:rPr>
          <w:spacing w:val="-83"/>
        </w:rPr>
      </w:r>
      <w:r>
        <w:rPr/>
        <w:t>源源不断的为公司输送合格的人才，同时使用与再造的人性化管理，将为公司招募优秀人才</w:t>
      </w:r>
      <w:r>
        <w:rPr>
          <w:spacing w:val="-83"/>
        </w:rPr>
        <w:t> </w:t>
      </w:r>
      <w:r>
        <w:rPr>
          <w:spacing w:val="-83"/>
        </w:rPr>
      </w:r>
      <w:r>
        <w:rPr/>
        <w:t>提供较大的吸引力。</w:t>
      </w:r>
    </w:p>
    <w:p>
      <w:pPr>
        <w:spacing w:line="240" w:lineRule="auto" w:before="11"/>
        <w:rPr>
          <w:rFonts w:ascii="宋体" w:hAnsi="宋体" w:cs="宋体" w:eastAsia="宋体" w:hint="default"/>
          <w:sz w:val="19"/>
          <w:szCs w:val="19"/>
        </w:rPr>
      </w:pPr>
    </w:p>
    <w:p>
      <w:pPr>
        <w:spacing w:line="477" w:lineRule="auto" w:before="0"/>
        <w:ind w:left="154" w:right="2019" w:firstLine="0"/>
        <w:jc w:val="left"/>
        <w:rPr>
          <w:rFonts w:ascii="宋体" w:hAnsi="宋体" w:cs="宋体" w:eastAsia="宋体" w:hint="default"/>
          <w:sz w:val="24"/>
          <w:szCs w:val="24"/>
        </w:rPr>
      </w:pPr>
      <w:r>
        <w:rPr>
          <w:rFonts w:ascii="宋体" w:hAnsi="宋体" w:cs="宋体" w:eastAsia="宋体" w:hint="default"/>
          <w:b/>
          <w:bCs/>
          <w:sz w:val="24"/>
          <w:szCs w:val="24"/>
        </w:rPr>
        <w:t>四、董事会关于报告期会计政策、会计估计变更或重要前期差错更正的说明</w:t>
      </w:r>
      <w:r>
        <w:rPr>
          <w:rFonts w:ascii="宋体" w:hAnsi="宋体" w:cs="宋体" w:eastAsia="宋体" w:hint="default"/>
          <w:b/>
          <w:bCs/>
          <w:spacing w:val="1"/>
          <w:w w:val="99"/>
          <w:sz w:val="24"/>
          <w:szCs w:val="24"/>
        </w:rPr>
        <w:t> </w:t>
      </w:r>
      <w:r>
        <w:rPr>
          <w:rFonts w:ascii="宋体" w:hAnsi="宋体" w:cs="宋体" w:eastAsia="宋体" w:hint="default"/>
          <w:sz w:val="23"/>
          <w:szCs w:val="23"/>
        </w:rPr>
        <w:t>报告期内，公司无会计政策变更、重大会计差错情况。</w:t>
      </w:r>
      <w:r>
        <w:rPr>
          <w:rFonts w:ascii="宋体" w:hAnsi="宋体" w:cs="宋体" w:eastAsia="宋体" w:hint="default"/>
          <w:w w:val="100"/>
          <w:sz w:val="23"/>
          <w:szCs w:val="23"/>
        </w:rPr>
        <w:t> </w:t>
      </w:r>
      <w:r>
        <w:rPr>
          <w:rFonts w:ascii="宋体" w:hAnsi="宋体" w:cs="宋体" w:eastAsia="宋体" w:hint="default"/>
          <w:b/>
          <w:bCs/>
          <w:sz w:val="24"/>
          <w:szCs w:val="24"/>
        </w:rPr>
        <w:t>五、公司利润分配及分红派息情况</w:t>
      </w:r>
      <w:r>
        <w:rPr>
          <w:rFonts w:ascii="宋体" w:hAnsi="宋体" w:cs="宋体" w:eastAsia="宋体" w:hint="default"/>
          <w:sz w:val="24"/>
          <w:szCs w:val="24"/>
        </w:rPr>
      </w:r>
    </w:p>
    <w:p>
      <w:pPr>
        <w:pStyle w:val="BodyText"/>
        <w:spacing w:line="240" w:lineRule="auto" w:before="161"/>
        <w:ind w:right="427"/>
        <w:jc w:val="left"/>
      </w:pPr>
      <w:r>
        <w:rPr/>
        <w:t>报告期内利润分配政策特别是现金分红政策的制定、执行或调整情况</w:t>
      </w:r>
    </w:p>
    <w:p>
      <w:pPr>
        <w:pStyle w:val="Heading3"/>
        <w:spacing w:line="357" w:lineRule="auto" w:before="170"/>
        <w:ind w:right="351" w:firstLine="408"/>
        <w:jc w:val="both"/>
      </w:pPr>
      <w:r>
        <w:rPr>
          <w:spacing w:val="2"/>
        </w:rPr>
        <w:t>2012年1月17日，公司第一届董事会第十四次会议审议通过了《关于修订&lt;公司章程（草</w:t>
      </w:r>
      <w:r>
        <w:rPr/>
        <w:t> </w:t>
      </w:r>
      <w:r>
        <w:rPr>
          <w:spacing w:val="6"/>
        </w:rPr>
        <w:t>案）&gt;中第163条相关规定的议案》、《光一科技股份有限公司股东分红回报规划（[2012]</w:t>
      </w:r>
    </w:p>
    <w:p>
      <w:pPr>
        <w:pStyle w:val="Heading3"/>
        <w:spacing w:line="240" w:lineRule="auto"/>
        <w:ind w:right="0"/>
        <w:jc w:val="left"/>
      </w:pPr>
      <w:r>
        <w:rPr>
          <w:spacing w:val="-5"/>
        </w:rPr>
        <w:t>–[2016]）》，</w:t>
      </w:r>
      <w:r>
        <w:rPr>
          <w:spacing w:val="-34"/>
        </w:rPr>
        <w:t> </w:t>
      </w:r>
      <w:r>
        <w:rPr/>
        <w:t>进一步完善和细化公司的分红政策和决策机制，增加股利分配政策的透明度</w:t>
      </w:r>
    </w:p>
    <w:p>
      <w:pPr>
        <w:spacing w:after="0" w:line="240" w:lineRule="auto"/>
        <w:jc w:val="left"/>
        <w:sectPr>
          <w:pgSz w:w="11910" w:h="16840"/>
          <w:pgMar w:header="747" w:footer="1003" w:top="1040" w:bottom="1200" w:left="980" w:right="780"/>
        </w:sectPr>
      </w:pPr>
    </w:p>
    <w:p>
      <w:pPr>
        <w:spacing w:line="240" w:lineRule="auto" w:before="0"/>
        <w:rPr>
          <w:rFonts w:ascii="宋体" w:hAnsi="宋体" w:cs="宋体" w:eastAsia="宋体" w:hint="default"/>
          <w:sz w:val="20"/>
          <w:szCs w:val="20"/>
        </w:rPr>
      </w:pPr>
    </w:p>
    <w:p>
      <w:pPr>
        <w:pStyle w:val="Heading3"/>
        <w:spacing w:line="357" w:lineRule="auto" w:before="161"/>
        <w:ind w:right="228"/>
        <w:jc w:val="both"/>
      </w:pPr>
      <w:r>
        <w:rPr/>
        <w:t>和可操作性，便于公司股东对具体分配政策进行监督，充分保障了中小投资者的合法权益。</w:t>
      </w:r>
      <w:r>
        <w:rPr>
          <w:spacing w:val="-83"/>
        </w:rPr>
        <w:t> </w:t>
      </w:r>
      <w:r>
        <w:rPr>
          <w:spacing w:val="-83"/>
        </w:rPr>
      </w:r>
      <w:r>
        <w:rPr/>
        <w:t>根据中国证监会2012年5月4日发布的《关于进一步落实上市公司现金分红有关事项的通知》</w:t>
      </w:r>
      <w:r>
        <w:rPr>
          <w:spacing w:val="-97"/>
        </w:rPr>
        <w:t> </w:t>
      </w:r>
      <w:r>
        <w:rPr>
          <w:spacing w:val="-97"/>
        </w:rPr>
      </w:r>
      <w:r>
        <w:rPr/>
        <w:t>的有关规定，经公司第一届董事会第十八次会议和2012年第二次临时股东大会审议通过，公</w:t>
      </w:r>
      <w:r>
        <w:rPr>
          <w:spacing w:val="-117"/>
        </w:rPr>
        <w:t> </w:t>
      </w:r>
      <w:r>
        <w:rPr>
          <w:spacing w:val="-117"/>
        </w:rPr>
      </w:r>
      <w:r>
        <w:rPr/>
        <w:t>司对《公司章程（草案）》中涉及股利分配政策的条款进行了再次修订。报告期内，公司严</w:t>
      </w:r>
      <w:r>
        <w:rPr>
          <w:spacing w:val="-83"/>
        </w:rPr>
        <w:t> </w:t>
      </w:r>
      <w:r>
        <w:rPr>
          <w:spacing w:val="-83"/>
        </w:rPr>
      </w:r>
      <w:r>
        <w:rPr/>
        <w:t>格按照相关规定执行公司的利润分配政策。</w:t>
      </w:r>
    </w:p>
    <w:p>
      <w:pPr>
        <w:pStyle w:val="Heading3"/>
        <w:spacing w:line="357" w:lineRule="auto"/>
        <w:ind w:left="573" w:right="106" w:hanging="420"/>
        <w:jc w:val="left"/>
      </w:pPr>
      <w:r>
        <w:rPr/>
        <w:t>《光一科技股份有限公司股东分红回报规划（[2012]－[2016]）具体内容如下： 1、公司股东分红回报规划考虑的因素 </w:t>
      </w:r>
      <w:r>
        <w:rPr>
          <w:spacing w:val="2"/>
        </w:rPr>
        <w:t>公司将着眼于长远和可持续发展，考虑企业发展实际情况，综合考察成长性、业务发展</w:t>
      </w:r>
      <w:r>
        <w:rPr/>
      </w:r>
    </w:p>
    <w:p>
      <w:pPr>
        <w:pStyle w:val="Heading3"/>
        <w:spacing w:line="357" w:lineRule="auto"/>
        <w:ind w:right="231"/>
        <w:jc w:val="both"/>
      </w:pPr>
      <w:r>
        <w:rPr>
          <w:spacing w:val="-5"/>
        </w:rPr>
        <w:t>规模、资金筹措能力和股东意愿等指标，建立对投资者持续、稳定、科学的回报规划与机制，</w:t>
      </w:r>
      <w:r>
        <w:rPr/>
        <w:t> 从而对股利分配作出制度性安排，以保证股利分配政策的连续性和稳定性。</w:t>
      </w:r>
    </w:p>
    <w:p>
      <w:pPr>
        <w:pStyle w:val="Heading3"/>
        <w:spacing w:line="357" w:lineRule="auto"/>
        <w:ind w:left="573" w:right="106"/>
        <w:jc w:val="left"/>
      </w:pPr>
      <w:r>
        <w:rPr/>
        <w:t>2、公司股东分红回报规划原则 </w:t>
      </w:r>
      <w:r>
        <w:rPr>
          <w:spacing w:val="2"/>
        </w:rPr>
        <w:t>公司股东分红回报规划重视对社会公众股东的合理投资回报，以可持续发展和维护股东</w:t>
      </w:r>
      <w:r>
        <w:rPr/>
      </w:r>
    </w:p>
    <w:p>
      <w:pPr>
        <w:pStyle w:val="Heading3"/>
        <w:spacing w:line="357" w:lineRule="auto"/>
        <w:ind w:right="228"/>
        <w:jc w:val="both"/>
      </w:pPr>
      <w:r>
        <w:rPr/>
        <w:t>权益为宗旨，充分考虑和听取股东（特别是公众投资者）、独立董事和监事的意见，如无重</w:t>
      </w:r>
      <w:r>
        <w:rPr>
          <w:spacing w:val="-83"/>
        </w:rPr>
        <w:t> </w:t>
      </w:r>
      <w:r>
        <w:rPr>
          <w:spacing w:val="-83"/>
        </w:rPr>
      </w:r>
      <w:r>
        <w:rPr>
          <w:spacing w:val="3"/>
        </w:rPr>
        <w:t>大投资计划或重大现金支出事项发生，坚持每年现金分红不低于当年实现可供分配利润20%</w:t>
      </w:r>
      <w:r>
        <w:rPr>
          <w:spacing w:val="-110"/>
        </w:rPr>
        <w:t> </w:t>
      </w:r>
      <w:r>
        <w:rPr>
          <w:spacing w:val="-110"/>
        </w:rPr>
      </w:r>
      <w:r>
        <w:rPr/>
        <w:t>的政策要求，保持利润分配政策的连续性和稳定性，符合法律、法规的相关规定。</w:t>
      </w:r>
    </w:p>
    <w:p>
      <w:pPr>
        <w:pStyle w:val="Heading3"/>
        <w:spacing w:line="357" w:lineRule="auto"/>
        <w:ind w:left="573" w:right="106"/>
        <w:jc w:val="left"/>
      </w:pPr>
      <w:r>
        <w:rPr/>
        <w:t>3、公司分红回报规划内容 </w:t>
      </w:r>
      <w:r>
        <w:rPr>
          <w:spacing w:val="2"/>
        </w:rPr>
        <w:t>为了切实维护股东权益，保持公司股利分配政策的持续性和稳定性，提高股东对公司经</w:t>
      </w:r>
      <w:r>
        <w:rPr/>
      </w:r>
    </w:p>
    <w:p>
      <w:pPr>
        <w:pStyle w:val="Heading3"/>
        <w:spacing w:line="357" w:lineRule="auto"/>
        <w:ind w:right="106"/>
        <w:jc w:val="left"/>
      </w:pPr>
      <w:r>
        <w:rPr/>
        <w:t>营和分配的监督，增加公司投资价值，实现公司长期稳定的可持续发展，公司当年税后利润</w:t>
      </w:r>
      <w:r>
        <w:rPr>
          <w:spacing w:val="-83"/>
        </w:rPr>
        <w:t> </w:t>
      </w:r>
      <w:r>
        <w:rPr>
          <w:spacing w:val="-83"/>
        </w:rPr>
      </w:r>
      <w:r>
        <w:rPr/>
        <w:t>在弥补亏损、提取公积金后，如无重大投资计划或重大现金支出事项发生，公司现金分红的</w:t>
      </w:r>
      <w:r>
        <w:rPr>
          <w:spacing w:val="-83"/>
        </w:rPr>
        <w:t> </w:t>
      </w:r>
      <w:r>
        <w:rPr>
          <w:spacing w:val="-83"/>
        </w:rPr>
      </w:r>
      <w:r>
        <w:rPr>
          <w:spacing w:val="-5"/>
        </w:rPr>
        <w:t>比例不低于当年实现可供分配利润的20%，同时，公司还将根据实际情况进行股票股利的发放。</w:t>
      </w:r>
      <w:r>
        <w:rPr>
          <w:spacing w:val="-107"/>
        </w:rPr>
        <w:t> </w:t>
      </w:r>
      <w:r>
        <w:rPr>
          <w:spacing w:val="-107"/>
        </w:rPr>
      </w:r>
      <w:r>
        <w:rPr/>
        <w:t>公司利润分配政策的制定将会充分考虑和听取股东（特别是公众投资者）、独立董事和监事</w:t>
      </w:r>
      <w:r>
        <w:rPr>
          <w:spacing w:val="-83"/>
        </w:rPr>
        <w:t> </w:t>
      </w:r>
      <w:r>
        <w:rPr>
          <w:spacing w:val="-83"/>
        </w:rPr>
      </w:r>
      <w:r>
        <w:rPr/>
        <w:t>的意见。</w:t>
      </w:r>
    </w:p>
    <w:p>
      <w:pPr>
        <w:pStyle w:val="Heading3"/>
        <w:spacing w:line="357" w:lineRule="auto"/>
        <w:ind w:left="573" w:right="106"/>
        <w:jc w:val="left"/>
      </w:pPr>
      <w:r>
        <w:rPr/>
        <w:t>4、公司股东分红回报规划及具体计划的程序及决策机制 </w:t>
      </w:r>
      <w:r>
        <w:rPr>
          <w:spacing w:val="2"/>
        </w:rPr>
        <w:t>公司至少每五年重新审阅一次股东分红回报规划，根据股东（特别是公众投资者）、独</w:t>
      </w:r>
      <w:r>
        <w:rPr/>
      </w:r>
    </w:p>
    <w:p>
      <w:pPr>
        <w:pStyle w:val="Heading3"/>
        <w:spacing w:line="357" w:lineRule="auto"/>
        <w:ind w:right="228"/>
        <w:jc w:val="both"/>
      </w:pPr>
      <w:r>
        <w:rPr/>
        <w:t>立董事和监事的意见对正在实施的股利分配政策作出适当且必要的修改，确定相应的股东回</w:t>
      </w:r>
      <w:r>
        <w:rPr>
          <w:spacing w:val="-83"/>
        </w:rPr>
        <w:t> </w:t>
      </w:r>
      <w:r>
        <w:rPr>
          <w:spacing w:val="-83"/>
        </w:rPr>
      </w:r>
      <w:r>
        <w:rPr/>
        <w:t>报计划。</w:t>
      </w:r>
    </w:p>
    <w:p>
      <w:pPr>
        <w:pStyle w:val="Heading3"/>
        <w:spacing w:line="357" w:lineRule="auto"/>
        <w:ind w:left="573" w:right="106"/>
        <w:jc w:val="left"/>
      </w:pPr>
      <w:r>
        <w:rPr/>
        <w:t>（1）公司的利润分配政策的论证程序和决策机制 </w:t>
      </w:r>
      <w:r>
        <w:rPr>
          <w:spacing w:val="2"/>
        </w:rPr>
        <w:t>公司董事会应当根据当期的经营情况和项目投资的资金需求计划，在充分考虑股东的利</w:t>
      </w:r>
      <w:r>
        <w:rPr/>
      </w:r>
    </w:p>
    <w:p>
      <w:pPr>
        <w:pStyle w:val="Heading3"/>
        <w:spacing w:line="240" w:lineRule="auto"/>
        <w:ind w:right="106"/>
        <w:jc w:val="left"/>
      </w:pPr>
      <w:r>
        <w:rPr/>
        <w:t>益的基础上正确处理公司的短期利益及长远发展的关系，确定合理的股利分配方案；利润分</w:t>
      </w:r>
    </w:p>
    <w:p>
      <w:pPr>
        <w:spacing w:after="0" w:line="240" w:lineRule="auto"/>
        <w:jc w:val="left"/>
        <w:sectPr>
          <w:pgSz w:w="11910" w:h="16840"/>
          <w:pgMar w:header="747" w:footer="1003" w:top="1040" w:bottom="1200" w:left="980" w:right="900"/>
        </w:sectPr>
      </w:pPr>
    </w:p>
    <w:p>
      <w:pPr>
        <w:spacing w:line="240" w:lineRule="auto" w:before="0"/>
        <w:rPr>
          <w:rFonts w:ascii="宋体" w:hAnsi="宋体" w:cs="宋体" w:eastAsia="宋体" w:hint="default"/>
          <w:sz w:val="20"/>
          <w:szCs w:val="20"/>
        </w:rPr>
      </w:pPr>
    </w:p>
    <w:p>
      <w:pPr>
        <w:pStyle w:val="Heading3"/>
        <w:spacing w:line="357" w:lineRule="auto" w:before="161"/>
        <w:ind w:right="93"/>
        <w:jc w:val="left"/>
      </w:pPr>
      <w:r>
        <w:rPr>
          <w:spacing w:val="-2"/>
        </w:rPr>
        <w:t>配方案由公司董事会制定，公司董事会应根据公司的财务经营状况提出可行的利润分配提案，</w:t>
      </w:r>
      <w:r>
        <w:rPr/>
        <w:t> 并经全体董事过半数通过并决议形成利润分配方案。</w:t>
      </w:r>
    </w:p>
    <w:p>
      <w:pPr>
        <w:pStyle w:val="Heading3"/>
        <w:spacing w:line="357" w:lineRule="auto"/>
        <w:ind w:right="228" w:firstLine="420"/>
        <w:jc w:val="right"/>
      </w:pPr>
      <w:r>
        <w:rPr>
          <w:spacing w:val="2"/>
        </w:rPr>
        <w:t>独立董事在召开利润分配的董事会前，应当就利润分配的提案提出明确意见，同意利润 </w:t>
      </w:r>
      <w:r>
        <w:rPr/>
        <w:t>分配的提案的，应经全体独立董事半数以上通过，如不同意利润分配提案的，独立董事应提</w:t>
      </w:r>
      <w:r>
        <w:rPr>
          <w:spacing w:val="-94"/>
        </w:rPr>
        <w:t> </w:t>
      </w:r>
      <w:r>
        <w:rPr>
          <w:spacing w:val="-94"/>
        </w:rPr>
      </w:r>
      <w:r>
        <w:rPr>
          <w:spacing w:val="-5"/>
        </w:rPr>
        <w:t>出不同意的事实、理由，要求董事会重新制定利润分配提案，必要时，可提请召开股东大会。</w:t>
      </w:r>
      <w:r>
        <w:rPr/>
        <w:t> </w:t>
      </w:r>
      <w:r>
        <w:rPr>
          <w:spacing w:val="2"/>
        </w:rPr>
        <w:t>监事会应当就利润分配的提案提出明确意见，同时充分考虑外部监事的意见（如有），</w:t>
      </w:r>
      <w:r>
        <w:rPr>
          <w:spacing w:val="2"/>
        </w:rPr>
        <w:t> </w:t>
      </w:r>
      <w:r>
        <w:rPr/>
        <w:t>同意利润分配的提案的，应经全体监事过半数通过并形成决议，如不同意利润分配提案的，</w:t>
      </w:r>
      <w:r>
        <w:rPr>
          <w:spacing w:val="-94"/>
        </w:rPr>
        <w:t> </w:t>
      </w:r>
      <w:r>
        <w:rPr>
          <w:spacing w:val="-94"/>
        </w:rPr>
      </w:r>
      <w:r>
        <w:rPr/>
        <w:t>监事会应提出不同意的事实、理由，并建议董事会重新制定利润分配提案，必要时，可提请</w:t>
      </w:r>
    </w:p>
    <w:p>
      <w:pPr>
        <w:pStyle w:val="Heading3"/>
        <w:spacing w:line="357" w:lineRule="auto"/>
        <w:ind w:left="573" w:right="106" w:hanging="420"/>
        <w:jc w:val="left"/>
      </w:pPr>
      <w:r>
        <w:rPr/>
        <w:t>召开股东大会。 </w:t>
      </w:r>
      <w:r>
        <w:rPr>
          <w:spacing w:val="2"/>
        </w:rPr>
        <w:t>利润分配方案经上述程序后同意实施的，由董事会提议召开股东大会，并报股东大会批</w:t>
      </w:r>
      <w:r>
        <w:rPr/>
      </w:r>
    </w:p>
    <w:p>
      <w:pPr>
        <w:pStyle w:val="Heading3"/>
        <w:spacing w:line="357" w:lineRule="auto"/>
        <w:ind w:right="228"/>
        <w:jc w:val="both"/>
      </w:pPr>
      <w:r>
        <w:rPr>
          <w:spacing w:val="-5"/>
        </w:rPr>
        <w:t>准；利润分配政策应当由出席股东大会的股东（包括股东代理人）所持表决权的过半数通过。</w:t>
      </w:r>
      <w:r>
        <w:rPr>
          <w:spacing w:val="-116"/>
        </w:rPr>
        <w:t> </w:t>
      </w:r>
      <w:r>
        <w:rPr>
          <w:spacing w:val="-116"/>
        </w:rPr>
      </w:r>
      <w:r>
        <w:rPr/>
        <w:t>同时就此议案公司必须根据证券交易所的有关规定提供网络或其他方式为公众投资者参加股</w:t>
      </w:r>
      <w:r>
        <w:rPr>
          <w:spacing w:val="-83"/>
        </w:rPr>
        <w:t> </w:t>
      </w:r>
      <w:r>
        <w:rPr>
          <w:spacing w:val="-83"/>
        </w:rPr>
      </w:r>
      <w:r>
        <w:rPr/>
        <w:t>东大会提供便利。</w:t>
      </w:r>
    </w:p>
    <w:p>
      <w:pPr>
        <w:pStyle w:val="Heading3"/>
        <w:spacing w:line="357" w:lineRule="auto"/>
        <w:ind w:left="573" w:right="106"/>
        <w:jc w:val="left"/>
      </w:pPr>
      <w:r>
        <w:rPr/>
        <w:t>（2）利润分配政策调整的决策程序 </w:t>
      </w:r>
      <w:r>
        <w:rPr>
          <w:spacing w:val="2"/>
        </w:rPr>
        <w:t>因公司外部经营环境或者自身经营状况发生较大变化而需要调整利润分配政策的，公司</w:t>
      </w:r>
      <w:r>
        <w:rPr/>
      </w:r>
    </w:p>
    <w:p>
      <w:pPr>
        <w:pStyle w:val="Heading3"/>
        <w:spacing w:line="357" w:lineRule="auto"/>
        <w:ind w:right="93"/>
        <w:jc w:val="left"/>
      </w:pPr>
      <w:r>
        <w:rPr>
          <w:spacing w:val="-2"/>
        </w:rPr>
        <w:t>董事会应以股东权益保护为出发点，在股东提案中详细论证和说明利润分配政策调整的原因，</w:t>
      </w:r>
      <w:r>
        <w:rPr/>
        <w:t> 并严格履行以下决策程序：</w:t>
      </w:r>
    </w:p>
    <w:p>
      <w:pPr>
        <w:pStyle w:val="Heading3"/>
        <w:spacing w:line="357" w:lineRule="auto"/>
        <w:ind w:right="228" w:firstLine="420"/>
        <w:jc w:val="both"/>
      </w:pPr>
      <w:r>
        <w:rPr>
          <w:spacing w:val="2"/>
        </w:rPr>
        <w:t>由公司董事会制定《利润分配计划调整方案》，充分论证由于公司外部经营环境或自身 </w:t>
      </w:r>
      <w:r>
        <w:rPr/>
        <w:t>经营状况的变化导致公司不能进行现金分红的原因，并说明利润留存的用途，同时制定切实</w:t>
      </w:r>
      <w:r>
        <w:rPr>
          <w:spacing w:val="-83"/>
        </w:rPr>
        <w:t> </w:t>
      </w:r>
      <w:r>
        <w:rPr>
          <w:spacing w:val="-83"/>
        </w:rPr>
      </w:r>
      <w:r>
        <w:rPr/>
        <w:t>可行的经营计划提升公司的盈利能力，由公司董事会根据实际情况，在公司盈利转强时实施</w:t>
      </w:r>
      <w:r>
        <w:rPr>
          <w:spacing w:val="-83"/>
        </w:rPr>
        <w:t> </w:t>
      </w:r>
      <w:r>
        <w:rPr>
          <w:spacing w:val="-83"/>
        </w:rPr>
      </w:r>
      <w:r>
        <w:rPr>
          <w:spacing w:val="-5"/>
        </w:rPr>
        <w:t>公司对过往年度现金分红弥补方案，确保公司股东能够持续获得现金分红。董事会制定的《利</w:t>
      </w:r>
      <w:r>
        <w:rPr/>
        <w:t> 润分配计划调整方案》应经全体董事过半数通过。</w:t>
      </w:r>
    </w:p>
    <w:p>
      <w:pPr>
        <w:pStyle w:val="Heading3"/>
        <w:spacing w:line="357" w:lineRule="auto"/>
        <w:ind w:right="228" w:firstLine="420"/>
        <w:jc w:val="both"/>
      </w:pPr>
      <w:r>
        <w:rPr>
          <w:spacing w:val="2"/>
        </w:rPr>
        <w:t>公司独立董事就《利润分配计划调整方案》发表明确意见，同意利润分配调整计划的， </w:t>
      </w:r>
      <w:r>
        <w:rPr/>
        <w:t>应经全体独立董事半数以上通过，如不同意利润分配调整计划的，独立董事应提出不同意的</w:t>
      </w:r>
      <w:r>
        <w:rPr>
          <w:spacing w:val="-83"/>
        </w:rPr>
        <w:t> </w:t>
      </w:r>
      <w:r>
        <w:rPr>
          <w:spacing w:val="-83"/>
        </w:rPr>
      </w:r>
      <w:r>
        <w:rPr/>
        <w:t>事实、理由，要求董事会重新制定利润分配调整计划，必要时，可提请召开股东大会。</w:t>
      </w:r>
    </w:p>
    <w:p>
      <w:pPr>
        <w:pStyle w:val="Heading3"/>
        <w:spacing w:line="357" w:lineRule="auto"/>
        <w:ind w:right="228" w:firstLine="420"/>
        <w:jc w:val="both"/>
      </w:pPr>
      <w:r>
        <w:rPr>
          <w:spacing w:val="2"/>
        </w:rPr>
        <w:t>监事会应当就《利润分配计划调整方案》提出明确意见，同时考虑外部监事的意见（如 </w:t>
      </w:r>
      <w:r>
        <w:rPr/>
        <w:t>有），同意利润分配调整计划的，应经全体监事过半数通过并形成决议，如不同意利润分配</w:t>
      </w:r>
      <w:r>
        <w:rPr>
          <w:spacing w:val="-83"/>
        </w:rPr>
        <w:t> </w:t>
      </w:r>
      <w:r>
        <w:rPr>
          <w:spacing w:val="-83"/>
        </w:rPr>
      </w:r>
      <w:r>
        <w:rPr>
          <w:spacing w:val="-5"/>
        </w:rPr>
        <w:t>调整计划的，监事会应提出不同意的事实、理由，并建议董事会重新制定利润分配调整计划，</w:t>
      </w:r>
      <w:r>
        <w:rPr/>
        <w:t> 必要时，可提请召开股东大会。</w:t>
      </w:r>
    </w:p>
    <w:p>
      <w:pPr>
        <w:spacing w:after="0" w:line="357" w:lineRule="auto"/>
        <w:jc w:val="both"/>
        <w:sectPr>
          <w:pgSz w:w="11910" w:h="16840"/>
          <w:pgMar w:header="747" w:footer="1003" w:top="1040" w:bottom="1200" w:left="980" w:right="900"/>
        </w:sectPr>
      </w:pPr>
    </w:p>
    <w:p>
      <w:pPr>
        <w:spacing w:line="240" w:lineRule="auto" w:before="0"/>
        <w:rPr>
          <w:rFonts w:ascii="宋体" w:hAnsi="宋体" w:cs="宋体" w:eastAsia="宋体" w:hint="default"/>
          <w:sz w:val="20"/>
          <w:szCs w:val="20"/>
        </w:rPr>
      </w:pPr>
    </w:p>
    <w:p>
      <w:pPr>
        <w:pStyle w:val="Heading3"/>
        <w:spacing w:line="357" w:lineRule="auto" w:before="161"/>
        <w:ind w:right="148" w:firstLine="420"/>
        <w:jc w:val="both"/>
      </w:pPr>
      <w:r>
        <w:rPr>
          <w:spacing w:val="2"/>
        </w:rPr>
        <w:t>股东大会对《利润分配计划调整方案》进行讨论并表决，利润分配调整计划应当由出席 </w:t>
      </w:r>
      <w:r>
        <w:rPr/>
        <w:t>股东大会的股东（包括股东代理人）所持表决权的三分之二以上通过。同时就此议案公司必</w:t>
      </w:r>
      <w:r>
        <w:rPr>
          <w:spacing w:val="-83"/>
        </w:rPr>
        <w:t> </w:t>
      </w:r>
      <w:r>
        <w:rPr>
          <w:spacing w:val="-83"/>
        </w:rPr>
      </w:r>
      <w:r>
        <w:rPr/>
        <w:t>须根据证券交易所的有关规定提供网络或其他方式为公众投资者参加股东大会提供便利。股</w:t>
      </w:r>
      <w:r>
        <w:rPr>
          <w:spacing w:val="-83"/>
        </w:rPr>
        <w:t> </w:t>
      </w:r>
      <w:r>
        <w:rPr>
          <w:spacing w:val="-83"/>
        </w:rPr>
      </w:r>
      <w:r>
        <w:rPr/>
        <w:t>东大会作出的《利润分配计划调整方案》应及时通过公司章程中指定的信息披露媒体向公众</w:t>
      </w:r>
      <w:r>
        <w:rPr>
          <w:spacing w:val="-83"/>
        </w:rPr>
        <w:t> </w:t>
      </w:r>
      <w:r>
        <w:rPr>
          <w:spacing w:val="-83"/>
        </w:rPr>
      </w:r>
      <w:r>
        <w:rPr/>
        <w:t>及时披露。</w:t>
      </w:r>
    </w:p>
    <w:p>
      <w:pPr>
        <w:pStyle w:val="Heading3"/>
        <w:spacing w:line="240" w:lineRule="auto"/>
        <w:ind w:left="573" w:right="132"/>
        <w:jc w:val="left"/>
      </w:pPr>
      <w:r>
        <w:rPr/>
        <w:t>5、公司股东分红回报具体计划</w:t>
      </w:r>
    </w:p>
    <w:p>
      <w:pPr>
        <w:pStyle w:val="Heading3"/>
        <w:spacing w:line="240" w:lineRule="auto" w:before="154"/>
        <w:ind w:left="573" w:right="132"/>
        <w:jc w:val="left"/>
      </w:pPr>
      <w:r>
        <w:rPr/>
        <w:t>公司在 2012-2016年计划将为股东提供以下投资回报：</w:t>
      </w:r>
    </w:p>
    <w:p>
      <w:pPr>
        <w:pStyle w:val="Heading3"/>
        <w:spacing w:line="357" w:lineRule="auto" w:before="154"/>
        <w:ind w:right="151" w:firstLine="420"/>
        <w:jc w:val="both"/>
      </w:pPr>
      <w:r>
        <w:rPr/>
        <w:t>（1）2012-2016年，如无重大投资计划或重大现金支出事项的发生，公司每年以现金形 式分配的利润将不少于当年实现的可供分配利润的20%；</w:t>
      </w:r>
    </w:p>
    <w:p>
      <w:pPr>
        <w:pStyle w:val="Heading3"/>
        <w:spacing w:line="357" w:lineRule="auto"/>
        <w:ind w:right="151" w:firstLine="420"/>
        <w:jc w:val="both"/>
      </w:pPr>
      <w:r>
        <w:rPr>
          <w:spacing w:val="-1"/>
        </w:rPr>
        <w:t>（2）在确保足额现金股利分配的前提下，公司可以另行增加股票股利分配。公司将接受</w:t>
      </w:r>
      <w:r>
        <w:rPr/>
        <w:t> 所有股东、独立董事、监事和公众投资者对公司分红的建议和监督。</w:t>
      </w:r>
    </w:p>
    <w:p>
      <w:pPr>
        <w:spacing w:line="240" w:lineRule="auto" w:before="0"/>
        <w:rPr>
          <w:rFonts w:ascii="宋体" w:hAnsi="宋体" w:cs="宋体" w:eastAsia="宋体" w:hint="default"/>
          <w:sz w:val="24"/>
          <w:szCs w:val="24"/>
        </w:rPr>
      </w:pPr>
    </w:p>
    <w:p>
      <w:pPr>
        <w:pStyle w:val="BodyText"/>
        <w:spacing w:line="240" w:lineRule="auto" w:before="213"/>
        <w:ind w:right="132"/>
        <w:jc w:val="left"/>
      </w:pPr>
      <w:r>
        <w:rPr/>
        <w:t>公司报告期利润分配预案及资本公积金转增股本预案与公司章程和分红管理办法等的相关规定一致</w:t>
      </w:r>
    </w:p>
    <w:p>
      <w:pPr>
        <w:spacing w:line="240" w:lineRule="auto" w:before="10"/>
        <w:rPr>
          <w:rFonts w:ascii="宋体" w:hAnsi="宋体" w:cs="宋体" w:eastAsia="宋体" w:hint="default"/>
          <w:sz w:val="14"/>
          <w:szCs w:val="14"/>
        </w:rPr>
      </w:pPr>
    </w:p>
    <w:p>
      <w:pPr>
        <w:pStyle w:val="Heading3"/>
        <w:spacing w:line="372" w:lineRule="auto" w:before="0"/>
        <w:ind w:left="154" w:right="1130"/>
        <w:jc w:val="left"/>
      </w:pPr>
      <w:r>
        <w:rPr/>
        <w:pict>
          <v:shape style="position:absolute;margin-left:56.459999pt;margin-top:65.963699pt;width:479.1pt;height:238.1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18"/>
                    <w:gridCol w:w="5850"/>
                  </w:tblGrid>
                  <w:tr>
                    <w:trPr>
                      <w:trHeight w:val="407" w:hRule="exact"/>
                    </w:trPr>
                    <w:tc>
                      <w:tcPr>
                        <w:tcW w:w="3718" w:type="dxa"/>
                        <w:tcBorders>
                          <w:top w:val="single" w:sz="21" w:space="0" w:color="D3D3D3"/>
                          <w:left w:val="single" w:sz="4" w:space="0" w:color="000000"/>
                          <w:bottom w:val="single" w:sz="4" w:space="0" w:color="FFFFFF"/>
                          <w:right w:val="single" w:sz="4" w:space="0" w:color="000000"/>
                        </w:tcBorders>
                      </w:tcPr>
                      <w:p>
                        <w:pPr>
                          <w:pStyle w:val="TableParagraph"/>
                          <w:tabs>
                            <w:tab w:pos="3661" w:val="left" w:leader="none"/>
                          </w:tabs>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每</w:t>
                        </w:r>
                        <w:r>
                          <w:rPr>
                            <w:rFonts w:ascii="宋体" w:hAnsi="宋体" w:cs="宋体" w:eastAsia="宋体" w:hint="default"/>
                            <w:spacing w:val="-46"/>
                            <w:sz w:val="18"/>
                            <w:szCs w:val="18"/>
                            <w:shd w:fill="D3D3D3" w:color="auto" w:val="clear"/>
                          </w:rPr>
                          <w:t> </w:t>
                        </w:r>
                        <w:r>
                          <w:rPr>
                            <w:rFonts w:ascii="宋体" w:hAnsi="宋体" w:cs="宋体" w:eastAsia="宋体" w:hint="default"/>
                            <w:sz w:val="18"/>
                            <w:szCs w:val="18"/>
                            <w:shd w:fill="D3D3D3" w:color="auto" w:val="clear"/>
                          </w:rPr>
                          <w:t>10</w:t>
                        </w:r>
                        <w:r>
                          <w:rPr>
                            <w:rFonts w:ascii="宋体" w:hAnsi="宋体" w:cs="宋体" w:eastAsia="宋体" w:hint="default"/>
                            <w:spacing w:val="-46"/>
                            <w:sz w:val="18"/>
                            <w:szCs w:val="18"/>
                            <w:shd w:fill="D3D3D3" w:color="auto" w:val="clear"/>
                          </w:rPr>
                          <w:t> </w:t>
                        </w:r>
                        <w:r>
                          <w:rPr>
                            <w:rFonts w:ascii="宋体" w:hAnsi="宋体" w:cs="宋体" w:eastAsia="宋体" w:hint="default"/>
                            <w:sz w:val="18"/>
                            <w:szCs w:val="18"/>
                            <w:shd w:fill="D3D3D3" w:color="auto" w:val="clear"/>
                          </w:rPr>
                          <w:t>股送红股数（股）</w:t>
                          <w:tab/>
                        </w:r>
                        <w:r>
                          <w:rPr>
                            <w:rFonts w:ascii="宋体" w:hAnsi="宋体" w:cs="宋体" w:eastAsia="宋体" w:hint="default"/>
                            <w:sz w:val="18"/>
                            <w:szCs w:val="18"/>
                          </w:rPr>
                        </w:r>
                      </w:p>
                    </w:tc>
                    <w:tc>
                      <w:tcPr>
                        <w:tcW w:w="585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0</w:t>
                        </w:r>
                      </w:p>
                    </w:tc>
                  </w:tr>
                  <w:tr>
                    <w:trPr>
                      <w:trHeight w:val="407" w:hRule="exact"/>
                    </w:trPr>
                    <w:tc>
                      <w:tcPr>
                        <w:tcW w:w="3718" w:type="dxa"/>
                        <w:tcBorders>
                          <w:top w:val="single" w:sz="4" w:space="0" w:color="FFFFFF"/>
                          <w:left w:val="single" w:sz="4" w:space="0" w:color="000000"/>
                          <w:bottom w:val="single" w:sz="4" w:space="0" w:color="FFFFFF"/>
                          <w:right w:val="single" w:sz="4" w:space="0" w:color="000000"/>
                        </w:tcBorders>
                      </w:tcPr>
                      <w:p>
                        <w:pPr>
                          <w:pStyle w:val="TableParagraph"/>
                          <w:tabs>
                            <w:tab w:pos="3661" w:val="left" w:leader="none"/>
                          </w:tabs>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每</w:t>
                        </w:r>
                        <w:r>
                          <w:rPr>
                            <w:rFonts w:ascii="宋体" w:hAnsi="宋体" w:cs="宋体" w:eastAsia="宋体" w:hint="default"/>
                            <w:spacing w:val="-46"/>
                            <w:sz w:val="18"/>
                            <w:szCs w:val="18"/>
                            <w:shd w:fill="D3D3D3" w:color="auto" w:val="clear"/>
                          </w:rPr>
                          <w:t> </w:t>
                        </w:r>
                        <w:r>
                          <w:rPr>
                            <w:rFonts w:ascii="宋体" w:hAnsi="宋体" w:cs="宋体" w:eastAsia="宋体" w:hint="default"/>
                            <w:sz w:val="18"/>
                            <w:szCs w:val="18"/>
                            <w:shd w:fill="D3D3D3" w:color="auto" w:val="clear"/>
                          </w:rPr>
                          <w:t>10</w:t>
                        </w:r>
                        <w:r>
                          <w:rPr>
                            <w:rFonts w:ascii="宋体" w:hAnsi="宋体" w:cs="宋体" w:eastAsia="宋体" w:hint="default"/>
                            <w:spacing w:val="-46"/>
                            <w:sz w:val="18"/>
                            <w:szCs w:val="18"/>
                            <w:shd w:fill="D3D3D3" w:color="auto" w:val="clear"/>
                          </w:rPr>
                          <w:t> </w:t>
                        </w:r>
                        <w:r>
                          <w:rPr>
                            <w:rFonts w:ascii="宋体" w:hAnsi="宋体" w:cs="宋体" w:eastAsia="宋体" w:hint="default"/>
                            <w:sz w:val="18"/>
                            <w:szCs w:val="18"/>
                            <w:shd w:fill="D3D3D3" w:color="auto" w:val="clear"/>
                          </w:rPr>
                          <w:t>股派息</w:t>
                        </w:r>
                        <w:r>
                          <w:rPr>
                            <w:rFonts w:ascii="宋体" w:hAnsi="宋体" w:cs="宋体" w:eastAsia="宋体" w:hint="default"/>
                            <w:spacing w:val="1"/>
                            <w:sz w:val="18"/>
                            <w:szCs w:val="18"/>
                            <w:shd w:fill="D3D3D3" w:color="auto" w:val="clear"/>
                          </w:rPr>
                          <w:t>数</w:t>
                        </w:r>
                        <w:r>
                          <w:rPr>
                            <w:rFonts w:ascii="宋体" w:hAnsi="宋体" w:cs="宋体" w:eastAsia="宋体" w:hint="default"/>
                            <w:sz w:val="18"/>
                            <w:szCs w:val="18"/>
                            <w:shd w:fill="D3D3D3" w:color="auto" w:val="clear"/>
                          </w:rPr>
                          <w:t>（元</w:t>
                        </w:r>
                        <w:r>
                          <w:rPr>
                            <w:rFonts w:ascii="宋体" w:hAnsi="宋体" w:cs="宋体" w:eastAsia="宋体" w:hint="default"/>
                            <w:spacing w:val="-90"/>
                            <w:sz w:val="18"/>
                            <w:szCs w:val="18"/>
                            <w:shd w:fill="D3D3D3" w:color="auto" w:val="clear"/>
                          </w:rPr>
                          <w:t>）</w:t>
                        </w:r>
                        <w:r>
                          <w:rPr>
                            <w:rFonts w:ascii="宋体" w:hAnsi="宋体" w:cs="宋体" w:eastAsia="宋体" w:hint="default"/>
                            <w:sz w:val="18"/>
                            <w:szCs w:val="18"/>
                            <w:shd w:fill="D3D3D3" w:color="auto" w:val="clear"/>
                          </w:rPr>
                          <w:t>（含税）</w:t>
                          <w:tab/>
                        </w:r>
                        <w:r>
                          <w:rPr>
                            <w:rFonts w:ascii="宋体" w:hAnsi="宋体" w:cs="宋体" w:eastAsia="宋体" w:hint="default"/>
                            <w:sz w:val="18"/>
                            <w:szCs w:val="18"/>
                          </w:rPr>
                        </w:r>
                      </w:p>
                    </w:tc>
                    <w:tc>
                      <w:tcPr>
                        <w:tcW w:w="585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3</w:t>
                        </w:r>
                      </w:p>
                    </w:tc>
                  </w:tr>
                  <w:tr>
                    <w:trPr>
                      <w:trHeight w:val="407" w:hRule="exact"/>
                    </w:trPr>
                    <w:tc>
                      <w:tcPr>
                        <w:tcW w:w="3718" w:type="dxa"/>
                        <w:tcBorders>
                          <w:top w:val="single" w:sz="4" w:space="0" w:color="FFFFFF"/>
                          <w:left w:val="single" w:sz="4" w:space="0" w:color="000000"/>
                          <w:bottom w:val="single" w:sz="4" w:space="0" w:color="FFFFFF"/>
                          <w:right w:val="single" w:sz="4" w:space="0" w:color="000000"/>
                        </w:tcBorders>
                      </w:tcPr>
                      <w:p>
                        <w:pPr>
                          <w:pStyle w:val="TableParagraph"/>
                          <w:tabs>
                            <w:tab w:pos="3661" w:val="left" w:leader="none"/>
                          </w:tabs>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每</w:t>
                        </w:r>
                        <w:r>
                          <w:rPr>
                            <w:rFonts w:ascii="宋体" w:hAnsi="宋体" w:cs="宋体" w:eastAsia="宋体" w:hint="default"/>
                            <w:spacing w:val="-46"/>
                            <w:sz w:val="18"/>
                            <w:szCs w:val="18"/>
                            <w:shd w:fill="D3D3D3" w:color="auto" w:val="clear"/>
                          </w:rPr>
                          <w:t> </w:t>
                        </w:r>
                        <w:r>
                          <w:rPr>
                            <w:rFonts w:ascii="宋体" w:hAnsi="宋体" w:cs="宋体" w:eastAsia="宋体" w:hint="default"/>
                            <w:sz w:val="18"/>
                            <w:szCs w:val="18"/>
                            <w:shd w:fill="D3D3D3" w:color="auto" w:val="clear"/>
                          </w:rPr>
                          <w:t>10</w:t>
                        </w:r>
                        <w:r>
                          <w:rPr>
                            <w:rFonts w:ascii="宋体" w:hAnsi="宋体" w:cs="宋体" w:eastAsia="宋体" w:hint="default"/>
                            <w:spacing w:val="-46"/>
                            <w:sz w:val="18"/>
                            <w:szCs w:val="18"/>
                            <w:shd w:fill="D3D3D3" w:color="auto" w:val="clear"/>
                          </w:rPr>
                          <w:t> </w:t>
                        </w:r>
                        <w:r>
                          <w:rPr>
                            <w:rFonts w:ascii="宋体" w:hAnsi="宋体" w:cs="宋体" w:eastAsia="宋体" w:hint="default"/>
                            <w:sz w:val="18"/>
                            <w:szCs w:val="18"/>
                            <w:shd w:fill="D3D3D3" w:color="auto" w:val="clear"/>
                          </w:rPr>
                          <w:t>股转增数（股）</w:t>
                          <w:tab/>
                        </w:r>
                        <w:r>
                          <w:rPr>
                            <w:rFonts w:ascii="宋体" w:hAnsi="宋体" w:cs="宋体" w:eastAsia="宋体" w:hint="default"/>
                            <w:sz w:val="18"/>
                            <w:szCs w:val="18"/>
                          </w:rPr>
                        </w:r>
                      </w:p>
                    </w:tc>
                    <w:tc>
                      <w:tcPr>
                        <w:tcW w:w="585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5</w:t>
                        </w:r>
                      </w:p>
                    </w:tc>
                  </w:tr>
                  <w:tr>
                    <w:trPr>
                      <w:trHeight w:val="408" w:hRule="exact"/>
                    </w:trPr>
                    <w:tc>
                      <w:tcPr>
                        <w:tcW w:w="3718" w:type="dxa"/>
                        <w:tcBorders>
                          <w:top w:val="single" w:sz="4" w:space="0" w:color="FFFFFF"/>
                          <w:left w:val="single" w:sz="4" w:space="0" w:color="000000"/>
                          <w:bottom w:val="single" w:sz="4" w:space="0" w:color="FFFFFF"/>
                          <w:right w:val="single" w:sz="4" w:space="0" w:color="000000"/>
                        </w:tcBorders>
                      </w:tcPr>
                      <w:p>
                        <w:pPr>
                          <w:pStyle w:val="TableParagraph"/>
                          <w:tabs>
                            <w:tab w:pos="3661" w:val="left" w:leader="none"/>
                          </w:tabs>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分配预案的股本基数（股）</w:t>
                          <w:tab/>
                        </w:r>
                        <w:r>
                          <w:rPr>
                            <w:rFonts w:ascii="宋体" w:hAnsi="宋体" w:cs="宋体" w:eastAsia="宋体" w:hint="default"/>
                            <w:sz w:val="18"/>
                            <w:szCs w:val="18"/>
                          </w:rPr>
                        </w:r>
                      </w:p>
                    </w:tc>
                    <w:tc>
                      <w:tcPr>
                        <w:tcW w:w="585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86,670,000.00</w:t>
                        </w:r>
                      </w:p>
                    </w:tc>
                  </w:tr>
                  <w:tr>
                    <w:trPr>
                      <w:trHeight w:val="407" w:hRule="exact"/>
                    </w:trPr>
                    <w:tc>
                      <w:tcPr>
                        <w:tcW w:w="3718" w:type="dxa"/>
                        <w:tcBorders>
                          <w:top w:val="single" w:sz="4" w:space="0" w:color="FFFFFF"/>
                          <w:left w:val="single" w:sz="4" w:space="0" w:color="000000"/>
                          <w:bottom w:val="single" w:sz="4" w:space="0" w:color="FFFFFF"/>
                          <w:right w:val="single" w:sz="4" w:space="0" w:color="000000"/>
                        </w:tcBorders>
                      </w:tcPr>
                      <w:p>
                        <w:pPr>
                          <w:pStyle w:val="TableParagraph"/>
                          <w:tabs>
                            <w:tab w:pos="3661" w:val="left" w:leader="none"/>
                          </w:tabs>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现金分红总额（元</w:t>
                        </w:r>
                        <w:r>
                          <w:rPr>
                            <w:rFonts w:ascii="宋体" w:hAnsi="宋体" w:cs="宋体" w:eastAsia="宋体" w:hint="default"/>
                            <w:spacing w:val="-90"/>
                            <w:sz w:val="18"/>
                            <w:szCs w:val="18"/>
                            <w:shd w:fill="D3D3D3" w:color="auto" w:val="clear"/>
                          </w:rPr>
                          <w:t>）</w:t>
                        </w:r>
                        <w:r>
                          <w:rPr>
                            <w:rFonts w:ascii="宋体" w:hAnsi="宋体" w:cs="宋体" w:eastAsia="宋体" w:hint="default"/>
                            <w:sz w:val="18"/>
                            <w:szCs w:val="18"/>
                            <w:shd w:fill="D3D3D3" w:color="auto" w:val="clear"/>
                          </w:rPr>
                          <w:t>（含税）</w:t>
                          <w:tab/>
                        </w:r>
                        <w:r>
                          <w:rPr>
                            <w:rFonts w:ascii="宋体" w:hAnsi="宋体" w:cs="宋体" w:eastAsia="宋体" w:hint="default"/>
                            <w:sz w:val="18"/>
                            <w:szCs w:val="18"/>
                          </w:rPr>
                        </w:r>
                      </w:p>
                    </w:tc>
                    <w:tc>
                      <w:tcPr>
                        <w:tcW w:w="585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26,001,000.00</w:t>
                        </w:r>
                      </w:p>
                    </w:tc>
                  </w:tr>
                  <w:tr>
                    <w:trPr>
                      <w:trHeight w:val="428" w:hRule="exact"/>
                    </w:trPr>
                    <w:tc>
                      <w:tcPr>
                        <w:tcW w:w="3718" w:type="dxa"/>
                        <w:tcBorders>
                          <w:top w:val="single" w:sz="4" w:space="0" w:color="FFFFFF"/>
                          <w:left w:val="single" w:sz="4" w:space="0" w:color="000000"/>
                          <w:bottom w:val="single" w:sz="38" w:space="0" w:color="D3D3D3"/>
                          <w:right w:val="single" w:sz="4" w:space="0" w:color="000000"/>
                        </w:tcBorders>
                      </w:tcPr>
                      <w:p>
                        <w:pPr>
                          <w:pStyle w:val="TableParagraph"/>
                          <w:tabs>
                            <w:tab w:pos="3661" w:val="left" w:leader="none"/>
                          </w:tabs>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可分配利润（元）</w:t>
                          <w:tab/>
                        </w:r>
                        <w:r>
                          <w:rPr>
                            <w:rFonts w:ascii="宋体" w:hAnsi="宋体" w:cs="宋体" w:eastAsia="宋体" w:hint="default"/>
                            <w:sz w:val="18"/>
                            <w:szCs w:val="18"/>
                          </w:rPr>
                        </w:r>
                      </w:p>
                    </w:tc>
                    <w:tc>
                      <w:tcPr>
                        <w:tcW w:w="5850" w:type="dxa"/>
                        <w:tcBorders>
                          <w:top w:val="single" w:sz="4" w:space="0" w:color="FFFFFF"/>
                          <w:left w:val="single" w:sz="4" w:space="0" w:color="000000"/>
                          <w:bottom w:val="single" w:sz="21" w:space="0" w:color="D3D3D3"/>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123,996,545.03</w:t>
                        </w:r>
                      </w:p>
                    </w:tc>
                  </w:tr>
                  <w:tr>
                    <w:trPr>
                      <w:trHeight w:val="364"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left="306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1904" w:hRule="exact"/>
                    </w:trPr>
                    <w:tc>
                      <w:tcPr>
                        <w:tcW w:w="9568" w:type="dxa"/>
                        <w:gridSpan w:val="2"/>
                        <w:tcBorders>
                          <w:top w:val="single" w:sz="17" w:space="0" w:color="D3D3D3"/>
                          <w:left w:val="single" w:sz="4" w:space="0" w:color="000000"/>
                          <w:bottom w:val="single" w:sz="4" w:space="0" w:color="000000"/>
                          <w:right w:val="single" w:sz="4" w:space="0" w:color="000000"/>
                        </w:tcBorders>
                      </w:tcPr>
                      <w:p>
                        <w:pPr>
                          <w:pStyle w:val="TableParagraph"/>
                          <w:spacing w:line="240" w:lineRule="auto" w:before="93"/>
                          <w:ind w:left="382" w:right="0"/>
                          <w:jc w:val="left"/>
                          <w:rPr>
                            <w:rFonts w:ascii="宋体" w:hAnsi="宋体" w:cs="宋体" w:eastAsia="宋体" w:hint="default"/>
                            <w:sz w:val="18"/>
                            <w:szCs w:val="18"/>
                          </w:rPr>
                        </w:pPr>
                        <w:r>
                          <w:rPr>
                            <w:rFonts w:ascii="宋体" w:hAnsi="宋体" w:cs="宋体" w:eastAsia="宋体" w:hint="default"/>
                            <w:sz w:val="18"/>
                            <w:szCs w:val="18"/>
                          </w:rPr>
                          <w:t>以公司</w:t>
                        </w:r>
                        <w:r>
                          <w:rPr>
                            <w:rFonts w:ascii="宋体" w:hAnsi="宋体" w:cs="宋体" w:eastAsia="宋体" w:hint="default"/>
                            <w:spacing w:val="-38"/>
                            <w:sz w:val="18"/>
                            <w:szCs w:val="18"/>
                          </w:rPr>
                          <w:t> </w:t>
                        </w:r>
                        <w:r>
                          <w:rPr>
                            <w:rFonts w:ascii="宋体" w:hAnsi="宋体" w:cs="宋体" w:eastAsia="宋体" w:hint="default"/>
                            <w:sz w:val="18"/>
                            <w:szCs w:val="18"/>
                          </w:rPr>
                          <w:t>2012</w:t>
                        </w:r>
                        <w:r>
                          <w:rPr>
                            <w:rFonts w:ascii="宋体" w:hAnsi="宋体" w:cs="宋体" w:eastAsia="宋体" w:hint="default"/>
                            <w:spacing w:val="-38"/>
                            <w:sz w:val="18"/>
                            <w:szCs w:val="18"/>
                          </w:rPr>
                          <w:t> </w:t>
                        </w:r>
                        <w:r>
                          <w:rPr>
                            <w:rFonts w:ascii="宋体" w:hAnsi="宋体" w:cs="宋体" w:eastAsia="宋体" w:hint="default"/>
                            <w:sz w:val="18"/>
                            <w:szCs w:val="18"/>
                          </w:rPr>
                          <w:t>年末总股本</w:t>
                        </w:r>
                        <w:r>
                          <w:rPr>
                            <w:rFonts w:ascii="宋体" w:hAnsi="宋体" w:cs="宋体" w:eastAsia="宋体" w:hint="default"/>
                            <w:spacing w:val="-38"/>
                            <w:sz w:val="18"/>
                            <w:szCs w:val="18"/>
                          </w:rPr>
                          <w:t> </w:t>
                        </w:r>
                        <w:r>
                          <w:rPr>
                            <w:rFonts w:ascii="宋体" w:hAnsi="宋体" w:cs="宋体" w:eastAsia="宋体" w:hint="default"/>
                            <w:sz w:val="18"/>
                            <w:szCs w:val="18"/>
                          </w:rPr>
                          <w:t>86,670,000</w:t>
                        </w:r>
                        <w:r>
                          <w:rPr>
                            <w:rFonts w:ascii="宋体" w:hAnsi="宋体" w:cs="宋体" w:eastAsia="宋体" w:hint="default"/>
                            <w:spacing w:val="-38"/>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38"/>
                            <w:sz w:val="18"/>
                            <w:szCs w:val="18"/>
                          </w:rPr>
                          <w:t> </w:t>
                        </w:r>
                        <w:r>
                          <w:rPr>
                            <w:rFonts w:ascii="宋体" w:hAnsi="宋体" w:cs="宋体" w:eastAsia="宋体" w:hint="default"/>
                            <w:sz w:val="18"/>
                            <w:szCs w:val="18"/>
                          </w:rPr>
                          <w:t>10</w:t>
                        </w:r>
                        <w:r>
                          <w:rPr>
                            <w:rFonts w:ascii="宋体" w:hAnsi="宋体" w:cs="宋体" w:eastAsia="宋体" w:hint="default"/>
                            <w:spacing w:val="-38"/>
                            <w:sz w:val="18"/>
                            <w:szCs w:val="18"/>
                          </w:rPr>
                          <w:t> </w:t>
                        </w:r>
                        <w:r>
                          <w:rPr>
                            <w:rFonts w:ascii="宋体" w:hAnsi="宋体" w:cs="宋体" w:eastAsia="宋体" w:hint="default"/>
                            <w:sz w:val="18"/>
                            <w:szCs w:val="18"/>
                          </w:rPr>
                          <w:t>股派发现金红利</w:t>
                        </w:r>
                        <w:r>
                          <w:rPr>
                            <w:rFonts w:ascii="宋体" w:hAnsi="宋体" w:cs="宋体" w:eastAsia="宋体" w:hint="default"/>
                            <w:spacing w:val="-38"/>
                            <w:sz w:val="18"/>
                            <w:szCs w:val="18"/>
                          </w:rPr>
                          <w:t> </w:t>
                        </w:r>
                        <w:r>
                          <w:rPr>
                            <w:rFonts w:ascii="宋体" w:hAnsi="宋体" w:cs="宋体" w:eastAsia="宋体" w:hint="default"/>
                            <w:sz w:val="18"/>
                            <w:szCs w:val="18"/>
                          </w:rPr>
                          <w:t>3.00</w:t>
                        </w:r>
                        <w:r>
                          <w:rPr>
                            <w:rFonts w:ascii="宋体" w:hAnsi="宋体" w:cs="宋体" w:eastAsia="宋体" w:hint="default"/>
                            <w:spacing w:val="-38"/>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，共计派发现金红</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pacing w:val="-30"/>
                            <w:sz w:val="18"/>
                            <w:szCs w:val="18"/>
                          </w:rPr>
                          <w:t> </w:t>
                        </w:r>
                        <w:r>
                          <w:rPr>
                            <w:rFonts w:ascii="宋体" w:hAnsi="宋体" w:cs="宋体" w:eastAsia="宋体" w:hint="default"/>
                            <w:sz w:val="18"/>
                            <w:szCs w:val="18"/>
                          </w:rPr>
                          <w:t>26,001,000.00</w:t>
                        </w:r>
                        <w:r>
                          <w:rPr>
                            <w:rFonts w:ascii="宋体" w:hAnsi="宋体" w:cs="宋体" w:eastAsia="宋体" w:hint="default"/>
                            <w:spacing w:val="-30"/>
                            <w:sz w:val="18"/>
                            <w:szCs w:val="18"/>
                          </w:rPr>
                          <w:t> </w:t>
                        </w:r>
                        <w:r>
                          <w:rPr>
                            <w:rFonts w:ascii="宋体" w:hAnsi="宋体" w:cs="宋体" w:eastAsia="宋体" w:hint="default"/>
                            <w:sz w:val="18"/>
                            <w:szCs w:val="18"/>
                          </w:rPr>
                          <w:t>元；同时进行资本公积金转增股本，以公司</w:t>
                        </w:r>
                        <w:r>
                          <w:rPr>
                            <w:rFonts w:ascii="宋体" w:hAnsi="宋体" w:cs="宋体" w:eastAsia="宋体" w:hint="default"/>
                            <w:spacing w:val="-30"/>
                            <w:sz w:val="18"/>
                            <w:szCs w:val="18"/>
                          </w:rPr>
                          <w:t> </w:t>
                        </w:r>
                        <w:r>
                          <w:rPr>
                            <w:rFonts w:ascii="宋体" w:hAnsi="宋体" w:cs="宋体" w:eastAsia="宋体" w:hint="default"/>
                            <w:sz w:val="18"/>
                            <w:szCs w:val="18"/>
                          </w:rPr>
                          <w:t>2012</w:t>
                        </w:r>
                        <w:r>
                          <w:rPr>
                            <w:rFonts w:ascii="宋体" w:hAnsi="宋体" w:cs="宋体" w:eastAsia="宋体" w:hint="default"/>
                            <w:spacing w:val="-30"/>
                            <w:sz w:val="18"/>
                            <w:szCs w:val="18"/>
                          </w:rPr>
                          <w:t> </w:t>
                        </w:r>
                        <w:r>
                          <w:rPr>
                            <w:rFonts w:ascii="宋体" w:hAnsi="宋体" w:cs="宋体" w:eastAsia="宋体" w:hint="default"/>
                            <w:sz w:val="18"/>
                            <w:szCs w:val="18"/>
                          </w:rPr>
                          <w:t>年末总股本</w:t>
                        </w:r>
                        <w:r>
                          <w:rPr>
                            <w:rFonts w:ascii="宋体" w:hAnsi="宋体" w:cs="宋体" w:eastAsia="宋体" w:hint="default"/>
                            <w:spacing w:val="-30"/>
                            <w:sz w:val="18"/>
                            <w:szCs w:val="18"/>
                          </w:rPr>
                          <w:t> </w:t>
                        </w:r>
                        <w:r>
                          <w:rPr>
                            <w:rFonts w:ascii="宋体" w:hAnsi="宋体" w:cs="宋体" w:eastAsia="宋体" w:hint="default"/>
                            <w:sz w:val="18"/>
                            <w:szCs w:val="18"/>
                          </w:rPr>
                          <w:t>86,670,000</w:t>
                        </w:r>
                        <w:r>
                          <w:rPr>
                            <w:rFonts w:ascii="宋体" w:hAnsi="宋体" w:cs="宋体" w:eastAsia="宋体" w:hint="default"/>
                            <w:spacing w:val="-30"/>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30"/>
                            <w:sz w:val="18"/>
                            <w:szCs w:val="18"/>
                          </w:rPr>
                          <w:t> </w:t>
                        </w:r>
                        <w:r>
                          <w:rPr>
                            <w:rFonts w:ascii="宋体" w:hAnsi="宋体" w:cs="宋体" w:eastAsia="宋体" w:hint="default"/>
                            <w:sz w:val="18"/>
                            <w:szCs w:val="18"/>
                          </w:rPr>
                          <w:t>10</w:t>
                        </w:r>
                      </w:p>
                      <w:p>
                        <w:pPr>
                          <w:pStyle w:val="TableParagraph"/>
                          <w:spacing w:line="470" w:lineRule="atLeast"/>
                          <w:ind w:left="22" w:right="22"/>
                          <w:jc w:val="left"/>
                          <w:rPr>
                            <w:rFonts w:ascii="宋体" w:hAnsi="宋体" w:cs="宋体" w:eastAsia="宋体" w:hint="default"/>
                            <w:sz w:val="18"/>
                            <w:szCs w:val="18"/>
                          </w:rPr>
                        </w:pPr>
                        <w:r>
                          <w:rPr>
                            <w:rFonts w:ascii="宋体" w:hAnsi="宋体" w:cs="宋体" w:eastAsia="宋体" w:hint="default"/>
                            <w:sz w:val="18"/>
                            <w:szCs w:val="18"/>
                          </w:rPr>
                          <w:t>股转增</w:t>
                        </w:r>
                        <w:r>
                          <w:rPr>
                            <w:rFonts w:ascii="宋体" w:hAnsi="宋体" w:cs="宋体" w:eastAsia="宋体" w:hint="default"/>
                            <w:spacing w:val="-30"/>
                            <w:sz w:val="18"/>
                            <w:szCs w:val="18"/>
                          </w:rPr>
                          <w:t> </w:t>
                        </w:r>
                        <w:r>
                          <w:rPr>
                            <w:rFonts w:ascii="宋体" w:hAnsi="宋体" w:cs="宋体" w:eastAsia="宋体" w:hint="default"/>
                            <w:sz w:val="18"/>
                            <w:szCs w:val="18"/>
                          </w:rPr>
                          <w:t>5</w:t>
                        </w:r>
                        <w:r>
                          <w:rPr>
                            <w:rFonts w:ascii="宋体" w:hAnsi="宋体" w:cs="宋体" w:eastAsia="宋体" w:hint="default"/>
                            <w:spacing w:val="-30"/>
                            <w:sz w:val="18"/>
                            <w:szCs w:val="18"/>
                          </w:rPr>
                          <w:t> </w:t>
                        </w:r>
                        <w:r>
                          <w:rPr>
                            <w:rFonts w:ascii="宋体" w:hAnsi="宋体" w:cs="宋体" w:eastAsia="宋体" w:hint="default"/>
                            <w:sz w:val="18"/>
                            <w:szCs w:val="18"/>
                          </w:rPr>
                          <w:t>股，共计转增</w:t>
                        </w:r>
                        <w:r>
                          <w:rPr>
                            <w:rFonts w:ascii="宋体" w:hAnsi="宋体" w:cs="宋体" w:eastAsia="宋体" w:hint="default"/>
                            <w:spacing w:val="-30"/>
                            <w:sz w:val="18"/>
                            <w:szCs w:val="18"/>
                          </w:rPr>
                          <w:t> </w:t>
                        </w:r>
                        <w:r>
                          <w:rPr>
                            <w:rFonts w:ascii="宋体" w:hAnsi="宋体" w:cs="宋体" w:eastAsia="宋体" w:hint="default"/>
                            <w:sz w:val="18"/>
                            <w:szCs w:val="18"/>
                          </w:rPr>
                          <w:t>43,335,000</w:t>
                        </w:r>
                        <w:r>
                          <w:rPr>
                            <w:rFonts w:ascii="宋体" w:hAnsi="宋体" w:cs="宋体" w:eastAsia="宋体" w:hint="default"/>
                            <w:spacing w:val="-30"/>
                            <w:sz w:val="18"/>
                            <w:szCs w:val="18"/>
                          </w:rPr>
                          <w:t> </w:t>
                        </w:r>
                        <w:r>
                          <w:rPr>
                            <w:rFonts w:ascii="宋体" w:hAnsi="宋体" w:cs="宋体" w:eastAsia="宋体" w:hint="default"/>
                            <w:sz w:val="18"/>
                            <w:szCs w:val="18"/>
                          </w:rPr>
                          <w:t>股。上述利润分配预案符合《公司章程》及《光一科技股份有限公司股东分红回报规</w:t>
                        </w:r>
                        <w:r>
                          <w:rPr>
                            <w:rFonts w:ascii="宋体" w:hAnsi="宋体" w:cs="宋体" w:eastAsia="宋体" w:hint="default"/>
                            <w:sz w:val="18"/>
                            <w:szCs w:val="18"/>
                          </w:rPr>
                          <w:t> </w:t>
                        </w:r>
                        <w:r>
                          <w:rPr>
                            <w:rFonts w:ascii="宋体" w:hAnsi="宋体" w:cs="宋体" w:eastAsia="宋体" w:hint="default"/>
                            <w:spacing w:val="-4"/>
                            <w:sz w:val="18"/>
                            <w:szCs w:val="18"/>
                          </w:rPr>
                          <w:t>划（[2012]-[2016]）》等相关规定。</w:t>
                        </w:r>
                      </w:p>
                    </w:tc>
                  </w:tr>
                </w:tbl>
                <w:p>
                  <w:pPr/>
                </w:p>
              </w:txbxContent>
            </v:textbox>
            <w10:wrap type="none"/>
          </v:shape>
        </w:pict>
      </w:r>
      <w:r>
        <w:rPr>
          <w:sz w:val="21"/>
          <w:szCs w:val="21"/>
        </w:rPr>
        <w:t>√ 是 □ 否 □</w:t>
      </w:r>
      <w:r>
        <w:rPr>
          <w:spacing w:val="-2"/>
          <w:sz w:val="21"/>
          <w:szCs w:val="21"/>
        </w:rPr>
        <w:t> </w:t>
      </w:r>
      <w:r>
        <w:rPr>
          <w:sz w:val="21"/>
          <w:szCs w:val="21"/>
        </w:rPr>
        <w:t>不适用</w:t>
      </w:r>
      <w:r>
        <w:rPr>
          <w:sz w:val="21"/>
          <w:szCs w:val="21"/>
        </w:rPr>
        <w:t> </w:t>
      </w:r>
      <w:r>
        <w:rPr/>
        <w:t>公司报告期利润分配预案及资本公积金转增股本预案符合公司章程等的相关规定。</w:t>
      </w:r>
      <w:r>
        <w:rPr/>
        <w:t> 本年度利润分配及资本公积金转增股本预案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240" w:lineRule="auto" w:before="26"/>
        <w:ind w:left="154" w:right="132"/>
        <w:jc w:val="left"/>
      </w:pPr>
      <w:r>
        <w:rPr/>
        <w:t>公司近</w:t>
      </w:r>
      <w:r>
        <w:rPr>
          <w:spacing w:val="-60"/>
        </w:rPr>
        <w:t> </w:t>
      </w:r>
      <w:r>
        <w:rPr/>
        <w:t>3</w:t>
      </w:r>
      <w:r>
        <w:rPr>
          <w:spacing w:val="-60"/>
        </w:rPr>
        <w:t> </w:t>
      </w:r>
      <w:r>
        <w:rPr/>
        <w:t>年（含报告期）的利润分配方案及资本公积金转增股本方案情况</w:t>
      </w:r>
    </w:p>
    <w:p>
      <w:pPr>
        <w:pStyle w:val="Heading3"/>
        <w:spacing w:line="357" w:lineRule="auto" w:before="154"/>
        <w:ind w:right="132" w:firstLine="424"/>
        <w:jc w:val="left"/>
      </w:pPr>
      <w:r>
        <w:rPr>
          <w:spacing w:val="-1"/>
        </w:rPr>
        <w:t>①2010年度利润分配情况：2011年3月28日，2010年年度股东大会通过对2010年利润分配</w:t>
      </w:r>
      <w:r>
        <w:rPr/>
        <w:t> 的议案，现金分红1,300万元，本次利润分配于2011年5月25日实施完毕。</w:t>
      </w:r>
    </w:p>
    <w:p>
      <w:pPr>
        <w:spacing w:after="0" w:line="357" w:lineRule="auto"/>
        <w:jc w:val="left"/>
        <w:sectPr>
          <w:pgSz w:w="11910" w:h="16840"/>
          <w:pgMar w:header="747" w:footer="1003" w:top="1040" w:bottom="1200" w:left="980" w:right="980"/>
        </w:sectPr>
      </w:pPr>
    </w:p>
    <w:p>
      <w:pPr>
        <w:spacing w:line="240" w:lineRule="auto" w:before="0"/>
        <w:rPr>
          <w:rFonts w:ascii="宋体" w:hAnsi="宋体" w:cs="宋体" w:eastAsia="宋体" w:hint="default"/>
          <w:sz w:val="20"/>
          <w:szCs w:val="20"/>
        </w:rPr>
      </w:pPr>
    </w:p>
    <w:p>
      <w:pPr>
        <w:pStyle w:val="Heading3"/>
        <w:spacing w:line="240" w:lineRule="auto" w:before="161"/>
        <w:ind w:left="578" w:right="132"/>
        <w:jc w:val="left"/>
      </w:pPr>
      <w:r>
        <w:rPr/>
        <w:t>②2011年度公司未进行利润分配。</w:t>
      </w:r>
    </w:p>
    <w:p>
      <w:pPr>
        <w:pStyle w:val="Heading3"/>
        <w:spacing w:line="357" w:lineRule="auto" w:before="154"/>
        <w:ind w:right="151" w:firstLine="424"/>
        <w:jc w:val="both"/>
      </w:pPr>
      <w:r>
        <w:rPr/>
        <w:t>③2012年度利润分配方案：以公司2012年末总股本86,670,000股为基数，向全体股东每 </w:t>
      </w:r>
      <w:r>
        <w:rPr>
          <w:spacing w:val="-2"/>
        </w:rPr>
        <w:t>10股派发现金红利3.00元（含税），共计派发现金红利26,001,000.00元；同时进行资本公积</w:t>
      </w:r>
      <w:r>
        <w:rPr>
          <w:spacing w:val="-104"/>
        </w:rPr>
        <w:t> </w:t>
      </w:r>
      <w:r>
        <w:rPr>
          <w:spacing w:val="-104"/>
        </w:rPr>
      </w:r>
      <w:r>
        <w:rPr>
          <w:spacing w:val="-2"/>
        </w:rPr>
        <w:t>金转增股本，以公司2012年末总股本86,670,000股为基数，向全体股东每10股转增5股，共计</w:t>
      </w:r>
      <w:r>
        <w:rPr>
          <w:spacing w:val="-106"/>
        </w:rPr>
        <w:t> </w:t>
      </w:r>
      <w:r>
        <w:rPr>
          <w:spacing w:val="-106"/>
        </w:rPr>
      </w:r>
      <w:r>
        <w:rPr/>
        <w:t>转增43,335,000股。上述利润分配预案符合《公司章程》及《光一科技股份有限公司股东分</w:t>
      </w:r>
      <w:r>
        <w:rPr>
          <w:spacing w:val="-89"/>
        </w:rPr>
        <w:t> </w:t>
      </w:r>
      <w:r>
        <w:rPr>
          <w:spacing w:val="-89"/>
        </w:rPr>
      </w:r>
      <w:r>
        <w:rPr/>
        <w:t>红回报规划（[2012]-[2016]）》等相关规定。</w:t>
      </w:r>
    </w:p>
    <w:p>
      <w:pPr>
        <w:pStyle w:val="BodyText"/>
        <w:spacing w:line="240" w:lineRule="auto" w:before="179"/>
        <w:ind w:right="132"/>
        <w:jc w:val="left"/>
      </w:pPr>
      <w:r>
        <w:rPr/>
        <w:t>公司近三年现金分红情况表</w:t>
      </w:r>
    </w:p>
    <w:p>
      <w:pPr>
        <w:spacing w:line="240" w:lineRule="auto" w:before="11"/>
        <w:rPr>
          <w:rFonts w:ascii="宋体" w:hAnsi="宋体" w:cs="宋体" w:eastAsia="宋体" w:hint="default"/>
          <w:sz w:val="13"/>
          <w:szCs w:val="13"/>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161"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0"/>
              <w:ind w:left="290" w:right="109"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0"/>
              <w:ind w:left="290" w:right="109" w:hanging="180"/>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Style w:val="TableParagraph"/>
              <w:tabs>
                <w:tab w:pos="807" w:val="left" w:leader="none"/>
                <w:tab w:pos="2336" w:val="left" w:leader="none"/>
              </w:tabs>
              <w:spacing w:line="240" w:lineRule="auto" w:before="10"/>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分红年度</w:t>
              <w:tab/>
            </w:r>
            <w:r>
              <w:rPr>
                <w:rFonts w:ascii="宋体" w:hAnsi="宋体" w:cs="宋体" w:eastAsia="宋体" w:hint="default"/>
                <w:sz w:val="18"/>
                <w:szCs w:val="18"/>
              </w:rPr>
            </w:r>
          </w:p>
        </w:tc>
        <w:tc>
          <w:tcPr>
            <w:tcW w:w="2393"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92" w:type="dxa"/>
            <w:tcBorders>
              <w:top w:val="nil" w:sz="6" w:space="0" w:color="auto"/>
              <w:left w:val="single" w:sz="4" w:space="0" w:color="000000"/>
              <w:bottom w:val="single" w:sz="4" w:space="0" w:color="FFFFFF"/>
              <w:right w:val="single" w:sz="4" w:space="0" w:color="000000"/>
            </w:tcBorders>
            <w:shd w:val="clear" w:color="auto" w:fill="D3D3D3"/>
          </w:tcPr>
          <w:p>
            <w:pPr/>
          </w:p>
        </w:tc>
        <w:tc>
          <w:tcPr>
            <w:tcW w:w="2393" w:type="dxa"/>
            <w:vMerge/>
            <w:tcBorders>
              <w:left w:val="single" w:sz="4" w:space="0" w:color="000000"/>
              <w:bottom w:val="single" w:sz="4" w:space="0" w:color="FFFFFF"/>
              <w:right w:val="single" w:sz="4" w:space="0" w:color="000000"/>
            </w:tcBorders>
            <w:shd w:val="clear" w:color="auto" w:fill="D3D3D3"/>
          </w:tcPr>
          <w:p>
            <w:pPr/>
          </w:p>
        </w:tc>
        <w:tc>
          <w:tcPr>
            <w:tcW w:w="2392" w:type="dxa"/>
            <w:vMerge/>
            <w:tcBorders>
              <w:left w:val="single" w:sz="4" w:space="0" w:color="000000"/>
              <w:bottom w:val="single" w:sz="4" w:space="0" w:color="FFFFFF"/>
              <w:right w:val="single" w:sz="4" w:space="0" w:color="000000"/>
            </w:tcBorders>
            <w:shd w:val="clear" w:color="auto" w:fill="D3D3D3"/>
          </w:tcPr>
          <w:p>
            <w:pPr/>
          </w:p>
        </w:tc>
        <w:tc>
          <w:tcPr>
            <w:tcW w:w="2392" w:type="dxa"/>
            <w:vMerge/>
            <w:tcBorders>
              <w:left w:val="single" w:sz="4" w:space="0" w:color="000000"/>
              <w:bottom w:val="single" w:sz="4" w:space="0" w:color="FFFFFF"/>
              <w:right w:val="single" w:sz="4" w:space="0" w:color="000000"/>
            </w:tcBorders>
            <w:shd w:val="clear" w:color="auto" w:fill="D3D3D3"/>
          </w:tcPr>
          <w:p>
            <w:pPr/>
          </w:p>
        </w:tc>
      </w:tr>
      <w:tr>
        <w:trPr>
          <w:trHeight w:val="407" w:hRule="exact"/>
        </w:trPr>
        <w:tc>
          <w:tcPr>
            <w:tcW w:w="2392" w:type="dxa"/>
            <w:tcBorders>
              <w:top w:val="single" w:sz="4" w:space="0" w:color="FFFFFF"/>
              <w:left w:val="single" w:sz="4" w:space="0" w:color="000000"/>
              <w:bottom w:val="single" w:sz="4" w:space="0" w:color="FFFFFF"/>
              <w:right w:val="single" w:sz="4" w:space="0" w:color="000000"/>
            </w:tcBorders>
          </w:tcPr>
          <w:p>
            <w:pPr>
              <w:pStyle w:val="TableParagraph"/>
              <w:tabs>
                <w:tab w:pos="875" w:val="left" w:leader="none"/>
                <w:tab w:pos="2336" w:val="left" w:leader="none"/>
              </w:tabs>
              <w:spacing w:line="240" w:lineRule="auto" w:before="53"/>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2012</w:t>
            </w:r>
            <w:r>
              <w:rPr>
                <w:rFonts w:ascii="宋体" w:hAnsi="宋体" w:cs="宋体" w:eastAsia="宋体" w:hint="default"/>
                <w:spacing w:val="-46"/>
                <w:sz w:val="18"/>
                <w:szCs w:val="18"/>
                <w:shd w:fill="D3D3D3" w:color="auto" w:val="clear"/>
              </w:rPr>
              <w:t> </w:t>
            </w:r>
            <w:r>
              <w:rPr>
                <w:rFonts w:ascii="宋体" w:hAnsi="宋体" w:cs="宋体" w:eastAsia="宋体" w:hint="default"/>
                <w:sz w:val="18"/>
                <w:szCs w:val="18"/>
                <w:shd w:fill="D3D3D3" w:color="auto" w:val="clear"/>
              </w:rPr>
              <w:t>年</w:t>
              <w:tab/>
            </w:r>
            <w:r>
              <w:rPr>
                <w:rFonts w:ascii="宋体" w:hAnsi="宋体" w:cs="宋体" w:eastAsia="宋体" w:hint="default"/>
                <w:sz w:val="18"/>
                <w:szCs w:val="18"/>
              </w:rPr>
            </w:r>
          </w:p>
        </w:tc>
        <w:tc>
          <w:tcPr>
            <w:tcW w:w="2393"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26,001,000.00</w:t>
            </w:r>
          </w:p>
        </w:tc>
        <w:tc>
          <w:tcPr>
            <w:tcW w:w="239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72,656,085.71</w:t>
            </w:r>
          </w:p>
        </w:tc>
        <w:tc>
          <w:tcPr>
            <w:tcW w:w="239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35.79%</w:t>
            </w:r>
          </w:p>
        </w:tc>
      </w:tr>
      <w:tr>
        <w:trPr>
          <w:trHeight w:val="407" w:hRule="exact"/>
        </w:trPr>
        <w:tc>
          <w:tcPr>
            <w:tcW w:w="2392" w:type="dxa"/>
            <w:tcBorders>
              <w:top w:val="single" w:sz="4" w:space="0" w:color="FFFFFF"/>
              <w:left w:val="single" w:sz="4" w:space="0" w:color="000000"/>
              <w:bottom w:val="single" w:sz="4" w:space="0" w:color="FFFFFF"/>
              <w:right w:val="single" w:sz="4" w:space="0" w:color="000000"/>
            </w:tcBorders>
          </w:tcPr>
          <w:p>
            <w:pPr>
              <w:pStyle w:val="TableParagraph"/>
              <w:tabs>
                <w:tab w:pos="875" w:val="left" w:leader="none"/>
                <w:tab w:pos="2336" w:val="left" w:leader="none"/>
              </w:tabs>
              <w:spacing w:line="240" w:lineRule="auto" w:before="53"/>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2011</w:t>
            </w:r>
            <w:r>
              <w:rPr>
                <w:rFonts w:ascii="宋体" w:hAnsi="宋体" w:cs="宋体" w:eastAsia="宋体" w:hint="default"/>
                <w:spacing w:val="-46"/>
                <w:sz w:val="18"/>
                <w:szCs w:val="18"/>
                <w:shd w:fill="D3D3D3" w:color="auto" w:val="clear"/>
              </w:rPr>
              <w:t> </w:t>
            </w:r>
            <w:r>
              <w:rPr>
                <w:rFonts w:ascii="宋体" w:hAnsi="宋体" w:cs="宋体" w:eastAsia="宋体" w:hint="default"/>
                <w:sz w:val="18"/>
                <w:szCs w:val="18"/>
                <w:shd w:fill="D3D3D3" w:color="auto" w:val="clear"/>
              </w:rPr>
              <w:t>年</w:t>
              <w:tab/>
            </w:r>
            <w:r>
              <w:rPr>
                <w:rFonts w:ascii="宋体" w:hAnsi="宋体" w:cs="宋体" w:eastAsia="宋体" w:hint="default"/>
                <w:sz w:val="18"/>
                <w:szCs w:val="18"/>
              </w:rPr>
            </w:r>
          </w:p>
        </w:tc>
        <w:tc>
          <w:tcPr>
            <w:tcW w:w="2393"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0.00</w:t>
            </w:r>
          </w:p>
        </w:tc>
        <w:tc>
          <w:tcPr>
            <w:tcW w:w="239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52,500,991.56</w:t>
            </w:r>
          </w:p>
        </w:tc>
        <w:tc>
          <w:tcPr>
            <w:tcW w:w="239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0%</w:t>
            </w:r>
          </w:p>
        </w:tc>
      </w:tr>
      <w:tr>
        <w:trPr>
          <w:trHeight w:val="408" w:hRule="exact"/>
        </w:trPr>
        <w:tc>
          <w:tcPr>
            <w:tcW w:w="2392" w:type="dxa"/>
            <w:tcBorders>
              <w:top w:val="single" w:sz="4" w:space="0" w:color="FFFFFF"/>
              <w:left w:val="single" w:sz="4" w:space="0" w:color="000000"/>
              <w:bottom w:val="single" w:sz="21" w:space="0" w:color="D3D3D3"/>
              <w:right w:val="single" w:sz="4" w:space="0" w:color="000000"/>
            </w:tcBorders>
          </w:tcPr>
          <w:p>
            <w:pPr>
              <w:pStyle w:val="TableParagraph"/>
              <w:tabs>
                <w:tab w:pos="875" w:val="left" w:leader="none"/>
                <w:tab w:pos="2336" w:val="left" w:leader="none"/>
              </w:tabs>
              <w:spacing w:line="240" w:lineRule="auto" w:before="53"/>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2010</w:t>
            </w:r>
            <w:r>
              <w:rPr>
                <w:rFonts w:ascii="宋体" w:hAnsi="宋体" w:cs="宋体" w:eastAsia="宋体" w:hint="default"/>
                <w:spacing w:val="-46"/>
                <w:sz w:val="18"/>
                <w:szCs w:val="18"/>
                <w:shd w:fill="D3D3D3" w:color="auto" w:val="clear"/>
              </w:rPr>
              <w:t> </w:t>
            </w:r>
            <w:r>
              <w:rPr>
                <w:rFonts w:ascii="宋体" w:hAnsi="宋体" w:cs="宋体" w:eastAsia="宋体" w:hint="default"/>
                <w:sz w:val="18"/>
                <w:szCs w:val="18"/>
                <w:shd w:fill="D3D3D3" w:color="auto" w:val="clear"/>
              </w:rPr>
              <w:t>年</w:t>
              <w:tab/>
            </w:r>
            <w:r>
              <w:rPr>
                <w:rFonts w:ascii="宋体" w:hAnsi="宋体" w:cs="宋体" w:eastAsia="宋体" w:hint="default"/>
                <w:sz w:val="18"/>
                <w:szCs w:val="18"/>
              </w:rPr>
            </w:r>
          </w:p>
        </w:tc>
        <w:tc>
          <w:tcPr>
            <w:tcW w:w="239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13,000,000.00</w:t>
            </w:r>
          </w:p>
        </w:tc>
        <w:tc>
          <w:tcPr>
            <w:tcW w:w="239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37,664,775.24</w:t>
            </w:r>
          </w:p>
        </w:tc>
        <w:tc>
          <w:tcPr>
            <w:tcW w:w="239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34.52%</w:t>
            </w:r>
          </w:p>
        </w:tc>
      </w:tr>
    </w:tbl>
    <w:p>
      <w:pPr>
        <w:spacing w:line="240" w:lineRule="auto" w:before="6"/>
        <w:rPr>
          <w:rFonts w:ascii="宋体" w:hAnsi="宋体" w:cs="宋体" w:eastAsia="宋体" w:hint="default"/>
          <w:sz w:val="16"/>
          <w:szCs w:val="16"/>
        </w:rPr>
      </w:pPr>
    </w:p>
    <w:p>
      <w:pPr>
        <w:pStyle w:val="Heading2"/>
        <w:spacing w:line="240" w:lineRule="auto"/>
        <w:ind w:right="132"/>
        <w:jc w:val="left"/>
        <w:rPr>
          <w:b w:val="0"/>
          <w:bCs w:val="0"/>
        </w:rPr>
      </w:pPr>
      <w:r>
        <w:rPr/>
        <w:t>六、内幕信息知情人管理制度的建立和执行情况</w:t>
      </w:r>
      <w:r>
        <w:rPr>
          <w:b w:val="0"/>
          <w:bCs w:val="0"/>
        </w:rPr>
      </w:r>
    </w:p>
    <w:p>
      <w:pPr>
        <w:spacing w:line="240" w:lineRule="auto" w:before="10"/>
        <w:rPr>
          <w:rFonts w:ascii="宋体" w:hAnsi="宋体" w:cs="宋体" w:eastAsia="宋体" w:hint="default"/>
          <w:b/>
          <w:bCs/>
          <w:sz w:val="28"/>
          <w:szCs w:val="28"/>
        </w:rPr>
      </w:pPr>
    </w:p>
    <w:p>
      <w:pPr>
        <w:pStyle w:val="Heading3"/>
        <w:spacing w:line="357" w:lineRule="auto" w:before="0"/>
        <w:ind w:right="148" w:firstLine="480"/>
        <w:jc w:val="both"/>
      </w:pPr>
      <w:r>
        <w:rPr>
          <w:spacing w:val="-2"/>
        </w:rPr>
        <w:t>2013年1月11日，公司第二届董事会第一次会议审议通过了《关于进一步完善公司规范运</w:t>
      </w:r>
      <w:r>
        <w:rPr/>
        <w:t> 作管理制度的议案》，制订了《内幕信息知情人登记管理制度》，加强对内幕信息知情人的</w:t>
      </w:r>
      <w:r>
        <w:rPr>
          <w:spacing w:val="-83"/>
        </w:rPr>
        <w:t> </w:t>
      </w:r>
      <w:r>
        <w:rPr>
          <w:spacing w:val="-83"/>
        </w:rPr>
      </w:r>
      <w:r>
        <w:rPr/>
        <w:t>管理，落实信息披露的归口管理责任，完善信息流程和控制机制，严格执行信息外报流程的</w:t>
      </w:r>
      <w:r>
        <w:rPr>
          <w:spacing w:val="-83"/>
        </w:rPr>
        <w:t> </w:t>
      </w:r>
      <w:r>
        <w:rPr>
          <w:spacing w:val="-83"/>
        </w:rPr>
      </w:r>
      <w:r>
        <w:rPr/>
        <w:t>审批程序，所有信息必须经公司董事会秘书批准后方可对外报送，要求接收人员填写保密承</w:t>
      </w:r>
      <w:r>
        <w:rPr>
          <w:spacing w:val="-83"/>
        </w:rPr>
        <w:t> </w:t>
      </w:r>
      <w:r>
        <w:rPr>
          <w:spacing w:val="-83"/>
        </w:rPr>
      </w:r>
      <w:r>
        <w:rPr/>
        <w:t>诺，证券部将外部单位相关人员作为内幕知情人登记备查。公司积极做好投资者来访调研、</w:t>
      </w:r>
      <w:r>
        <w:rPr>
          <w:spacing w:val="-83"/>
        </w:rPr>
        <w:t> </w:t>
      </w:r>
      <w:r>
        <w:rPr>
          <w:spacing w:val="-83"/>
        </w:rPr>
      </w:r>
      <w:r>
        <w:rPr/>
        <w:t>媒体采访的接待安排和保密工作，进行直接沟通前，要求对方签署承诺书。同时，公司对内</w:t>
      </w:r>
      <w:r>
        <w:rPr>
          <w:spacing w:val="-83"/>
        </w:rPr>
        <w:t> </w:t>
      </w:r>
      <w:r>
        <w:rPr>
          <w:spacing w:val="-83"/>
        </w:rPr>
      </w:r>
      <w:r>
        <w:rPr/>
        <w:t>幕信息管理制度的建设情况和执行情况进行了自查，公司未出现内幕信息知情人在影响公司</w:t>
      </w:r>
      <w:r>
        <w:rPr>
          <w:spacing w:val="-83"/>
        </w:rPr>
        <w:t> </w:t>
      </w:r>
      <w:r>
        <w:rPr>
          <w:spacing w:val="-83"/>
        </w:rPr>
      </w:r>
      <w:r>
        <w:rPr/>
        <w:t>股价的重大敏感信息披露前利用内幕信息买卖公司股票的情况，也不存在受到监管部门查处</w:t>
      </w:r>
      <w:r>
        <w:rPr>
          <w:spacing w:val="-83"/>
        </w:rPr>
        <w:t> </w:t>
      </w:r>
      <w:r>
        <w:rPr>
          <w:spacing w:val="-83"/>
        </w:rPr>
      </w:r>
      <w:r>
        <w:rPr/>
        <w:t>和整改的情况。</w:t>
      </w:r>
    </w:p>
    <w:p>
      <w:pPr>
        <w:spacing w:line="240" w:lineRule="auto" w:before="11"/>
        <w:rPr>
          <w:rFonts w:ascii="宋体" w:hAnsi="宋体" w:cs="宋体" w:eastAsia="宋体" w:hint="default"/>
          <w:sz w:val="19"/>
          <w:szCs w:val="19"/>
        </w:rPr>
      </w:pPr>
    </w:p>
    <w:p>
      <w:pPr>
        <w:pStyle w:val="Heading2"/>
        <w:spacing w:line="240" w:lineRule="auto" w:before="0"/>
        <w:ind w:left="153" w:right="132"/>
        <w:jc w:val="left"/>
        <w:rPr>
          <w:b w:val="0"/>
          <w:bCs w:val="0"/>
        </w:rPr>
      </w:pPr>
      <w:r>
        <w:rPr/>
        <w:pict>
          <v:shape style="position:absolute;margin-left:388.860596pt;margin-top:107.915924pt;width:145.6pt;height:35.2pt;mso-position-horizontal-relative:page;mso-position-vertical-relative:paragraph;z-index:-656368" type="#_x0000_t202" filled="false" stroked="false">
            <v:textbox inset="0,0,0,0">
              <w:txbxContent>
                <w:p>
                  <w:pPr>
                    <w:spacing w:line="316" w:lineRule="auto" w:before="50"/>
                    <w:ind w:left="0" w:right="2009" w:firstLine="0"/>
                    <w:jc w:val="left"/>
                    <w:rPr>
                      <w:rFonts w:ascii="宋体" w:hAnsi="宋体" w:cs="宋体" w:eastAsia="宋体" w:hint="default"/>
                      <w:sz w:val="18"/>
                      <w:szCs w:val="18"/>
                    </w:rPr>
                  </w:pPr>
                  <w:r>
                    <w:rPr>
                      <w:rFonts w:ascii="宋体" w:hAnsi="宋体" w:cs="宋体" w:eastAsia="宋体" w:hint="default"/>
                      <w:sz w:val="18"/>
                      <w:szCs w:val="18"/>
                    </w:rPr>
                    <w:t>民生证券、 中银国际、</w:t>
                  </w:r>
                </w:p>
              </w:txbxContent>
            </v:textbox>
            <w10:wrap type="none"/>
          </v:shape>
        </w:pict>
      </w:r>
      <w:r>
        <w:rPr/>
        <w:t>七、报告期内接待调研、沟通、采访等活动登记表</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1495"/>
        <w:gridCol w:w="1058"/>
        <w:gridCol w:w="991"/>
        <w:gridCol w:w="1277"/>
        <w:gridCol w:w="2662"/>
        <w:gridCol w:w="2086"/>
      </w:tblGrid>
      <w:tr>
        <w:trPr>
          <w:trHeight w:val="766" w:hRule="exact"/>
        </w:trPr>
        <w:tc>
          <w:tcPr>
            <w:tcW w:w="1495"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058"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991"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26"/>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1277"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2662"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360" w:lineRule="auto" w:before="51"/>
              <w:ind w:left="585" w:right="306" w:hanging="270"/>
              <w:jc w:val="left"/>
              <w:rPr>
                <w:rFonts w:ascii="宋体" w:hAnsi="宋体" w:cs="宋体" w:eastAsia="宋体" w:hint="default"/>
                <w:sz w:val="18"/>
                <w:szCs w:val="18"/>
              </w:rPr>
            </w:pPr>
            <w:r>
              <w:rPr>
                <w:rFonts w:ascii="宋体" w:hAnsi="宋体" w:cs="宋体" w:eastAsia="宋体" w:hint="default"/>
                <w:sz w:val="18"/>
                <w:szCs w:val="18"/>
              </w:rPr>
              <w:t>谈论的主要内容及 提供的资料</w:t>
            </w:r>
          </w:p>
        </w:tc>
      </w:tr>
      <w:tr>
        <w:trPr>
          <w:trHeight w:val="719"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16"/>
              <w:jc w:val="center"/>
              <w:rPr>
                <w:rFonts w:ascii="宋体" w:hAnsi="宋体" w:cs="宋体" w:eastAsia="宋体" w:hint="default"/>
                <w:sz w:val="18"/>
                <w:szCs w:val="18"/>
              </w:rPr>
            </w:pPr>
            <w:r>
              <w:rPr>
                <w:rFonts w:ascii="宋体" w:hAnsi="宋体" w:cs="宋体" w:eastAsia="宋体" w:hint="default"/>
                <w:spacing w:val="7"/>
                <w:sz w:val="18"/>
                <w:szCs w:val="18"/>
              </w:rPr>
              <w:t>2012年</w:t>
            </w:r>
            <w:r>
              <w:rPr>
                <w:rFonts w:ascii="宋体" w:hAnsi="宋体" w:cs="宋体" w:eastAsia="宋体" w:hint="default"/>
                <w:spacing w:val="-53"/>
                <w:sz w:val="18"/>
                <w:szCs w:val="18"/>
              </w:rPr>
              <w:t> </w:t>
            </w:r>
            <w:r>
              <w:rPr>
                <w:rFonts w:ascii="宋体" w:hAnsi="宋体" w:cs="宋体" w:eastAsia="宋体" w:hint="default"/>
                <w:spacing w:val="12"/>
                <w:sz w:val="18"/>
                <w:szCs w:val="18"/>
              </w:rPr>
              <w:t>11月</w:t>
            </w:r>
            <w:r>
              <w:rPr>
                <w:rFonts w:ascii="宋体" w:hAnsi="宋体" w:cs="宋体" w:eastAsia="宋体" w:hint="default"/>
                <w:spacing w:val="-53"/>
                <w:sz w:val="18"/>
                <w:szCs w:val="18"/>
              </w:rPr>
              <w:t> </w:t>
            </w:r>
            <w:r>
              <w:rPr>
                <w:rFonts w:ascii="宋体" w:hAnsi="宋体" w:cs="宋体" w:eastAsia="宋体" w:hint="default"/>
                <w:spacing w:val="11"/>
                <w:sz w:val="18"/>
                <w:szCs w:val="18"/>
              </w:rPr>
              <w:t>02日</w:t>
            </w:r>
            <w:r>
              <w:rPr>
                <w:rFonts w:ascii="宋体" w:hAnsi="宋体" w:cs="宋体" w:eastAsia="宋体" w:hint="default"/>
                <w:spacing w:val="-54"/>
                <w:sz w:val="18"/>
                <w:szCs w:val="18"/>
              </w:rPr>
              <w:t> </w:t>
            </w:r>
            <w:r>
              <w:rPr>
                <w:rFonts w:ascii="宋体" w:hAnsi="宋体" w:cs="宋体" w:eastAsia="宋体" w:hint="default"/>
                <w:sz w:val="18"/>
                <w:szCs w:val="18"/>
              </w:rPr>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26"/>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华宝证券有限责任公司研究所</w:t>
            </w:r>
          </w:p>
        </w:tc>
        <w:tc>
          <w:tcPr>
            <w:tcW w:w="2086" w:type="dxa"/>
            <w:tcBorders>
              <w:top w:val="single" w:sz="6" w:space="0" w:color="000000"/>
              <w:left w:val="single" w:sz="6" w:space="0" w:color="000000"/>
              <w:bottom w:val="single" w:sz="6" w:space="0" w:color="000000"/>
              <w:right w:val="single" w:sz="12" w:space="0" w:color="000000"/>
            </w:tcBorders>
          </w:tcPr>
          <w:p>
            <w:pPr>
              <w:pStyle w:val="TableParagraph"/>
              <w:spacing w:line="319" w:lineRule="auto" w:before="51"/>
              <w:ind w:left="20" w:right="61"/>
              <w:jc w:val="left"/>
              <w:rPr>
                <w:rFonts w:ascii="宋体" w:hAnsi="宋体" w:cs="宋体" w:eastAsia="宋体" w:hint="default"/>
                <w:sz w:val="18"/>
                <w:szCs w:val="18"/>
              </w:rPr>
            </w:pPr>
            <w:r>
              <w:rPr>
                <w:rFonts w:ascii="宋体" w:hAnsi="宋体" w:cs="宋体" w:eastAsia="宋体" w:hint="default"/>
                <w:sz w:val="18"/>
                <w:szCs w:val="18"/>
              </w:rPr>
              <w:t>公司业务、产品及募投项 目情况，未提供资料</w:t>
            </w:r>
          </w:p>
        </w:tc>
      </w:tr>
      <w:tr>
        <w:trPr>
          <w:trHeight w:val="727" w:hRule="exact"/>
        </w:trPr>
        <w:tc>
          <w:tcPr>
            <w:tcW w:w="14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16"/>
              <w:jc w:val="center"/>
              <w:rPr>
                <w:rFonts w:ascii="宋体" w:hAnsi="宋体" w:cs="宋体" w:eastAsia="宋体" w:hint="default"/>
                <w:sz w:val="18"/>
                <w:szCs w:val="18"/>
              </w:rPr>
            </w:pPr>
            <w:r>
              <w:rPr>
                <w:rFonts w:ascii="宋体" w:hAnsi="宋体" w:cs="宋体" w:eastAsia="宋体" w:hint="default"/>
                <w:spacing w:val="7"/>
                <w:sz w:val="18"/>
                <w:szCs w:val="18"/>
              </w:rPr>
              <w:t>2012年</w:t>
            </w:r>
            <w:r>
              <w:rPr>
                <w:rFonts w:ascii="宋体" w:hAnsi="宋体" w:cs="宋体" w:eastAsia="宋体" w:hint="default"/>
                <w:spacing w:val="-53"/>
                <w:sz w:val="18"/>
                <w:szCs w:val="18"/>
              </w:rPr>
              <w:t> </w:t>
            </w:r>
            <w:r>
              <w:rPr>
                <w:rFonts w:ascii="宋体" w:hAnsi="宋体" w:cs="宋体" w:eastAsia="宋体" w:hint="default"/>
                <w:spacing w:val="12"/>
                <w:sz w:val="18"/>
                <w:szCs w:val="18"/>
              </w:rPr>
              <w:t>12月</w:t>
            </w:r>
            <w:r>
              <w:rPr>
                <w:rFonts w:ascii="宋体" w:hAnsi="宋体" w:cs="宋体" w:eastAsia="宋体" w:hint="default"/>
                <w:spacing w:val="-53"/>
                <w:sz w:val="18"/>
                <w:szCs w:val="18"/>
              </w:rPr>
              <w:t> </w:t>
            </w:r>
            <w:r>
              <w:rPr>
                <w:rFonts w:ascii="宋体" w:hAnsi="宋体" w:cs="宋体" w:eastAsia="宋体" w:hint="default"/>
                <w:spacing w:val="11"/>
                <w:sz w:val="18"/>
                <w:szCs w:val="18"/>
              </w:rPr>
              <w:t>19日</w:t>
            </w:r>
            <w:r>
              <w:rPr>
                <w:rFonts w:ascii="宋体" w:hAnsi="宋体" w:cs="宋体" w:eastAsia="宋体" w:hint="default"/>
                <w:spacing w:val="-54"/>
                <w:sz w:val="18"/>
                <w:szCs w:val="18"/>
              </w:rPr>
              <w:t> </w:t>
            </w:r>
            <w:r>
              <w:rPr>
                <w:rFonts w:ascii="宋体" w:hAnsi="宋体" w:cs="宋体" w:eastAsia="宋体" w:hint="default"/>
                <w:sz w:val="18"/>
                <w:szCs w:val="18"/>
              </w:rPr>
            </w:r>
          </w:p>
        </w:tc>
        <w:tc>
          <w:tcPr>
            <w:tcW w:w="10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26"/>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662" w:type="dxa"/>
            <w:tcBorders>
              <w:top w:val="single" w:sz="6" w:space="0" w:color="000000"/>
              <w:left w:val="single" w:sz="6" w:space="0" w:color="000000"/>
              <w:bottom w:val="single" w:sz="12" w:space="0" w:color="000000"/>
              <w:right w:val="single" w:sz="14" w:space="0" w:color="FFFFFF"/>
            </w:tcBorders>
          </w:tcPr>
          <w:p>
            <w:pPr>
              <w:pStyle w:val="TableParagraph"/>
              <w:spacing w:line="316" w:lineRule="auto" w:before="51"/>
              <w:ind w:left="20" w:right="818"/>
              <w:jc w:val="left"/>
              <w:rPr>
                <w:rFonts w:ascii="宋体" w:hAnsi="宋体" w:cs="宋体" w:eastAsia="宋体" w:hint="default"/>
                <w:sz w:val="18"/>
                <w:szCs w:val="18"/>
              </w:rPr>
            </w:pPr>
            <w:r>
              <w:rPr>
                <w:rFonts w:ascii="宋体" w:hAnsi="宋体" w:cs="宋体" w:eastAsia="宋体" w:hint="default"/>
                <w:sz w:val="18"/>
                <w:szCs w:val="18"/>
              </w:rPr>
              <w:t>安信证券、东海证券、 齐鲁证券、申银万国、</w:t>
            </w:r>
          </w:p>
        </w:tc>
        <w:tc>
          <w:tcPr>
            <w:tcW w:w="2086" w:type="dxa"/>
            <w:tcBorders>
              <w:top w:val="single" w:sz="6" w:space="0" w:color="000000"/>
              <w:left w:val="single" w:sz="14" w:space="0" w:color="FFFFFF"/>
              <w:bottom w:val="single" w:sz="12" w:space="0" w:color="000000"/>
              <w:right w:val="single" w:sz="12" w:space="0" w:color="000000"/>
            </w:tcBorders>
          </w:tcPr>
          <w:p>
            <w:pPr>
              <w:pStyle w:val="TableParagraph"/>
              <w:spacing w:line="316" w:lineRule="auto" w:before="52"/>
              <w:ind w:left="10" w:right="61"/>
              <w:jc w:val="left"/>
              <w:rPr>
                <w:rFonts w:ascii="宋体" w:hAnsi="宋体" w:cs="宋体" w:eastAsia="宋体" w:hint="default"/>
                <w:sz w:val="18"/>
                <w:szCs w:val="18"/>
              </w:rPr>
            </w:pPr>
            <w:r>
              <w:rPr>
                <w:rFonts w:ascii="宋体" w:hAnsi="宋体" w:cs="宋体" w:eastAsia="宋体" w:hint="default"/>
                <w:sz w:val="18"/>
                <w:szCs w:val="18"/>
              </w:rPr>
              <w:t>公司销售市场、业务拓展 及研发情况，未提供资料</w:t>
            </w:r>
          </w:p>
        </w:tc>
      </w:tr>
    </w:tbl>
    <w:p>
      <w:pPr>
        <w:spacing w:after="0" w:line="316" w:lineRule="auto"/>
        <w:jc w:val="left"/>
        <w:rPr>
          <w:rFonts w:ascii="宋体" w:hAnsi="宋体" w:cs="宋体" w:eastAsia="宋体" w:hint="default"/>
          <w:sz w:val="18"/>
          <w:szCs w:val="18"/>
        </w:rPr>
        <w:sectPr>
          <w:pgSz w:w="11910" w:h="16840"/>
          <w:pgMar w:header="747" w:footer="1003" w:top="1040" w:bottom="120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16.920013pt;margin-top:73.5pt;width:217.5pt;height:62.4pt;mso-position-horizontal-relative:page;mso-position-vertical-relative:page;z-index:-6563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上海磐厚投资管理有限公司、</w:t>
                  </w:r>
                </w:p>
              </w:txbxContent>
            </v:textbox>
            <w10:wrap type="none"/>
          </v:shape>
        </w:pict>
      </w:r>
    </w:p>
    <w:p>
      <w:pPr>
        <w:spacing w:line="240" w:lineRule="auto" w:before="3"/>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1495"/>
        <w:gridCol w:w="1058"/>
        <w:gridCol w:w="991"/>
        <w:gridCol w:w="1277"/>
        <w:gridCol w:w="2662"/>
        <w:gridCol w:w="2086"/>
      </w:tblGrid>
      <w:tr>
        <w:trPr>
          <w:trHeight w:val="1278" w:hRule="exact"/>
        </w:trPr>
        <w:tc>
          <w:tcPr>
            <w:tcW w:w="1495" w:type="dxa"/>
            <w:tcBorders>
              <w:top w:val="single" w:sz="12" w:space="0" w:color="000000"/>
              <w:left w:val="single" w:sz="12" w:space="0" w:color="000000"/>
              <w:bottom w:val="single" w:sz="12" w:space="0" w:color="000000"/>
              <w:right w:val="single" w:sz="6" w:space="0" w:color="000000"/>
            </w:tcBorders>
          </w:tcPr>
          <w:p>
            <w:pPr/>
          </w:p>
        </w:tc>
        <w:tc>
          <w:tcPr>
            <w:tcW w:w="1058" w:type="dxa"/>
            <w:tcBorders>
              <w:top w:val="single" w:sz="12" w:space="0" w:color="000000"/>
              <w:left w:val="single" w:sz="6" w:space="0" w:color="000000"/>
              <w:bottom w:val="single" w:sz="12" w:space="0" w:color="000000"/>
              <w:right w:val="single" w:sz="6" w:space="0" w:color="000000"/>
            </w:tcBorders>
          </w:tcPr>
          <w:p>
            <w:pPr/>
          </w:p>
        </w:tc>
        <w:tc>
          <w:tcPr>
            <w:tcW w:w="991" w:type="dxa"/>
            <w:tcBorders>
              <w:top w:val="single" w:sz="12" w:space="0" w:color="000000"/>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single" w:sz="6" w:space="0" w:color="000000"/>
            </w:tcBorders>
          </w:tcPr>
          <w:p>
            <w:pPr/>
          </w:p>
        </w:tc>
        <w:tc>
          <w:tcPr>
            <w:tcW w:w="266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0" w:right="18"/>
              <w:jc w:val="both"/>
              <w:rPr>
                <w:rFonts w:ascii="宋体" w:hAnsi="宋体" w:cs="宋体" w:eastAsia="宋体" w:hint="default"/>
                <w:sz w:val="18"/>
                <w:szCs w:val="18"/>
              </w:rPr>
            </w:pPr>
            <w:r>
              <w:rPr>
                <w:rFonts w:ascii="宋体" w:hAnsi="宋体" w:cs="宋体" w:eastAsia="宋体" w:hint="default"/>
                <w:spacing w:val="6"/>
                <w:sz w:val="18"/>
                <w:szCs w:val="18"/>
              </w:rPr>
              <w:t>上海申银万国证券研究所、上海</w:t>
            </w:r>
            <w:r>
              <w:rPr>
                <w:rFonts w:ascii="宋体" w:hAnsi="宋体" w:cs="宋体" w:eastAsia="宋体" w:hint="default"/>
                <w:sz w:val="18"/>
                <w:szCs w:val="18"/>
              </w:rPr>
              <w:t> </w:t>
            </w:r>
            <w:r>
              <w:rPr>
                <w:rFonts w:ascii="宋体" w:hAnsi="宋体" w:cs="宋体" w:eastAsia="宋体" w:hint="default"/>
                <w:spacing w:val="6"/>
                <w:sz w:val="18"/>
                <w:szCs w:val="18"/>
              </w:rPr>
              <w:t>证券、上海呈瑞投资管理有限公</w:t>
            </w:r>
            <w:r>
              <w:rPr>
                <w:rFonts w:ascii="宋体" w:hAnsi="宋体" w:cs="宋体" w:eastAsia="宋体" w:hint="default"/>
                <w:sz w:val="18"/>
                <w:szCs w:val="18"/>
              </w:rPr>
              <w:t> 司、</w:t>
            </w:r>
          </w:p>
          <w:p>
            <w:pPr>
              <w:pStyle w:val="TableParagraph"/>
              <w:spacing w:line="240" w:lineRule="auto" w:before="19"/>
              <w:ind w:left="20" w:right="0"/>
              <w:jc w:val="both"/>
              <w:rPr>
                <w:rFonts w:ascii="宋体" w:hAnsi="宋体" w:cs="宋体" w:eastAsia="宋体" w:hint="default"/>
                <w:sz w:val="18"/>
                <w:szCs w:val="18"/>
              </w:rPr>
            </w:pPr>
            <w:r>
              <w:rPr>
                <w:rFonts w:ascii="宋体" w:hAnsi="宋体" w:cs="宋体" w:eastAsia="宋体" w:hint="default"/>
                <w:sz w:val="18"/>
                <w:szCs w:val="18"/>
              </w:rPr>
              <w:t>中国国际金融有限公司</w:t>
            </w:r>
          </w:p>
        </w:tc>
        <w:tc>
          <w:tcPr>
            <w:tcW w:w="2086" w:type="dxa"/>
            <w:tcBorders>
              <w:top w:val="single" w:sz="12" w:space="0" w:color="000000"/>
              <w:left w:val="single" w:sz="6" w:space="0" w:color="000000"/>
              <w:bottom w:val="single" w:sz="12" w:space="0" w:color="000000"/>
              <w:right w:val="single" w:sz="12" w:space="0" w:color="000000"/>
            </w:tcBorders>
          </w:tcPr>
          <w:p>
            <w:pPr>
              <w:pStyle w:val="TableParagraph"/>
              <w:spacing w:line="1248" w:lineRule="exact"/>
              <w:ind w:right="-52"/>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pict>
                <v:group style="width:103.3pt;height:62.4pt;mso-position-horizontal-relative:char;mso-position-vertical-relative:line" coordorigin="0,0" coordsize="2066,1248">
                  <v:group style="position:absolute;left:0;top:0;width:2066;height:1248" coordorigin="0,0" coordsize="2066,1248">
                    <v:shape style="position:absolute;left:0;top:0;width:2066;height:1248" coordorigin="0,0" coordsize="2066,1248" path="m0,1248l2065,1248,2065,0,0,0,0,1248xe" filled="true" fillcolor="#ffffff" stroked="false">
                      <v:path arrowok="t"/>
                      <v:fill type="solid"/>
                    </v:shape>
                  </v:group>
                </v:group>
              </w:pict>
            </w:r>
            <w:r>
              <w:rPr>
                <w:rFonts w:ascii="Times New Roman" w:hAnsi="Times New Roman" w:cs="Times New Roman" w:eastAsia="Times New Roman" w:hint="default"/>
                <w:position w:val="-24"/>
                <w:sz w:val="20"/>
                <w:szCs w:val="20"/>
              </w:rPr>
            </w:r>
          </w:p>
        </w:tc>
      </w:tr>
    </w:tbl>
    <w:p>
      <w:pPr>
        <w:spacing w:after="0" w:line="1248" w:lineRule="exact"/>
        <w:jc w:val="left"/>
        <w:rPr>
          <w:rFonts w:ascii="Times New Roman" w:hAnsi="Times New Roman" w:cs="Times New Roman" w:eastAsia="Times New Roman" w:hint="default"/>
          <w:sz w:val="20"/>
          <w:szCs w:val="20"/>
        </w:rPr>
        <w:sectPr>
          <w:pgSz w:w="11910" w:h="16840"/>
          <w:pgMar w:header="747" w:footer="1003" w:top="1040" w:bottom="120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9"/>
          <w:szCs w:val="29"/>
        </w:rPr>
      </w:pPr>
    </w:p>
    <w:p>
      <w:pPr>
        <w:pStyle w:val="Heading1"/>
        <w:spacing w:line="240" w:lineRule="auto"/>
        <w:ind w:right="3233"/>
        <w:jc w:val="center"/>
        <w:rPr>
          <w:b w:val="0"/>
          <w:bCs w:val="0"/>
        </w:rPr>
      </w:pPr>
      <w:bookmarkStart w:name="_TOC_250005" w:id="5"/>
      <w:r>
        <w:rPr/>
        <w:t>第五节</w:t>
      </w:r>
      <w:r>
        <w:rPr>
          <w:spacing w:val="-5"/>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132"/>
        <w:jc w:val="left"/>
        <w:rPr>
          <w:b w:val="0"/>
          <w:bCs w:val="0"/>
        </w:rPr>
      </w:pPr>
      <w:r>
        <w:rPr/>
        <w:t>一、重大诉讼仲裁事项</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6410"/>
        <w:jc w:val="left"/>
      </w:pPr>
      <w:r>
        <w:rPr/>
        <w:t>□ 适用 √</w:t>
      </w:r>
      <w:r>
        <w:rPr>
          <w:spacing w:val="-2"/>
        </w:rPr>
        <w:t> </w:t>
      </w:r>
      <w:r>
        <w:rPr/>
        <w:t>不适用</w:t>
      </w:r>
      <w:r>
        <w:rPr/>
        <w:t> 本年度公司无重大诉讼、仲裁事项。</w:t>
      </w:r>
    </w:p>
    <w:p>
      <w:pPr>
        <w:spacing w:line="240" w:lineRule="auto" w:before="11"/>
        <w:rPr>
          <w:rFonts w:ascii="宋体" w:hAnsi="宋体" w:cs="宋体" w:eastAsia="宋体" w:hint="default"/>
          <w:sz w:val="18"/>
          <w:szCs w:val="18"/>
        </w:rPr>
      </w:pPr>
    </w:p>
    <w:p>
      <w:pPr>
        <w:pStyle w:val="Heading2"/>
        <w:spacing w:line="240" w:lineRule="auto" w:before="0"/>
        <w:ind w:right="132"/>
        <w:jc w:val="left"/>
        <w:rPr>
          <w:b w:val="0"/>
          <w:bCs w:val="0"/>
        </w:rPr>
      </w:pPr>
      <w:r>
        <w:rPr/>
        <w:t>二、上市公司发生控股股东及其关联方非经营性占用资金情况</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right="132"/>
        <w:jc w:val="left"/>
      </w:pPr>
      <w:r>
        <w:rPr/>
        <w:t>□ 适用 √</w:t>
      </w:r>
      <w:r>
        <w:rPr>
          <w:spacing w:val="-2"/>
        </w:rPr>
        <w:t> </w:t>
      </w:r>
      <w:r>
        <w:rPr/>
        <w:t>不适用</w:t>
      </w:r>
    </w:p>
    <w:p>
      <w:pPr>
        <w:spacing w:line="528" w:lineRule="auto" w:before="170"/>
        <w:ind w:left="154" w:right="2810" w:firstLine="0"/>
        <w:jc w:val="left"/>
        <w:rPr>
          <w:rFonts w:ascii="宋体" w:hAnsi="宋体" w:cs="宋体" w:eastAsia="宋体" w:hint="default"/>
          <w:sz w:val="24"/>
          <w:szCs w:val="24"/>
        </w:rPr>
      </w:pPr>
      <w:r>
        <w:rPr>
          <w:rFonts w:ascii="宋体" w:hAnsi="宋体" w:cs="宋体" w:eastAsia="宋体" w:hint="default"/>
          <w:sz w:val="24"/>
          <w:szCs w:val="24"/>
        </w:rPr>
        <w:t>报告期内，公司不存在控股股东及其关联方非经营性占用资金情况 </w:t>
      </w:r>
      <w:r>
        <w:rPr>
          <w:rFonts w:ascii="宋体" w:hAnsi="宋体" w:cs="宋体" w:eastAsia="宋体" w:hint="default"/>
          <w:b/>
          <w:bCs/>
          <w:sz w:val="24"/>
          <w:szCs w:val="24"/>
        </w:rPr>
        <w:t>三、破产重整相关事项</w:t>
      </w:r>
      <w:r>
        <w:rPr>
          <w:rFonts w:ascii="宋体" w:hAnsi="宋体" w:cs="宋体" w:eastAsia="宋体" w:hint="default"/>
          <w:sz w:val="24"/>
          <w:szCs w:val="24"/>
        </w:rPr>
      </w:r>
    </w:p>
    <w:p>
      <w:pPr>
        <w:pStyle w:val="BodyText"/>
        <w:spacing w:line="240" w:lineRule="auto" w:before="34"/>
        <w:ind w:right="132"/>
        <w:jc w:val="left"/>
      </w:pPr>
      <w:r>
        <w:rPr/>
        <w:t>□ 适用 √</w:t>
      </w:r>
      <w:r>
        <w:rPr>
          <w:spacing w:val="-2"/>
        </w:rPr>
        <w:t> </w:t>
      </w:r>
      <w:r>
        <w:rPr/>
        <w:t>不适用</w:t>
      </w:r>
    </w:p>
    <w:p>
      <w:pPr>
        <w:spacing w:line="240" w:lineRule="auto" w:before="0"/>
        <w:rPr>
          <w:rFonts w:ascii="宋体" w:hAnsi="宋体" w:cs="宋体" w:eastAsia="宋体" w:hint="default"/>
          <w:sz w:val="24"/>
          <w:szCs w:val="24"/>
        </w:rPr>
      </w:pPr>
    </w:p>
    <w:p>
      <w:pPr>
        <w:pStyle w:val="Heading2"/>
        <w:spacing w:line="240" w:lineRule="auto" w:before="0"/>
        <w:ind w:right="132"/>
        <w:jc w:val="left"/>
        <w:rPr>
          <w:b w:val="0"/>
          <w:bCs w:val="0"/>
        </w:rPr>
      </w:pPr>
      <w:r>
        <w:rPr/>
        <w:t>四、承诺事项履行情况</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before="0"/>
        <w:ind w:right="132"/>
        <w:jc w:val="left"/>
        <w:rPr>
          <w:b w:val="0"/>
          <w:bCs w:val="0"/>
        </w:rPr>
      </w:pPr>
      <w:r>
        <w:rPr/>
        <w:t>1、公司或持股</w:t>
      </w:r>
      <w:r>
        <w:rPr>
          <w:spacing w:val="-62"/>
        </w:rPr>
        <w:t> </w:t>
      </w:r>
      <w:r>
        <w:rPr/>
        <w:t>5%以上股东在报告期内或持续到报告期内的承诺事项</w:t>
      </w:r>
      <w:r>
        <w:rPr>
          <w:b w:val="0"/>
          <w:bCs w:val="0"/>
        </w:rPr>
      </w:r>
    </w:p>
    <w:p>
      <w:pPr>
        <w:spacing w:line="240" w:lineRule="auto" w:before="10"/>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1844"/>
        <w:gridCol w:w="1418"/>
        <w:gridCol w:w="3684"/>
        <w:gridCol w:w="992"/>
        <w:gridCol w:w="851"/>
        <w:gridCol w:w="778"/>
      </w:tblGrid>
      <w:tr>
        <w:trPr>
          <w:trHeight w:val="418" w:hRule="exact"/>
        </w:trPr>
        <w:tc>
          <w:tcPr>
            <w:tcW w:w="1844"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545"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418"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430" w:right="0"/>
              <w:jc w:val="left"/>
              <w:rPr>
                <w:rFonts w:ascii="宋体" w:hAnsi="宋体" w:cs="宋体" w:eastAsia="宋体" w:hint="default"/>
                <w:sz w:val="18"/>
                <w:szCs w:val="18"/>
              </w:rPr>
            </w:pPr>
            <w:r>
              <w:rPr>
                <w:rFonts w:ascii="宋体" w:hAnsi="宋体" w:cs="宋体" w:eastAsia="宋体" w:hint="default"/>
                <w:sz w:val="18"/>
                <w:szCs w:val="18"/>
              </w:rPr>
              <w:t>承诺人</w:t>
            </w:r>
          </w:p>
        </w:tc>
        <w:tc>
          <w:tcPr>
            <w:tcW w:w="368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2"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12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1"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57"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78"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13"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418" w:type="dxa"/>
            <w:tcBorders>
              <w:top w:val="single" w:sz="6" w:space="0" w:color="000000"/>
              <w:left w:val="single" w:sz="6" w:space="0" w:color="000000"/>
              <w:bottom w:val="single" w:sz="6" w:space="0" w:color="000000"/>
              <w:right w:val="single" w:sz="6" w:space="0" w:color="000000"/>
            </w:tcBorders>
          </w:tcPr>
          <w:p>
            <w:pPr/>
          </w:p>
        </w:tc>
        <w:tc>
          <w:tcPr>
            <w:tcW w:w="3684"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13" w:right="186"/>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418" w:type="dxa"/>
            <w:tcBorders>
              <w:top w:val="single" w:sz="6" w:space="0" w:color="000000"/>
              <w:left w:val="single" w:sz="6" w:space="0" w:color="000000"/>
              <w:bottom w:val="single" w:sz="6" w:space="0" w:color="000000"/>
              <w:right w:val="single" w:sz="6" w:space="0" w:color="000000"/>
            </w:tcBorders>
          </w:tcPr>
          <w:p>
            <w:pPr/>
          </w:p>
        </w:tc>
        <w:tc>
          <w:tcPr>
            <w:tcW w:w="3684"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资产置换时所作承诺</w:t>
            </w:r>
          </w:p>
        </w:tc>
        <w:tc>
          <w:tcPr>
            <w:tcW w:w="1418" w:type="dxa"/>
            <w:tcBorders>
              <w:top w:val="single" w:sz="6" w:space="0" w:color="000000"/>
              <w:left w:val="single" w:sz="6" w:space="0" w:color="000000"/>
              <w:bottom w:val="single" w:sz="6" w:space="0" w:color="000000"/>
              <w:right w:val="single" w:sz="6" w:space="0" w:color="000000"/>
            </w:tcBorders>
          </w:tcPr>
          <w:p>
            <w:pPr/>
          </w:p>
        </w:tc>
        <w:tc>
          <w:tcPr>
            <w:tcW w:w="3684"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12" w:space="0" w:color="000000"/>
            </w:tcBorders>
          </w:tcPr>
          <w:p>
            <w:pPr/>
          </w:p>
        </w:tc>
      </w:tr>
      <w:tr>
        <w:trPr>
          <w:trHeight w:val="3758" w:hRule="exact"/>
        </w:trPr>
        <w:tc>
          <w:tcPr>
            <w:tcW w:w="1844"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left="13"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龙昌明、熊珂</w:t>
            </w:r>
          </w:p>
        </w:tc>
        <w:tc>
          <w:tcPr>
            <w:tcW w:w="36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0" w:right="47"/>
              <w:jc w:val="both"/>
              <w:rPr>
                <w:rFonts w:ascii="宋体" w:hAnsi="宋体" w:cs="宋体" w:eastAsia="宋体" w:hint="default"/>
                <w:sz w:val="18"/>
                <w:szCs w:val="18"/>
              </w:rPr>
            </w:pPr>
            <w:r>
              <w:rPr>
                <w:rFonts w:ascii="宋体" w:hAnsi="宋体" w:cs="宋体" w:eastAsia="宋体" w:hint="default"/>
                <w:sz w:val="18"/>
                <w:szCs w:val="18"/>
              </w:rPr>
              <w:t>自股份公司股票上市之日起三十六个月内，本 人不转让或委托他人管理本人直接或间接持有 的股份公司股份，也不由股份公司回购该等股 份，并将依法办理所持股份的锁定手续。前述 锁定期限届满后，在龙昌明任职期间，本人每 年转让的股份不超过本人直接或间接所持股份 总数的</w:t>
            </w:r>
            <w:r>
              <w:rPr>
                <w:rFonts w:ascii="宋体" w:hAnsi="宋体" w:cs="宋体" w:eastAsia="宋体" w:hint="default"/>
                <w:spacing w:val="-46"/>
                <w:sz w:val="18"/>
                <w:szCs w:val="18"/>
              </w:rPr>
              <w:t> </w:t>
            </w:r>
            <w:r>
              <w:rPr>
                <w:rFonts w:ascii="宋体" w:hAnsi="宋体" w:cs="宋体" w:eastAsia="宋体" w:hint="default"/>
                <w:sz w:val="18"/>
                <w:szCs w:val="18"/>
              </w:rPr>
              <w:t>25%，离职后半年内不转让本人直接或</w:t>
            </w:r>
            <w:r>
              <w:rPr>
                <w:rFonts w:ascii="宋体" w:hAnsi="宋体" w:cs="宋体" w:eastAsia="宋体" w:hint="default"/>
                <w:sz w:val="18"/>
                <w:szCs w:val="18"/>
              </w:rPr>
              <w:t> 间接持有的公司股份。离职六个月后的十二个 月内通过证券交易所挂牌交易出售股票数量占 其直接所持股份总数的比例不超过</w:t>
            </w:r>
            <w:r>
              <w:rPr>
                <w:rFonts w:ascii="宋体" w:hAnsi="宋体" w:cs="宋体" w:eastAsia="宋体" w:hint="default"/>
                <w:spacing w:val="-46"/>
                <w:sz w:val="18"/>
                <w:szCs w:val="18"/>
              </w:rPr>
              <w:t> </w:t>
            </w:r>
            <w:r>
              <w:rPr>
                <w:rFonts w:ascii="宋体" w:hAnsi="宋体" w:cs="宋体" w:eastAsia="宋体" w:hint="default"/>
                <w:sz w:val="18"/>
                <w:szCs w:val="18"/>
              </w:rPr>
              <w:t>50%。因公</w:t>
            </w:r>
            <w:r>
              <w:rPr>
                <w:rFonts w:ascii="宋体" w:hAnsi="宋体" w:cs="宋体" w:eastAsia="宋体" w:hint="default"/>
                <w:sz w:val="18"/>
                <w:szCs w:val="18"/>
              </w:rPr>
              <w:t> 司进行权益分派等导致本人直接或间接持有公 司股份发生变化的，仍应遵守上述承诺。</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44" w:right="0"/>
              <w:jc w:val="center"/>
              <w:rPr>
                <w:rFonts w:ascii="宋体" w:hAnsi="宋体" w:cs="宋体" w:eastAsia="宋体" w:hint="default"/>
                <w:sz w:val="18"/>
                <w:szCs w:val="18"/>
              </w:rPr>
            </w:pPr>
            <w:r>
              <w:rPr>
                <w:rFonts w:ascii="宋体" w:hAnsi="宋体" w:cs="宋体" w:eastAsia="宋体" w:hint="default"/>
                <w:spacing w:val="14"/>
                <w:sz w:val="18"/>
                <w:szCs w:val="18"/>
              </w:rPr>
              <w:t>08月</w:t>
            </w:r>
            <w:r>
              <w:rPr>
                <w:rFonts w:ascii="宋体" w:hAnsi="宋体" w:cs="宋体" w:eastAsia="宋体" w:hint="default"/>
                <w:spacing w:val="-43"/>
                <w:sz w:val="18"/>
                <w:szCs w:val="18"/>
              </w:rPr>
              <w:t> </w:t>
            </w:r>
            <w:r>
              <w:rPr>
                <w:rFonts w:ascii="宋体" w:hAnsi="宋体" w:cs="宋体" w:eastAsia="宋体" w:hint="default"/>
                <w:spacing w:val="14"/>
                <w:sz w:val="18"/>
                <w:szCs w:val="18"/>
              </w:rPr>
              <w:t>20日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316" w:lineRule="auto"/>
              <w:ind w:left="20" w:right="95"/>
              <w:jc w:val="both"/>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7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646" w:hRule="exact"/>
        </w:trPr>
        <w:tc>
          <w:tcPr>
            <w:tcW w:w="1844" w:type="dxa"/>
            <w:vMerge/>
            <w:tcBorders>
              <w:left w:val="single" w:sz="12"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光一投资</w:t>
            </w:r>
          </w:p>
        </w:tc>
        <w:tc>
          <w:tcPr>
            <w:tcW w:w="3684"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1"/>
              <w:ind w:left="20" w:right="47"/>
              <w:jc w:val="left"/>
              <w:rPr>
                <w:rFonts w:ascii="宋体" w:hAnsi="宋体" w:cs="宋体" w:eastAsia="宋体" w:hint="default"/>
                <w:sz w:val="18"/>
                <w:szCs w:val="18"/>
              </w:rPr>
            </w:pPr>
            <w:r>
              <w:rPr>
                <w:rFonts w:ascii="宋体" w:hAnsi="宋体" w:cs="宋体" w:eastAsia="宋体" w:hint="default"/>
                <w:sz w:val="18"/>
                <w:szCs w:val="18"/>
              </w:rPr>
              <w:t>自股份公司股票上市之日起三十六个月内，本 公司不转让或委托他人管理本公司直接或间接</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44" w:right="0"/>
              <w:jc w:val="center"/>
              <w:rPr>
                <w:rFonts w:ascii="宋体" w:hAnsi="宋体" w:cs="宋体" w:eastAsia="宋体" w:hint="default"/>
                <w:sz w:val="18"/>
                <w:szCs w:val="18"/>
              </w:rPr>
            </w:pPr>
            <w:r>
              <w:rPr>
                <w:rFonts w:ascii="宋体" w:hAnsi="宋体" w:cs="宋体" w:eastAsia="宋体" w:hint="default"/>
                <w:spacing w:val="14"/>
                <w:sz w:val="18"/>
                <w:szCs w:val="18"/>
              </w:rPr>
              <w:t>08月</w:t>
            </w:r>
            <w:r>
              <w:rPr>
                <w:rFonts w:ascii="宋体" w:hAnsi="宋体" w:cs="宋体" w:eastAsia="宋体" w:hint="default"/>
                <w:spacing w:val="-43"/>
                <w:sz w:val="18"/>
                <w:szCs w:val="18"/>
              </w:rPr>
              <w:t> </w:t>
            </w:r>
            <w:r>
              <w:rPr>
                <w:rFonts w:ascii="宋体" w:hAnsi="宋体" w:cs="宋体" w:eastAsia="宋体" w:hint="default"/>
                <w:spacing w:val="14"/>
                <w:sz w:val="18"/>
                <w:szCs w:val="18"/>
              </w:rPr>
              <w:t>20日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1"/>
              <w:ind w:left="20" w:right="95"/>
              <w:jc w:val="left"/>
              <w:rPr>
                <w:rFonts w:ascii="宋体" w:hAnsi="宋体" w:cs="宋体" w:eastAsia="宋体" w:hint="default"/>
                <w:sz w:val="18"/>
                <w:szCs w:val="18"/>
              </w:rPr>
            </w:pPr>
            <w:r>
              <w:rPr>
                <w:rFonts w:ascii="宋体" w:hAnsi="宋体" w:cs="宋体" w:eastAsia="宋体" w:hint="default"/>
                <w:sz w:val="18"/>
                <w:szCs w:val="18"/>
              </w:rPr>
              <w:t>自公司股 票上市之</w:t>
            </w:r>
          </w:p>
        </w:tc>
        <w:tc>
          <w:tcPr>
            <w:tcW w:w="77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1003" w:top="1040" w:bottom="120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81.100006pt;margin-top:246.600006pt;width:172.15pt;height:249.6pt;mso-position-horizontal-relative:page;mso-position-vertical-relative:page;z-index:-6562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也不由股份公司回购该等股份，</w:t>
                  </w:r>
                </w:p>
              </w:txbxContent>
            </v:textbox>
            <w10:wrap type="none"/>
          </v:shape>
        </w:pict>
      </w:r>
      <w:r>
        <w:rPr/>
        <w:pict>
          <v:group style="position:absolute;margin-left:221.160004pt;margin-top:246.600006pt;width:232.1pt;height:249.6pt;mso-position-horizontal-relative:page;mso-position-vertical-relative:page;z-index:-656272" coordorigin="4423,4932" coordsize="4642,4992">
            <v:group style="position:absolute;left:4423;top:6804;width:3629;height:312" coordorigin="4423,6804" coordsize="3629,312">
              <v:shape style="position:absolute;left:4423;top:6804;width:3629;height:312" coordorigin="4423,6804" coordsize="3629,312" path="m4423,7116l8052,7116,8052,6804,4423,6804,4423,7116xe" filled="true" fillcolor="#ffffff" stroked="false">
                <v:path arrowok="t"/>
                <v:fill type="solid"/>
              </v:shape>
            </v:group>
            <v:group style="position:absolute;left:4423;top:7116;width:3629;height:312" coordorigin="4423,7116" coordsize="3629,312">
              <v:shape style="position:absolute;left:4423;top:7116;width:3629;height:312" coordorigin="4423,7116" coordsize="3629,312" path="m4423,7428l8052,7428,8052,7116,4423,7116,4423,7428xe" filled="true" fillcolor="#ffffff" stroked="false">
                <v:path arrowok="t"/>
                <v:fill type="solid"/>
              </v:shape>
            </v:group>
            <v:group style="position:absolute;left:4423;top:7428;width:3629;height:312" coordorigin="4423,7428" coordsize="3629,312">
              <v:shape style="position:absolute;left:4423;top:7428;width:3629;height:312" coordorigin="4423,7428" coordsize="3629,312" path="m4423,7740l8052,7740,8052,7428,4423,7428,4423,7740xe" filled="true" fillcolor="#ffffff" stroked="false">
                <v:path arrowok="t"/>
                <v:fill type="solid"/>
              </v:shape>
            </v:group>
            <v:group style="position:absolute;left:8087;top:4932;width:978;height:4992" coordorigin="8087,4932" coordsize="978,4992">
              <v:shape style="position:absolute;left:8087;top:4932;width:978;height:4992" coordorigin="8087,4932" coordsize="978,4992" path="m8087,9924l9065,9924,9065,4932,8087,4932,8087,9924xe" filled="true" fillcolor="#ffffff" stroked="false">
                <v:path arrowok="t"/>
                <v:fill type="solid"/>
              </v:shape>
            </v:group>
            <v:group style="position:absolute;left:8108;top:7116;width:936;height:312" coordorigin="8108,7116" coordsize="936,312">
              <v:shape style="position:absolute;left:8108;top:7116;width:936;height:312" coordorigin="8108,7116" coordsize="936,312" path="m8108,7428l9044,7428,9044,7116,8108,7116,8108,7428xe" filled="true" fillcolor="#ffffff" stroked="false">
                <v:path arrowok="t"/>
                <v:fill type="solid"/>
              </v:shape>
            </v:group>
            <v:group style="position:absolute;left:8108;top:7428;width:936;height:312" coordorigin="8108,7428" coordsize="936,312">
              <v:shape style="position:absolute;left:8108;top:7428;width:936;height:312" coordorigin="8108,7428" coordsize="936,312" path="m8108,7740l9044,7740,9044,7428,8108,7428,8108,7740xe" filled="true" fillcolor="#ffffff" stroked="false">
                <v:path arrowok="t"/>
                <v:fill type="solid"/>
              </v:shape>
            </v:group>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1844"/>
        <w:gridCol w:w="1418"/>
        <w:gridCol w:w="3684"/>
        <w:gridCol w:w="992"/>
        <w:gridCol w:w="851"/>
        <w:gridCol w:w="778"/>
      </w:tblGrid>
      <w:tr>
        <w:trPr>
          <w:trHeight w:val="327" w:hRule="exact"/>
        </w:trPr>
        <w:tc>
          <w:tcPr>
            <w:tcW w:w="1844" w:type="dxa"/>
            <w:vMerge w:val="restart"/>
            <w:tcBorders>
              <w:top w:val="single" w:sz="12" w:space="0" w:color="000000"/>
              <w:left w:val="single" w:sz="12" w:space="0" w:color="000000"/>
              <w:right w:val="single" w:sz="6" w:space="0" w:color="000000"/>
            </w:tcBorders>
          </w:tcPr>
          <w:p>
            <w:pPr/>
          </w:p>
        </w:tc>
        <w:tc>
          <w:tcPr>
            <w:tcW w:w="1418" w:type="dxa"/>
            <w:vMerge w:val="restart"/>
            <w:tcBorders>
              <w:top w:val="single" w:sz="12" w:space="0" w:color="000000"/>
              <w:left w:val="single" w:sz="6" w:space="0" w:color="000000"/>
              <w:right w:val="single" w:sz="6" w:space="0" w:color="000000"/>
            </w:tcBorders>
          </w:tcPr>
          <w:p>
            <w:pPr/>
          </w:p>
        </w:tc>
        <w:tc>
          <w:tcPr>
            <w:tcW w:w="3684"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持有的股份公司股份，也不由股份公司回购该</w:t>
            </w:r>
          </w:p>
        </w:tc>
        <w:tc>
          <w:tcPr>
            <w:tcW w:w="992" w:type="dxa"/>
            <w:vMerge w:val="restart"/>
            <w:tcBorders>
              <w:top w:val="single" w:sz="12" w:space="0" w:color="000000"/>
              <w:left w:val="single" w:sz="6" w:space="0" w:color="000000"/>
              <w:right w:val="single" w:sz="6" w:space="0" w:color="000000"/>
            </w:tcBorders>
          </w:tcPr>
          <w:p>
            <w:pPr/>
          </w:p>
        </w:tc>
        <w:tc>
          <w:tcPr>
            <w:tcW w:w="851"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日起三十</w:t>
            </w:r>
          </w:p>
        </w:tc>
        <w:tc>
          <w:tcPr>
            <w:tcW w:w="778" w:type="dxa"/>
            <w:vMerge w:val="restart"/>
            <w:tcBorders>
              <w:top w:val="single" w:sz="12" w:space="0" w:color="000000"/>
              <w:left w:val="single" w:sz="6" w:space="0" w:color="000000"/>
              <w:right w:val="single" w:sz="12" w:space="0" w:color="000000"/>
            </w:tcBorders>
          </w:tcPr>
          <w:p>
            <w:pPr/>
          </w:p>
        </w:tc>
      </w:tr>
      <w:tr>
        <w:trPr>
          <w:trHeight w:val="319" w:hRule="exact"/>
        </w:trPr>
        <w:tc>
          <w:tcPr>
            <w:tcW w:w="1844" w:type="dxa"/>
            <w:vMerge/>
            <w:tcBorders>
              <w:left w:val="single" w:sz="12"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368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等股份，并将依法办理所持股份的锁定手续。</w:t>
            </w:r>
          </w:p>
        </w:tc>
        <w:tc>
          <w:tcPr>
            <w:tcW w:w="992" w:type="dxa"/>
            <w:vMerge/>
            <w:tcBorders>
              <w:left w:val="single" w:sz="6" w:space="0" w:color="000000"/>
              <w:bottom w:val="single" w:sz="6" w:space="0" w:color="000000"/>
              <w:right w:val="single" w:sz="6" w:space="0" w:color="000000"/>
            </w:tcBorders>
          </w:tcPr>
          <w:p>
            <w:pPr/>
          </w:p>
        </w:tc>
        <w:tc>
          <w:tcPr>
            <w:tcW w:w="85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六个月</w:t>
            </w:r>
          </w:p>
        </w:tc>
        <w:tc>
          <w:tcPr>
            <w:tcW w:w="778" w:type="dxa"/>
            <w:vMerge/>
            <w:tcBorders>
              <w:left w:val="single" w:sz="6" w:space="0" w:color="000000"/>
              <w:bottom w:val="single" w:sz="6" w:space="0" w:color="000000"/>
              <w:right w:val="single" w:sz="12" w:space="0" w:color="000000"/>
            </w:tcBorders>
          </w:tcPr>
          <w:p>
            <w:pPr/>
          </w:p>
        </w:tc>
      </w:tr>
      <w:tr>
        <w:trPr>
          <w:trHeight w:val="319" w:hRule="exact"/>
        </w:trPr>
        <w:tc>
          <w:tcPr>
            <w:tcW w:w="1844" w:type="dxa"/>
            <w:vMerge/>
            <w:tcBorders>
              <w:left w:val="single" w:sz="12" w:space="0" w:color="000000"/>
              <w:right w:val="single" w:sz="6" w:space="0" w:color="000000"/>
            </w:tcBorders>
          </w:tcPr>
          <w:p>
            <w:pPr/>
          </w:p>
        </w:tc>
        <w:tc>
          <w:tcPr>
            <w:tcW w:w="1418" w:type="dxa"/>
            <w:tcBorders>
              <w:top w:val="single" w:sz="6" w:space="0" w:color="000000"/>
              <w:left w:val="single" w:sz="6" w:space="0" w:color="000000"/>
              <w:bottom w:val="nil" w:sz="6" w:space="0" w:color="auto"/>
              <w:right w:val="single" w:sz="6" w:space="0" w:color="000000"/>
            </w:tcBorders>
          </w:tcPr>
          <w:p>
            <w:pPr/>
          </w:p>
        </w:tc>
        <w:tc>
          <w:tcPr>
            <w:tcW w:w="368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自股份公司股票上市之日起十二个月内，本公</w:t>
            </w:r>
          </w:p>
        </w:tc>
        <w:tc>
          <w:tcPr>
            <w:tcW w:w="992" w:type="dxa"/>
            <w:tcBorders>
              <w:top w:val="single" w:sz="6" w:space="0" w:color="000000"/>
              <w:left w:val="single" w:sz="6" w:space="0" w:color="000000"/>
              <w:bottom w:val="nil" w:sz="6" w:space="0" w:color="auto"/>
              <w:right w:val="single" w:sz="6" w:space="0" w:color="000000"/>
            </w:tcBorders>
          </w:tcPr>
          <w:p>
            <w:pPr/>
          </w:p>
        </w:tc>
        <w:tc>
          <w:tcPr>
            <w:tcW w:w="851"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司不转让或委托他人管理本公司直接或间接持</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有的股份公司股份，也不由股份公司回购该等</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自股份公</w:t>
            </w:r>
          </w:p>
        </w:tc>
        <w:tc>
          <w:tcPr>
            <w:tcW w:w="778" w:type="dxa"/>
            <w:tcBorders>
              <w:top w:val="nil" w:sz="6" w:space="0" w:color="auto"/>
              <w:left w:val="single" w:sz="6" w:space="0" w:color="000000"/>
              <w:bottom w:val="nil" w:sz="6" w:space="0" w:color="auto"/>
              <w:right w:val="single" w:sz="12" w:space="0" w:color="000000"/>
            </w:tcBorders>
          </w:tcPr>
          <w:p>
            <w:pPr/>
          </w:p>
        </w:tc>
      </w:tr>
      <w:tr>
        <w:trPr>
          <w:trHeight w:val="936"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0" w:right="121"/>
              <w:jc w:val="left"/>
              <w:rPr>
                <w:rFonts w:ascii="宋体" w:hAnsi="宋体" w:cs="宋体" w:eastAsia="宋体" w:hint="default"/>
                <w:sz w:val="18"/>
                <w:szCs w:val="18"/>
              </w:rPr>
            </w:pPr>
            <w:r>
              <w:rPr>
                <w:rFonts w:ascii="宋体" w:hAnsi="宋体" w:cs="宋体" w:eastAsia="宋体" w:hint="default"/>
                <w:sz w:val="18"/>
                <w:szCs w:val="18"/>
              </w:rPr>
              <w:t>北京华康瑞宏投 资有限公司</w:t>
            </w: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0" w:right="18"/>
              <w:jc w:val="both"/>
              <w:rPr>
                <w:rFonts w:ascii="宋体" w:hAnsi="宋体" w:cs="宋体" w:eastAsia="宋体" w:hint="default"/>
                <w:sz w:val="18"/>
                <w:szCs w:val="18"/>
              </w:rPr>
            </w:pPr>
            <w:r>
              <w:rPr>
                <w:rFonts w:ascii="宋体" w:hAnsi="宋体" w:cs="宋体" w:eastAsia="宋体" w:hint="default"/>
                <w:sz w:val="18"/>
                <w:szCs w:val="18"/>
              </w:rPr>
              <w:t>股份，并将依法办理所持股份的锁定手续；若 股份公司在交割日（工商变更登记日，即</w:t>
            </w:r>
            <w:r>
              <w:rPr>
                <w:rFonts w:ascii="宋体" w:hAnsi="宋体" w:cs="宋体" w:eastAsia="宋体" w:hint="default"/>
                <w:spacing w:val="-58"/>
                <w:sz w:val="18"/>
                <w:szCs w:val="18"/>
              </w:rPr>
              <w:t> </w:t>
            </w:r>
            <w:r>
              <w:rPr>
                <w:rFonts w:ascii="宋体" w:hAnsi="宋体" w:cs="宋体" w:eastAsia="宋体" w:hint="default"/>
                <w:sz w:val="18"/>
                <w:szCs w:val="18"/>
              </w:rPr>
              <w:t>2010</w:t>
            </w:r>
            <w:r>
              <w:rPr>
                <w:rFonts w:ascii="宋体" w:hAnsi="宋体" w:cs="宋体" w:eastAsia="宋体" w:hint="default"/>
                <w:sz w:val="18"/>
                <w:szCs w:val="18"/>
              </w:rPr>
              <w:t> 年</w:t>
            </w:r>
            <w:r>
              <w:rPr>
                <w:rFonts w:ascii="宋体" w:hAnsi="宋体" w:cs="宋体" w:eastAsia="宋体" w:hint="default"/>
                <w:spacing w:val="-44"/>
                <w:sz w:val="18"/>
                <w:szCs w:val="18"/>
              </w:rPr>
              <w:t> </w:t>
            </w:r>
            <w:r>
              <w:rPr>
                <w:rFonts w:ascii="宋体" w:hAnsi="宋体" w:cs="宋体" w:eastAsia="宋体" w:hint="default"/>
                <w:spacing w:val="14"/>
                <w:sz w:val="18"/>
                <w:szCs w:val="18"/>
              </w:rPr>
              <w:t>12月</w:t>
            </w:r>
            <w:r>
              <w:rPr>
                <w:rFonts w:ascii="宋体" w:hAnsi="宋体" w:cs="宋体" w:eastAsia="宋体" w:hint="default"/>
                <w:spacing w:val="-43"/>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pacing w:val="-4"/>
                <w:sz w:val="18"/>
                <w:szCs w:val="18"/>
              </w:rPr>
              <w:t>日）后十八个月内在中国证券交易所</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0" w:right="95"/>
              <w:jc w:val="both"/>
              <w:rPr>
                <w:rFonts w:ascii="宋体" w:hAnsi="宋体" w:cs="宋体" w:eastAsia="宋体" w:hint="default"/>
                <w:sz w:val="18"/>
                <w:szCs w:val="18"/>
              </w:rPr>
            </w:pPr>
            <w:r>
              <w:rPr>
                <w:rFonts w:ascii="宋体" w:hAnsi="宋体" w:cs="宋体" w:eastAsia="宋体" w:hint="default"/>
                <w:sz w:val="18"/>
                <w:szCs w:val="18"/>
              </w:rPr>
              <w:t>司股票上 市之日起 十二个月</w:t>
            </w:r>
          </w:p>
        </w:tc>
        <w:tc>
          <w:tcPr>
            <w:tcW w:w="778" w:type="dxa"/>
            <w:tcBorders>
              <w:top w:val="nil" w:sz="6" w:space="0" w:color="auto"/>
              <w:left w:val="single" w:sz="6"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1"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成功上市，本公司直接或间接所持有的股份公</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内</w:t>
            </w: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司股份自交割日起三十六个月内转让股份数不</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9"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single" w:sz="6" w:space="0" w:color="000000"/>
              <w:right w:val="single" w:sz="6" w:space="0" w:color="000000"/>
            </w:tcBorders>
          </w:tcPr>
          <w:p>
            <w:pPr/>
          </w:p>
        </w:tc>
        <w:tc>
          <w:tcPr>
            <w:tcW w:w="368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超过本公司直接或间接所持股份总额的</w:t>
            </w:r>
            <w:r>
              <w:rPr>
                <w:rFonts w:ascii="宋体" w:hAnsi="宋体" w:cs="宋体" w:eastAsia="宋体" w:hint="default"/>
                <w:spacing w:val="-46"/>
                <w:sz w:val="18"/>
                <w:szCs w:val="18"/>
              </w:rPr>
              <w:t> </w:t>
            </w:r>
            <w:r>
              <w:rPr>
                <w:rFonts w:ascii="宋体" w:hAnsi="宋体" w:cs="宋体" w:eastAsia="宋体" w:hint="default"/>
                <w:sz w:val="18"/>
                <w:szCs w:val="18"/>
              </w:rPr>
              <w:t>50%。</w:t>
            </w:r>
          </w:p>
        </w:tc>
        <w:tc>
          <w:tcPr>
            <w:tcW w:w="992" w:type="dxa"/>
            <w:tcBorders>
              <w:top w:val="nil" w:sz="6" w:space="0" w:color="auto"/>
              <w:left w:val="single" w:sz="6" w:space="0" w:color="000000"/>
              <w:bottom w:val="single" w:sz="6" w:space="0" w:color="000000"/>
              <w:right w:val="single" w:sz="6" w:space="0" w:color="000000"/>
            </w:tcBorders>
          </w:tcPr>
          <w:p>
            <w:pPr/>
          </w:p>
        </w:tc>
        <w:tc>
          <w:tcPr>
            <w:tcW w:w="851"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12" w:space="0" w:color="000000"/>
            </w:tcBorders>
          </w:tcPr>
          <w:p>
            <w:pPr/>
          </w:p>
        </w:tc>
      </w:tr>
      <w:tr>
        <w:trPr>
          <w:trHeight w:val="321" w:hRule="exact"/>
        </w:trPr>
        <w:tc>
          <w:tcPr>
            <w:tcW w:w="1844" w:type="dxa"/>
            <w:vMerge/>
            <w:tcBorders>
              <w:left w:val="single" w:sz="12" w:space="0" w:color="000000"/>
              <w:right w:val="single" w:sz="6" w:space="0" w:color="000000"/>
            </w:tcBorders>
          </w:tcPr>
          <w:p>
            <w:pPr/>
          </w:p>
        </w:tc>
        <w:tc>
          <w:tcPr>
            <w:tcW w:w="1418" w:type="dxa"/>
            <w:tcBorders>
              <w:top w:val="single" w:sz="6" w:space="0" w:color="000000"/>
              <w:left w:val="single" w:sz="6" w:space="0" w:color="000000"/>
              <w:bottom w:val="nil" w:sz="6" w:space="0" w:color="auto"/>
              <w:right w:val="single" w:sz="6" w:space="0" w:color="000000"/>
            </w:tcBorders>
          </w:tcPr>
          <w:p>
            <w:pPr/>
          </w:p>
        </w:tc>
        <w:tc>
          <w:tcPr>
            <w:tcW w:w="368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自股份公司股票上市之日起十二个月内，本人</w:t>
            </w:r>
          </w:p>
        </w:tc>
        <w:tc>
          <w:tcPr>
            <w:tcW w:w="992" w:type="dxa"/>
            <w:tcBorders>
              <w:top w:val="single" w:sz="6" w:space="0" w:color="000000"/>
              <w:left w:val="single" w:sz="6" w:space="0" w:color="000000"/>
              <w:bottom w:val="nil" w:sz="6" w:space="0" w:color="auto"/>
              <w:right w:val="single" w:sz="6" w:space="0" w:color="000000"/>
            </w:tcBorders>
          </w:tcPr>
          <w:p>
            <w:pPr/>
          </w:p>
        </w:tc>
        <w:tc>
          <w:tcPr>
            <w:tcW w:w="851"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不转让或委托他人管理本人直接或间接持有的</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股份公司股份，</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并将依法办理所持股份的锁定手续。前述锁定</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期限届满后，本人在任职期间每年转让的股份</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不超过本人直接或间接所持股份总数的</w:t>
            </w:r>
            <w:r>
              <w:rPr>
                <w:rFonts w:ascii="宋体" w:hAnsi="宋体" w:cs="宋体" w:eastAsia="宋体" w:hint="default"/>
                <w:spacing w:val="-46"/>
                <w:sz w:val="18"/>
                <w:szCs w:val="18"/>
              </w:rPr>
              <w:t> </w:t>
            </w:r>
            <w:r>
              <w:rPr>
                <w:rFonts w:ascii="宋体" w:hAnsi="宋体" w:cs="宋体" w:eastAsia="宋体" w:hint="default"/>
                <w:sz w:val="18"/>
                <w:szCs w:val="18"/>
              </w:rPr>
              <w:t>25%，</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1248"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0" w:right="-35"/>
              <w:jc w:val="both"/>
              <w:rPr>
                <w:rFonts w:ascii="宋体" w:hAnsi="宋体" w:cs="宋体" w:eastAsia="宋体" w:hint="default"/>
                <w:sz w:val="18"/>
                <w:szCs w:val="18"/>
              </w:rPr>
            </w:pPr>
            <w:r>
              <w:rPr>
                <w:rFonts w:ascii="宋体" w:hAnsi="宋体" w:cs="宋体" w:eastAsia="宋体" w:hint="default"/>
                <w:spacing w:val="-3"/>
                <w:sz w:val="18"/>
                <w:szCs w:val="18"/>
              </w:rPr>
              <w:t>徐一宁、王海俊、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邱卫东、戴晓东、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朱云飞、赵俊平、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沈健</w:t>
            </w: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0" w:right="47"/>
              <w:jc w:val="both"/>
              <w:rPr>
                <w:rFonts w:ascii="宋体" w:hAnsi="宋体" w:cs="宋体" w:eastAsia="宋体" w:hint="default"/>
                <w:sz w:val="18"/>
                <w:szCs w:val="18"/>
              </w:rPr>
            </w:pPr>
            <w:r>
              <w:rPr>
                <w:rFonts w:ascii="宋体" w:hAnsi="宋体" w:cs="宋体" w:eastAsia="宋体" w:hint="default"/>
                <w:sz w:val="18"/>
                <w:szCs w:val="18"/>
              </w:rPr>
              <w:t>离职后半年内不转让本人直接或间接持有的公 司股份。如果本人在公司首次公开发行股票上 市之日起六个月内申报离职的，自申报离职之 日起十八个月内不得转让直接或间接持有的公</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0" w:right="95"/>
              <w:jc w:val="both"/>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778" w:type="dxa"/>
            <w:tcBorders>
              <w:top w:val="nil" w:sz="6" w:space="0" w:color="auto"/>
              <w:left w:val="single" w:sz="6"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司股份；在首次公开发行股票上市之日起第七</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个月至第十二个月之间申报离职的，自申报离</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职之日起十二个月内不转让直接或间接持有的</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公司股份。因公司进行权益分派等导致本人直</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接或间接持有公司股份发生变化的，仍应遵守</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9"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single" w:sz="6" w:space="0" w:color="000000"/>
              <w:right w:val="single" w:sz="9" w:space="0" w:color="FFFFFF"/>
            </w:tcBorders>
          </w:tcPr>
          <w:p>
            <w:pPr/>
          </w:p>
        </w:tc>
        <w:tc>
          <w:tcPr>
            <w:tcW w:w="3684" w:type="dxa"/>
            <w:tcBorders>
              <w:top w:val="nil" w:sz="6" w:space="0" w:color="auto"/>
              <w:left w:val="single" w:sz="9" w:space="0" w:color="FFFFFF"/>
              <w:bottom w:val="single" w:sz="6" w:space="0" w:color="000000"/>
              <w:right w:val="single" w:sz="9" w:space="0" w:color="FFFFFF"/>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上述承诺。</w:t>
            </w:r>
          </w:p>
        </w:tc>
        <w:tc>
          <w:tcPr>
            <w:tcW w:w="992" w:type="dxa"/>
            <w:tcBorders>
              <w:top w:val="nil" w:sz="6" w:space="0" w:color="auto"/>
              <w:left w:val="single" w:sz="9" w:space="0" w:color="FFFFFF"/>
              <w:bottom w:val="single" w:sz="6" w:space="0" w:color="000000"/>
              <w:right w:val="single" w:sz="6" w:space="0" w:color="000000"/>
            </w:tcBorders>
          </w:tcPr>
          <w:p>
            <w:pPr/>
          </w:p>
        </w:tc>
        <w:tc>
          <w:tcPr>
            <w:tcW w:w="851"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12" w:space="0" w:color="000000"/>
            </w:tcBorders>
          </w:tcPr>
          <w:p>
            <w:pPr/>
          </w:p>
        </w:tc>
      </w:tr>
      <w:tr>
        <w:trPr>
          <w:trHeight w:val="319" w:hRule="exact"/>
        </w:trPr>
        <w:tc>
          <w:tcPr>
            <w:tcW w:w="1844" w:type="dxa"/>
            <w:vMerge/>
            <w:tcBorders>
              <w:left w:val="single" w:sz="12" w:space="0" w:color="000000"/>
              <w:right w:val="single" w:sz="6" w:space="0" w:color="000000"/>
            </w:tcBorders>
          </w:tcPr>
          <w:p>
            <w:pPr/>
          </w:p>
        </w:tc>
        <w:tc>
          <w:tcPr>
            <w:tcW w:w="1418" w:type="dxa"/>
            <w:tcBorders>
              <w:top w:val="single" w:sz="6" w:space="0" w:color="000000"/>
              <w:left w:val="single" w:sz="6" w:space="0" w:color="000000"/>
              <w:bottom w:val="nil" w:sz="6" w:space="0" w:color="auto"/>
              <w:right w:val="single" w:sz="6" w:space="0" w:color="000000"/>
            </w:tcBorders>
          </w:tcPr>
          <w:p>
            <w:pPr/>
          </w:p>
        </w:tc>
        <w:tc>
          <w:tcPr>
            <w:tcW w:w="368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避免同业竞争的承诺：控股股东为了保护本公</w:t>
            </w:r>
          </w:p>
        </w:tc>
        <w:tc>
          <w:tcPr>
            <w:tcW w:w="992" w:type="dxa"/>
            <w:tcBorders>
              <w:top w:val="single" w:sz="6" w:space="0" w:color="000000"/>
              <w:left w:val="single" w:sz="6" w:space="0" w:color="000000"/>
              <w:bottom w:val="nil" w:sz="6" w:space="0" w:color="auto"/>
              <w:right w:val="single" w:sz="6" w:space="0" w:color="000000"/>
            </w:tcBorders>
          </w:tcPr>
          <w:p>
            <w:pPr/>
          </w:p>
        </w:tc>
        <w:tc>
          <w:tcPr>
            <w:tcW w:w="851"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司、本公司其他股东及债权人的合法权益，就</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避免同业竞争事宜特郑重承诺如下</w:t>
            </w:r>
            <w:r>
              <w:rPr>
                <w:rFonts w:ascii="宋体" w:hAnsi="宋体" w:cs="宋体" w:eastAsia="宋体" w:hint="default"/>
                <w:spacing w:val="-90"/>
                <w:sz w:val="18"/>
                <w:szCs w:val="18"/>
              </w:rPr>
              <w:t>：</w:t>
            </w:r>
            <w:r>
              <w:rPr>
                <w:rFonts w:ascii="宋体" w:hAnsi="宋体" w:cs="宋体" w:eastAsia="宋体" w:hint="default"/>
                <w:sz w:val="18"/>
                <w:szCs w:val="18"/>
              </w:rPr>
              <w:t>（1）本公</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司目前经工商登记的经营范围为投资管理。本</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公司目前没有任何生产和经营活动，未开展任</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何经营业务。目前，除股份公司外，本公司还</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持有深圳市云网科技有限公司</w:t>
            </w:r>
            <w:r>
              <w:rPr>
                <w:rFonts w:ascii="宋体" w:hAnsi="宋体" w:cs="宋体" w:eastAsia="宋体" w:hint="default"/>
                <w:spacing w:val="-46"/>
                <w:sz w:val="18"/>
                <w:szCs w:val="18"/>
              </w:rPr>
              <w:t> </w:t>
            </w:r>
            <w:r>
              <w:rPr>
                <w:rFonts w:ascii="宋体" w:hAnsi="宋体" w:cs="宋体" w:eastAsia="宋体" w:hint="default"/>
                <w:sz w:val="18"/>
                <w:szCs w:val="18"/>
              </w:rPr>
              <w:t>90%和苏州源德</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936"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0" w:right="0"/>
              <w:jc w:val="left"/>
              <w:rPr>
                <w:rFonts w:ascii="宋体" w:hAnsi="宋体" w:cs="宋体" w:eastAsia="宋体" w:hint="default"/>
                <w:sz w:val="18"/>
                <w:szCs w:val="18"/>
              </w:rPr>
            </w:pPr>
            <w:r>
              <w:rPr>
                <w:rFonts w:ascii="宋体" w:hAnsi="宋体" w:cs="宋体" w:eastAsia="宋体" w:hint="default"/>
                <w:sz w:val="18"/>
                <w:szCs w:val="18"/>
              </w:rPr>
              <w:t>光一投资</w:t>
            </w: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0" w:right="47"/>
              <w:jc w:val="both"/>
              <w:rPr>
                <w:rFonts w:ascii="宋体" w:hAnsi="宋体" w:cs="宋体" w:eastAsia="宋体" w:hint="default"/>
                <w:sz w:val="18"/>
                <w:szCs w:val="18"/>
              </w:rPr>
            </w:pPr>
            <w:r>
              <w:rPr>
                <w:rFonts w:ascii="宋体" w:hAnsi="宋体" w:cs="宋体" w:eastAsia="宋体" w:hint="default"/>
                <w:sz w:val="18"/>
                <w:szCs w:val="18"/>
              </w:rPr>
              <w:t>创业投资有限公司</w:t>
            </w:r>
            <w:r>
              <w:rPr>
                <w:rFonts w:ascii="宋体" w:hAnsi="宋体" w:cs="宋体" w:eastAsia="宋体" w:hint="default"/>
                <w:spacing w:val="-46"/>
                <w:sz w:val="18"/>
                <w:szCs w:val="18"/>
              </w:rPr>
              <w:t> </w:t>
            </w:r>
            <w:r>
              <w:rPr>
                <w:rFonts w:ascii="宋体" w:hAnsi="宋体" w:cs="宋体" w:eastAsia="宋体" w:hint="default"/>
                <w:sz w:val="18"/>
                <w:szCs w:val="18"/>
              </w:rPr>
              <w:t>14%的股份。本公司没有任</w:t>
            </w:r>
            <w:r>
              <w:rPr>
                <w:rFonts w:ascii="宋体" w:hAnsi="宋体" w:cs="宋体" w:eastAsia="宋体" w:hint="default"/>
                <w:sz w:val="18"/>
                <w:szCs w:val="18"/>
              </w:rPr>
              <w:t> 何其他子公司或联营、合作、合资、托管、承 包或租赁经营企业。目前本公司与股份公司从</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0" w:right="95"/>
              <w:jc w:val="both"/>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778" w:type="dxa"/>
            <w:tcBorders>
              <w:top w:val="nil" w:sz="6" w:space="0" w:color="auto"/>
              <w:left w:val="single" w:sz="6"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1"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事业务不构成同业竞争</w:t>
            </w:r>
            <w:r>
              <w:rPr>
                <w:rFonts w:ascii="宋体" w:hAnsi="宋体" w:cs="宋体" w:eastAsia="宋体" w:hint="default"/>
                <w:spacing w:val="-90"/>
                <w:sz w:val="18"/>
                <w:szCs w:val="18"/>
              </w:rPr>
              <w:t>。</w:t>
            </w:r>
            <w:r>
              <w:rPr>
                <w:rFonts w:ascii="宋体" w:hAnsi="宋体" w:cs="宋体" w:eastAsia="宋体" w:hint="default"/>
                <w:sz w:val="18"/>
                <w:szCs w:val="18"/>
              </w:rPr>
              <w:t>（2）对于股份公司目</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前从事的业务以及股份公司未来从事的业务，</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本公司自身不会，也不会通过投资、合资、合</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作、联营、委托经营、承包、租赁经营等任何</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方式从事与股份公司构成竞争的业务</w:t>
            </w:r>
            <w:r>
              <w:rPr>
                <w:rFonts w:ascii="宋体" w:hAnsi="宋体" w:cs="宋体" w:eastAsia="宋体" w:hint="default"/>
                <w:spacing w:val="-90"/>
                <w:sz w:val="18"/>
                <w:szCs w:val="18"/>
              </w:rPr>
              <w:t>。</w:t>
            </w:r>
            <w:r>
              <w:rPr>
                <w:rFonts w:ascii="宋体" w:hAnsi="宋体" w:cs="宋体" w:eastAsia="宋体" w:hint="default"/>
                <w:sz w:val="18"/>
                <w:szCs w:val="18"/>
              </w:rPr>
              <w:t>（3）本</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函自签署出具之日起立即生效，即对本公司具</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27" w:hRule="exact"/>
        </w:trPr>
        <w:tc>
          <w:tcPr>
            <w:tcW w:w="1844" w:type="dxa"/>
            <w:vMerge/>
            <w:tcBorders>
              <w:left w:val="single" w:sz="12" w:space="0" w:color="000000"/>
              <w:bottom w:val="single" w:sz="12" w:space="0" w:color="000000"/>
              <w:right w:val="single" w:sz="6" w:space="0" w:color="000000"/>
            </w:tcBorders>
          </w:tcPr>
          <w:p>
            <w:pPr/>
          </w:p>
        </w:tc>
        <w:tc>
          <w:tcPr>
            <w:tcW w:w="1418" w:type="dxa"/>
            <w:tcBorders>
              <w:top w:val="nil" w:sz="6" w:space="0" w:color="auto"/>
              <w:left w:val="single" w:sz="6" w:space="0" w:color="000000"/>
              <w:bottom w:val="single" w:sz="12" w:space="0" w:color="000000"/>
              <w:right w:val="single" w:sz="6" w:space="0" w:color="000000"/>
            </w:tcBorders>
          </w:tcPr>
          <w:p>
            <w:pPr/>
          </w:p>
        </w:tc>
        <w:tc>
          <w:tcPr>
            <w:tcW w:w="368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有法律约束力。自本函生效至本公司作为股份</w:t>
            </w:r>
          </w:p>
        </w:tc>
        <w:tc>
          <w:tcPr>
            <w:tcW w:w="992" w:type="dxa"/>
            <w:tcBorders>
              <w:top w:val="nil" w:sz="6" w:space="0" w:color="auto"/>
              <w:left w:val="single" w:sz="6" w:space="0" w:color="000000"/>
              <w:bottom w:val="single" w:sz="12" w:space="0" w:color="000000"/>
              <w:right w:val="single" w:sz="6" w:space="0" w:color="000000"/>
            </w:tcBorders>
          </w:tcPr>
          <w:p>
            <w:pPr/>
          </w:p>
        </w:tc>
        <w:tc>
          <w:tcPr>
            <w:tcW w:w="851" w:type="dxa"/>
            <w:tcBorders>
              <w:top w:val="nil" w:sz="6" w:space="0" w:color="auto"/>
              <w:left w:val="single" w:sz="6" w:space="0" w:color="000000"/>
              <w:bottom w:val="single" w:sz="12" w:space="0" w:color="000000"/>
              <w:right w:val="single" w:sz="6" w:space="0" w:color="000000"/>
            </w:tcBorders>
          </w:tcPr>
          <w:p>
            <w:pPr/>
          </w:p>
        </w:tc>
        <w:tc>
          <w:tcPr>
            <w:tcW w:w="778" w:type="dxa"/>
            <w:tcBorders>
              <w:top w:val="nil" w:sz="6" w:space="0" w:color="auto"/>
              <w:left w:val="single" w:sz="6" w:space="0" w:color="000000"/>
              <w:bottom w:val="single" w:sz="12" w:space="0" w:color="000000"/>
              <w:right w:val="single" w:sz="12" w:space="0" w:color="000000"/>
            </w:tcBorders>
          </w:tcPr>
          <w:p>
            <w:pPr/>
          </w:p>
        </w:tc>
      </w:tr>
    </w:tbl>
    <w:p>
      <w:pPr>
        <w:spacing w:after="0"/>
        <w:sectPr>
          <w:pgSz w:w="11910" w:h="16840"/>
          <w:pgMar w:header="747" w:footer="1003" w:top="1040" w:bottom="120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36.100006pt;margin-top:230.220001pt;width:217.15pt;height:343.2pt;mso-position-horizontal-relative:page;mso-position-vertical-relative:page;z-index:-6562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就避免同业竞争事宜特共同郑重承诺如下：</w:t>
                  </w:r>
                </w:p>
              </w:txbxContent>
            </v:textbox>
            <w10:wrap type="none"/>
          </v:shape>
        </w:pict>
      </w:r>
      <w:r>
        <w:rPr/>
        <w:pict>
          <v:shape style="position:absolute;margin-left:326.100006pt;margin-top:574.200012pt;width:127.15pt;height:187.2pt;mso-position-horizontal-relative:page;mso-position-vertical-relative:page;z-index:-6562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15"/>
                    <w:ind w:left="0" w:right="0" w:firstLine="0"/>
                    <w:jc w:val="left"/>
                    <w:rPr>
                      <w:rFonts w:ascii="宋体" w:hAnsi="宋体" w:cs="宋体" w:eastAsia="宋体" w:hint="default"/>
                      <w:sz w:val="18"/>
                      <w:szCs w:val="18"/>
                    </w:rPr>
                  </w:pPr>
                  <w:r>
                    <w:rPr>
                      <w:rFonts w:ascii="宋体" w:hAnsi="宋体" w:cs="宋体" w:eastAsia="宋体" w:hint="default"/>
                      <w:sz w:val="18"/>
                      <w:szCs w:val="18"/>
                    </w:rPr>
                    <w:t>控股公司或者企业，</w:t>
                  </w:r>
                </w:p>
              </w:txbxContent>
            </v:textbox>
            <w10:wrap type="none"/>
          </v:shape>
        </w:pict>
      </w:r>
      <w:r>
        <w:rPr/>
        <w:pict>
          <v:group style="position:absolute;margin-left:404.339996pt;margin-top:230.220001pt;width:48.9pt;height:531.2pt;mso-position-horizontal-relative:page;mso-position-vertical-relative:page;z-index:-656200" coordorigin="8087,4604" coordsize="978,10624">
            <v:group style="position:absolute;left:8087;top:4604;width:978;height:6864" coordorigin="8087,4604" coordsize="978,6864">
              <v:shape style="position:absolute;left:8087;top:4604;width:978;height:6864" coordorigin="8087,4604" coordsize="978,6864" path="m8087,11468l9065,11468,9065,4604,8087,4604,8087,11468xe" filled="true" fillcolor="#ffffff" stroked="false">
                <v:path arrowok="t"/>
                <v:fill type="solid"/>
              </v:shape>
            </v:group>
            <v:group style="position:absolute;left:8108;top:7724;width:936;height:312" coordorigin="8108,7724" coordsize="936,312">
              <v:shape style="position:absolute;left:8108;top:7724;width:936;height:312" coordorigin="8108,7724" coordsize="936,312" path="m8108,8036l9044,8036,9044,7724,8108,7724,8108,8036xe" filled="true" fillcolor="#ffffff" stroked="false">
                <v:path arrowok="t"/>
                <v:fill type="solid"/>
              </v:shape>
            </v:group>
            <v:group style="position:absolute;left:8108;top:8036;width:936;height:312" coordorigin="8108,8036" coordsize="936,312">
              <v:shape style="position:absolute;left:8108;top:8036;width:936;height:312" coordorigin="8108,8036" coordsize="936,312" path="m8108,8348l9044,8348,9044,8036,8108,8036,8108,8348xe" filled="true" fillcolor="#ffffff" stroked="false">
                <v:path arrowok="t"/>
                <v:fill type="solid"/>
              </v:shape>
            </v:group>
            <v:group style="position:absolute;left:8087;top:11484;width:978;height:3744" coordorigin="8087,11484" coordsize="978,3744">
              <v:shape style="position:absolute;left:8087;top:11484;width:978;height:3744" coordorigin="8087,11484" coordsize="978,3744" path="m8087,15228l9065,15228,9065,11484,8087,11484,8087,15228xe" filled="true" fillcolor="#ffffff" stroked="false">
                <v:path arrowok="t"/>
                <v:fill type="solid"/>
              </v:shape>
            </v:group>
            <v:group style="position:absolute;left:8108;top:13044;width:936;height:312" coordorigin="8108,13044" coordsize="936,312">
              <v:shape style="position:absolute;left:8108;top:13044;width:936;height:312" coordorigin="8108,13044" coordsize="936,312" path="m8108,13356l9044,13356,9044,13044,8108,13044,8108,13356xe" filled="true" fillcolor="#ffffff" stroked="false">
                <v:path arrowok="t"/>
                <v:fill type="solid"/>
              </v:shape>
            </v:group>
            <v:group style="position:absolute;left:8108;top:13356;width:936;height:312" coordorigin="8108,13356" coordsize="936,312">
              <v:shape style="position:absolute;left:8108;top:13356;width:936;height:312" coordorigin="8108,13356" coordsize="936,312" path="m8108,13668l9044,13668,9044,13356,8108,13356,8108,13668xe" filled="true" fillcolor="#ffffff" stroked="false">
                <v:path arrowok="t"/>
                <v:fill type="solid"/>
              </v:shape>
            </v:group>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1844"/>
        <w:gridCol w:w="1418"/>
        <w:gridCol w:w="3684"/>
        <w:gridCol w:w="992"/>
        <w:gridCol w:w="851"/>
        <w:gridCol w:w="778"/>
      </w:tblGrid>
      <w:tr>
        <w:trPr>
          <w:trHeight w:val="327" w:hRule="exact"/>
        </w:trPr>
        <w:tc>
          <w:tcPr>
            <w:tcW w:w="1844" w:type="dxa"/>
            <w:vMerge w:val="restart"/>
            <w:tcBorders>
              <w:top w:val="single" w:sz="12" w:space="0" w:color="000000"/>
              <w:left w:val="single" w:sz="12" w:space="0" w:color="000000"/>
              <w:right w:val="single" w:sz="6" w:space="0" w:color="000000"/>
            </w:tcBorders>
          </w:tcPr>
          <w:p>
            <w:pPr/>
          </w:p>
        </w:tc>
        <w:tc>
          <w:tcPr>
            <w:tcW w:w="1418" w:type="dxa"/>
            <w:vMerge w:val="restart"/>
            <w:tcBorders>
              <w:top w:val="single" w:sz="12" w:space="0" w:color="000000"/>
              <w:left w:val="single" w:sz="6" w:space="0" w:color="000000"/>
              <w:right w:val="single" w:sz="6" w:space="0" w:color="000000"/>
            </w:tcBorders>
          </w:tcPr>
          <w:p>
            <w:pPr/>
          </w:p>
        </w:tc>
        <w:tc>
          <w:tcPr>
            <w:tcW w:w="3684"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公司第一大股东期间的任何时候，本公司将严</w:t>
            </w:r>
          </w:p>
        </w:tc>
        <w:tc>
          <w:tcPr>
            <w:tcW w:w="992" w:type="dxa"/>
            <w:vMerge w:val="restart"/>
            <w:tcBorders>
              <w:top w:val="single" w:sz="12" w:space="0" w:color="000000"/>
              <w:left w:val="single" w:sz="6" w:space="0" w:color="000000"/>
              <w:right w:val="single" w:sz="6" w:space="0" w:color="000000"/>
            </w:tcBorders>
          </w:tcPr>
          <w:p>
            <w:pPr/>
          </w:p>
        </w:tc>
        <w:tc>
          <w:tcPr>
            <w:tcW w:w="851" w:type="dxa"/>
            <w:vMerge w:val="restart"/>
            <w:tcBorders>
              <w:top w:val="single" w:sz="12" w:space="0" w:color="000000"/>
              <w:left w:val="single" w:sz="6" w:space="0" w:color="000000"/>
              <w:right w:val="single" w:sz="6" w:space="0" w:color="000000"/>
            </w:tcBorders>
          </w:tcPr>
          <w:p>
            <w:pPr/>
          </w:p>
        </w:tc>
        <w:tc>
          <w:tcPr>
            <w:tcW w:w="778" w:type="dxa"/>
            <w:vMerge w:val="restart"/>
            <w:tcBorders>
              <w:top w:val="single" w:sz="12" w:space="0" w:color="000000"/>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vMerge/>
            <w:tcBorders>
              <w:left w:val="single" w:sz="6" w:space="0" w:color="000000"/>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格遵守并履行本函所作的承诺及保证义务；对</w:t>
            </w:r>
          </w:p>
        </w:tc>
        <w:tc>
          <w:tcPr>
            <w:tcW w:w="992"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778"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vMerge/>
            <w:tcBorders>
              <w:left w:val="single" w:sz="6" w:space="0" w:color="000000"/>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于违反本函承诺及保证义务的，本公司将采取</w:t>
            </w:r>
          </w:p>
        </w:tc>
        <w:tc>
          <w:tcPr>
            <w:tcW w:w="992"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778"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vMerge/>
            <w:tcBorders>
              <w:left w:val="single" w:sz="6" w:space="0" w:color="000000"/>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一切必要且有效的措施及时纠正消除由此造成</w:t>
            </w:r>
          </w:p>
        </w:tc>
        <w:tc>
          <w:tcPr>
            <w:tcW w:w="992"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778"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vMerge/>
            <w:tcBorders>
              <w:left w:val="single" w:sz="6" w:space="0" w:color="000000"/>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股份公司的不利影响，并对造成股份公司直接</w:t>
            </w:r>
          </w:p>
        </w:tc>
        <w:tc>
          <w:tcPr>
            <w:tcW w:w="992"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778"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vMerge/>
            <w:tcBorders>
              <w:left w:val="single" w:sz="6" w:space="0" w:color="000000"/>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和间接损失承担赔偿责任</w:t>
            </w:r>
            <w:r>
              <w:rPr>
                <w:rFonts w:ascii="宋体" w:hAnsi="宋体" w:cs="宋体" w:eastAsia="宋体" w:hint="default"/>
                <w:spacing w:val="-90"/>
                <w:sz w:val="18"/>
                <w:szCs w:val="18"/>
              </w:rPr>
              <w:t>。</w:t>
            </w:r>
            <w:r>
              <w:rPr>
                <w:rFonts w:ascii="宋体" w:hAnsi="宋体" w:cs="宋体" w:eastAsia="宋体" w:hint="default"/>
                <w:sz w:val="18"/>
                <w:szCs w:val="18"/>
              </w:rPr>
              <w:t>（4）股份公司首次</w:t>
            </w:r>
          </w:p>
        </w:tc>
        <w:tc>
          <w:tcPr>
            <w:tcW w:w="992"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778"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vMerge/>
            <w:tcBorders>
              <w:left w:val="single" w:sz="6" w:space="0" w:color="000000"/>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公开发行股票并上市经核准后，本公司同意并</w:t>
            </w:r>
          </w:p>
        </w:tc>
        <w:tc>
          <w:tcPr>
            <w:tcW w:w="992"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778"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vMerge/>
            <w:tcBorders>
              <w:left w:val="single" w:sz="6" w:space="0" w:color="000000"/>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自愿接受国家证券监管机构、股票上市地证券</w:t>
            </w:r>
          </w:p>
        </w:tc>
        <w:tc>
          <w:tcPr>
            <w:tcW w:w="992"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778"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vMerge/>
            <w:tcBorders>
              <w:left w:val="single" w:sz="6" w:space="0" w:color="000000"/>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交易所对本公司履行本函承诺及保证义务情况</w:t>
            </w:r>
          </w:p>
        </w:tc>
        <w:tc>
          <w:tcPr>
            <w:tcW w:w="992"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778" w:type="dxa"/>
            <w:vMerge/>
            <w:tcBorders>
              <w:left w:val="single" w:sz="6" w:space="0" w:color="000000"/>
              <w:right w:val="single" w:sz="12" w:space="0" w:color="000000"/>
            </w:tcBorders>
          </w:tcPr>
          <w:p>
            <w:pPr/>
          </w:p>
        </w:tc>
      </w:tr>
      <w:tr>
        <w:trPr>
          <w:trHeight w:val="319" w:hRule="exact"/>
        </w:trPr>
        <w:tc>
          <w:tcPr>
            <w:tcW w:w="1844" w:type="dxa"/>
            <w:vMerge/>
            <w:tcBorders>
              <w:left w:val="single" w:sz="12"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368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的持续监管。</w:t>
            </w:r>
          </w:p>
        </w:tc>
        <w:tc>
          <w:tcPr>
            <w:tcW w:w="992" w:type="dxa"/>
            <w:vMerge/>
            <w:tcBorders>
              <w:left w:val="single" w:sz="6" w:space="0" w:color="000000"/>
              <w:bottom w:val="single" w:sz="6" w:space="0" w:color="000000"/>
              <w:right w:val="single" w:sz="6" w:space="0" w:color="000000"/>
            </w:tcBorders>
          </w:tcPr>
          <w:p>
            <w:pPr/>
          </w:p>
        </w:tc>
        <w:tc>
          <w:tcPr>
            <w:tcW w:w="851" w:type="dxa"/>
            <w:vMerge/>
            <w:tcBorders>
              <w:left w:val="single" w:sz="6" w:space="0" w:color="000000"/>
              <w:bottom w:val="single" w:sz="6" w:space="0" w:color="000000"/>
              <w:right w:val="single" w:sz="6" w:space="0" w:color="000000"/>
            </w:tcBorders>
          </w:tcPr>
          <w:p>
            <w:pPr/>
          </w:p>
        </w:tc>
        <w:tc>
          <w:tcPr>
            <w:tcW w:w="778" w:type="dxa"/>
            <w:vMerge/>
            <w:tcBorders>
              <w:left w:val="single" w:sz="6" w:space="0" w:color="000000"/>
              <w:bottom w:val="single" w:sz="6" w:space="0" w:color="000000"/>
              <w:right w:val="single" w:sz="12" w:space="0" w:color="000000"/>
            </w:tcBorders>
          </w:tcPr>
          <w:p>
            <w:pPr/>
          </w:p>
        </w:tc>
      </w:tr>
      <w:tr>
        <w:trPr>
          <w:trHeight w:val="319" w:hRule="exact"/>
        </w:trPr>
        <w:tc>
          <w:tcPr>
            <w:tcW w:w="1844" w:type="dxa"/>
            <w:vMerge/>
            <w:tcBorders>
              <w:left w:val="single" w:sz="12" w:space="0" w:color="000000"/>
              <w:right w:val="single" w:sz="6" w:space="0" w:color="000000"/>
            </w:tcBorders>
          </w:tcPr>
          <w:p>
            <w:pPr/>
          </w:p>
        </w:tc>
        <w:tc>
          <w:tcPr>
            <w:tcW w:w="1418" w:type="dxa"/>
            <w:tcBorders>
              <w:top w:val="single" w:sz="6" w:space="0" w:color="000000"/>
              <w:left w:val="single" w:sz="6" w:space="0" w:color="000000"/>
              <w:bottom w:val="nil" w:sz="6" w:space="0" w:color="auto"/>
              <w:right w:val="single" w:sz="6" w:space="0" w:color="000000"/>
            </w:tcBorders>
          </w:tcPr>
          <w:p>
            <w:pPr/>
          </w:p>
        </w:tc>
        <w:tc>
          <w:tcPr>
            <w:tcW w:w="368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避免同业竞争的承诺：龙昌明先生作为本公司</w:t>
            </w:r>
          </w:p>
        </w:tc>
        <w:tc>
          <w:tcPr>
            <w:tcW w:w="992" w:type="dxa"/>
            <w:tcBorders>
              <w:top w:val="single" w:sz="6" w:space="0" w:color="000000"/>
              <w:left w:val="single" w:sz="6" w:space="0" w:color="000000"/>
              <w:bottom w:val="nil" w:sz="6" w:space="0" w:color="auto"/>
              <w:right w:val="single" w:sz="6" w:space="0" w:color="000000"/>
            </w:tcBorders>
          </w:tcPr>
          <w:p>
            <w:pPr/>
          </w:p>
        </w:tc>
        <w:tc>
          <w:tcPr>
            <w:tcW w:w="851"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的股东、实际控制人，熊珂女士作为本公司的</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股东、龙昌明的配偶及其一致行动人，为了保</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护本公司、本公司中小股东及债权人的合法权</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益，</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（1）对于股份公司目前从事的业务以及股份公</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司未来从事的业务，本人不会谋求通过光一投</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资或通过其他投资及未来新的投资、合资、合</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作、联营、委托经营、承包、租赁经营等任何</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1248"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龙昌明、熊珂</w:t>
            </w: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0" w:right="47"/>
              <w:jc w:val="both"/>
              <w:rPr>
                <w:rFonts w:ascii="宋体" w:hAnsi="宋体" w:cs="宋体" w:eastAsia="宋体" w:hint="default"/>
                <w:sz w:val="18"/>
                <w:szCs w:val="18"/>
              </w:rPr>
            </w:pPr>
            <w:r>
              <w:rPr>
                <w:rFonts w:ascii="宋体" w:hAnsi="宋体" w:cs="宋体" w:eastAsia="宋体" w:hint="default"/>
                <w:spacing w:val="-5"/>
                <w:sz w:val="18"/>
                <w:szCs w:val="18"/>
              </w:rPr>
              <w:t>方式从事与股份公司构成竞争的业务。（2）本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函自签署出具之日起立即生效，即对本人具有 法律约束力。自本函生效至本人作为股份公司 实际控制人及一致行动人期间的任何时候，本</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0" w:right="95"/>
              <w:jc w:val="both"/>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778" w:type="dxa"/>
            <w:tcBorders>
              <w:top w:val="nil" w:sz="6" w:space="0" w:color="auto"/>
              <w:left w:val="single" w:sz="6"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人将严格遵守并履行本函所作的承诺及保证义</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务；对于违反本函承诺及保证义务的，本人承</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诺采取一切必要且有效的措施及时纠正消除由</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此造成股份公司的不利影响，并对造成股份公</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司直接和间接损失承担赔偿责任</w:t>
            </w:r>
            <w:r>
              <w:rPr>
                <w:rFonts w:ascii="宋体" w:hAnsi="宋体" w:cs="宋体" w:eastAsia="宋体" w:hint="default"/>
                <w:spacing w:val="-90"/>
                <w:sz w:val="18"/>
                <w:szCs w:val="18"/>
              </w:rPr>
              <w:t>。</w:t>
            </w:r>
            <w:r>
              <w:rPr>
                <w:rFonts w:ascii="宋体" w:hAnsi="宋体" w:cs="宋体" w:eastAsia="宋体" w:hint="default"/>
                <w:sz w:val="18"/>
                <w:szCs w:val="18"/>
              </w:rPr>
              <w:t>（3）股份公</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司首次公开发行股票并上市经核准后，本人同</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意并自愿接受国家证券监管机构、股票上市地</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证券交易所对本人履行本函承诺及保证义务情</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9"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single" w:sz="6" w:space="0" w:color="000000"/>
              <w:right w:val="single" w:sz="6" w:space="0" w:color="000000"/>
            </w:tcBorders>
          </w:tcPr>
          <w:p>
            <w:pPr/>
          </w:p>
        </w:tc>
        <w:tc>
          <w:tcPr>
            <w:tcW w:w="368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况的持续监管。</w:t>
            </w:r>
          </w:p>
        </w:tc>
        <w:tc>
          <w:tcPr>
            <w:tcW w:w="992" w:type="dxa"/>
            <w:tcBorders>
              <w:top w:val="nil" w:sz="6" w:space="0" w:color="auto"/>
              <w:left w:val="single" w:sz="6" w:space="0" w:color="000000"/>
              <w:bottom w:val="single" w:sz="6" w:space="0" w:color="000000"/>
              <w:right w:val="single" w:sz="6" w:space="0" w:color="000000"/>
            </w:tcBorders>
          </w:tcPr>
          <w:p>
            <w:pPr/>
          </w:p>
        </w:tc>
        <w:tc>
          <w:tcPr>
            <w:tcW w:w="851"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12" w:space="0" w:color="000000"/>
            </w:tcBorders>
          </w:tcPr>
          <w:p>
            <w:pPr/>
          </w:p>
        </w:tc>
      </w:tr>
      <w:tr>
        <w:trPr>
          <w:trHeight w:val="321" w:hRule="exact"/>
        </w:trPr>
        <w:tc>
          <w:tcPr>
            <w:tcW w:w="1844" w:type="dxa"/>
            <w:vMerge/>
            <w:tcBorders>
              <w:left w:val="single" w:sz="12" w:space="0" w:color="000000"/>
              <w:right w:val="single" w:sz="6" w:space="0" w:color="000000"/>
            </w:tcBorders>
          </w:tcPr>
          <w:p>
            <w:pPr/>
          </w:p>
        </w:tc>
        <w:tc>
          <w:tcPr>
            <w:tcW w:w="1418" w:type="dxa"/>
            <w:tcBorders>
              <w:top w:val="single" w:sz="6" w:space="0" w:color="000000"/>
              <w:left w:val="single" w:sz="6" w:space="0" w:color="000000"/>
              <w:bottom w:val="nil" w:sz="6" w:space="0" w:color="auto"/>
              <w:right w:val="single" w:sz="6" w:space="0" w:color="000000"/>
            </w:tcBorders>
          </w:tcPr>
          <w:p>
            <w:pPr/>
          </w:p>
        </w:tc>
        <w:tc>
          <w:tcPr>
            <w:tcW w:w="368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减少和规范关联交易的承诺：本公司及本人以</w:t>
            </w:r>
          </w:p>
        </w:tc>
        <w:tc>
          <w:tcPr>
            <w:tcW w:w="992" w:type="dxa"/>
            <w:tcBorders>
              <w:top w:val="single" w:sz="6" w:space="0" w:color="000000"/>
              <w:left w:val="single" w:sz="6" w:space="0" w:color="000000"/>
              <w:bottom w:val="nil" w:sz="6" w:space="0" w:color="auto"/>
              <w:right w:val="single" w:sz="6" w:space="0" w:color="000000"/>
            </w:tcBorders>
          </w:tcPr>
          <w:p>
            <w:pPr/>
          </w:p>
        </w:tc>
        <w:tc>
          <w:tcPr>
            <w:tcW w:w="851"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及本公司和本人所有参股、</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今后原则上不与股份公司发生关联交易，如在</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今后的经营活动中确有必要与股份公司之间发</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1248"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0" w:right="121"/>
              <w:jc w:val="left"/>
              <w:rPr>
                <w:rFonts w:ascii="宋体" w:hAnsi="宋体" w:cs="宋体" w:eastAsia="宋体" w:hint="default"/>
                <w:sz w:val="18"/>
                <w:szCs w:val="18"/>
              </w:rPr>
            </w:pPr>
            <w:r>
              <w:rPr>
                <w:rFonts w:ascii="宋体" w:hAnsi="宋体" w:cs="宋体" w:eastAsia="宋体" w:hint="default"/>
                <w:sz w:val="18"/>
                <w:szCs w:val="18"/>
              </w:rPr>
              <w:t>光一投资、龙昌 明、熊珂</w:t>
            </w: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0" w:right="47"/>
              <w:jc w:val="both"/>
              <w:rPr>
                <w:rFonts w:ascii="宋体" w:hAnsi="宋体" w:cs="宋体" w:eastAsia="宋体" w:hint="default"/>
                <w:sz w:val="18"/>
                <w:szCs w:val="18"/>
              </w:rPr>
            </w:pPr>
            <w:r>
              <w:rPr>
                <w:rFonts w:ascii="宋体" w:hAnsi="宋体" w:cs="宋体" w:eastAsia="宋体" w:hint="default"/>
                <w:sz w:val="18"/>
                <w:szCs w:val="18"/>
              </w:rPr>
              <w:t>生无法避免的关联交易，则此种交易应当是对 股份公司有益的，且必须按正常的商业条件进 行。有关关联交易将严格按照国家有关法律法 规、公司章程的规定履行有关程序，保证不要</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0" w:right="95"/>
              <w:jc w:val="both"/>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778" w:type="dxa"/>
            <w:tcBorders>
              <w:top w:val="nil" w:sz="6" w:space="0" w:color="auto"/>
              <w:left w:val="single" w:sz="6"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求或接受股份公司在任何一项交易中给予本公</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司及本人优于给予任何其他独立第三方的条</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件。本声明、承诺与保证将持续有效，直至本</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27" w:hRule="exact"/>
        </w:trPr>
        <w:tc>
          <w:tcPr>
            <w:tcW w:w="1844" w:type="dxa"/>
            <w:vMerge/>
            <w:tcBorders>
              <w:left w:val="single" w:sz="12" w:space="0" w:color="000000"/>
              <w:bottom w:val="single" w:sz="12" w:space="0" w:color="000000"/>
              <w:right w:val="single" w:sz="6" w:space="0" w:color="000000"/>
            </w:tcBorders>
          </w:tcPr>
          <w:p>
            <w:pPr/>
          </w:p>
        </w:tc>
        <w:tc>
          <w:tcPr>
            <w:tcW w:w="1418" w:type="dxa"/>
            <w:tcBorders>
              <w:top w:val="nil" w:sz="6" w:space="0" w:color="auto"/>
              <w:left w:val="single" w:sz="6" w:space="0" w:color="000000"/>
              <w:bottom w:val="single" w:sz="12" w:space="0" w:color="000000"/>
              <w:right w:val="single" w:sz="6" w:space="0" w:color="000000"/>
            </w:tcBorders>
          </w:tcPr>
          <w:p>
            <w:pPr/>
          </w:p>
        </w:tc>
        <w:tc>
          <w:tcPr>
            <w:tcW w:w="368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公司及本人不再对股份公司有重大影响为止。</w:t>
            </w:r>
          </w:p>
        </w:tc>
        <w:tc>
          <w:tcPr>
            <w:tcW w:w="992" w:type="dxa"/>
            <w:tcBorders>
              <w:top w:val="nil" w:sz="6" w:space="0" w:color="auto"/>
              <w:left w:val="single" w:sz="6" w:space="0" w:color="000000"/>
              <w:bottom w:val="single" w:sz="12" w:space="0" w:color="000000"/>
              <w:right w:val="single" w:sz="6" w:space="0" w:color="000000"/>
            </w:tcBorders>
          </w:tcPr>
          <w:p>
            <w:pPr/>
          </w:p>
        </w:tc>
        <w:tc>
          <w:tcPr>
            <w:tcW w:w="851" w:type="dxa"/>
            <w:tcBorders>
              <w:top w:val="nil" w:sz="6" w:space="0" w:color="auto"/>
              <w:left w:val="single" w:sz="6" w:space="0" w:color="000000"/>
              <w:bottom w:val="single" w:sz="12" w:space="0" w:color="000000"/>
              <w:right w:val="single" w:sz="6" w:space="0" w:color="000000"/>
            </w:tcBorders>
          </w:tcPr>
          <w:p>
            <w:pPr/>
          </w:p>
        </w:tc>
        <w:tc>
          <w:tcPr>
            <w:tcW w:w="778" w:type="dxa"/>
            <w:tcBorders>
              <w:top w:val="nil" w:sz="6" w:space="0" w:color="auto"/>
              <w:left w:val="single" w:sz="6" w:space="0" w:color="000000"/>
              <w:bottom w:val="single" w:sz="12" w:space="0" w:color="000000"/>
              <w:right w:val="single" w:sz="12" w:space="0" w:color="000000"/>
            </w:tcBorders>
          </w:tcPr>
          <w:p>
            <w:pPr/>
          </w:p>
        </w:tc>
      </w:tr>
    </w:tbl>
    <w:p>
      <w:pPr>
        <w:spacing w:after="0"/>
        <w:sectPr>
          <w:pgSz w:w="11910" w:h="16840"/>
          <w:pgMar w:header="747" w:footer="1003" w:top="1040" w:bottom="120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08.159393pt;margin-top:73.5pt;width:145.1pt;height:249.6pt;mso-position-horizontal-relative:page;mso-position-vertical-relative:page;z-index:-6561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4"/>
                    <w:ind w:left="0" w:right="0" w:firstLine="0"/>
                    <w:jc w:val="left"/>
                    <w:rPr>
                      <w:rFonts w:ascii="宋体" w:hAnsi="宋体" w:cs="宋体" w:eastAsia="宋体" w:hint="default"/>
                      <w:sz w:val="18"/>
                      <w:szCs w:val="18"/>
                    </w:rPr>
                  </w:pPr>
                  <w:r>
                    <w:rPr>
                      <w:rFonts w:ascii="宋体" w:hAnsi="宋体" w:cs="宋体" w:eastAsia="宋体" w:hint="default"/>
                      <w:sz w:val="18"/>
                      <w:szCs w:val="18"/>
                    </w:rPr>
                    <w:t>承诺与保证将持续有效，</w:t>
                  </w:r>
                </w:p>
              </w:txbxContent>
            </v:textbox>
            <w10:wrap type="none"/>
          </v:shape>
        </w:pict>
      </w:r>
      <w:r>
        <w:rPr/>
        <w:pict>
          <v:shape style="position:absolute;margin-left:299.159393pt;margin-top:543pt;width:154.1pt;height:218.4pt;mso-position-horizontal-relative:page;mso-position-vertical-relative:page;z-index:-6561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4"/>
                    <w:ind w:left="0" w:right="0" w:firstLine="0"/>
                    <w:jc w:val="left"/>
                    <w:rPr>
                      <w:rFonts w:ascii="宋体" w:hAnsi="宋体" w:cs="宋体" w:eastAsia="宋体" w:hint="default"/>
                      <w:sz w:val="18"/>
                      <w:szCs w:val="18"/>
                    </w:rPr>
                  </w:pPr>
                  <w:r>
                    <w:rPr>
                      <w:rFonts w:ascii="宋体" w:hAnsi="宋体" w:cs="宋体" w:eastAsia="宋体" w:hint="default"/>
                      <w:sz w:val="18"/>
                      <w:szCs w:val="18"/>
                    </w:rPr>
                    <w:t>分红权均由实际股东行使。</w:t>
                  </w:r>
                </w:p>
              </w:txbxContent>
            </v:textbox>
            <w10:wrap type="none"/>
          </v:shape>
        </w:pict>
      </w:r>
      <w:r>
        <w:rPr/>
        <w:pict>
          <v:group style="position:absolute;margin-left:404.339996pt;margin-top:73.5pt;width:48.9pt;height:249.6pt;mso-position-horizontal-relative:page;mso-position-vertical-relative:page;z-index:-656128" coordorigin="8087,1470" coordsize="978,4992">
            <v:group style="position:absolute;left:8087;top:1470;width:978;height:4992" coordorigin="8087,1470" coordsize="978,4992">
              <v:shape style="position:absolute;left:8087;top:1470;width:978;height:4992" coordorigin="8087,1470" coordsize="978,4992" path="m8087,6462l9065,6462,9065,1470,8087,1470,8087,6462xe" filled="true" fillcolor="#ffffff" stroked="false">
                <v:path arrowok="t"/>
                <v:fill type="solid"/>
              </v:shape>
            </v:group>
            <v:group style="position:absolute;left:8108;top:3654;width:936;height:312" coordorigin="8108,3654" coordsize="936,312">
              <v:shape style="position:absolute;left:8108;top:3654;width:936;height:312" coordorigin="8108,3654" coordsize="936,312" path="m8108,3966l9044,3966,9044,3654,8108,3654,8108,3966xe" filled="true" fillcolor="#ffffff" stroked="false">
                <v:path arrowok="t"/>
                <v:fill type="solid"/>
              </v:shape>
            </v:group>
            <v:group style="position:absolute;left:8108;top:3966;width:936;height:312" coordorigin="8108,3966" coordsize="936,312">
              <v:shape style="position:absolute;left:8108;top:3966;width:936;height:312" coordorigin="8108,3966" coordsize="936,312" path="m8108,4278l9044,4278,9044,3966,8108,3966,8108,4278xe" filled="true" fillcolor="#ffffff" stroked="false">
                <v:path arrowok="t"/>
                <v:fill type="solid"/>
              </v:shape>
            </v:group>
            <w10:wrap type="none"/>
          </v:group>
        </w:pict>
      </w:r>
      <w:r>
        <w:rPr/>
        <w:pict>
          <v:group style="position:absolute;margin-left:404.339996pt;margin-top:543pt;width:48.9pt;height:218.4pt;mso-position-horizontal-relative:page;mso-position-vertical-relative:page;z-index:-656104" coordorigin="8087,10860" coordsize="978,4368">
            <v:group style="position:absolute;left:8087;top:10860;width:978;height:4368" coordorigin="8087,10860" coordsize="978,4368">
              <v:shape style="position:absolute;left:8087;top:10860;width:978;height:4368" coordorigin="8087,10860" coordsize="978,4368" path="m8087,15228l9065,15228,9065,10860,8087,10860,8087,15228xe" filled="true" fillcolor="#ffffff" stroked="false">
                <v:path arrowok="t"/>
                <v:fill type="solid"/>
              </v:shape>
            </v:group>
            <v:group style="position:absolute;left:8108;top:12732;width:936;height:312" coordorigin="8108,12732" coordsize="936,312">
              <v:shape style="position:absolute;left:8108;top:12732;width:936;height:312" coordorigin="8108,12732" coordsize="936,312" path="m8108,13044l9044,13044,9044,12732,8108,12732,8108,13044xe" filled="true" fillcolor="#ffffff" stroked="false">
                <v:path arrowok="t"/>
                <v:fill type="solid"/>
              </v:shape>
            </v:group>
            <v:group style="position:absolute;left:8108;top:13044;width:936;height:312" coordorigin="8108,13044" coordsize="936,312">
              <v:shape style="position:absolute;left:8108;top:13044;width:936;height:312" coordorigin="8108,13044" coordsize="936,312" path="m8108,13356l9044,13356,9044,13044,8108,13044,8108,13356xe" filled="true" fillcolor="#ffffff" stroked="false">
                <v:path arrowok="t"/>
                <v:fill type="solid"/>
              </v:shape>
            </v:group>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1844"/>
        <w:gridCol w:w="1418"/>
        <w:gridCol w:w="3684"/>
        <w:gridCol w:w="992"/>
        <w:gridCol w:w="851"/>
        <w:gridCol w:w="778"/>
      </w:tblGrid>
      <w:tr>
        <w:trPr>
          <w:trHeight w:val="327" w:hRule="exact"/>
        </w:trPr>
        <w:tc>
          <w:tcPr>
            <w:tcW w:w="1844" w:type="dxa"/>
            <w:vMerge w:val="restart"/>
            <w:tcBorders>
              <w:top w:val="single" w:sz="12" w:space="0" w:color="000000"/>
              <w:left w:val="single" w:sz="12" w:space="0" w:color="000000"/>
              <w:right w:val="single" w:sz="6" w:space="0" w:color="000000"/>
            </w:tcBorders>
          </w:tcPr>
          <w:p>
            <w:pPr/>
          </w:p>
        </w:tc>
        <w:tc>
          <w:tcPr>
            <w:tcW w:w="1418" w:type="dxa"/>
            <w:tcBorders>
              <w:top w:val="single" w:sz="12" w:space="0" w:color="000000"/>
              <w:left w:val="single" w:sz="6" w:space="0" w:color="000000"/>
              <w:bottom w:val="nil" w:sz="6" w:space="0" w:color="auto"/>
              <w:right w:val="single" w:sz="6" w:space="0" w:color="000000"/>
            </w:tcBorders>
          </w:tcPr>
          <w:p>
            <w:pPr/>
          </w:p>
        </w:tc>
        <w:tc>
          <w:tcPr>
            <w:tcW w:w="3684"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有关不占用资金的承诺：保证不利用控股股东/</w:t>
            </w:r>
          </w:p>
        </w:tc>
        <w:tc>
          <w:tcPr>
            <w:tcW w:w="992" w:type="dxa"/>
            <w:tcBorders>
              <w:top w:val="single" w:sz="12" w:space="0" w:color="000000"/>
              <w:left w:val="single" w:sz="6" w:space="0" w:color="000000"/>
              <w:bottom w:val="nil" w:sz="6" w:space="0" w:color="auto"/>
              <w:right w:val="single" w:sz="6" w:space="0" w:color="000000"/>
            </w:tcBorders>
          </w:tcPr>
          <w:p>
            <w:pPr/>
          </w:p>
        </w:tc>
        <w:tc>
          <w:tcPr>
            <w:tcW w:w="851" w:type="dxa"/>
            <w:tcBorders>
              <w:top w:val="single" w:sz="12" w:space="0" w:color="000000"/>
              <w:left w:val="single" w:sz="6" w:space="0" w:color="000000"/>
              <w:bottom w:val="nil" w:sz="6" w:space="0" w:color="auto"/>
              <w:right w:val="single" w:sz="6" w:space="0" w:color="000000"/>
            </w:tcBorders>
          </w:tcPr>
          <w:p>
            <w:pPr/>
          </w:p>
        </w:tc>
        <w:tc>
          <w:tcPr>
            <w:tcW w:w="778" w:type="dxa"/>
            <w:tcBorders>
              <w:top w:val="single" w:sz="12" w:space="0" w:color="000000"/>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实际控制人/实际控制人的一致行动人的地位</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54" w:right="0"/>
              <w:jc w:val="left"/>
              <w:rPr>
                <w:rFonts w:ascii="宋体" w:hAnsi="宋体" w:cs="宋体" w:eastAsia="宋体" w:hint="default"/>
                <w:sz w:val="18"/>
                <w:szCs w:val="18"/>
              </w:rPr>
            </w:pPr>
            <w:r>
              <w:rPr>
                <w:rFonts w:ascii="宋体" w:hAnsi="宋体" w:cs="宋体" w:eastAsia="宋体" w:hint="default"/>
                <w:sz w:val="18"/>
                <w:szCs w:val="18"/>
              </w:rPr>
              <w:t>，</w:t>
            </w: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以下列方式通过股份公司将资金直接或间接地</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提供给本公司/本人或本公司/本人所控制的其</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他企业使用</w:t>
            </w:r>
            <w:r>
              <w:rPr>
                <w:rFonts w:ascii="宋体" w:hAnsi="宋体" w:cs="宋体" w:eastAsia="宋体" w:hint="default"/>
                <w:spacing w:val="-90"/>
                <w:sz w:val="18"/>
                <w:szCs w:val="18"/>
              </w:rPr>
              <w:t>：</w:t>
            </w:r>
            <w:r>
              <w:rPr>
                <w:rFonts w:ascii="宋体" w:hAnsi="宋体" w:cs="宋体" w:eastAsia="宋体" w:hint="default"/>
                <w:sz w:val="18"/>
                <w:szCs w:val="18"/>
              </w:rPr>
              <w:t>（1）有偿或无偿拆借发行人的资</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金给本公司/本人或本公司/本人所控制的其他</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1248"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0" w:right="121"/>
              <w:jc w:val="left"/>
              <w:rPr>
                <w:rFonts w:ascii="宋体" w:hAnsi="宋体" w:cs="宋体" w:eastAsia="宋体" w:hint="default"/>
                <w:sz w:val="18"/>
                <w:szCs w:val="18"/>
              </w:rPr>
            </w:pPr>
            <w:r>
              <w:rPr>
                <w:rFonts w:ascii="宋体" w:hAnsi="宋体" w:cs="宋体" w:eastAsia="宋体" w:hint="default"/>
                <w:sz w:val="18"/>
                <w:szCs w:val="18"/>
              </w:rPr>
              <w:t>光一投资、龙昌 明、熊珂</w:t>
            </w: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0" w:right="18"/>
              <w:jc w:val="both"/>
              <w:rPr>
                <w:rFonts w:ascii="宋体" w:hAnsi="宋体" w:cs="宋体" w:eastAsia="宋体" w:hint="default"/>
                <w:sz w:val="18"/>
                <w:szCs w:val="18"/>
              </w:rPr>
            </w:pPr>
            <w:r>
              <w:rPr>
                <w:rFonts w:ascii="宋体" w:hAnsi="宋体" w:cs="宋体" w:eastAsia="宋体" w:hint="default"/>
                <w:spacing w:val="-5"/>
                <w:sz w:val="18"/>
                <w:szCs w:val="18"/>
              </w:rPr>
              <w:t>企业使用；（2）通过银行或非银行金融机构向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本公司/本人或本公司/本人所控制的其他企业 </w:t>
            </w:r>
            <w:r>
              <w:rPr>
                <w:rFonts w:ascii="宋体" w:hAnsi="宋体" w:cs="宋体" w:eastAsia="宋体" w:hint="default"/>
                <w:spacing w:val="-7"/>
                <w:sz w:val="18"/>
                <w:szCs w:val="18"/>
              </w:rPr>
              <w:t>提供委托贷款；（3）委托本公司/本人或本公司</w:t>
            </w:r>
          </w:p>
          <w:p>
            <w:pPr>
              <w:pStyle w:val="TableParagraph"/>
              <w:spacing w:line="240" w:lineRule="auto" w:before="19"/>
              <w:ind w:left="20" w:right="0"/>
              <w:jc w:val="both"/>
              <w:rPr>
                <w:rFonts w:ascii="宋体" w:hAnsi="宋体" w:cs="宋体" w:eastAsia="宋体" w:hint="default"/>
                <w:sz w:val="18"/>
                <w:szCs w:val="18"/>
              </w:rPr>
            </w:pPr>
            <w:r>
              <w:rPr>
                <w:rFonts w:ascii="宋体" w:hAnsi="宋体" w:cs="宋体" w:eastAsia="宋体" w:hint="default"/>
                <w:sz w:val="18"/>
                <w:szCs w:val="18"/>
              </w:rPr>
              <w:t>/本人所控制的其他企业进行投资活动</w:t>
            </w:r>
            <w:r>
              <w:rPr>
                <w:rFonts w:ascii="宋体" w:hAnsi="宋体" w:cs="宋体" w:eastAsia="宋体" w:hint="default"/>
                <w:spacing w:val="-120"/>
                <w:sz w:val="18"/>
                <w:szCs w:val="18"/>
              </w:rPr>
              <w:t>；</w:t>
            </w:r>
            <w:r>
              <w:rPr>
                <w:rFonts w:ascii="宋体" w:hAnsi="宋体" w:cs="宋体" w:eastAsia="宋体" w:hint="default"/>
                <w:sz w:val="18"/>
                <w:szCs w:val="18"/>
              </w:rPr>
              <w:t>（4</w:t>
            </w:r>
            <w:r>
              <w:rPr>
                <w:rFonts w:ascii="宋体" w:hAnsi="宋体" w:cs="宋体" w:eastAsia="宋体" w:hint="default"/>
                <w:spacing w:val="-32"/>
                <w:sz w:val="18"/>
                <w:szCs w:val="18"/>
              </w:rPr>
              <w:t>）</w:t>
            </w:r>
            <w:r>
              <w:rPr>
                <w:rFonts w:ascii="宋体" w:hAnsi="宋体" w:cs="宋体" w:eastAsia="宋体" w:hint="default"/>
                <w:sz w:val="18"/>
                <w:szCs w:val="18"/>
              </w:rPr>
              <w:t>为</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0" w:right="95"/>
              <w:jc w:val="both"/>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778" w:type="dxa"/>
            <w:tcBorders>
              <w:top w:val="nil" w:sz="6" w:space="0" w:color="auto"/>
              <w:left w:val="single" w:sz="6"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本公司/本人或本公司/本人所控制的其他企业</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开具没有真实交易背景的商业承兑汇票</w:t>
            </w:r>
            <w:r>
              <w:rPr>
                <w:rFonts w:ascii="宋体" w:hAnsi="宋体" w:cs="宋体" w:eastAsia="宋体" w:hint="default"/>
                <w:spacing w:val="-90"/>
                <w:sz w:val="18"/>
                <w:szCs w:val="18"/>
              </w:rPr>
              <w:t>；</w:t>
            </w:r>
            <w:r>
              <w:rPr>
                <w:rFonts w:ascii="宋体" w:hAnsi="宋体" w:cs="宋体" w:eastAsia="宋体" w:hint="default"/>
                <w:sz w:val="18"/>
                <w:szCs w:val="18"/>
              </w:rPr>
              <w:t>（5）</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代本公司/本人或本公司/本人所控制的其他企</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业偿还债务。本声明、</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直至本公司/本人不再对股份公司有重大影响</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9"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single" w:sz="6" w:space="0" w:color="000000"/>
              <w:right w:val="single" w:sz="6" w:space="0" w:color="000000"/>
            </w:tcBorders>
          </w:tcPr>
          <w:p>
            <w:pPr/>
          </w:p>
        </w:tc>
        <w:tc>
          <w:tcPr>
            <w:tcW w:w="368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为止。</w:t>
            </w:r>
          </w:p>
        </w:tc>
        <w:tc>
          <w:tcPr>
            <w:tcW w:w="992" w:type="dxa"/>
            <w:tcBorders>
              <w:top w:val="nil" w:sz="6" w:space="0" w:color="auto"/>
              <w:left w:val="single" w:sz="6" w:space="0" w:color="000000"/>
              <w:bottom w:val="single" w:sz="6" w:space="0" w:color="000000"/>
              <w:right w:val="single" w:sz="6" w:space="0" w:color="000000"/>
            </w:tcBorders>
          </w:tcPr>
          <w:p>
            <w:pPr/>
          </w:p>
        </w:tc>
        <w:tc>
          <w:tcPr>
            <w:tcW w:w="851"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12" w:space="0" w:color="000000"/>
            </w:tcBorders>
          </w:tcPr>
          <w:p>
            <w:pPr/>
          </w:p>
        </w:tc>
      </w:tr>
      <w:tr>
        <w:trPr>
          <w:trHeight w:val="319" w:hRule="exact"/>
        </w:trPr>
        <w:tc>
          <w:tcPr>
            <w:tcW w:w="1844" w:type="dxa"/>
            <w:vMerge/>
            <w:tcBorders>
              <w:left w:val="single" w:sz="12" w:space="0" w:color="000000"/>
              <w:right w:val="single" w:sz="6" w:space="0" w:color="000000"/>
            </w:tcBorders>
          </w:tcPr>
          <w:p>
            <w:pPr/>
          </w:p>
        </w:tc>
        <w:tc>
          <w:tcPr>
            <w:tcW w:w="1418" w:type="dxa"/>
            <w:tcBorders>
              <w:top w:val="single" w:sz="6" w:space="0" w:color="000000"/>
              <w:left w:val="single" w:sz="6" w:space="0" w:color="000000"/>
              <w:bottom w:val="nil" w:sz="6" w:space="0" w:color="auto"/>
              <w:right w:val="single" w:sz="6" w:space="0" w:color="000000"/>
            </w:tcBorders>
          </w:tcPr>
          <w:p>
            <w:pPr/>
          </w:p>
        </w:tc>
        <w:tc>
          <w:tcPr>
            <w:tcW w:w="368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有关社会保障缴纳的承诺：1、如果未来社保管</w:t>
            </w:r>
          </w:p>
        </w:tc>
        <w:tc>
          <w:tcPr>
            <w:tcW w:w="992" w:type="dxa"/>
            <w:tcBorders>
              <w:top w:val="single" w:sz="6" w:space="0" w:color="000000"/>
              <w:left w:val="single" w:sz="6" w:space="0" w:color="000000"/>
              <w:bottom w:val="nil" w:sz="6" w:space="0" w:color="auto"/>
              <w:right w:val="single" w:sz="6" w:space="0" w:color="000000"/>
            </w:tcBorders>
          </w:tcPr>
          <w:p>
            <w:pPr/>
          </w:p>
        </w:tc>
        <w:tc>
          <w:tcPr>
            <w:tcW w:w="851"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理机关、住房公积金管理机关要求光一科技补</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缴其于股票发行上市前应缴未缴的员工社保</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金、住房公积金的，则光一科技补缴社保金、</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住房公积金由光一投资及龙昌明先生共同全额</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1248"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光一投资</w:t>
            </w:r>
            <w:r>
              <w:rPr>
                <w:rFonts w:ascii="宋体" w:hAnsi="宋体" w:cs="宋体" w:eastAsia="宋体" w:hint="default"/>
                <w:spacing w:val="-78"/>
                <w:sz w:val="18"/>
                <w:szCs w:val="18"/>
              </w:rPr>
              <w:t>、</w:t>
            </w:r>
            <w:r>
              <w:rPr>
                <w:rFonts w:ascii="宋体" w:hAnsi="宋体" w:cs="宋体" w:eastAsia="宋体" w:hint="default"/>
                <w:sz w:val="18"/>
                <w:szCs w:val="18"/>
              </w:rPr>
              <w:t>龙昌明</w:t>
            </w: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0" w:right="47"/>
              <w:jc w:val="both"/>
              <w:rPr>
                <w:rFonts w:ascii="宋体" w:hAnsi="宋体" w:cs="宋体" w:eastAsia="宋体" w:hint="default"/>
                <w:sz w:val="18"/>
                <w:szCs w:val="18"/>
              </w:rPr>
            </w:pPr>
            <w:r>
              <w:rPr>
                <w:rFonts w:ascii="宋体" w:hAnsi="宋体" w:cs="宋体" w:eastAsia="宋体" w:hint="default"/>
                <w:sz w:val="18"/>
                <w:szCs w:val="18"/>
              </w:rPr>
              <w:t>补偿给光一科技；如果光一科技因此遭受行政 处罚、民事索赔的，有关罚金及赔偿金也由光 一投资及龙昌明共同全额补偿给光一科技。光 一投资及龙昌明对光一科技所负前述义务和责</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15日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0" w:right="95"/>
              <w:jc w:val="both"/>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778" w:type="dxa"/>
            <w:tcBorders>
              <w:top w:val="nil" w:sz="6" w:space="0" w:color="auto"/>
              <w:left w:val="single" w:sz="6"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任为共同不可区分的连带责任。2、本承诺函一</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经签署出具后，不得撤销、解除或终止。如有</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违反，光一科技及其他股东均有权依据本承诺</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函向有管辖权的法院起诉要求光一投资及龙昌</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9"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single" w:sz="6" w:space="0" w:color="000000"/>
              <w:right w:val="single" w:sz="6" w:space="0" w:color="000000"/>
            </w:tcBorders>
          </w:tcPr>
          <w:p>
            <w:pPr/>
          </w:p>
        </w:tc>
        <w:tc>
          <w:tcPr>
            <w:tcW w:w="368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明承担连带责任。</w:t>
            </w:r>
          </w:p>
        </w:tc>
        <w:tc>
          <w:tcPr>
            <w:tcW w:w="992" w:type="dxa"/>
            <w:tcBorders>
              <w:top w:val="nil" w:sz="6" w:space="0" w:color="auto"/>
              <w:left w:val="single" w:sz="6" w:space="0" w:color="000000"/>
              <w:bottom w:val="single" w:sz="6" w:space="0" w:color="000000"/>
              <w:right w:val="single" w:sz="6" w:space="0" w:color="000000"/>
            </w:tcBorders>
          </w:tcPr>
          <w:p>
            <w:pPr/>
          </w:p>
        </w:tc>
        <w:tc>
          <w:tcPr>
            <w:tcW w:w="851"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12" w:space="0" w:color="000000"/>
            </w:tcBorders>
          </w:tcPr>
          <w:p>
            <w:pPr/>
          </w:p>
        </w:tc>
      </w:tr>
      <w:tr>
        <w:trPr>
          <w:trHeight w:val="321" w:hRule="exact"/>
        </w:trPr>
        <w:tc>
          <w:tcPr>
            <w:tcW w:w="1844" w:type="dxa"/>
            <w:vMerge/>
            <w:tcBorders>
              <w:left w:val="single" w:sz="12" w:space="0" w:color="000000"/>
              <w:right w:val="single" w:sz="6" w:space="0" w:color="000000"/>
            </w:tcBorders>
          </w:tcPr>
          <w:p>
            <w:pPr/>
          </w:p>
        </w:tc>
        <w:tc>
          <w:tcPr>
            <w:tcW w:w="1418" w:type="dxa"/>
            <w:tcBorders>
              <w:top w:val="single" w:sz="6" w:space="0" w:color="000000"/>
              <w:left w:val="single" w:sz="6" w:space="0" w:color="000000"/>
              <w:bottom w:val="nil" w:sz="6" w:space="0" w:color="auto"/>
              <w:right w:val="single" w:sz="6" w:space="0" w:color="000000"/>
            </w:tcBorders>
          </w:tcPr>
          <w:p>
            <w:pPr/>
          </w:p>
        </w:tc>
        <w:tc>
          <w:tcPr>
            <w:tcW w:w="368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pacing w:val="-3"/>
                <w:sz w:val="18"/>
                <w:szCs w:val="18"/>
              </w:rPr>
              <w:t>关于光一电子股东权益的承诺：1、光一电子为</w:t>
            </w:r>
          </w:p>
        </w:tc>
        <w:tc>
          <w:tcPr>
            <w:tcW w:w="992" w:type="dxa"/>
            <w:tcBorders>
              <w:top w:val="single" w:sz="6" w:space="0" w:color="000000"/>
              <w:left w:val="single" w:sz="6" w:space="0" w:color="000000"/>
              <w:bottom w:val="nil" w:sz="6" w:space="0" w:color="auto"/>
              <w:right w:val="single" w:sz="6" w:space="0" w:color="000000"/>
            </w:tcBorders>
          </w:tcPr>
          <w:p>
            <w:pPr/>
          </w:p>
        </w:tc>
        <w:tc>
          <w:tcPr>
            <w:tcW w:w="851"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1996</w:t>
            </w:r>
            <w:r>
              <w:rPr>
                <w:rFonts w:ascii="宋体" w:hAnsi="宋体" w:cs="宋体" w:eastAsia="宋体" w:hint="default"/>
                <w:spacing w:val="-46"/>
                <w:sz w:val="18"/>
                <w:szCs w:val="18"/>
              </w:rPr>
              <w:t> </w:t>
            </w:r>
            <w:r>
              <w:rPr>
                <w:rFonts w:ascii="宋体" w:hAnsi="宋体" w:cs="宋体" w:eastAsia="宋体" w:hint="default"/>
                <w:sz w:val="18"/>
                <w:szCs w:val="18"/>
              </w:rPr>
              <w:t>年在江苏省工商行政管理局登记注册</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成立的有限公司。工商登记股东江苏中铃工贸</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有限公司及江苏锦泰投资咨询商务有限公司均</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为名义股东，光一电子注册资本实际由本人及</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1248"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0" w:right="47"/>
              <w:jc w:val="both"/>
              <w:rPr>
                <w:rFonts w:ascii="宋体" w:hAnsi="宋体" w:cs="宋体" w:eastAsia="宋体" w:hint="default"/>
                <w:sz w:val="18"/>
                <w:szCs w:val="18"/>
              </w:rPr>
            </w:pPr>
            <w:r>
              <w:rPr>
                <w:rFonts w:ascii="宋体" w:hAnsi="宋体" w:cs="宋体" w:eastAsia="宋体" w:hint="default"/>
                <w:sz w:val="18"/>
                <w:szCs w:val="18"/>
              </w:rPr>
              <w:t>葛兹俊等人认缴；本人及葛兹俊等人为光一电 子的实际股东。光一电子自设立后，其实际经 </w:t>
            </w:r>
            <w:r>
              <w:rPr>
                <w:rFonts w:ascii="宋体" w:hAnsi="宋体" w:cs="宋体" w:eastAsia="宋体" w:hint="default"/>
                <w:spacing w:val="-4"/>
                <w:sz w:val="18"/>
                <w:szCs w:val="18"/>
              </w:rPr>
              <w:t>营、管理和控制权、</w:t>
            </w:r>
          </w:p>
          <w:p>
            <w:pPr>
              <w:pStyle w:val="TableParagraph"/>
              <w:spacing w:line="240" w:lineRule="auto" w:before="19"/>
              <w:ind w:left="20" w:right="0"/>
              <w:jc w:val="both"/>
              <w:rPr>
                <w:rFonts w:ascii="宋体" w:hAnsi="宋体" w:cs="宋体" w:eastAsia="宋体" w:hint="default"/>
                <w:sz w:val="18"/>
                <w:szCs w:val="18"/>
              </w:rPr>
            </w:pPr>
            <w:r>
              <w:rPr>
                <w:rFonts w:ascii="宋体" w:hAnsi="宋体" w:cs="宋体" w:eastAsia="宋体" w:hint="default"/>
                <w:sz w:val="18"/>
                <w:szCs w:val="18"/>
              </w:rPr>
              <w:t>2、1999</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12</w:t>
            </w:r>
            <w:r>
              <w:rPr>
                <w:rFonts w:ascii="宋体" w:hAnsi="宋体" w:cs="宋体" w:eastAsia="宋体" w:hint="default"/>
                <w:spacing w:val="-51"/>
                <w:sz w:val="18"/>
                <w:szCs w:val="18"/>
              </w:rPr>
              <w:t> </w:t>
            </w:r>
            <w:r>
              <w:rPr>
                <w:rFonts w:ascii="宋体" w:hAnsi="宋体" w:cs="宋体" w:eastAsia="宋体" w:hint="default"/>
                <w:sz w:val="18"/>
                <w:szCs w:val="18"/>
              </w:rPr>
              <w:t>月，葛兹俊等人将其在光一电子</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28日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0" w:right="95"/>
              <w:jc w:val="both"/>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778" w:type="dxa"/>
            <w:tcBorders>
              <w:top w:val="nil" w:sz="6" w:space="0" w:color="auto"/>
              <w:left w:val="single" w:sz="6"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的股东权益全部转让给本人，至此，光一电子</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的全部股东权益均归属本人，不存在任何权属</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纠纷或潜在纠纷。3、对于光一电子全部股东权</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益归属本人所有目前已经取得名义股东江苏中</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27" w:hRule="exact"/>
        </w:trPr>
        <w:tc>
          <w:tcPr>
            <w:tcW w:w="1844" w:type="dxa"/>
            <w:vMerge/>
            <w:tcBorders>
              <w:left w:val="single" w:sz="12" w:space="0" w:color="000000"/>
              <w:bottom w:val="single" w:sz="12" w:space="0" w:color="000000"/>
              <w:right w:val="single" w:sz="6" w:space="0" w:color="000000"/>
            </w:tcBorders>
          </w:tcPr>
          <w:p>
            <w:pPr/>
          </w:p>
        </w:tc>
        <w:tc>
          <w:tcPr>
            <w:tcW w:w="1418" w:type="dxa"/>
            <w:tcBorders>
              <w:top w:val="nil" w:sz="6" w:space="0" w:color="auto"/>
              <w:left w:val="single" w:sz="6" w:space="0" w:color="000000"/>
              <w:bottom w:val="single" w:sz="12" w:space="0" w:color="000000"/>
              <w:right w:val="single" w:sz="6" w:space="0" w:color="000000"/>
            </w:tcBorders>
          </w:tcPr>
          <w:p>
            <w:pPr/>
          </w:p>
        </w:tc>
        <w:tc>
          <w:tcPr>
            <w:tcW w:w="368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铃工贸有限公司的实际控制人及法定代表人陈</w:t>
            </w:r>
          </w:p>
        </w:tc>
        <w:tc>
          <w:tcPr>
            <w:tcW w:w="992" w:type="dxa"/>
            <w:tcBorders>
              <w:top w:val="nil" w:sz="6" w:space="0" w:color="auto"/>
              <w:left w:val="single" w:sz="6" w:space="0" w:color="000000"/>
              <w:bottom w:val="single" w:sz="12" w:space="0" w:color="000000"/>
              <w:right w:val="single" w:sz="6" w:space="0" w:color="000000"/>
            </w:tcBorders>
          </w:tcPr>
          <w:p>
            <w:pPr/>
          </w:p>
        </w:tc>
        <w:tc>
          <w:tcPr>
            <w:tcW w:w="851" w:type="dxa"/>
            <w:tcBorders>
              <w:top w:val="nil" w:sz="6" w:space="0" w:color="auto"/>
              <w:left w:val="single" w:sz="6" w:space="0" w:color="000000"/>
              <w:bottom w:val="single" w:sz="12" w:space="0" w:color="000000"/>
              <w:right w:val="single" w:sz="6" w:space="0" w:color="000000"/>
            </w:tcBorders>
          </w:tcPr>
          <w:p>
            <w:pPr/>
          </w:p>
        </w:tc>
        <w:tc>
          <w:tcPr>
            <w:tcW w:w="778" w:type="dxa"/>
            <w:tcBorders>
              <w:top w:val="nil" w:sz="6" w:space="0" w:color="auto"/>
              <w:left w:val="single" w:sz="6" w:space="0" w:color="000000"/>
              <w:bottom w:val="single" w:sz="12" w:space="0" w:color="000000"/>
              <w:right w:val="single" w:sz="12" w:space="0" w:color="000000"/>
            </w:tcBorders>
          </w:tcPr>
          <w:p>
            <w:pPr/>
          </w:p>
        </w:tc>
      </w:tr>
    </w:tbl>
    <w:p>
      <w:pPr>
        <w:spacing w:after="0"/>
        <w:sectPr>
          <w:pgSz w:w="11910" w:h="16840"/>
          <w:pgMar w:header="747" w:footer="1003" w:top="1040" w:bottom="120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80.100006pt;margin-top:73.5pt;width:73.150pt;height:109.2pt;mso-position-horizontal-relative:page;mso-position-vertical-relative:page;z-index:-6560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准确、</w:t>
                  </w:r>
                </w:p>
              </w:txbxContent>
            </v:textbox>
            <w10:wrap type="none"/>
          </v:shape>
        </w:pict>
      </w:r>
      <w:r>
        <w:rPr/>
        <w:pict>
          <v:shape style="position:absolute;margin-left:281.100006pt;margin-top:324.600006pt;width:172.15pt;height:124.8pt;mso-position-horizontal-relative:page;mso-position-vertical-relative:page;z-index:-6560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如果需要加计滞纳金或罚款的，</w:t>
                  </w:r>
                </w:p>
              </w:txbxContent>
            </v:textbox>
            <w10:wrap type="none"/>
          </v:shape>
        </w:pict>
      </w:r>
      <w:r>
        <w:rPr/>
        <w:pict>
          <v:group style="position:absolute;margin-left:404.339996pt;margin-top:324.600006pt;width:48.9pt;height:124.8pt;mso-position-horizontal-relative:page;mso-position-vertical-relative:page;z-index:-656008" coordorigin="8087,6492" coordsize="978,2496">
            <v:group style="position:absolute;left:8087;top:6492;width:978;height:2496" coordorigin="8087,6492" coordsize="978,2496">
              <v:shape style="position:absolute;left:8087;top:6492;width:978;height:2496" coordorigin="8087,6492" coordsize="978,2496" path="m8087,8988l9065,8988,9065,6492,8087,6492,8087,8988xe" filled="true" fillcolor="#ffffff" stroked="false">
                <v:path arrowok="t"/>
                <v:fill type="solid"/>
              </v:shape>
            </v:group>
            <v:group style="position:absolute;left:8108;top:7428;width:936;height:312" coordorigin="8108,7428" coordsize="936,312">
              <v:shape style="position:absolute;left:8108;top:7428;width:936;height:312" coordorigin="8108,7428" coordsize="936,312" path="m8108,7740l9044,7740,9044,7428,8108,7428,8108,7740xe" filled="true" fillcolor="#ffffff" stroked="false">
                <v:path arrowok="t"/>
                <v:fill type="solid"/>
              </v:shape>
            </v:group>
            <v:group style="position:absolute;left:8108;top:7740;width:936;height:312" coordorigin="8108,7740" coordsize="936,312">
              <v:shape style="position:absolute;left:8108;top:7740;width:936;height:312" coordorigin="8108,7740" coordsize="936,312" path="m8108,8052l9044,8052,9044,7740,8108,7740,8108,8052xe" filled="true" fillcolor="#ffffff" stroked="false">
                <v:path arrowok="t"/>
                <v:fill type="solid"/>
              </v:shape>
            </v:group>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1844"/>
        <w:gridCol w:w="1418"/>
        <w:gridCol w:w="3684"/>
        <w:gridCol w:w="992"/>
        <w:gridCol w:w="851"/>
        <w:gridCol w:w="778"/>
      </w:tblGrid>
      <w:tr>
        <w:trPr>
          <w:trHeight w:val="327" w:hRule="exact"/>
        </w:trPr>
        <w:tc>
          <w:tcPr>
            <w:tcW w:w="1844" w:type="dxa"/>
            <w:vMerge w:val="restart"/>
            <w:tcBorders>
              <w:top w:val="single" w:sz="12" w:space="0" w:color="000000"/>
              <w:left w:val="single" w:sz="12" w:space="0" w:color="000000"/>
              <w:right w:val="single" w:sz="6" w:space="0" w:color="000000"/>
            </w:tcBorders>
          </w:tcPr>
          <w:p>
            <w:pPr/>
          </w:p>
        </w:tc>
        <w:tc>
          <w:tcPr>
            <w:tcW w:w="1418" w:type="dxa"/>
            <w:vMerge w:val="restart"/>
            <w:tcBorders>
              <w:top w:val="single" w:sz="12" w:space="0" w:color="000000"/>
              <w:left w:val="single" w:sz="6" w:space="0" w:color="000000"/>
              <w:right w:val="single" w:sz="6" w:space="0" w:color="000000"/>
            </w:tcBorders>
          </w:tcPr>
          <w:p>
            <w:pPr/>
          </w:p>
        </w:tc>
        <w:tc>
          <w:tcPr>
            <w:tcW w:w="3684"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亦伟先生及江苏锦泰投资咨询商务有限公司的</w:t>
            </w:r>
          </w:p>
        </w:tc>
        <w:tc>
          <w:tcPr>
            <w:tcW w:w="992" w:type="dxa"/>
            <w:vMerge w:val="restart"/>
            <w:tcBorders>
              <w:top w:val="single" w:sz="12" w:space="0" w:color="000000"/>
              <w:left w:val="single" w:sz="6" w:space="0" w:color="000000"/>
              <w:right w:val="single" w:sz="6" w:space="0" w:color="000000"/>
            </w:tcBorders>
          </w:tcPr>
          <w:p>
            <w:pPr>
              <w:pStyle w:val="TableParagraph"/>
              <w:spacing w:line="2184"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pict>
                <v:group style="width:48.9pt;height:109.2pt;mso-position-horizontal-relative:char;mso-position-vertical-relative:line" coordorigin="0,0" coordsize="978,2184">
                  <v:group style="position:absolute;left:0;top:0;width:978;height:2184" coordorigin="0,0" coordsize="978,2184">
                    <v:shape style="position:absolute;left:0;top:0;width:978;height:2184" coordorigin="0,0" coordsize="978,2184" path="m0,2184l978,2184,978,0,0,0,0,2184xe" filled="true" fillcolor="#ffffff" stroked="false">
                      <v:path arrowok="t"/>
                      <v:fill type="solid"/>
                    </v:shape>
                  </v:group>
                </v:group>
              </w:pict>
            </w:r>
            <w:r>
              <w:rPr>
                <w:rFonts w:ascii="Times New Roman" w:hAnsi="Times New Roman" w:cs="Times New Roman" w:eastAsia="Times New Roman" w:hint="default"/>
                <w:position w:val="-43"/>
                <w:sz w:val="20"/>
                <w:szCs w:val="20"/>
              </w:rPr>
            </w:r>
          </w:p>
        </w:tc>
        <w:tc>
          <w:tcPr>
            <w:tcW w:w="851" w:type="dxa"/>
            <w:vMerge w:val="restart"/>
            <w:tcBorders>
              <w:top w:val="single" w:sz="12" w:space="0" w:color="000000"/>
              <w:left w:val="single" w:sz="6" w:space="0" w:color="000000"/>
              <w:right w:val="single" w:sz="6" w:space="0" w:color="000000"/>
            </w:tcBorders>
          </w:tcPr>
          <w:p>
            <w:pPr/>
          </w:p>
        </w:tc>
        <w:tc>
          <w:tcPr>
            <w:tcW w:w="778" w:type="dxa"/>
            <w:vMerge w:val="restart"/>
            <w:tcBorders>
              <w:top w:val="single" w:sz="12" w:space="0" w:color="000000"/>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vMerge/>
            <w:tcBorders>
              <w:left w:val="single" w:sz="6" w:space="0" w:color="000000"/>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实际控制人王杏毓女士出具的书面文件确认。</w:t>
            </w:r>
          </w:p>
        </w:tc>
        <w:tc>
          <w:tcPr>
            <w:tcW w:w="992"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778"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vMerge/>
            <w:tcBorders>
              <w:left w:val="single" w:sz="6" w:space="0" w:color="000000"/>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6"/>
                <w:sz w:val="18"/>
                <w:szCs w:val="18"/>
              </w:rPr>
              <w:t>4、本人所作前述声明、承诺及保证真实、</w:t>
            </w:r>
          </w:p>
        </w:tc>
        <w:tc>
          <w:tcPr>
            <w:tcW w:w="992"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778"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vMerge/>
            <w:tcBorders>
              <w:left w:val="single" w:sz="6" w:space="0" w:color="000000"/>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完整，不存在虚假、误导或重大隐瞒；如有违</w:t>
            </w:r>
          </w:p>
        </w:tc>
        <w:tc>
          <w:tcPr>
            <w:tcW w:w="992"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778"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vMerge/>
            <w:tcBorders>
              <w:left w:val="single" w:sz="6" w:space="0" w:color="000000"/>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反，或因光一电子股东权益归属产生权属争议</w:t>
            </w:r>
          </w:p>
        </w:tc>
        <w:tc>
          <w:tcPr>
            <w:tcW w:w="992"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778"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vMerge/>
            <w:tcBorders>
              <w:left w:val="single" w:sz="6" w:space="0" w:color="000000"/>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或纠纷的，由此造成的法律、经济后果均由本</w:t>
            </w:r>
          </w:p>
        </w:tc>
        <w:tc>
          <w:tcPr>
            <w:tcW w:w="992"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778" w:type="dxa"/>
            <w:vMerge/>
            <w:tcBorders>
              <w:left w:val="single" w:sz="6" w:space="0" w:color="000000"/>
              <w:right w:val="single" w:sz="12" w:space="0" w:color="000000"/>
            </w:tcBorders>
          </w:tcPr>
          <w:p>
            <w:pPr/>
          </w:p>
        </w:tc>
      </w:tr>
      <w:tr>
        <w:trPr>
          <w:trHeight w:val="319" w:hRule="exact"/>
        </w:trPr>
        <w:tc>
          <w:tcPr>
            <w:tcW w:w="1844" w:type="dxa"/>
            <w:vMerge/>
            <w:tcBorders>
              <w:left w:val="single" w:sz="12"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368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人承担。</w:t>
            </w:r>
          </w:p>
        </w:tc>
        <w:tc>
          <w:tcPr>
            <w:tcW w:w="992" w:type="dxa"/>
            <w:vMerge/>
            <w:tcBorders>
              <w:left w:val="single" w:sz="6" w:space="0" w:color="000000"/>
              <w:bottom w:val="single" w:sz="6" w:space="0" w:color="000000"/>
              <w:right w:val="single" w:sz="6" w:space="0" w:color="000000"/>
            </w:tcBorders>
          </w:tcPr>
          <w:p>
            <w:pPr/>
          </w:p>
        </w:tc>
        <w:tc>
          <w:tcPr>
            <w:tcW w:w="851" w:type="dxa"/>
            <w:vMerge/>
            <w:tcBorders>
              <w:left w:val="single" w:sz="6" w:space="0" w:color="000000"/>
              <w:bottom w:val="single" w:sz="6" w:space="0" w:color="000000"/>
              <w:right w:val="single" w:sz="6" w:space="0" w:color="000000"/>
            </w:tcBorders>
          </w:tcPr>
          <w:p>
            <w:pPr/>
          </w:p>
        </w:tc>
        <w:tc>
          <w:tcPr>
            <w:tcW w:w="778" w:type="dxa"/>
            <w:vMerge/>
            <w:tcBorders>
              <w:left w:val="single" w:sz="6" w:space="0" w:color="000000"/>
              <w:bottom w:val="single" w:sz="6" w:space="0" w:color="000000"/>
              <w:right w:val="single" w:sz="12" w:space="0" w:color="000000"/>
            </w:tcBorders>
          </w:tcPr>
          <w:p>
            <w:pPr/>
          </w:p>
        </w:tc>
      </w:tr>
      <w:tr>
        <w:trPr>
          <w:trHeight w:val="319" w:hRule="exact"/>
        </w:trPr>
        <w:tc>
          <w:tcPr>
            <w:tcW w:w="1844" w:type="dxa"/>
            <w:vMerge/>
            <w:tcBorders>
              <w:left w:val="single" w:sz="12" w:space="0" w:color="000000"/>
              <w:right w:val="single" w:sz="6" w:space="0" w:color="000000"/>
            </w:tcBorders>
          </w:tcPr>
          <w:p>
            <w:pPr/>
          </w:p>
        </w:tc>
        <w:tc>
          <w:tcPr>
            <w:tcW w:w="1418" w:type="dxa"/>
            <w:tcBorders>
              <w:top w:val="single" w:sz="6" w:space="0" w:color="000000"/>
              <w:left w:val="single" w:sz="6" w:space="0" w:color="000000"/>
              <w:bottom w:val="nil" w:sz="6" w:space="0" w:color="auto"/>
              <w:right w:val="single" w:sz="6" w:space="0" w:color="000000"/>
            </w:tcBorders>
          </w:tcPr>
          <w:p>
            <w:pPr/>
          </w:p>
        </w:tc>
        <w:tc>
          <w:tcPr>
            <w:tcW w:w="368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关于光一有限无形资产出资的承诺：本人在此</w:t>
            </w:r>
          </w:p>
        </w:tc>
        <w:tc>
          <w:tcPr>
            <w:tcW w:w="992" w:type="dxa"/>
            <w:tcBorders>
              <w:top w:val="single" w:sz="6" w:space="0" w:color="000000"/>
              <w:left w:val="single" w:sz="6" w:space="0" w:color="000000"/>
              <w:bottom w:val="nil" w:sz="6" w:space="0" w:color="auto"/>
              <w:right w:val="single" w:sz="6" w:space="0" w:color="000000"/>
            </w:tcBorders>
          </w:tcPr>
          <w:p>
            <w:pPr/>
          </w:p>
        </w:tc>
        <w:tc>
          <w:tcPr>
            <w:tcW w:w="851"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郑重承诺，该项无形资产是本人在光一电子工</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作期间主持开发的，本人已经从光一电子购买</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936"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0"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0" w:right="47"/>
              <w:jc w:val="both"/>
              <w:rPr>
                <w:rFonts w:ascii="宋体" w:hAnsi="宋体" w:cs="宋体" w:eastAsia="宋体" w:hint="default"/>
                <w:sz w:val="18"/>
                <w:szCs w:val="18"/>
              </w:rPr>
            </w:pPr>
            <w:r>
              <w:rPr>
                <w:rFonts w:ascii="宋体" w:hAnsi="宋体" w:cs="宋体" w:eastAsia="宋体" w:hint="default"/>
                <w:sz w:val="18"/>
                <w:szCs w:val="18"/>
              </w:rPr>
              <w:t>了该项资产，在用该项无形资产向江苏光一科 技有限责任公司投资时，本人拥有该项资产的 所有权。本人购买的该项专有技术不存在与其</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15日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0" w:right="95"/>
              <w:jc w:val="both"/>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778" w:type="dxa"/>
            <w:tcBorders>
              <w:top w:val="nil" w:sz="6" w:space="0" w:color="auto"/>
              <w:left w:val="single" w:sz="6"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1"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他任何第三方之间的纠纷或者潜在纠纷。如因</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该项专有技术引起任何纠纷，本人愿意以个人</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9"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single" w:sz="6" w:space="0" w:color="000000"/>
              <w:right w:val="single" w:sz="6" w:space="0" w:color="000000"/>
            </w:tcBorders>
          </w:tcPr>
          <w:p>
            <w:pPr/>
          </w:p>
        </w:tc>
        <w:tc>
          <w:tcPr>
            <w:tcW w:w="368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财产承担全部责任。</w:t>
            </w:r>
          </w:p>
        </w:tc>
        <w:tc>
          <w:tcPr>
            <w:tcW w:w="992" w:type="dxa"/>
            <w:tcBorders>
              <w:top w:val="nil" w:sz="6" w:space="0" w:color="auto"/>
              <w:left w:val="single" w:sz="6" w:space="0" w:color="000000"/>
              <w:bottom w:val="single" w:sz="6" w:space="0" w:color="000000"/>
              <w:right w:val="single" w:sz="6" w:space="0" w:color="000000"/>
            </w:tcBorders>
          </w:tcPr>
          <w:p>
            <w:pPr/>
          </w:p>
        </w:tc>
        <w:tc>
          <w:tcPr>
            <w:tcW w:w="851"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12" w:space="0" w:color="000000"/>
            </w:tcBorders>
          </w:tcPr>
          <w:p>
            <w:pPr/>
          </w:p>
        </w:tc>
      </w:tr>
      <w:tr>
        <w:trPr>
          <w:trHeight w:val="321" w:hRule="exact"/>
        </w:trPr>
        <w:tc>
          <w:tcPr>
            <w:tcW w:w="1844" w:type="dxa"/>
            <w:vMerge/>
            <w:tcBorders>
              <w:left w:val="single" w:sz="12" w:space="0" w:color="000000"/>
              <w:right w:val="single" w:sz="6" w:space="0" w:color="000000"/>
            </w:tcBorders>
          </w:tcPr>
          <w:p>
            <w:pPr/>
          </w:p>
        </w:tc>
        <w:tc>
          <w:tcPr>
            <w:tcW w:w="1418" w:type="dxa"/>
            <w:tcBorders>
              <w:top w:val="single" w:sz="6" w:space="0" w:color="000000"/>
              <w:left w:val="single" w:sz="6" w:space="0" w:color="000000"/>
              <w:bottom w:val="nil" w:sz="6" w:space="0" w:color="auto"/>
              <w:right w:val="single" w:sz="6" w:space="0" w:color="000000"/>
            </w:tcBorders>
          </w:tcPr>
          <w:p>
            <w:pPr/>
          </w:p>
        </w:tc>
        <w:tc>
          <w:tcPr>
            <w:tcW w:w="368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60"/>
                <w:sz w:val="18"/>
                <w:szCs w:val="18"/>
              </w:rPr>
              <w:t> </w:t>
            </w:r>
            <w:r>
              <w:rPr>
                <w:rFonts w:ascii="宋体" w:hAnsi="宋体" w:cs="宋体" w:eastAsia="宋体" w:hint="default"/>
                <w:sz w:val="18"/>
                <w:szCs w:val="18"/>
              </w:rPr>
              <w:t>2009</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3</w:t>
            </w:r>
            <w:r>
              <w:rPr>
                <w:rFonts w:ascii="宋体" w:hAnsi="宋体" w:cs="宋体" w:eastAsia="宋体" w:hint="default"/>
                <w:spacing w:val="-62"/>
                <w:sz w:val="18"/>
                <w:szCs w:val="18"/>
              </w:rPr>
              <w:t> </w:t>
            </w:r>
            <w:r>
              <w:rPr>
                <w:rFonts w:ascii="宋体" w:hAnsi="宋体" w:cs="宋体" w:eastAsia="宋体" w:hint="default"/>
                <w:sz w:val="18"/>
                <w:szCs w:val="18"/>
              </w:rPr>
              <w:t>月光一有限股东将其持有的光一</w:t>
            </w:r>
          </w:p>
        </w:tc>
        <w:tc>
          <w:tcPr>
            <w:tcW w:w="992" w:type="dxa"/>
            <w:tcBorders>
              <w:top w:val="single" w:sz="6" w:space="0" w:color="000000"/>
              <w:left w:val="single" w:sz="6" w:space="0" w:color="000000"/>
              <w:bottom w:val="nil" w:sz="6" w:space="0" w:color="auto"/>
              <w:right w:val="single" w:sz="6" w:space="0" w:color="000000"/>
            </w:tcBorders>
          </w:tcPr>
          <w:p>
            <w:pPr/>
          </w:p>
        </w:tc>
        <w:tc>
          <w:tcPr>
            <w:tcW w:w="851"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有限的股权全部转让给光一投资所涉及的个人</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1248"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0" w:right="47"/>
              <w:jc w:val="both"/>
              <w:rPr>
                <w:rFonts w:ascii="宋体" w:hAnsi="宋体" w:cs="宋体" w:eastAsia="宋体" w:hint="default"/>
                <w:sz w:val="18"/>
                <w:szCs w:val="18"/>
              </w:rPr>
            </w:pPr>
            <w:r>
              <w:rPr>
                <w:rFonts w:ascii="宋体" w:hAnsi="宋体" w:cs="宋体" w:eastAsia="宋体" w:hint="default"/>
                <w:sz w:val="18"/>
                <w:szCs w:val="18"/>
              </w:rPr>
              <w:t>所得税问题，公司实际控制人龙昌明出具了承 诺：如果未来有关税收征管机关就本次股权转 让依据有关税法、规范性文件规定重新核定计 税依据而要求转让方补缴个人所得税的，则由</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27日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0" w:right="95"/>
              <w:jc w:val="both"/>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778" w:type="dxa"/>
            <w:tcBorders>
              <w:top w:val="nil" w:sz="6" w:space="0" w:color="auto"/>
              <w:left w:val="single" w:sz="6"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本人全额补缴。</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9"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single" w:sz="6" w:space="0" w:color="000000"/>
              <w:right w:val="single" w:sz="6" w:space="0" w:color="000000"/>
            </w:tcBorders>
          </w:tcPr>
          <w:p>
            <w:pPr/>
          </w:p>
        </w:tc>
        <w:tc>
          <w:tcPr>
            <w:tcW w:w="368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均由本人承担和缴纳。</w:t>
            </w:r>
          </w:p>
        </w:tc>
        <w:tc>
          <w:tcPr>
            <w:tcW w:w="992" w:type="dxa"/>
            <w:tcBorders>
              <w:top w:val="nil" w:sz="6" w:space="0" w:color="auto"/>
              <w:left w:val="single" w:sz="6" w:space="0" w:color="000000"/>
              <w:bottom w:val="single" w:sz="6" w:space="0" w:color="000000"/>
              <w:right w:val="single" w:sz="6" w:space="0" w:color="000000"/>
            </w:tcBorders>
          </w:tcPr>
          <w:p>
            <w:pPr/>
          </w:p>
        </w:tc>
        <w:tc>
          <w:tcPr>
            <w:tcW w:w="851"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12" w:space="0" w:color="000000"/>
            </w:tcBorders>
          </w:tcPr>
          <w:p>
            <w:pPr/>
          </w:p>
        </w:tc>
      </w:tr>
      <w:tr>
        <w:trPr>
          <w:trHeight w:val="319" w:hRule="exact"/>
        </w:trPr>
        <w:tc>
          <w:tcPr>
            <w:tcW w:w="1844" w:type="dxa"/>
            <w:vMerge/>
            <w:tcBorders>
              <w:left w:val="single" w:sz="12" w:space="0" w:color="000000"/>
              <w:right w:val="single" w:sz="6" w:space="0" w:color="000000"/>
            </w:tcBorders>
          </w:tcPr>
          <w:p>
            <w:pPr/>
          </w:p>
        </w:tc>
        <w:tc>
          <w:tcPr>
            <w:tcW w:w="1418" w:type="dxa"/>
            <w:tcBorders>
              <w:top w:val="single" w:sz="6" w:space="0" w:color="000000"/>
              <w:left w:val="single" w:sz="6" w:space="0" w:color="000000"/>
              <w:bottom w:val="nil" w:sz="6" w:space="0" w:color="auto"/>
              <w:right w:val="single" w:sz="6" w:space="0" w:color="000000"/>
            </w:tcBorders>
          </w:tcPr>
          <w:p>
            <w:pPr/>
          </w:p>
        </w:tc>
        <w:tc>
          <w:tcPr>
            <w:tcW w:w="368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发行前股东关于利润分配的承诺：1、股份公司</w:t>
            </w:r>
          </w:p>
        </w:tc>
        <w:tc>
          <w:tcPr>
            <w:tcW w:w="992" w:type="dxa"/>
            <w:tcBorders>
              <w:top w:val="single" w:sz="6" w:space="0" w:color="000000"/>
              <w:left w:val="single" w:sz="6" w:space="0" w:color="000000"/>
              <w:bottom w:val="nil" w:sz="6" w:space="0" w:color="auto"/>
              <w:right w:val="single" w:sz="6" w:space="0" w:color="000000"/>
            </w:tcBorders>
          </w:tcPr>
          <w:p>
            <w:pPr/>
          </w:p>
        </w:tc>
        <w:tc>
          <w:tcPr>
            <w:tcW w:w="851"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作为首次公开发行股票申报材料一部分报送中</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国证监会审核</w:t>
            </w:r>
            <w:r>
              <w:rPr>
                <w:rFonts w:ascii="宋体" w:hAnsi="宋体" w:cs="宋体" w:eastAsia="宋体" w:hint="default"/>
                <w:spacing w:val="-21"/>
                <w:sz w:val="18"/>
                <w:szCs w:val="18"/>
              </w:rPr>
              <w:t>的</w:t>
            </w:r>
            <w:r>
              <w:rPr>
                <w:rFonts w:ascii="宋体" w:hAnsi="宋体" w:cs="宋体" w:eastAsia="宋体" w:hint="default"/>
                <w:sz w:val="18"/>
                <w:szCs w:val="18"/>
              </w:rPr>
              <w:t>《公司章</w:t>
            </w:r>
            <w:r>
              <w:rPr>
                <w:rFonts w:ascii="宋体" w:hAnsi="宋体" w:cs="宋体" w:eastAsia="宋体" w:hint="default"/>
                <w:spacing w:val="-21"/>
                <w:sz w:val="18"/>
                <w:szCs w:val="18"/>
              </w:rPr>
              <w:t>程</w:t>
            </w:r>
            <w:r>
              <w:rPr>
                <w:rFonts w:ascii="宋体" w:hAnsi="宋体" w:cs="宋体" w:eastAsia="宋体" w:hint="default"/>
                <w:sz w:val="18"/>
                <w:szCs w:val="18"/>
              </w:rPr>
              <w:t>（草案</w:t>
            </w:r>
            <w:r>
              <w:rPr>
                <w:rFonts w:ascii="宋体" w:hAnsi="宋体" w:cs="宋体" w:eastAsia="宋体" w:hint="default"/>
                <w:spacing w:val="-90"/>
                <w:sz w:val="18"/>
                <w:szCs w:val="18"/>
              </w:rPr>
              <w:t>）</w:t>
            </w:r>
            <w:r>
              <w:rPr>
                <w:rFonts w:ascii="宋体" w:hAnsi="宋体" w:cs="宋体" w:eastAsia="宋体" w:hint="default"/>
                <w:spacing w:val="-21"/>
                <w:sz w:val="18"/>
                <w:szCs w:val="18"/>
              </w:rPr>
              <w:t>》</w:t>
            </w:r>
            <w:r>
              <w:rPr>
                <w:rFonts w:ascii="宋体" w:hAnsi="宋体" w:cs="宋体" w:eastAsia="宋体" w:hint="default"/>
                <w:sz w:val="18"/>
                <w:szCs w:val="18"/>
              </w:rPr>
              <w:t>已依法定</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程序取得了股份公司临时股东大会的有效决议</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6"/>
                <w:sz w:val="18"/>
                <w:szCs w:val="18"/>
              </w:rPr>
              <w:t>通过。股份公司董事会根据</w:t>
            </w:r>
            <w:r>
              <w:rPr>
                <w:rFonts w:ascii="宋体" w:hAnsi="宋体" w:cs="宋体" w:eastAsia="宋体" w:hint="default"/>
                <w:spacing w:val="-41"/>
                <w:sz w:val="18"/>
                <w:szCs w:val="18"/>
              </w:rPr>
              <w:t> </w:t>
            </w:r>
            <w:r>
              <w:rPr>
                <w:rFonts w:ascii="宋体" w:hAnsi="宋体" w:cs="宋体" w:eastAsia="宋体" w:hint="default"/>
                <w:sz w:val="18"/>
                <w:szCs w:val="18"/>
              </w:rPr>
              <w:t>2011</w:t>
            </w:r>
            <w:r>
              <w:rPr>
                <w:rFonts w:ascii="宋体" w:hAnsi="宋体" w:cs="宋体" w:eastAsia="宋体" w:hint="default"/>
                <w:spacing w:val="-41"/>
                <w:sz w:val="18"/>
                <w:szCs w:val="18"/>
              </w:rPr>
              <w:t> </w:t>
            </w:r>
            <w:r>
              <w:rPr>
                <w:rFonts w:ascii="宋体" w:hAnsi="宋体" w:cs="宋体" w:eastAsia="宋体" w:hint="default"/>
                <w:sz w:val="18"/>
                <w:szCs w:val="18"/>
              </w:rPr>
              <w:t>年第一次临时</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股东大会的授权修订了《公司章程（草案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完善和细化了股份公司未来的分红政策和决策</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机制，并于</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日召开第一届董事</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1248"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发行前股东</w:t>
            </w: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0" w:right="18"/>
              <w:jc w:val="both"/>
              <w:rPr>
                <w:rFonts w:ascii="宋体" w:hAnsi="宋体" w:cs="宋体" w:eastAsia="宋体" w:hint="default"/>
                <w:sz w:val="18"/>
                <w:szCs w:val="18"/>
              </w:rPr>
            </w:pPr>
            <w:r>
              <w:rPr>
                <w:rFonts w:ascii="宋体" w:hAnsi="宋体" w:cs="宋体" w:eastAsia="宋体" w:hint="default"/>
                <w:sz w:val="18"/>
                <w:szCs w:val="18"/>
              </w:rPr>
              <w:t>会第十四次会议决议通过该修订后的《公司章 </w:t>
            </w:r>
            <w:r>
              <w:rPr>
                <w:rFonts w:ascii="宋体" w:hAnsi="宋体" w:cs="宋体" w:eastAsia="宋体" w:hint="default"/>
                <w:spacing w:val="-12"/>
                <w:sz w:val="18"/>
                <w:szCs w:val="18"/>
              </w:rPr>
              <w:t>程（草案）》，程序合法、合规、有效。2、股份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公司首次公开发行股票经中国证监会核准后， </w:t>
            </w:r>
            <w:r>
              <w:rPr>
                <w:rFonts w:ascii="宋体" w:hAnsi="宋体" w:cs="宋体" w:eastAsia="宋体" w:hint="default"/>
                <w:spacing w:val="-8"/>
                <w:sz w:val="18"/>
                <w:szCs w:val="18"/>
              </w:rPr>
              <w:t>该修订后的《公司章程（草案）》经由董事会根</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27日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0" w:right="95"/>
              <w:jc w:val="both"/>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778" w:type="dxa"/>
            <w:tcBorders>
              <w:top w:val="nil" w:sz="6" w:space="0" w:color="auto"/>
              <w:left w:val="single" w:sz="6"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据首次公开发行股票情况补充有关注册资本、</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首次公开发行股票数、上市时间等内容后报送</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工商登记机关备案后立即生效和适用。如果未</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来股份公司董事会根据需要将该修订后的《公</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司章</w:t>
            </w:r>
            <w:r>
              <w:rPr>
                <w:rFonts w:ascii="宋体" w:hAnsi="宋体" w:cs="宋体" w:eastAsia="宋体" w:hint="default"/>
                <w:spacing w:val="-30"/>
                <w:sz w:val="18"/>
                <w:szCs w:val="18"/>
              </w:rPr>
              <w:t>程</w:t>
            </w:r>
            <w:r>
              <w:rPr>
                <w:rFonts w:ascii="宋体" w:hAnsi="宋体" w:cs="宋体" w:eastAsia="宋体" w:hint="default"/>
                <w:sz w:val="18"/>
                <w:szCs w:val="18"/>
              </w:rPr>
              <w:t>（草案</w:t>
            </w:r>
            <w:r>
              <w:rPr>
                <w:rFonts w:ascii="宋体" w:hAnsi="宋体" w:cs="宋体" w:eastAsia="宋体" w:hint="default"/>
                <w:spacing w:val="-90"/>
                <w:sz w:val="18"/>
                <w:szCs w:val="18"/>
              </w:rPr>
              <w:t>）</w:t>
            </w:r>
            <w:r>
              <w:rPr>
                <w:rFonts w:ascii="宋体" w:hAnsi="宋体" w:cs="宋体" w:eastAsia="宋体" w:hint="default"/>
                <w:spacing w:val="-30"/>
                <w:sz w:val="18"/>
                <w:szCs w:val="18"/>
              </w:rPr>
              <w:t>》</w:t>
            </w:r>
            <w:r>
              <w:rPr>
                <w:rFonts w:ascii="宋体" w:hAnsi="宋体" w:cs="宋体" w:eastAsia="宋体" w:hint="default"/>
                <w:sz w:val="18"/>
                <w:szCs w:val="18"/>
              </w:rPr>
              <w:t>提交股份公司股东大会或临时</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股东大会审议时，本股东对此不会提出任何异</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议，并将投赞成票。3、股份公司首次公开发行</w:t>
            </w:r>
          </w:p>
        </w:tc>
        <w:tc>
          <w:tcPr>
            <w:tcW w:w="992"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12" w:space="0" w:color="000000"/>
            </w:tcBorders>
          </w:tcPr>
          <w:p>
            <w:pPr/>
          </w:p>
        </w:tc>
      </w:tr>
      <w:tr>
        <w:trPr>
          <w:trHeight w:val="327" w:hRule="exact"/>
        </w:trPr>
        <w:tc>
          <w:tcPr>
            <w:tcW w:w="1844" w:type="dxa"/>
            <w:vMerge/>
            <w:tcBorders>
              <w:left w:val="single" w:sz="12" w:space="0" w:color="000000"/>
              <w:bottom w:val="single" w:sz="12" w:space="0" w:color="000000"/>
              <w:right w:val="single" w:sz="6" w:space="0" w:color="000000"/>
            </w:tcBorders>
          </w:tcPr>
          <w:p>
            <w:pPr/>
          </w:p>
        </w:tc>
        <w:tc>
          <w:tcPr>
            <w:tcW w:w="1418" w:type="dxa"/>
            <w:tcBorders>
              <w:top w:val="nil" w:sz="6" w:space="0" w:color="auto"/>
              <w:left w:val="single" w:sz="6" w:space="0" w:color="000000"/>
              <w:bottom w:val="single" w:sz="12" w:space="0" w:color="000000"/>
              <w:right w:val="single" w:sz="6" w:space="0" w:color="000000"/>
            </w:tcBorders>
          </w:tcPr>
          <w:p>
            <w:pPr/>
          </w:p>
        </w:tc>
        <w:tc>
          <w:tcPr>
            <w:tcW w:w="368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股票后，股东大会根据《公司章程》的规定通</w:t>
            </w:r>
          </w:p>
        </w:tc>
        <w:tc>
          <w:tcPr>
            <w:tcW w:w="992" w:type="dxa"/>
            <w:tcBorders>
              <w:top w:val="nil" w:sz="6" w:space="0" w:color="auto"/>
              <w:left w:val="single" w:sz="6" w:space="0" w:color="000000"/>
              <w:bottom w:val="single" w:sz="12" w:space="0" w:color="000000"/>
              <w:right w:val="single" w:sz="6" w:space="0" w:color="000000"/>
            </w:tcBorders>
          </w:tcPr>
          <w:p>
            <w:pPr/>
          </w:p>
        </w:tc>
        <w:tc>
          <w:tcPr>
            <w:tcW w:w="851" w:type="dxa"/>
            <w:tcBorders>
              <w:top w:val="nil" w:sz="6" w:space="0" w:color="auto"/>
              <w:left w:val="single" w:sz="6" w:space="0" w:color="000000"/>
              <w:bottom w:val="single" w:sz="12" w:space="0" w:color="000000"/>
              <w:right w:val="single" w:sz="6" w:space="0" w:color="000000"/>
            </w:tcBorders>
          </w:tcPr>
          <w:p>
            <w:pPr/>
          </w:p>
        </w:tc>
        <w:tc>
          <w:tcPr>
            <w:tcW w:w="778" w:type="dxa"/>
            <w:tcBorders>
              <w:top w:val="nil" w:sz="6" w:space="0" w:color="auto"/>
              <w:left w:val="single" w:sz="6" w:space="0" w:color="000000"/>
              <w:bottom w:val="single" w:sz="12" w:space="0" w:color="000000"/>
              <w:right w:val="single" w:sz="12" w:space="0" w:color="000000"/>
            </w:tcBorders>
          </w:tcPr>
          <w:p>
            <w:pPr/>
          </w:p>
        </w:tc>
      </w:tr>
    </w:tbl>
    <w:p>
      <w:pPr>
        <w:spacing w:after="0"/>
        <w:sectPr>
          <w:pgSz w:w="11910" w:h="16840"/>
          <w:pgMar w:header="747" w:footer="1003" w:top="1040" w:bottom="120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1844"/>
        <w:gridCol w:w="1418"/>
        <w:gridCol w:w="3684"/>
        <w:gridCol w:w="992"/>
        <w:gridCol w:w="851"/>
        <w:gridCol w:w="778"/>
      </w:tblGrid>
      <w:tr>
        <w:trPr>
          <w:trHeight w:val="1582" w:hRule="exact"/>
        </w:trPr>
        <w:tc>
          <w:tcPr>
            <w:tcW w:w="1844" w:type="dxa"/>
            <w:tcBorders>
              <w:top w:val="single" w:sz="12" w:space="0" w:color="000000"/>
              <w:left w:val="single" w:sz="12" w:space="0" w:color="000000"/>
              <w:bottom w:val="single" w:sz="6" w:space="0" w:color="000000"/>
              <w:right w:val="single" w:sz="6" w:space="0" w:color="000000"/>
            </w:tcBorders>
          </w:tcPr>
          <w:p>
            <w:pPr/>
          </w:p>
        </w:tc>
        <w:tc>
          <w:tcPr>
            <w:tcW w:w="1418" w:type="dxa"/>
            <w:tcBorders>
              <w:top w:val="single" w:sz="12" w:space="0" w:color="000000"/>
              <w:left w:val="single" w:sz="6" w:space="0" w:color="000000"/>
              <w:bottom w:val="single" w:sz="6" w:space="0" w:color="000000"/>
              <w:right w:val="single" w:sz="6" w:space="0" w:color="000000"/>
            </w:tcBorders>
          </w:tcPr>
          <w:p>
            <w:pPr/>
          </w:p>
        </w:tc>
        <w:tc>
          <w:tcPr>
            <w:tcW w:w="3684"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0"/>
              <w:ind w:left="20" w:right="18"/>
              <w:jc w:val="both"/>
              <w:rPr>
                <w:rFonts w:ascii="宋体" w:hAnsi="宋体" w:cs="宋体" w:eastAsia="宋体" w:hint="default"/>
                <w:sz w:val="18"/>
                <w:szCs w:val="18"/>
              </w:rPr>
            </w:pPr>
            <w:r>
              <w:rPr>
                <w:rFonts w:ascii="宋体" w:hAnsi="宋体" w:cs="宋体" w:eastAsia="宋体" w:hint="default"/>
                <w:sz w:val="18"/>
                <w:szCs w:val="18"/>
              </w:rPr>
              <w:t>过利润分配具体方案时，本股东表示同意并投 </w:t>
            </w:r>
            <w:r>
              <w:rPr>
                <w:rFonts w:ascii="宋体" w:hAnsi="宋体" w:cs="宋体" w:eastAsia="宋体" w:hint="default"/>
                <w:spacing w:val="-3"/>
                <w:sz w:val="18"/>
                <w:szCs w:val="18"/>
              </w:rPr>
              <w:t>赞成票。4、本函签署出具之日起，承诺股东不</w:t>
            </w:r>
            <w:r>
              <w:rPr>
                <w:rFonts w:ascii="宋体" w:hAnsi="宋体" w:cs="宋体" w:eastAsia="宋体" w:hint="default"/>
                <w:sz w:val="18"/>
                <w:szCs w:val="18"/>
              </w:rPr>
              <w:t> 得以任何理由撤回。如果违反本函所述承诺义 务的，违约者将对可能造成股份公司及其他股 东的损失承担全部赔偿责任。</w:t>
            </w:r>
          </w:p>
        </w:tc>
        <w:tc>
          <w:tcPr>
            <w:tcW w:w="992" w:type="dxa"/>
            <w:tcBorders>
              <w:top w:val="single" w:sz="12" w:space="0" w:color="000000"/>
              <w:left w:val="single" w:sz="6" w:space="0" w:color="000000"/>
              <w:bottom w:val="single" w:sz="6" w:space="0" w:color="000000"/>
              <w:right w:val="single" w:sz="6" w:space="0" w:color="000000"/>
            </w:tcBorders>
          </w:tcPr>
          <w:p>
            <w:pPr/>
          </w:p>
        </w:tc>
        <w:tc>
          <w:tcPr>
            <w:tcW w:w="851" w:type="dxa"/>
            <w:tcBorders>
              <w:top w:val="single" w:sz="12" w:space="0" w:color="000000"/>
              <w:left w:val="single" w:sz="6" w:space="0" w:color="000000"/>
              <w:bottom w:val="single" w:sz="6" w:space="0" w:color="000000"/>
              <w:right w:val="single" w:sz="6" w:space="0" w:color="000000"/>
            </w:tcBorders>
          </w:tcPr>
          <w:p>
            <w:pPr/>
          </w:p>
        </w:tc>
        <w:tc>
          <w:tcPr>
            <w:tcW w:w="778" w:type="dxa"/>
            <w:tcBorders>
              <w:top w:val="single" w:sz="12" w:space="0" w:color="000000"/>
              <w:left w:val="single" w:sz="6" w:space="0" w:color="000000"/>
              <w:bottom w:val="single" w:sz="6" w:space="0" w:color="000000"/>
              <w:right w:val="single" w:sz="12" w:space="0" w:color="000000"/>
            </w:tcBorders>
          </w:tcPr>
          <w:p>
            <w:pPr/>
          </w:p>
        </w:tc>
      </w:tr>
      <w:tr>
        <w:trPr>
          <w:trHeight w:val="638"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13" w:right="186"/>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418" w:type="dxa"/>
            <w:tcBorders>
              <w:top w:val="single" w:sz="6" w:space="0" w:color="000000"/>
              <w:left w:val="single" w:sz="6" w:space="0" w:color="000000"/>
              <w:bottom w:val="single" w:sz="6" w:space="0" w:color="000000"/>
              <w:right w:val="single" w:sz="6" w:space="0" w:color="000000"/>
            </w:tcBorders>
          </w:tcPr>
          <w:p>
            <w:pPr/>
          </w:p>
        </w:tc>
        <w:tc>
          <w:tcPr>
            <w:tcW w:w="3684"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1844"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724" w:type="dxa"/>
            <w:gridSpan w:val="5"/>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8" w:hRule="exact"/>
        </w:trPr>
        <w:tc>
          <w:tcPr>
            <w:tcW w:w="1844"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6" w:lineRule="auto" w:before="10"/>
              <w:ind w:left="13" w:right="186"/>
              <w:jc w:val="left"/>
              <w:rPr>
                <w:rFonts w:ascii="宋体" w:hAnsi="宋体" w:cs="宋体" w:eastAsia="宋体" w:hint="default"/>
                <w:sz w:val="18"/>
                <w:szCs w:val="18"/>
              </w:rPr>
            </w:pPr>
            <w:r>
              <w:rPr>
                <w:rFonts w:ascii="宋体" w:hAnsi="宋体" w:cs="宋体" w:eastAsia="宋体" w:hint="default"/>
                <w:sz w:val="18"/>
                <w:szCs w:val="18"/>
              </w:rPr>
              <w:t>未完成履行的具体原 因及下一步计划</w:t>
            </w:r>
          </w:p>
        </w:tc>
        <w:tc>
          <w:tcPr>
            <w:tcW w:w="7724" w:type="dxa"/>
            <w:gridSpan w:val="5"/>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952" w:hRule="exact"/>
        </w:trPr>
        <w:tc>
          <w:tcPr>
            <w:tcW w:w="1844"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6" w:lineRule="auto" w:before="11"/>
              <w:ind w:left="13" w:right="186"/>
              <w:jc w:val="both"/>
              <w:rPr>
                <w:rFonts w:ascii="宋体" w:hAnsi="宋体" w:cs="宋体" w:eastAsia="宋体" w:hint="default"/>
                <w:sz w:val="18"/>
                <w:szCs w:val="18"/>
              </w:rPr>
            </w:pPr>
            <w:r>
              <w:rPr>
                <w:rFonts w:ascii="宋体" w:hAnsi="宋体" w:cs="宋体" w:eastAsia="宋体" w:hint="default"/>
                <w:sz w:val="18"/>
                <w:szCs w:val="18"/>
              </w:rPr>
              <w:t>是否就导致的同业竞 争和关联交易问题作 出承诺</w:t>
            </w:r>
          </w:p>
        </w:tc>
        <w:tc>
          <w:tcPr>
            <w:tcW w:w="7724" w:type="dxa"/>
            <w:gridSpan w:val="5"/>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1844"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7724" w:type="dxa"/>
            <w:gridSpan w:val="5"/>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12" w:hRule="exact"/>
        </w:trPr>
        <w:tc>
          <w:tcPr>
            <w:tcW w:w="1844"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7724" w:type="dxa"/>
            <w:gridSpan w:val="5"/>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21" w:hRule="exact"/>
        </w:trPr>
        <w:tc>
          <w:tcPr>
            <w:tcW w:w="1844"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7724" w:type="dxa"/>
            <w:gridSpan w:val="5"/>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截止报告期末，承诺人均严格履行了上述承诺事项，未出现违反承诺的情况。</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ind w:right="132"/>
        <w:jc w:val="left"/>
        <w:rPr>
          <w:b w:val="0"/>
          <w:bCs w:val="0"/>
        </w:rPr>
      </w:pPr>
      <w:r>
        <w:rPr/>
        <w:t>五、聘任、解聘会计师事务所情况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132"/>
        <w:jc w:val="left"/>
      </w:pPr>
      <w:r>
        <w:rPr/>
        <w:t>现聘任的会计事务所</w:t>
      </w:r>
    </w:p>
    <w:p>
      <w:pPr>
        <w:spacing w:line="240" w:lineRule="auto" w:before="12"/>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3886"/>
        <w:gridCol w:w="5681"/>
      </w:tblGrid>
      <w:tr>
        <w:trPr>
          <w:trHeight w:val="399" w:hRule="exact"/>
        </w:trPr>
        <w:tc>
          <w:tcPr>
            <w:tcW w:w="3886" w:type="dxa"/>
            <w:tcBorders>
              <w:top w:val="single" w:sz="12" w:space="0" w:color="000000"/>
              <w:left w:val="single" w:sz="12" w:space="0" w:color="000000"/>
              <w:bottom w:val="single" w:sz="23" w:space="0" w:color="FFFFFF"/>
              <w:right w:val="single" w:sz="6" w:space="0" w:color="000000"/>
            </w:tcBorders>
            <w:shd w:val="clear" w:color="auto" w:fill="D3D3D3"/>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1" w:type="dxa"/>
            <w:tcBorders>
              <w:top w:val="single" w:sz="12" w:space="0" w:color="000000"/>
              <w:left w:val="single" w:sz="6" w:space="0" w:color="000000"/>
              <w:bottom w:val="single" w:sz="23" w:space="0" w:color="FFFFFF"/>
              <w:right w:val="single" w:sz="12"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上海众华沪银会计师事务所有限公司</w:t>
            </w:r>
          </w:p>
        </w:tc>
      </w:tr>
      <w:tr>
        <w:trPr>
          <w:trHeight w:val="412" w:hRule="exact"/>
        </w:trPr>
        <w:tc>
          <w:tcPr>
            <w:tcW w:w="3886" w:type="dxa"/>
            <w:tcBorders>
              <w:top w:val="single" w:sz="23" w:space="0" w:color="FFFFFF"/>
              <w:left w:val="single" w:sz="12" w:space="0" w:color="000000"/>
              <w:bottom w:val="single" w:sz="23" w:space="0" w:color="FFFFFF"/>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1" w:type="dxa"/>
            <w:tcBorders>
              <w:top w:val="single" w:sz="23" w:space="0" w:color="FFFFFF"/>
              <w:left w:val="single" w:sz="6" w:space="0" w:color="000000"/>
              <w:bottom w:val="single" w:sz="23" w:space="0" w:color="FFFFFF"/>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sz w:val="18"/>
              </w:rPr>
              <w:t>33</w:t>
            </w:r>
          </w:p>
        </w:tc>
      </w:tr>
      <w:tr>
        <w:trPr>
          <w:trHeight w:val="412" w:hRule="exact"/>
        </w:trPr>
        <w:tc>
          <w:tcPr>
            <w:tcW w:w="3886" w:type="dxa"/>
            <w:tcBorders>
              <w:top w:val="single" w:sz="23" w:space="0" w:color="FFFFFF"/>
              <w:left w:val="single" w:sz="12" w:space="0" w:color="000000"/>
              <w:bottom w:val="single" w:sz="23" w:space="0" w:color="FFFFFF"/>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1" w:type="dxa"/>
            <w:tcBorders>
              <w:top w:val="single" w:sz="23" w:space="0" w:color="FFFFFF"/>
              <w:left w:val="single" w:sz="6" w:space="0" w:color="000000"/>
              <w:bottom w:val="single" w:sz="23" w:space="0" w:color="FFFFFF"/>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sz w:val="18"/>
              </w:rPr>
              <w:t>1</w:t>
            </w:r>
          </w:p>
        </w:tc>
      </w:tr>
      <w:tr>
        <w:trPr>
          <w:trHeight w:val="441" w:hRule="exact"/>
        </w:trPr>
        <w:tc>
          <w:tcPr>
            <w:tcW w:w="3886" w:type="dxa"/>
            <w:tcBorders>
              <w:top w:val="single" w:sz="23" w:space="0" w:color="FFFFFF"/>
              <w:left w:val="single" w:sz="12" w:space="0" w:color="000000"/>
              <w:bottom w:val="single" w:sz="12" w:space="0" w:color="000000"/>
              <w:right w:val="single" w:sz="6" w:space="0" w:color="000000"/>
            </w:tcBorders>
            <w:shd w:val="clear" w:color="auto" w:fill="D3D3D3"/>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1" w:type="dxa"/>
            <w:tcBorders>
              <w:top w:val="single" w:sz="23" w:space="0" w:color="FFFFFF"/>
              <w:left w:val="single" w:sz="6" w:space="0" w:color="000000"/>
              <w:bottom w:val="single" w:sz="12" w:space="0" w:color="000000"/>
              <w:right w:val="single" w:sz="12"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梁烽、凌松梅</w:t>
            </w:r>
          </w:p>
        </w:tc>
      </w:tr>
    </w:tbl>
    <w:p>
      <w:pPr>
        <w:pStyle w:val="BodyText"/>
        <w:spacing w:line="240" w:lineRule="auto" w:before="63"/>
        <w:ind w:right="132"/>
        <w:jc w:val="left"/>
      </w:pPr>
      <w:r>
        <w:rPr/>
        <w:t>是否改聘会计师事务所</w:t>
      </w:r>
    </w:p>
    <w:p>
      <w:pPr>
        <w:spacing w:line="240" w:lineRule="auto" w:before="10"/>
        <w:rPr>
          <w:rFonts w:ascii="宋体" w:hAnsi="宋体" w:cs="宋体" w:eastAsia="宋体" w:hint="default"/>
          <w:sz w:val="14"/>
          <w:szCs w:val="14"/>
        </w:rPr>
      </w:pPr>
    </w:p>
    <w:p>
      <w:pPr>
        <w:pStyle w:val="BodyText"/>
        <w:spacing w:line="408" w:lineRule="auto"/>
        <w:ind w:right="7880"/>
        <w:jc w:val="left"/>
      </w:pPr>
      <w:r>
        <w:rPr/>
        <w:t>√ 是 □</w:t>
      </w:r>
      <w:r>
        <w:rPr>
          <w:spacing w:val="-1"/>
        </w:rPr>
        <w:t> </w:t>
      </w:r>
      <w:r>
        <w:rPr/>
        <w:t>否</w:t>
      </w:r>
      <w:r>
        <w:rPr/>
        <w:t> 原聘任的会计事务所</w:t>
      </w:r>
    </w:p>
    <w:tbl>
      <w:tblPr>
        <w:tblW w:w="0" w:type="auto"/>
        <w:jc w:val="left"/>
        <w:tblInd w:w="138" w:type="dxa"/>
        <w:tblLayout w:type="fixed"/>
        <w:tblCellMar>
          <w:top w:w="0" w:type="dxa"/>
          <w:left w:w="0" w:type="dxa"/>
          <w:bottom w:w="0" w:type="dxa"/>
          <w:right w:w="0" w:type="dxa"/>
        </w:tblCellMar>
        <w:tblLook w:val="01E0"/>
      </w:tblPr>
      <w:tblGrid>
        <w:gridCol w:w="3886"/>
        <w:gridCol w:w="5681"/>
      </w:tblGrid>
      <w:tr>
        <w:trPr>
          <w:trHeight w:val="415" w:hRule="exact"/>
        </w:trPr>
        <w:tc>
          <w:tcPr>
            <w:tcW w:w="3886"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34"/>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4"/>
              <w:ind w:left="21" w:right="0"/>
              <w:jc w:val="left"/>
              <w:rPr>
                <w:rFonts w:ascii="宋体" w:hAnsi="宋体" w:cs="宋体" w:eastAsia="宋体" w:hint="default"/>
                <w:sz w:val="18"/>
                <w:szCs w:val="18"/>
              </w:rPr>
            </w:pPr>
            <w:r>
              <w:rPr>
                <w:rFonts w:ascii="宋体" w:hAnsi="宋体" w:cs="宋体" w:eastAsia="宋体" w:hint="default"/>
                <w:sz w:val="18"/>
                <w:szCs w:val="18"/>
              </w:rPr>
              <w:t>深圳市鹏城会计师事务所有限公司</w:t>
            </w:r>
          </w:p>
        </w:tc>
      </w:tr>
      <w:tr>
        <w:trPr>
          <w:trHeight w:val="407" w:hRule="exact"/>
        </w:trPr>
        <w:tc>
          <w:tcPr>
            <w:tcW w:w="3886"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34"/>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left="21" w:right="0"/>
              <w:jc w:val="left"/>
              <w:rPr>
                <w:rFonts w:ascii="宋体" w:hAnsi="宋体" w:cs="宋体" w:eastAsia="宋体" w:hint="default"/>
                <w:sz w:val="18"/>
                <w:szCs w:val="18"/>
              </w:rPr>
            </w:pPr>
            <w:r>
              <w:rPr>
                <w:rFonts w:ascii="宋体"/>
                <w:sz w:val="18"/>
              </w:rPr>
              <w:t>15</w:t>
            </w:r>
          </w:p>
        </w:tc>
      </w:tr>
      <w:tr>
        <w:trPr>
          <w:trHeight w:val="407" w:hRule="exact"/>
        </w:trPr>
        <w:tc>
          <w:tcPr>
            <w:tcW w:w="3886"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34"/>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left="21" w:right="0"/>
              <w:jc w:val="left"/>
              <w:rPr>
                <w:rFonts w:ascii="宋体" w:hAnsi="宋体" w:cs="宋体" w:eastAsia="宋体" w:hint="default"/>
                <w:sz w:val="18"/>
                <w:szCs w:val="18"/>
              </w:rPr>
            </w:pPr>
            <w:r>
              <w:rPr>
                <w:rFonts w:ascii="宋体"/>
                <w:sz w:val="18"/>
              </w:rPr>
              <w:t>4</w:t>
            </w:r>
          </w:p>
        </w:tc>
      </w:tr>
      <w:tr>
        <w:trPr>
          <w:trHeight w:val="414" w:hRule="exact"/>
        </w:trPr>
        <w:tc>
          <w:tcPr>
            <w:tcW w:w="3886"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35"/>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left="21" w:right="0"/>
              <w:jc w:val="left"/>
              <w:rPr>
                <w:rFonts w:ascii="宋体" w:hAnsi="宋体" w:cs="宋体" w:eastAsia="宋体" w:hint="default"/>
                <w:sz w:val="18"/>
                <w:szCs w:val="18"/>
              </w:rPr>
            </w:pPr>
            <w:r>
              <w:rPr>
                <w:rFonts w:ascii="宋体" w:hAnsi="宋体" w:cs="宋体" w:eastAsia="宋体" w:hint="default"/>
                <w:sz w:val="18"/>
                <w:szCs w:val="18"/>
              </w:rPr>
              <w:t>梁烽、凌松梅</w:t>
            </w:r>
          </w:p>
        </w:tc>
      </w:tr>
    </w:tbl>
    <w:p>
      <w:pPr>
        <w:pStyle w:val="Heading3"/>
        <w:spacing w:line="240" w:lineRule="auto" w:before="23"/>
        <w:ind w:left="154" w:right="132"/>
        <w:jc w:val="left"/>
      </w:pPr>
      <w:r>
        <w:rPr/>
        <w:t>是否在审计期间改聘会计师事务所</w:t>
      </w:r>
    </w:p>
    <w:p>
      <w:pPr>
        <w:pStyle w:val="Heading3"/>
        <w:spacing w:line="357" w:lineRule="auto" w:before="154"/>
        <w:ind w:left="154" w:right="5930"/>
        <w:jc w:val="left"/>
      </w:pPr>
      <w:r>
        <w:rPr/>
        <w:t>□ 是 √ 否 更换会计师事务所是否履行审批程序</w:t>
      </w:r>
    </w:p>
    <w:p>
      <w:pPr>
        <w:pStyle w:val="Heading3"/>
        <w:spacing w:line="357" w:lineRule="auto"/>
        <w:ind w:left="154" w:right="6170"/>
        <w:jc w:val="left"/>
      </w:pPr>
      <w:r>
        <w:rPr/>
        <w:t>√ 是 □ 否 聘任、解聘会计师事务所情况说明</w:t>
      </w:r>
    </w:p>
    <w:p>
      <w:pPr>
        <w:spacing w:after="0" w:line="357" w:lineRule="auto"/>
        <w:jc w:val="left"/>
        <w:sectPr>
          <w:pgSz w:w="11910" w:h="16840"/>
          <w:pgMar w:header="747" w:footer="1003" w:top="1040" w:bottom="1200" w:left="980" w:right="980"/>
        </w:sectPr>
      </w:pPr>
    </w:p>
    <w:p>
      <w:pPr>
        <w:spacing w:line="240" w:lineRule="auto" w:before="0"/>
        <w:rPr>
          <w:rFonts w:ascii="宋体" w:hAnsi="宋体" w:cs="宋体" w:eastAsia="宋体" w:hint="default"/>
          <w:sz w:val="20"/>
          <w:szCs w:val="20"/>
        </w:rPr>
      </w:pPr>
    </w:p>
    <w:p>
      <w:pPr>
        <w:pStyle w:val="Heading3"/>
        <w:spacing w:line="357" w:lineRule="auto" w:before="161"/>
        <w:ind w:right="0" w:firstLine="480"/>
        <w:jc w:val="left"/>
      </w:pPr>
      <w:r>
        <w:rPr/>
        <w:t>报告期内，公司原聘任会计师事务所深圳鹏城会计师事务所属的审计一部与现聘任会计</w:t>
      </w:r>
      <w:r>
        <w:rPr>
          <w:spacing w:val="1"/>
        </w:rPr>
        <w:t> </w:t>
      </w:r>
      <w:r>
        <w:rPr/>
        <w:t>师事务所上海众华沪银会计师事务所实施合并，合并后原深圳市鹏城会计师事务所有限公司</w:t>
      </w:r>
      <w:r>
        <w:rPr>
          <w:spacing w:val="-83"/>
        </w:rPr>
        <w:t> </w:t>
      </w:r>
      <w:r>
        <w:rPr>
          <w:spacing w:val="-83"/>
        </w:rPr>
      </w:r>
      <w:r>
        <w:rPr/>
        <w:t>审计一部的所有审计、验资等法定业务及其他业务均转由现上海众华沪银会计师事务所继续</w:t>
      </w:r>
      <w:r>
        <w:rPr>
          <w:spacing w:val="-83"/>
        </w:rPr>
        <w:t> </w:t>
      </w:r>
      <w:r>
        <w:rPr>
          <w:spacing w:val="-83"/>
        </w:rPr>
      </w:r>
      <w:r>
        <w:rPr/>
        <w:t>承办，签字注册会计师不变，仍为梁烽和凌松梅。公司分别于2012年8月6日召开第一届董事</w:t>
      </w:r>
      <w:r>
        <w:rPr>
          <w:spacing w:val="-98"/>
        </w:rPr>
        <w:t> </w:t>
      </w:r>
      <w:r>
        <w:rPr>
          <w:spacing w:val="-98"/>
        </w:rPr>
      </w:r>
      <w:r>
        <w:rPr/>
        <w:t>会第十八次会议和2012年8月21日召开2012年第二次临时股东大会审议通过了《关于更换会计</w:t>
      </w:r>
      <w:r>
        <w:rPr/>
        <w:t> 师事务所的议案》，同意公司将首次公开发行股票并在创业板上市之申报会计师更换为上海</w:t>
      </w:r>
      <w:r>
        <w:rPr>
          <w:spacing w:val="-83"/>
        </w:rPr>
        <w:t> </w:t>
      </w:r>
      <w:r>
        <w:rPr>
          <w:spacing w:val="-83"/>
        </w:rPr>
      </w:r>
      <w:r>
        <w:rPr/>
        <w:t>众华沪银会计师事务所并聘请上海众华沪银会计师事务所作为公司2012年度的外部审计机构。</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Heading2"/>
        <w:spacing w:line="240" w:lineRule="auto" w:before="0"/>
        <w:ind w:left="153" w:right="333"/>
        <w:jc w:val="left"/>
        <w:rPr>
          <w:b w:val="0"/>
          <w:bCs w:val="0"/>
        </w:rPr>
      </w:pPr>
      <w:r>
        <w:rPr/>
        <w:t>六、上市公司及其董事、监事、高级管理人员、公司股东、实际控制人和收购人处罚及整改</w:t>
      </w:r>
      <w:r>
        <w:rPr>
          <w:spacing w:val="1"/>
          <w:w w:val="99"/>
        </w:rPr>
        <w:t> </w:t>
      </w:r>
      <w:r>
        <w:rPr/>
        <w:t>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3880"/>
        <w:jc w:val="left"/>
      </w:pPr>
      <w:r>
        <w:rPr/>
        <w:t>□ 适用 √</w:t>
      </w:r>
      <w:r>
        <w:rPr>
          <w:spacing w:val="-2"/>
        </w:rPr>
        <w:t> </w:t>
      </w:r>
      <w:r>
        <w:rPr/>
        <w:t>不适用</w:t>
      </w:r>
      <w:r>
        <w:rPr/>
        <w:t> 上市公司及其子公司是否被列入环保部门公布的污染严重企业名单</w:t>
      </w:r>
    </w:p>
    <w:p>
      <w:pPr>
        <w:pStyle w:val="BodyText"/>
        <w:spacing w:line="408" w:lineRule="auto" w:before="46"/>
        <w:ind w:right="5140"/>
        <w:jc w:val="left"/>
      </w:pPr>
      <w:r>
        <w:rPr/>
        <w:t>□ 是 √</w:t>
      </w:r>
      <w:r>
        <w:rPr>
          <w:spacing w:val="-1"/>
        </w:rPr>
        <w:t> </w:t>
      </w:r>
      <w:r>
        <w:rPr/>
        <w:t>否</w:t>
      </w:r>
      <w:r>
        <w:rPr/>
        <w:t> 上市公司及其子公司是否存在其他重大社会安全问题</w:t>
      </w:r>
    </w:p>
    <w:p>
      <w:pPr>
        <w:pStyle w:val="BodyText"/>
        <w:spacing w:line="408" w:lineRule="auto" w:before="46"/>
        <w:ind w:right="7660"/>
        <w:jc w:val="left"/>
      </w:pPr>
      <w:r>
        <w:rPr/>
        <w:t>□ 是 √</w:t>
      </w:r>
      <w:r>
        <w:rPr>
          <w:spacing w:val="-1"/>
        </w:rPr>
        <w:t> </w:t>
      </w:r>
      <w:r>
        <w:rPr/>
        <w:t>否</w:t>
      </w:r>
      <w:r>
        <w:rPr/>
        <w:t> 报告期内是否被行政处罚</w:t>
      </w:r>
    </w:p>
    <w:p>
      <w:pPr>
        <w:pStyle w:val="BodyText"/>
        <w:spacing w:line="240" w:lineRule="auto" w:before="46"/>
        <w:ind w:right="427"/>
        <w:jc w:val="left"/>
      </w:pPr>
      <w:r>
        <w:rPr/>
        <w:t>□ 是 √</w:t>
      </w:r>
      <w:r>
        <w:rPr>
          <w:spacing w:val="-1"/>
        </w:rPr>
        <w:t> </w:t>
      </w:r>
      <w:r>
        <w:rPr/>
        <w:t>否</w:t>
      </w:r>
    </w:p>
    <w:p>
      <w:pPr>
        <w:spacing w:line="240" w:lineRule="auto" w:before="0"/>
        <w:rPr>
          <w:rFonts w:ascii="宋体" w:hAnsi="宋体" w:cs="宋体" w:eastAsia="宋体" w:hint="default"/>
          <w:sz w:val="20"/>
          <w:szCs w:val="20"/>
        </w:rPr>
      </w:pPr>
    </w:p>
    <w:p>
      <w:pPr>
        <w:pStyle w:val="Heading2"/>
        <w:spacing w:line="240" w:lineRule="auto" w:before="131"/>
        <w:ind w:right="427"/>
        <w:jc w:val="left"/>
        <w:rPr>
          <w:b w:val="0"/>
          <w:bCs w:val="0"/>
        </w:rPr>
      </w:pPr>
      <w:r>
        <w:rPr/>
        <w:t>七、公司股东及其一致行动人在报告期提出或实施股份增持计划的情况</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right="427"/>
        <w:jc w:val="left"/>
      </w:pPr>
      <w:r>
        <w:rPr/>
        <w:t>□ 适用 √</w:t>
      </w:r>
      <w:r>
        <w:rPr>
          <w:spacing w:val="-2"/>
        </w:rPr>
        <w:t> </w:t>
      </w:r>
      <w:r>
        <w:rPr/>
        <w:t>不适用</w:t>
      </w:r>
    </w:p>
    <w:p>
      <w:pPr>
        <w:spacing w:line="240" w:lineRule="auto" w:before="0"/>
        <w:rPr>
          <w:rFonts w:ascii="宋体" w:hAnsi="宋体" w:cs="宋体" w:eastAsia="宋体" w:hint="default"/>
          <w:sz w:val="20"/>
          <w:szCs w:val="20"/>
        </w:rPr>
      </w:pPr>
    </w:p>
    <w:p>
      <w:pPr>
        <w:pStyle w:val="Heading2"/>
        <w:spacing w:line="240" w:lineRule="auto" w:before="131"/>
        <w:ind w:right="427"/>
        <w:jc w:val="left"/>
        <w:rPr>
          <w:b w:val="0"/>
          <w:bCs w:val="0"/>
        </w:rPr>
      </w:pPr>
      <w:r>
        <w:rPr/>
        <w:t>八、2012</w:t>
      </w:r>
      <w:r>
        <w:rPr>
          <w:spacing w:val="-70"/>
        </w:rPr>
        <w:t> </w:t>
      </w:r>
      <w:r>
        <w:rPr/>
        <w:t>年董事、监事、高级管理人员、持股</w:t>
      </w:r>
      <w:r>
        <w:rPr>
          <w:spacing w:val="-69"/>
        </w:rPr>
        <w:t> </w:t>
      </w:r>
      <w:r>
        <w:rPr/>
        <w:t>5%以上的股东违规买卖公司股票情况</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right="427"/>
        <w:jc w:val="left"/>
      </w:pPr>
      <w:r>
        <w:rPr/>
        <w:t>□ 适用 √</w:t>
      </w:r>
      <w:r>
        <w:rPr>
          <w:spacing w:val="-2"/>
        </w:rPr>
        <w:t> </w:t>
      </w:r>
      <w:r>
        <w:rPr/>
        <w:t>不适用</w:t>
      </w:r>
    </w:p>
    <w:p>
      <w:pPr>
        <w:spacing w:line="240" w:lineRule="auto" w:before="0"/>
        <w:rPr>
          <w:rFonts w:ascii="宋体" w:hAnsi="宋体" w:cs="宋体" w:eastAsia="宋体" w:hint="default"/>
          <w:sz w:val="20"/>
          <w:szCs w:val="20"/>
        </w:rPr>
      </w:pPr>
    </w:p>
    <w:p>
      <w:pPr>
        <w:pStyle w:val="Heading2"/>
        <w:spacing w:line="240" w:lineRule="auto" w:before="131"/>
        <w:ind w:right="427"/>
        <w:jc w:val="left"/>
        <w:rPr>
          <w:b w:val="0"/>
          <w:bCs w:val="0"/>
        </w:rPr>
      </w:pPr>
      <w:r>
        <w:rPr/>
        <w:t>九、其他重大事项的说明</w:t>
      </w:r>
      <w:r>
        <w:rPr>
          <w:b w:val="0"/>
          <w:bCs w:val="0"/>
        </w:rPr>
      </w:r>
    </w:p>
    <w:p>
      <w:pPr>
        <w:spacing w:line="240" w:lineRule="auto" w:before="10"/>
        <w:rPr>
          <w:rFonts w:ascii="宋体" w:hAnsi="宋体" w:cs="宋体" w:eastAsia="宋体" w:hint="default"/>
          <w:b/>
          <w:bCs/>
          <w:sz w:val="28"/>
          <w:szCs w:val="28"/>
        </w:rPr>
      </w:pPr>
    </w:p>
    <w:p>
      <w:pPr>
        <w:pStyle w:val="Heading3"/>
        <w:spacing w:line="357" w:lineRule="auto" w:before="0"/>
        <w:ind w:right="348" w:firstLine="424"/>
        <w:jc w:val="both"/>
      </w:pPr>
      <w:r>
        <w:rPr/>
        <w:t>2012</w:t>
      </w:r>
      <w:r>
        <w:rPr>
          <w:spacing w:val="-26"/>
        </w:rPr>
        <w:t> </w:t>
      </w:r>
      <w:r>
        <w:rPr/>
        <w:t>年12月17日，公司第一届董事会第二十四次会议审议通过了《关于董事会换届选举</w:t>
      </w:r>
      <w:r>
        <w:rPr/>
        <w:t> 的议案》、第一届监事会第十一次会议审议通过了《关于监事会换届选举的议案》，并经公</w:t>
      </w:r>
      <w:r>
        <w:rPr>
          <w:spacing w:val="-83"/>
        </w:rPr>
        <w:t> </w:t>
      </w:r>
      <w:r>
        <w:rPr>
          <w:spacing w:val="-83"/>
        </w:rPr>
      </w:r>
      <w:r>
        <w:rPr/>
        <w:t>司2013年第一次临时股东大会审议批准，第二届董事会成员为龙昌明先生、王海俊先生、邱</w:t>
      </w:r>
      <w:r>
        <w:rPr>
          <w:spacing w:val="-102"/>
        </w:rPr>
        <w:t> </w:t>
      </w:r>
      <w:r>
        <w:rPr>
          <w:spacing w:val="-102"/>
        </w:rPr>
      </w:r>
      <w:r>
        <w:rPr>
          <w:spacing w:val="-3"/>
        </w:rPr>
        <w:t>卫东先生、戴晓东先生、熊俊先生、李俊先生、李和渝先生、廖家河先生、曲凯先生，共计9</w:t>
      </w:r>
    </w:p>
    <w:p>
      <w:pPr>
        <w:spacing w:after="0" w:line="357" w:lineRule="auto"/>
        <w:jc w:val="both"/>
        <w:sectPr>
          <w:pgSz w:w="11910" w:h="16840"/>
          <w:pgMar w:header="747" w:footer="1003" w:top="1040" w:bottom="1200" w:left="980" w:right="780"/>
        </w:sectPr>
      </w:pPr>
    </w:p>
    <w:p>
      <w:pPr>
        <w:spacing w:line="240" w:lineRule="auto" w:before="0"/>
        <w:rPr>
          <w:rFonts w:ascii="宋体" w:hAnsi="宋体" w:cs="宋体" w:eastAsia="宋体" w:hint="default"/>
          <w:sz w:val="20"/>
          <w:szCs w:val="20"/>
        </w:rPr>
      </w:pPr>
    </w:p>
    <w:p>
      <w:pPr>
        <w:pStyle w:val="Heading3"/>
        <w:spacing w:line="357" w:lineRule="auto" w:before="161"/>
        <w:ind w:right="148"/>
        <w:jc w:val="both"/>
      </w:pPr>
      <w:r>
        <w:rPr/>
        <w:t>人，其中李和渝先生、廖家河先生、曲凯先生为公司独立董事；第二届监事会成员为股东代</w:t>
      </w:r>
      <w:r>
        <w:rPr>
          <w:spacing w:val="-83"/>
        </w:rPr>
        <w:t> </w:t>
      </w:r>
      <w:r>
        <w:rPr>
          <w:spacing w:val="-83"/>
        </w:rPr>
      </w:r>
      <w:r>
        <w:rPr/>
        <w:t>表监事朱云飞先生、徐一宁先生和职工代表监事何素蓉女士。具体内容详见中国证监会指定</w:t>
      </w:r>
      <w:r>
        <w:rPr>
          <w:spacing w:val="-83"/>
        </w:rPr>
        <w:t> </w:t>
      </w:r>
      <w:r>
        <w:rPr>
          <w:spacing w:val="-83"/>
        </w:rPr>
      </w:r>
      <w:r>
        <w:rPr>
          <w:spacing w:val="-12"/>
        </w:rPr>
        <w:t>的创业板信息披露网站（公告编码分别为（2012）1217-017号、018号、021号和（2013）0110-001</w:t>
      </w:r>
      <w:r>
        <w:rPr>
          <w:spacing w:val="-110"/>
        </w:rPr>
        <w:t> </w:t>
      </w:r>
      <w:r>
        <w:rPr>
          <w:spacing w:val="-110"/>
        </w:rPr>
      </w:r>
      <w:r>
        <w:rPr/>
        <w:t>号）。</w:t>
      </w:r>
    </w:p>
    <w:p>
      <w:pPr>
        <w:spacing w:after="0" w:line="357" w:lineRule="auto"/>
        <w:jc w:val="both"/>
        <w:sectPr>
          <w:pgSz w:w="11910" w:h="16840"/>
          <w:pgMar w:header="747" w:footer="1003" w:top="1040" w:bottom="12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Heading1"/>
        <w:spacing w:line="240" w:lineRule="auto"/>
        <w:ind w:left="2965" w:right="106"/>
        <w:jc w:val="left"/>
        <w:rPr>
          <w:b w:val="0"/>
          <w:bCs w:val="0"/>
        </w:rPr>
      </w:pPr>
      <w:bookmarkStart w:name="_TOC_250004"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470" w:lineRule="auto"/>
        <w:ind w:right="7922"/>
        <w:jc w:val="left"/>
        <w:rPr>
          <w:b w:val="0"/>
          <w:bCs w:val="0"/>
        </w:rPr>
      </w:pPr>
      <w:r>
        <w:rPr/>
        <w:t>一、股份变动情况</w:t>
      </w:r>
      <w:r>
        <w:rPr>
          <w:spacing w:val="1"/>
          <w:w w:val="99"/>
        </w:rPr>
        <w:t> </w:t>
      </w:r>
      <w:r>
        <w:rPr/>
        <w:t>1、股份变动情况</w:t>
      </w:r>
      <w:r>
        <w:rPr>
          <w:b w:val="0"/>
          <w:bCs w:val="0"/>
        </w:rPr>
      </w:r>
    </w:p>
    <w:p>
      <w:pPr>
        <w:spacing w:line="240" w:lineRule="auto" w:before="2"/>
        <w:rPr>
          <w:rFonts w:ascii="宋体" w:hAnsi="宋体" w:cs="宋体" w:eastAsia="宋体" w:hint="default"/>
          <w:b/>
          <w:bCs/>
          <w:sz w:val="8"/>
          <w:szCs w:val="8"/>
        </w:rPr>
      </w:pPr>
    </w:p>
    <w:tbl>
      <w:tblPr>
        <w:tblW w:w="0" w:type="auto"/>
        <w:jc w:val="left"/>
        <w:tblInd w:w="138" w:type="dxa"/>
        <w:tblLayout w:type="fixed"/>
        <w:tblCellMar>
          <w:top w:w="0" w:type="dxa"/>
          <w:left w:w="0" w:type="dxa"/>
          <w:bottom w:w="0" w:type="dxa"/>
          <w:right w:w="0" w:type="dxa"/>
        </w:tblCellMar>
        <w:tblLook w:val="01E0"/>
      </w:tblPr>
      <w:tblGrid>
        <w:gridCol w:w="2032"/>
        <w:gridCol w:w="1087"/>
        <w:gridCol w:w="601"/>
        <w:gridCol w:w="1100"/>
        <w:gridCol w:w="587"/>
        <w:gridCol w:w="689"/>
        <w:gridCol w:w="568"/>
        <w:gridCol w:w="991"/>
        <w:gridCol w:w="1096"/>
        <w:gridCol w:w="813"/>
      </w:tblGrid>
      <w:tr>
        <w:trPr>
          <w:trHeight w:val="416" w:hRule="exact"/>
        </w:trPr>
        <w:tc>
          <w:tcPr>
            <w:tcW w:w="2032" w:type="dxa"/>
            <w:vMerge w:val="restart"/>
            <w:tcBorders>
              <w:top w:val="single" w:sz="12" w:space="0" w:color="000000"/>
              <w:left w:val="single" w:sz="12" w:space="0" w:color="000000"/>
              <w:right w:val="single" w:sz="6" w:space="0" w:color="000000"/>
            </w:tcBorders>
            <w:shd w:val="clear" w:color="auto" w:fill="D3D3D3"/>
          </w:tcPr>
          <w:p>
            <w:pPr/>
          </w:p>
        </w:tc>
        <w:tc>
          <w:tcPr>
            <w:tcW w:w="1688" w:type="dxa"/>
            <w:gridSpan w:val="2"/>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38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35" w:type="dxa"/>
            <w:gridSpan w:val="5"/>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96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09" w:type="dxa"/>
            <w:gridSpan w:val="2"/>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21" w:hRule="exact"/>
        </w:trPr>
        <w:tc>
          <w:tcPr>
            <w:tcW w:w="2032" w:type="dxa"/>
            <w:vMerge/>
            <w:tcBorders>
              <w:left w:val="single" w:sz="12" w:space="0" w:color="000000"/>
              <w:bottom w:val="single" w:sz="6" w:space="0" w:color="000000"/>
              <w:right w:val="single" w:sz="6" w:space="0" w:color="000000"/>
            </w:tcBorders>
            <w:shd w:val="clear" w:color="auto" w:fill="D3D3D3"/>
          </w:tcPr>
          <w:p>
            <w:pPr/>
          </w:p>
        </w:tc>
        <w:tc>
          <w:tcPr>
            <w:tcW w:w="108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01"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0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8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89"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53"/>
              <w:ind w:left="156" w:right="66"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56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9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3"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12" w:hRule="exact"/>
        </w:trPr>
        <w:tc>
          <w:tcPr>
            <w:tcW w:w="203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65,000,000</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100%</w:t>
            </w:r>
          </w:p>
        </w:tc>
        <w:tc>
          <w:tcPr>
            <w:tcW w:w="1100" w:type="dxa"/>
            <w:tcBorders>
              <w:top w:val="single" w:sz="6" w:space="0" w:color="000000"/>
              <w:left w:val="single" w:sz="6" w:space="0" w:color="000000"/>
              <w:bottom w:val="single" w:sz="6" w:space="0" w:color="000000"/>
              <w:right w:val="single" w:sz="6" w:space="0" w:color="000000"/>
            </w:tcBorders>
          </w:tcPr>
          <w:p>
            <w:pPr/>
          </w:p>
        </w:tc>
        <w:tc>
          <w:tcPr>
            <w:tcW w:w="587"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65,000,000</w:t>
            </w:r>
          </w:p>
        </w:tc>
        <w:tc>
          <w:tcPr>
            <w:tcW w:w="8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75%</w:t>
            </w:r>
          </w:p>
        </w:tc>
      </w:tr>
      <w:tr>
        <w:trPr>
          <w:trHeight w:val="412" w:hRule="exact"/>
        </w:trPr>
        <w:tc>
          <w:tcPr>
            <w:tcW w:w="203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5"/>
              <w:ind w:left="13"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65,000,000</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100%</w:t>
            </w:r>
          </w:p>
        </w:tc>
        <w:tc>
          <w:tcPr>
            <w:tcW w:w="1100" w:type="dxa"/>
            <w:tcBorders>
              <w:top w:val="single" w:sz="6" w:space="0" w:color="000000"/>
              <w:left w:val="single" w:sz="6" w:space="0" w:color="000000"/>
              <w:bottom w:val="single" w:sz="6" w:space="0" w:color="000000"/>
              <w:right w:val="single" w:sz="6" w:space="0" w:color="000000"/>
            </w:tcBorders>
          </w:tcPr>
          <w:p>
            <w:pPr/>
          </w:p>
        </w:tc>
        <w:tc>
          <w:tcPr>
            <w:tcW w:w="587"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65,000,000</w:t>
            </w:r>
          </w:p>
        </w:tc>
        <w:tc>
          <w:tcPr>
            <w:tcW w:w="8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11"/>
              <w:jc w:val="right"/>
              <w:rPr>
                <w:rFonts w:ascii="宋体" w:hAnsi="宋体" w:cs="宋体" w:eastAsia="宋体" w:hint="default"/>
                <w:sz w:val="18"/>
                <w:szCs w:val="18"/>
              </w:rPr>
            </w:pPr>
            <w:r>
              <w:rPr>
                <w:rFonts w:ascii="宋体"/>
                <w:sz w:val="18"/>
              </w:rPr>
              <w:t>75%</w:t>
            </w:r>
          </w:p>
        </w:tc>
      </w:tr>
      <w:tr>
        <w:trPr>
          <w:trHeight w:val="413" w:hRule="exact"/>
        </w:trPr>
        <w:tc>
          <w:tcPr>
            <w:tcW w:w="203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5"/>
              <w:ind w:left="1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45,500,000</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70%</w:t>
            </w:r>
          </w:p>
        </w:tc>
        <w:tc>
          <w:tcPr>
            <w:tcW w:w="1100" w:type="dxa"/>
            <w:tcBorders>
              <w:top w:val="single" w:sz="6" w:space="0" w:color="000000"/>
              <w:left w:val="single" w:sz="6" w:space="0" w:color="000000"/>
              <w:bottom w:val="single" w:sz="6" w:space="0" w:color="000000"/>
              <w:right w:val="single" w:sz="6" w:space="0" w:color="000000"/>
            </w:tcBorders>
          </w:tcPr>
          <w:p>
            <w:pPr/>
          </w:p>
        </w:tc>
        <w:tc>
          <w:tcPr>
            <w:tcW w:w="587"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45,500,000</w:t>
            </w:r>
          </w:p>
        </w:tc>
        <w:tc>
          <w:tcPr>
            <w:tcW w:w="8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11"/>
              <w:jc w:val="right"/>
              <w:rPr>
                <w:rFonts w:ascii="宋体" w:hAnsi="宋体" w:cs="宋体" w:eastAsia="宋体" w:hint="default"/>
                <w:sz w:val="18"/>
                <w:szCs w:val="18"/>
              </w:rPr>
            </w:pPr>
            <w:r>
              <w:rPr>
                <w:rFonts w:ascii="宋体"/>
                <w:sz w:val="18"/>
              </w:rPr>
              <w:t>52.5%</w:t>
            </w:r>
          </w:p>
        </w:tc>
      </w:tr>
      <w:tr>
        <w:trPr>
          <w:trHeight w:val="412" w:hRule="exact"/>
        </w:trPr>
        <w:tc>
          <w:tcPr>
            <w:tcW w:w="203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19,500,000</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30%</w:t>
            </w:r>
          </w:p>
        </w:tc>
        <w:tc>
          <w:tcPr>
            <w:tcW w:w="1100" w:type="dxa"/>
            <w:tcBorders>
              <w:top w:val="single" w:sz="6" w:space="0" w:color="000000"/>
              <w:left w:val="single" w:sz="6" w:space="0" w:color="000000"/>
              <w:bottom w:val="single" w:sz="6" w:space="0" w:color="000000"/>
              <w:right w:val="single" w:sz="6" w:space="0" w:color="000000"/>
            </w:tcBorders>
          </w:tcPr>
          <w:p>
            <w:pPr/>
          </w:p>
        </w:tc>
        <w:tc>
          <w:tcPr>
            <w:tcW w:w="587"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19,500,000</w:t>
            </w:r>
          </w:p>
        </w:tc>
        <w:tc>
          <w:tcPr>
            <w:tcW w:w="8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22.5%</w:t>
            </w:r>
          </w:p>
        </w:tc>
      </w:tr>
      <w:tr>
        <w:trPr>
          <w:trHeight w:val="412" w:hRule="exact"/>
        </w:trPr>
        <w:tc>
          <w:tcPr>
            <w:tcW w:w="203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5"/>
              <w:ind w:left="1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87"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164" w:right="0"/>
              <w:jc w:val="left"/>
              <w:rPr>
                <w:rFonts w:ascii="宋体" w:hAnsi="宋体" w:cs="宋体" w:eastAsia="宋体" w:hint="default"/>
                <w:sz w:val="18"/>
                <w:szCs w:val="18"/>
              </w:rPr>
            </w:pPr>
            <w:r>
              <w:rPr>
                <w:rFonts w:ascii="宋体"/>
                <w:sz w:val="18"/>
              </w:rPr>
              <w:t>21,670,000</w:t>
            </w:r>
          </w:p>
        </w:tc>
        <w:tc>
          <w:tcPr>
            <w:tcW w:w="587"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36" w:right="0"/>
              <w:jc w:val="center"/>
              <w:rPr>
                <w:rFonts w:ascii="宋体" w:hAnsi="宋体" w:cs="宋体" w:eastAsia="宋体" w:hint="default"/>
                <w:sz w:val="18"/>
                <w:szCs w:val="18"/>
              </w:rPr>
            </w:pPr>
            <w:r>
              <w:rPr>
                <w:rFonts w:ascii="宋体"/>
                <w:sz w:val="18"/>
              </w:rPr>
              <w:t>21,670,000</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21,670,000</w:t>
            </w:r>
          </w:p>
        </w:tc>
        <w:tc>
          <w:tcPr>
            <w:tcW w:w="8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11"/>
              <w:jc w:val="right"/>
              <w:rPr>
                <w:rFonts w:ascii="宋体" w:hAnsi="宋体" w:cs="宋体" w:eastAsia="宋体" w:hint="default"/>
                <w:sz w:val="18"/>
                <w:szCs w:val="18"/>
              </w:rPr>
            </w:pPr>
            <w:r>
              <w:rPr>
                <w:rFonts w:ascii="宋体"/>
                <w:sz w:val="18"/>
              </w:rPr>
              <w:t>25%</w:t>
            </w:r>
          </w:p>
        </w:tc>
      </w:tr>
      <w:tr>
        <w:trPr>
          <w:trHeight w:val="413" w:hRule="exact"/>
        </w:trPr>
        <w:tc>
          <w:tcPr>
            <w:tcW w:w="203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5"/>
              <w:ind w:left="13"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1087"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164" w:right="0"/>
              <w:jc w:val="left"/>
              <w:rPr>
                <w:rFonts w:ascii="宋体" w:hAnsi="宋体" w:cs="宋体" w:eastAsia="宋体" w:hint="default"/>
                <w:sz w:val="18"/>
                <w:szCs w:val="18"/>
              </w:rPr>
            </w:pPr>
            <w:r>
              <w:rPr>
                <w:rFonts w:ascii="宋体"/>
                <w:sz w:val="18"/>
              </w:rPr>
              <w:t>21,670,000</w:t>
            </w:r>
          </w:p>
        </w:tc>
        <w:tc>
          <w:tcPr>
            <w:tcW w:w="587"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36" w:right="0"/>
              <w:jc w:val="center"/>
              <w:rPr>
                <w:rFonts w:ascii="宋体" w:hAnsi="宋体" w:cs="宋体" w:eastAsia="宋体" w:hint="default"/>
                <w:sz w:val="18"/>
                <w:szCs w:val="18"/>
              </w:rPr>
            </w:pPr>
            <w:r>
              <w:rPr>
                <w:rFonts w:ascii="宋体"/>
                <w:sz w:val="18"/>
              </w:rPr>
              <w:t>21,670,000</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21,670,000</w:t>
            </w:r>
          </w:p>
        </w:tc>
        <w:tc>
          <w:tcPr>
            <w:tcW w:w="8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11"/>
              <w:jc w:val="right"/>
              <w:rPr>
                <w:rFonts w:ascii="宋体" w:hAnsi="宋体" w:cs="宋体" w:eastAsia="宋体" w:hint="default"/>
                <w:sz w:val="18"/>
                <w:szCs w:val="18"/>
              </w:rPr>
            </w:pPr>
            <w:r>
              <w:rPr>
                <w:rFonts w:ascii="宋体"/>
                <w:sz w:val="18"/>
              </w:rPr>
              <w:t>25%</w:t>
            </w:r>
          </w:p>
        </w:tc>
      </w:tr>
      <w:tr>
        <w:trPr>
          <w:trHeight w:val="419" w:hRule="exact"/>
        </w:trPr>
        <w:tc>
          <w:tcPr>
            <w:tcW w:w="2032"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65,000,000</w:t>
            </w:r>
          </w:p>
        </w:tc>
        <w:tc>
          <w:tcPr>
            <w:tcW w:w="6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100%</w:t>
            </w:r>
          </w:p>
        </w:tc>
        <w:tc>
          <w:tcPr>
            <w:tcW w:w="11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left="164" w:right="0"/>
              <w:jc w:val="left"/>
              <w:rPr>
                <w:rFonts w:ascii="宋体" w:hAnsi="宋体" w:cs="宋体" w:eastAsia="宋体" w:hint="default"/>
                <w:sz w:val="18"/>
                <w:szCs w:val="18"/>
              </w:rPr>
            </w:pPr>
            <w:r>
              <w:rPr>
                <w:rFonts w:ascii="宋体"/>
                <w:sz w:val="18"/>
              </w:rPr>
              <w:t>21,670,000</w:t>
            </w:r>
          </w:p>
        </w:tc>
        <w:tc>
          <w:tcPr>
            <w:tcW w:w="587" w:type="dxa"/>
            <w:tcBorders>
              <w:top w:val="single" w:sz="6" w:space="0" w:color="000000"/>
              <w:left w:val="single" w:sz="6" w:space="0" w:color="000000"/>
              <w:bottom w:val="single" w:sz="12" w:space="0" w:color="000000"/>
              <w:right w:val="single" w:sz="6" w:space="0" w:color="000000"/>
            </w:tcBorders>
          </w:tcPr>
          <w:p>
            <w:pPr/>
          </w:p>
        </w:tc>
        <w:tc>
          <w:tcPr>
            <w:tcW w:w="689" w:type="dxa"/>
            <w:tcBorders>
              <w:top w:val="single" w:sz="6" w:space="0" w:color="000000"/>
              <w:left w:val="single" w:sz="6" w:space="0" w:color="000000"/>
              <w:bottom w:val="single" w:sz="12" w:space="0" w:color="000000"/>
              <w:right w:val="single" w:sz="6" w:space="0" w:color="000000"/>
            </w:tcBorders>
          </w:tcPr>
          <w:p>
            <w:pPr/>
          </w:p>
        </w:tc>
        <w:tc>
          <w:tcPr>
            <w:tcW w:w="568" w:type="dxa"/>
            <w:tcBorders>
              <w:top w:val="single" w:sz="6" w:space="0" w:color="000000"/>
              <w:left w:val="single" w:sz="6" w:space="0" w:color="000000"/>
              <w:bottom w:val="single" w:sz="12" w:space="0" w:color="000000"/>
              <w:right w:val="single" w:sz="6" w:space="0" w:color="000000"/>
            </w:tcBorders>
          </w:tcPr>
          <w:p>
            <w:pP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left="36" w:right="0"/>
              <w:jc w:val="center"/>
              <w:rPr>
                <w:rFonts w:ascii="宋体" w:hAnsi="宋体" w:cs="宋体" w:eastAsia="宋体" w:hint="default"/>
                <w:sz w:val="18"/>
                <w:szCs w:val="18"/>
              </w:rPr>
            </w:pPr>
            <w:r>
              <w:rPr>
                <w:rFonts w:ascii="宋体"/>
                <w:sz w:val="18"/>
              </w:rPr>
              <w:t>21,670,000</w:t>
            </w:r>
          </w:p>
        </w:tc>
        <w:tc>
          <w:tcPr>
            <w:tcW w:w="10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86,670,000</w:t>
            </w:r>
          </w:p>
        </w:tc>
        <w:tc>
          <w:tcPr>
            <w:tcW w:w="8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100%</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BodyText"/>
        <w:spacing w:line="240" w:lineRule="auto" w:before="35"/>
        <w:ind w:right="106"/>
        <w:jc w:val="left"/>
      </w:pPr>
      <w:r>
        <w:rPr/>
        <w:t>股份变动的原因</w:t>
      </w:r>
    </w:p>
    <w:p>
      <w:pPr>
        <w:pStyle w:val="Heading3"/>
        <w:spacing w:line="240" w:lineRule="auto" w:before="170"/>
        <w:ind w:left="154" w:right="106"/>
        <w:jc w:val="left"/>
      </w:pPr>
      <w:r>
        <w:rPr/>
        <w:t>2012年9月24日</w:t>
      </w:r>
      <w:r>
        <w:rPr>
          <w:spacing w:val="-107"/>
        </w:rPr>
        <w:t>，</w:t>
      </w:r>
      <w:r>
        <w:rPr/>
        <w:t>公司在深圳证券交易所创业板首次公开发行人民币普通</w:t>
      </w:r>
      <w:r>
        <w:rPr>
          <w:spacing w:val="-107"/>
        </w:rPr>
        <w:t>股</w:t>
      </w:r>
      <w:r>
        <w:rPr/>
        <w:t>（A股</w:t>
      </w:r>
      <w:r>
        <w:rPr>
          <w:spacing w:val="-107"/>
        </w:rPr>
        <w:t>）</w:t>
      </w:r>
      <w:r>
        <w:rPr>
          <w:spacing w:val="-1"/>
        </w:rPr>
        <w:t>2,167万股。</w:t>
      </w:r>
      <w:r>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5"/>
          <w:szCs w:val="25"/>
        </w:rPr>
      </w:pPr>
    </w:p>
    <w:p>
      <w:pPr>
        <w:pStyle w:val="BodyText"/>
        <w:spacing w:line="240" w:lineRule="auto"/>
        <w:ind w:right="106"/>
        <w:jc w:val="left"/>
      </w:pPr>
      <w:r>
        <w:rPr/>
        <w:t>股份变动的批准情况</w:t>
      </w:r>
    </w:p>
    <w:p>
      <w:pPr>
        <w:spacing w:line="240" w:lineRule="auto" w:before="10"/>
        <w:rPr>
          <w:rFonts w:ascii="宋体" w:hAnsi="宋体" w:cs="宋体" w:eastAsia="宋体" w:hint="default"/>
          <w:sz w:val="14"/>
          <w:szCs w:val="14"/>
        </w:rPr>
      </w:pPr>
    </w:p>
    <w:p>
      <w:pPr>
        <w:pStyle w:val="BodyText"/>
        <w:spacing w:line="240" w:lineRule="auto"/>
        <w:ind w:right="106"/>
        <w:jc w:val="left"/>
      </w:pPr>
      <w:r>
        <w:rPr/>
        <w:t>√ 适用 □</w:t>
      </w:r>
      <w:r>
        <w:rPr>
          <w:spacing w:val="-2"/>
        </w:rPr>
        <w:t> </w:t>
      </w:r>
      <w:r>
        <w:rPr/>
        <w:t>不适用</w:t>
      </w:r>
    </w:p>
    <w:p>
      <w:pPr>
        <w:pStyle w:val="Heading3"/>
        <w:spacing w:line="357" w:lineRule="auto" w:before="170"/>
        <w:ind w:right="111" w:firstLine="424"/>
        <w:jc w:val="both"/>
      </w:pPr>
      <w:r>
        <w:rPr/>
        <w:t>经中国证券监督管理委员会《关于核准光一科技股份有限公司首次公开发行股票并在创</w:t>
      </w:r>
      <w:r>
        <w:rPr>
          <w:spacing w:val="2"/>
        </w:rPr>
        <w:t> 业板上市的批复》（证监许可[2012] 980号）核准，光一科技股份有限公司于2012年9月24</w:t>
      </w:r>
      <w:r>
        <w:rPr>
          <w:spacing w:val="-87"/>
        </w:rPr>
        <w:t> </w:t>
      </w:r>
      <w:r>
        <w:rPr>
          <w:spacing w:val="-87"/>
        </w:rPr>
      </w:r>
      <w:r>
        <w:rPr/>
        <w:t>日采用网下询价配售与网上向社会公众投资者定价发行相结合的方式，首次公开发行人民币</w:t>
      </w:r>
      <w:r>
        <w:rPr>
          <w:spacing w:val="-83"/>
        </w:rPr>
        <w:t> </w:t>
      </w:r>
      <w:r>
        <w:rPr>
          <w:spacing w:val="-83"/>
        </w:rPr>
      </w:r>
      <w:r>
        <w:rPr/>
        <w:t>普通股（A股）2,167万股，每股发行价格为人民币18.18元，并于2012年10月9日在深圳证券</w:t>
      </w:r>
      <w:r>
        <w:rPr/>
        <w:t> 交易所创业板上市。首次公开发行股票完成后,公司股本总额由6,500万股变更为8,667万股。</w:t>
      </w:r>
    </w:p>
    <w:p>
      <w:pPr>
        <w:spacing w:line="240" w:lineRule="auto" w:before="0"/>
        <w:rPr>
          <w:rFonts w:ascii="宋体" w:hAnsi="宋体" w:cs="宋体" w:eastAsia="宋体" w:hint="default"/>
          <w:sz w:val="24"/>
          <w:szCs w:val="24"/>
        </w:rPr>
      </w:pPr>
    </w:p>
    <w:p>
      <w:pPr>
        <w:pStyle w:val="BodyText"/>
        <w:spacing w:line="408" w:lineRule="auto" w:before="213"/>
        <w:ind w:right="106"/>
        <w:jc w:val="left"/>
      </w:pPr>
      <w:r>
        <w:rPr>
          <w:spacing w:val="-1"/>
        </w:rPr>
        <w:t>股份变动对最近一年和最近一期基本每股收益和稀释每股收益、归属于公司普通股股东的每股净资产等财</w:t>
      </w:r>
      <w:r>
        <w:rPr>
          <w:spacing w:val="-81"/>
        </w:rPr>
        <w:t> </w:t>
      </w:r>
      <w:r>
        <w:rPr>
          <w:spacing w:val="-81"/>
        </w:rPr>
      </w:r>
      <w:r>
        <w:rPr/>
        <w:t>务指标的影响</w:t>
      </w:r>
    </w:p>
    <w:p>
      <w:pPr>
        <w:pStyle w:val="BodyText"/>
        <w:spacing w:line="240" w:lineRule="auto" w:before="46"/>
        <w:ind w:right="106"/>
        <w:jc w:val="left"/>
      </w:pPr>
      <w:r>
        <w:rPr/>
        <w:t>√ 适用 □</w:t>
      </w:r>
      <w:r>
        <w:rPr>
          <w:spacing w:val="-2"/>
        </w:rPr>
        <w:t> </w:t>
      </w:r>
      <w:r>
        <w:rPr/>
        <w:t>不适用</w:t>
      </w:r>
    </w:p>
    <w:p>
      <w:pPr>
        <w:spacing w:after="0" w:line="240" w:lineRule="auto"/>
        <w:jc w:val="left"/>
        <w:sectPr>
          <w:pgSz w:w="11910" w:h="16840"/>
          <w:pgMar w:header="747" w:footer="1003" w:top="1040" w:bottom="1200" w:left="980" w:right="900"/>
        </w:sectPr>
      </w:pPr>
    </w:p>
    <w:p>
      <w:pPr>
        <w:spacing w:line="240" w:lineRule="auto" w:before="0"/>
        <w:rPr>
          <w:rFonts w:ascii="宋体" w:hAnsi="宋体" w:cs="宋体" w:eastAsia="宋体" w:hint="default"/>
          <w:sz w:val="20"/>
          <w:szCs w:val="20"/>
        </w:rPr>
      </w:pPr>
    </w:p>
    <w:p>
      <w:pPr>
        <w:pStyle w:val="Heading3"/>
        <w:spacing w:line="357" w:lineRule="auto" w:before="161"/>
        <w:ind w:right="147" w:firstLine="480"/>
        <w:jc w:val="both"/>
      </w:pPr>
      <w:r>
        <w:rPr>
          <w:spacing w:val="-2"/>
        </w:rPr>
        <w:t>2012年9月24日公司首次公开发行股票，公司总股本由6500万股增加至8667万股。本次股</w:t>
      </w:r>
      <w:r>
        <w:rPr/>
        <w:t> 份变动，对公司最近一年基本收益、归属于公司普通股股东的每股净资产等财务指标的影响</w:t>
      </w:r>
      <w:r>
        <w:rPr>
          <w:spacing w:val="-83"/>
        </w:rPr>
        <w:t> </w:t>
      </w:r>
      <w:r>
        <w:rPr>
          <w:spacing w:val="-83"/>
        </w:rPr>
      </w:r>
      <w:r>
        <w:rPr>
          <w:spacing w:val="3"/>
        </w:rPr>
        <w:t>如下：报告期公司基本每股收益为1.03元/股，报告期归属于上市公司股东的每股净资产为</w:t>
      </w:r>
      <w:r>
        <w:rPr>
          <w:spacing w:val="-91"/>
        </w:rPr>
        <w:t> </w:t>
      </w:r>
      <w:r>
        <w:rPr>
          <w:spacing w:val="-91"/>
        </w:rPr>
      </w:r>
      <w:r>
        <w:rPr/>
        <w:t>7.59元/股。</w:t>
      </w:r>
    </w:p>
    <w:p>
      <w:pPr>
        <w:spacing w:line="240" w:lineRule="auto" w:before="11"/>
        <w:rPr>
          <w:rFonts w:ascii="宋体" w:hAnsi="宋体" w:cs="宋体" w:eastAsia="宋体" w:hint="default"/>
          <w:sz w:val="19"/>
          <w:szCs w:val="19"/>
        </w:rPr>
      </w:pPr>
    </w:p>
    <w:p>
      <w:pPr>
        <w:pStyle w:val="Heading2"/>
        <w:spacing w:line="240" w:lineRule="auto" w:before="0"/>
        <w:ind w:left="153" w:right="132"/>
        <w:jc w:val="left"/>
        <w:rPr>
          <w:b w:val="0"/>
          <w:bCs w:val="0"/>
        </w:rPr>
      </w:pPr>
      <w:r>
        <w:rPr/>
        <w:t>2、限售股份变动情况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1844"/>
        <w:gridCol w:w="1276"/>
        <w:gridCol w:w="984"/>
        <w:gridCol w:w="1001"/>
        <w:gridCol w:w="1417"/>
        <w:gridCol w:w="1134"/>
        <w:gridCol w:w="1916"/>
      </w:tblGrid>
      <w:tr>
        <w:trPr>
          <w:trHeight w:val="766" w:hRule="exact"/>
        </w:trPr>
        <w:tc>
          <w:tcPr>
            <w:tcW w:w="1844"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276"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98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360" w:lineRule="auto" w:before="51"/>
              <w:ind w:left="124" w:right="122"/>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1001"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360" w:lineRule="auto" w:before="51"/>
              <w:ind w:left="133" w:right="131"/>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1417"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13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916"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9"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455" w:right="103" w:hanging="360"/>
              <w:jc w:val="left"/>
              <w:rPr>
                <w:rFonts w:ascii="宋体" w:hAnsi="宋体" w:cs="宋体" w:eastAsia="宋体" w:hint="default"/>
                <w:sz w:val="18"/>
                <w:szCs w:val="18"/>
              </w:rPr>
            </w:pPr>
            <w:r>
              <w:rPr>
                <w:rFonts w:ascii="宋体" w:hAnsi="宋体" w:cs="宋体" w:eastAsia="宋体" w:hint="default"/>
                <w:sz w:val="18"/>
                <w:szCs w:val="18"/>
              </w:rPr>
              <w:t>江苏光一投资管理有 限责任公司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28,400,000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28,400,000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5"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龙昌明</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9,969,000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9,969,000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55"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408"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徐一宁</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2,170,000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2,170,000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5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邱卫东</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434,000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434,000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戴晓东</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434,000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434,000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葛兹俊</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80,000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赵俊平</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145,000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145,000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5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蒋丹君</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145,000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145,000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5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408"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朱云飞</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145,000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145,000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5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李若昕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125,000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125,000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汪梦余</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110,000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李振国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110,000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沈  健</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80,000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5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文志新</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40,000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5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408"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雷进国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40,000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5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谢述朴</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40,000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宋永斌</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40,000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张建培</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40,000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高  巨</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40,000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5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杨德军</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40,000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5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高卫国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40,000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5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408"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李  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40,000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5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储敏娟</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40,000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415" w:hRule="exact"/>
        </w:trPr>
        <w:tc>
          <w:tcPr>
            <w:tcW w:w="184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江清萍</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40,000</w:t>
            </w:r>
          </w:p>
        </w:tc>
        <w:tc>
          <w:tcPr>
            <w:tcW w:w="9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40,000</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5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7" w:footer="1003" w:top="1040" w:bottom="1200" w:left="980" w:right="980"/>
        </w:sectPr>
      </w:pPr>
    </w:p>
    <w:p>
      <w:pPr>
        <w:spacing w:line="240" w:lineRule="auto" w:before="3"/>
        <w:rPr>
          <w:rFonts w:ascii="宋体" w:hAnsi="宋体" w:cs="宋体" w:eastAsia="宋体" w:hint="default"/>
          <w:b/>
          <w:bCs/>
          <w:sz w:val="29"/>
          <w:szCs w:val="29"/>
        </w:rPr>
      </w:pPr>
    </w:p>
    <w:tbl>
      <w:tblPr>
        <w:tblW w:w="0" w:type="auto"/>
        <w:jc w:val="left"/>
        <w:tblInd w:w="138" w:type="dxa"/>
        <w:tblLayout w:type="fixed"/>
        <w:tblCellMar>
          <w:top w:w="0" w:type="dxa"/>
          <w:left w:w="0" w:type="dxa"/>
          <w:bottom w:w="0" w:type="dxa"/>
          <w:right w:w="0" w:type="dxa"/>
        </w:tblCellMar>
        <w:tblLook w:val="01E0"/>
      </w:tblPr>
      <w:tblGrid>
        <w:gridCol w:w="1844"/>
        <w:gridCol w:w="1276"/>
        <w:gridCol w:w="984"/>
        <w:gridCol w:w="1001"/>
        <w:gridCol w:w="1417"/>
        <w:gridCol w:w="1134"/>
        <w:gridCol w:w="1916"/>
      </w:tblGrid>
      <w:tr>
        <w:trPr>
          <w:trHeight w:val="415" w:hRule="exact"/>
        </w:trPr>
        <w:tc>
          <w:tcPr>
            <w:tcW w:w="184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陈晓清</w:t>
            </w:r>
          </w:p>
        </w:tc>
        <w:tc>
          <w:tcPr>
            <w:tcW w:w="12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80,000</w:t>
            </w:r>
          </w:p>
        </w:tc>
        <w:tc>
          <w:tcPr>
            <w:tcW w:w="9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00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4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80,000</w:t>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5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周建荣</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40,000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陈  静</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80,000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蒋国安</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1,820,000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1,820,000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760"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357" w:lineRule="auto" w:before="52"/>
              <w:ind w:left="545" w:right="193" w:hanging="360"/>
              <w:jc w:val="left"/>
              <w:rPr>
                <w:rFonts w:ascii="宋体" w:hAnsi="宋体" w:cs="宋体" w:eastAsia="宋体" w:hint="default"/>
                <w:sz w:val="18"/>
                <w:szCs w:val="18"/>
              </w:rPr>
            </w:pPr>
            <w:r>
              <w:rPr>
                <w:rFonts w:ascii="宋体" w:hAnsi="宋体" w:cs="宋体" w:eastAsia="宋体" w:hint="default"/>
                <w:sz w:val="18"/>
                <w:szCs w:val="18"/>
              </w:rPr>
              <w:t>北京华康瑞宏投资 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11,000,000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11,000,000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5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719"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95" w:right="103"/>
              <w:jc w:val="left"/>
              <w:rPr>
                <w:rFonts w:ascii="宋体" w:hAnsi="宋体" w:cs="宋体" w:eastAsia="宋体" w:hint="default"/>
                <w:sz w:val="18"/>
                <w:szCs w:val="18"/>
              </w:rPr>
            </w:pPr>
            <w:r>
              <w:rPr>
                <w:rFonts w:ascii="宋体" w:hAnsi="宋体" w:cs="宋体" w:eastAsia="宋体" w:hint="default"/>
                <w:sz w:val="18"/>
                <w:szCs w:val="18"/>
              </w:rPr>
              <w:t>杭州熠明创业投资合 伙企业（有限合伙）</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2,400,000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2,400,000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熊  珂</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1,125,000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1,125,000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5"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陶  涛</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1,100,000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王海俊</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868,000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868,000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5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719"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85" w:right="103" w:hanging="90"/>
              <w:jc w:val="left"/>
              <w:rPr>
                <w:rFonts w:ascii="宋体" w:hAnsi="宋体" w:cs="宋体" w:eastAsia="宋体" w:hint="default"/>
                <w:sz w:val="18"/>
                <w:szCs w:val="18"/>
              </w:rPr>
            </w:pPr>
            <w:r>
              <w:rPr>
                <w:rFonts w:ascii="宋体" w:hAnsi="宋体" w:cs="宋体" w:eastAsia="宋体" w:hint="default"/>
                <w:sz w:val="18"/>
                <w:szCs w:val="18"/>
              </w:rPr>
              <w:t>苏州阿尔法投资管理 中心（有限合伙）</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2,000,000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720"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南通天紫微投资中心</w:t>
            </w:r>
          </w:p>
          <w:p>
            <w:pPr>
              <w:pStyle w:val="TableParagraph"/>
              <w:spacing w:line="240" w:lineRule="auto" w:before="76"/>
              <w:ind w:right="7"/>
              <w:jc w:val="center"/>
              <w:rPr>
                <w:rFonts w:ascii="宋体" w:hAnsi="宋体" w:cs="宋体" w:eastAsia="宋体" w:hint="default"/>
                <w:sz w:val="18"/>
                <w:szCs w:val="18"/>
              </w:rPr>
            </w:pPr>
            <w:r>
              <w:rPr>
                <w:rFonts w:ascii="宋体" w:hAnsi="宋体" w:cs="宋体" w:eastAsia="宋体" w:hint="default"/>
                <w:sz w:val="18"/>
                <w:szCs w:val="18"/>
              </w:rPr>
              <w:t>（有限合伙）</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600,000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600,000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758"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360" w:lineRule="auto" w:before="51"/>
              <w:ind w:left="545" w:right="193" w:hanging="360"/>
              <w:jc w:val="left"/>
              <w:rPr>
                <w:rFonts w:ascii="宋体" w:hAnsi="宋体" w:cs="宋体" w:eastAsia="宋体" w:hint="default"/>
                <w:sz w:val="18"/>
                <w:szCs w:val="18"/>
              </w:rPr>
            </w:pPr>
            <w:r>
              <w:rPr>
                <w:rFonts w:ascii="宋体" w:hAnsi="宋体" w:cs="宋体" w:eastAsia="宋体" w:hint="default"/>
                <w:sz w:val="18"/>
                <w:szCs w:val="18"/>
              </w:rPr>
              <w:t>汇金立方资本管理 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1,100,000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1,100,000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5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9日</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415" w:hRule="exact"/>
        </w:trPr>
        <w:tc>
          <w:tcPr>
            <w:tcW w:w="1844"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65,000,000</w:t>
            </w:r>
          </w:p>
        </w:tc>
        <w:tc>
          <w:tcPr>
            <w:tcW w:w="9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65,000,000</w:t>
            </w:r>
          </w:p>
        </w:tc>
        <w:tc>
          <w:tcPr>
            <w:tcW w:w="1134"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c>
          <w:tcPr>
            <w:tcW w:w="1916" w:type="dxa"/>
            <w:tcBorders>
              <w:top w:val="single" w:sz="6" w:space="0" w:color="000000"/>
              <w:left w:val="single" w:sz="6" w:space="0" w:color="000000"/>
              <w:bottom w:val="single" w:sz="12" w:space="0" w:color="000000"/>
              <w:right w:val="single" w:sz="12"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b/>
          <w:bCs/>
          <w:sz w:val="18"/>
          <w:szCs w:val="18"/>
        </w:rPr>
      </w:pPr>
    </w:p>
    <w:p>
      <w:pPr>
        <w:pStyle w:val="Heading2"/>
        <w:spacing w:line="468" w:lineRule="auto"/>
        <w:ind w:right="6999"/>
        <w:jc w:val="left"/>
        <w:rPr>
          <w:b w:val="0"/>
          <w:bCs w:val="0"/>
        </w:rPr>
      </w:pPr>
      <w:r>
        <w:rPr/>
        <w:t>二、证券发行与上市情况</w:t>
      </w:r>
      <w:r>
        <w:rPr>
          <w:w w:val="99"/>
        </w:rPr>
        <w:t> </w:t>
      </w:r>
      <w:r>
        <w:rPr/>
        <w:t>1、报告期内证券发行情况</w:t>
      </w:r>
      <w:r>
        <w:rPr>
          <w:b w:val="0"/>
          <w:bCs w:val="0"/>
        </w:rPr>
      </w:r>
    </w:p>
    <w:p>
      <w:pPr>
        <w:spacing w:line="240" w:lineRule="auto" w:before="3"/>
        <w:rPr>
          <w:rFonts w:ascii="宋体" w:hAnsi="宋体" w:cs="宋体" w:eastAsia="宋体" w:hint="default"/>
          <w:b/>
          <w:bCs/>
          <w:sz w:val="8"/>
          <w:szCs w:val="8"/>
        </w:rPr>
      </w:pPr>
    </w:p>
    <w:tbl>
      <w:tblPr>
        <w:tblW w:w="0" w:type="auto"/>
        <w:jc w:val="left"/>
        <w:tblInd w:w="138" w:type="dxa"/>
        <w:tblLayout w:type="fixed"/>
        <w:tblCellMar>
          <w:top w:w="0" w:type="dxa"/>
          <w:left w:w="0" w:type="dxa"/>
          <w:bottom w:w="0" w:type="dxa"/>
          <w:right w:w="0" w:type="dxa"/>
        </w:tblCellMar>
        <w:tblLook w:val="01E0"/>
      </w:tblPr>
      <w:tblGrid>
        <w:gridCol w:w="1369"/>
        <w:gridCol w:w="1609"/>
        <w:gridCol w:w="1124"/>
        <w:gridCol w:w="1367"/>
        <w:gridCol w:w="1620"/>
        <w:gridCol w:w="1276"/>
        <w:gridCol w:w="1207"/>
      </w:tblGrid>
      <w:tr>
        <w:trPr>
          <w:trHeight w:val="766" w:hRule="exact"/>
        </w:trPr>
        <w:tc>
          <w:tcPr>
            <w:tcW w:w="1369"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360" w:lineRule="auto" w:before="51"/>
              <w:ind w:left="308" w:right="137" w:hanging="180"/>
              <w:jc w:val="left"/>
              <w:rPr>
                <w:rFonts w:ascii="宋体" w:hAnsi="宋体" w:cs="宋体" w:eastAsia="宋体" w:hint="default"/>
                <w:sz w:val="18"/>
                <w:szCs w:val="18"/>
              </w:rPr>
            </w:pPr>
            <w:r>
              <w:rPr>
                <w:rFonts w:ascii="宋体" w:hAnsi="宋体" w:cs="宋体" w:eastAsia="宋体" w:hint="default"/>
                <w:sz w:val="18"/>
                <w:szCs w:val="18"/>
              </w:rPr>
              <w:t>股票及其衍生 证券名称</w:t>
            </w:r>
          </w:p>
        </w:tc>
        <w:tc>
          <w:tcPr>
            <w:tcW w:w="1609"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12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117"/>
              <w:ind w:left="104"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367"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62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276"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360" w:lineRule="auto" w:before="51"/>
              <w:ind w:left="450" w:right="89"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207"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12" w:hRule="exact"/>
        </w:trPr>
        <w:tc>
          <w:tcPr>
            <w:tcW w:w="9571" w:type="dxa"/>
            <w:gridSpan w:val="7"/>
            <w:tcBorders>
              <w:top w:val="single" w:sz="6" w:space="0" w:color="000000"/>
              <w:left w:val="single" w:sz="12" w:space="0" w:color="000000"/>
              <w:bottom w:val="single" w:sz="6" w:space="0" w:color="000000"/>
              <w:right w:val="single" w:sz="12" w:space="0" w:color="000000"/>
            </w:tcBorders>
            <w:shd w:val="clear" w:color="auto" w:fill="D3D3D3"/>
          </w:tcPr>
          <w:p>
            <w:pPr>
              <w:pStyle w:val="TableParagraph"/>
              <w:spacing w:line="240" w:lineRule="auto" w:before="55"/>
              <w:ind w:left="13"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21" w:hRule="exact"/>
        </w:trPr>
        <w:tc>
          <w:tcPr>
            <w:tcW w:w="136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5"/>
              <w:ind w:left="13" w:right="0"/>
              <w:jc w:val="left"/>
              <w:rPr>
                <w:rFonts w:ascii="宋体" w:hAnsi="宋体" w:cs="宋体" w:eastAsia="宋体" w:hint="default"/>
                <w:sz w:val="18"/>
                <w:szCs w:val="18"/>
              </w:rPr>
            </w:pPr>
            <w:r>
              <w:rPr>
                <w:rFonts w:ascii="宋体" w:hAnsi="宋体" w:cs="宋体" w:eastAsia="宋体" w:hint="default"/>
                <w:sz w:val="18"/>
                <w:szCs w:val="18"/>
              </w:rPr>
              <w:t>光一科技</w:t>
            </w:r>
          </w:p>
        </w:tc>
        <w:tc>
          <w:tcPr>
            <w:tcW w:w="16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6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20" w:right="0"/>
              <w:jc w:val="left"/>
              <w:rPr>
                <w:rFonts w:ascii="宋体" w:hAnsi="宋体" w:cs="宋体" w:eastAsia="宋体" w:hint="default"/>
                <w:sz w:val="18"/>
                <w:szCs w:val="18"/>
              </w:rPr>
            </w:pPr>
            <w:r>
              <w:rPr>
                <w:rFonts w:ascii="宋体"/>
                <w:sz w:val="18"/>
              </w:rPr>
              <w:t>18.18</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431" w:right="0"/>
              <w:jc w:val="left"/>
              <w:rPr>
                <w:rFonts w:ascii="宋体" w:hAnsi="宋体" w:cs="宋体" w:eastAsia="宋体" w:hint="default"/>
                <w:sz w:val="18"/>
                <w:szCs w:val="18"/>
              </w:rPr>
            </w:pPr>
            <w:r>
              <w:rPr>
                <w:rFonts w:ascii="宋体"/>
                <w:sz w:val="18"/>
              </w:rPr>
              <w:t>21,670,000</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78"/>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340" w:right="0"/>
              <w:jc w:val="left"/>
              <w:rPr>
                <w:rFonts w:ascii="宋体" w:hAnsi="宋体" w:cs="宋体" w:eastAsia="宋体" w:hint="default"/>
                <w:sz w:val="18"/>
                <w:szCs w:val="18"/>
              </w:rPr>
            </w:pPr>
            <w:r>
              <w:rPr>
                <w:rFonts w:ascii="宋体"/>
                <w:sz w:val="18"/>
              </w:rPr>
              <w:t>21,670,000</w:t>
            </w:r>
          </w:p>
        </w:tc>
        <w:tc>
          <w:tcPr>
            <w:tcW w:w="1207"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240" w:lineRule="auto" w:before="26"/>
        <w:ind w:right="132"/>
        <w:jc w:val="left"/>
      </w:pPr>
      <w:r>
        <w:rPr/>
        <w:t>证券发行情况的说明</w:t>
      </w:r>
    </w:p>
    <w:p>
      <w:pPr>
        <w:pStyle w:val="Heading3"/>
        <w:spacing w:line="357" w:lineRule="auto" w:before="131"/>
        <w:ind w:right="151" w:firstLine="480"/>
        <w:jc w:val="both"/>
      </w:pPr>
      <w:r>
        <w:rPr/>
        <w:t>公司首次公开发行股票上市情况：经中国证券监督管理委员会《关于核准光一科技股份 有限公司首次公开发行股票并在创业板上市的批复》（证监许可[2012] 980号）核准，光一 </w:t>
      </w:r>
      <w:r>
        <w:rPr>
          <w:spacing w:val="-2"/>
        </w:rPr>
        <w:t>科技股份有限公司于2012年9月24日利用深圳证券交易所交易系统，采用网下询价配售与网上</w:t>
      </w:r>
      <w:r>
        <w:rPr>
          <w:spacing w:val="-114"/>
        </w:rPr>
        <w:t> </w:t>
      </w:r>
      <w:r>
        <w:rPr>
          <w:spacing w:val="-114"/>
        </w:rPr>
      </w:r>
      <w:r>
        <w:rPr/>
        <w:t>向社会公众投资者定价发行相结合的方式，首次公开发行人民币普通股（A股）2,167万股， 每股发行价格为人民币18.18元，并于2012年10月9日在深圳证券交易所创业板上市。首次公 开发行股票完成后,公司股本总额由6,500万股变更为8,667万股。</w:t>
      </w:r>
    </w:p>
    <w:p>
      <w:pPr>
        <w:spacing w:after="0" w:line="357" w:lineRule="auto"/>
        <w:jc w:val="both"/>
        <w:sectPr>
          <w:pgSz w:w="11910" w:h="16840"/>
          <w:pgMar w:header="747" w:footer="1003" w:top="1040" w:bottom="1200" w:left="980" w:right="980"/>
        </w:sectPr>
      </w:pPr>
    </w:p>
    <w:p>
      <w:pPr>
        <w:spacing w:line="240" w:lineRule="auto" w:before="6"/>
        <w:rPr>
          <w:rFonts w:ascii="宋体" w:hAnsi="宋体" w:cs="宋体" w:eastAsia="宋体" w:hint="default"/>
          <w:sz w:val="24"/>
          <w:szCs w:val="24"/>
        </w:rPr>
      </w:pPr>
    </w:p>
    <w:p>
      <w:pPr>
        <w:pStyle w:val="Heading2"/>
        <w:spacing w:line="240" w:lineRule="auto"/>
        <w:ind w:right="132"/>
        <w:jc w:val="left"/>
        <w:rPr>
          <w:b w:val="0"/>
          <w:bCs w:val="0"/>
        </w:rPr>
      </w:pPr>
      <w:r>
        <w:rPr/>
        <w:t>2、公司股份总数及股东结构的变动、公司资产和负债结构的变动情况说明</w:t>
      </w:r>
      <w:r>
        <w:rPr>
          <w:b w:val="0"/>
          <w:bCs w:val="0"/>
        </w:rPr>
      </w:r>
    </w:p>
    <w:p>
      <w:pPr>
        <w:spacing w:line="240" w:lineRule="auto" w:before="10"/>
        <w:rPr>
          <w:rFonts w:ascii="宋体" w:hAnsi="宋体" w:cs="宋体" w:eastAsia="宋体" w:hint="default"/>
          <w:b/>
          <w:bCs/>
          <w:sz w:val="28"/>
          <w:szCs w:val="28"/>
        </w:rPr>
      </w:pPr>
    </w:p>
    <w:p>
      <w:pPr>
        <w:pStyle w:val="Heading3"/>
        <w:spacing w:line="357" w:lineRule="auto" w:before="0"/>
        <w:ind w:right="134" w:firstLine="480"/>
        <w:jc w:val="both"/>
      </w:pPr>
      <w:r>
        <w:rPr>
          <w:spacing w:val="3"/>
        </w:rPr>
        <w:t>报告期内，公司首次公开发行股票2,167万股，公司股本总额从6,500万股增加至8,667</w:t>
      </w:r>
      <w:r>
        <w:rPr/>
        <w:t> </w:t>
      </w:r>
      <w:r>
        <w:rPr>
          <w:spacing w:val="-2"/>
        </w:rPr>
        <w:t>万股，公司股本结构由限售股股东占比100%，变为限售股股东占比75%、无限售条件流通股股</w:t>
      </w:r>
      <w:r>
        <w:rPr>
          <w:spacing w:val="-116"/>
        </w:rPr>
        <w:t> </w:t>
      </w:r>
      <w:r>
        <w:rPr>
          <w:spacing w:val="-116"/>
        </w:rPr>
      </w:r>
      <w:r>
        <w:rPr>
          <w:spacing w:val="11"/>
        </w:rPr>
        <w:t>东占比25%；首次公开发行股票募集资金净额35,429.12万元，因股本溢价增加资本公积</w:t>
      </w:r>
      <w:r>
        <w:rPr>
          <w:spacing w:val="-94"/>
        </w:rPr>
        <w:t> </w:t>
      </w:r>
      <w:r>
        <w:rPr>
          <w:spacing w:val="-94"/>
        </w:rPr>
      </w:r>
      <w:r>
        <w:rPr/>
        <w:t>33,262.12万元。</w:t>
      </w:r>
    </w:p>
    <w:p>
      <w:pPr>
        <w:spacing w:line="240" w:lineRule="auto" w:before="11"/>
        <w:rPr>
          <w:rFonts w:ascii="宋体" w:hAnsi="宋体" w:cs="宋体" w:eastAsia="宋体" w:hint="default"/>
          <w:sz w:val="19"/>
          <w:szCs w:val="19"/>
        </w:rPr>
      </w:pPr>
    </w:p>
    <w:p>
      <w:pPr>
        <w:pStyle w:val="Heading2"/>
        <w:spacing w:line="468" w:lineRule="auto" w:before="0"/>
        <w:ind w:left="153" w:right="6759"/>
        <w:jc w:val="left"/>
        <w:rPr>
          <w:b w:val="0"/>
          <w:bCs w:val="0"/>
        </w:rPr>
      </w:pPr>
      <w:r>
        <w:rPr/>
        <w:t>三、股东和实际控制人情况</w:t>
      </w:r>
      <w:r>
        <w:rPr>
          <w:spacing w:val="1"/>
          <w:w w:val="99"/>
        </w:rPr>
        <w:t> </w:t>
      </w:r>
      <w:r>
        <w:rPr/>
        <w:t>1、公司股东数量及持股情况</w:t>
      </w:r>
      <w:r>
        <w:rPr>
          <w:b w:val="0"/>
          <w:bCs w:val="0"/>
        </w:rPr>
      </w:r>
    </w:p>
    <w:p>
      <w:pPr>
        <w:spacing w:line="240" w:lineRule="auto" w:before="3"/>
        <w:rPr>
          <w:rFonts w:ascii="宋体" w:hAnsi="宋体" w:cs="宋体" w:eastAsia="宋体" w:hint="default"/>
          <w:b/>
          <w:bCs/>
          <w:sz w:val="8"/>
          <w:szCs w:val="8"/>
        </w:rPr>
      </w:pPr>
    </w:p>
    <w:tbl>
      <w:tblPr>
        <w:tblW w:w="0" w:type="auto"/>
        <w:jc w:val="left"/>
        <w:tblInd w:w="138" w:type="dxa"/>
        <w:tblLayout w:type="fixed"/>
        <w:tblCellMar>
          <w:top w:w="0" w:type="dxa"/>
          <w:left w:w="0" w:type="dxa"/>
          <w:bottom w:w="0" w:type="dxa"/>
          <w:right w:w="0" w:type="dxa"/>
        </w:tblCellMar>
        <w:tblLook w:val="01E0"/>
      </w:tblPr>
      <w:tblGrid>
        <w:gridCol w:w="1702"/>
        <w:gridCol w:w="1417"/>
        <w:gridCol w:w="979"/>
        <w:gridCol w:w="1368"/>
        <w:gridCol w:w="1368"/>
        <w:gridCol w:w="1368"/>
        <w:gridCol w:w="1367"/>
      </w:tblGrid>
      <w:tr>
        <w:trPr>
          <w:trHeight w:val="430" w:hRule="exact"/>
        </w:trPr>
        <w:tc>
          <w:tcPr>
            <w:tcW w:w="3119" w:type="dxa"/>
            <w:gridSpan w:val="2"/>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9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8,133</w:t>
            </w:r>
          </w:p>
        </w:tc>
        <w:tc>
          <w:tcPr>
            <w:tcW w:w="4104" w:type="dxa"/>
            <w:gridSpan w:val="3"/>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个交易日末的股东总数</w:t>
            </w:r>
          </w:p>
        </w:tc>
        <w:tc>
          <w:tcPr>
            <w:tcW w:w="136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7,776</w:t>
            </w:r>
          </w:p>
        </w:tc>
      </w:tr>
      <w:tr>
        <w:trPr>
          <w:trHeight w:val="400" w:hRule="exact"/>
        </w:trPr>
        <w:tc>
          <w:tcPr>
            <w:tcW w:w="9570" w:type="dxa"/>
            <w:gridSpan w:val="7"/>
            <w:tcBorders>
              <w:top w:val="single" w:sz="6" w:space="0" w:color="000000"/>
              <w:left w:val="single" w:sz="12" w:space="0" w:color="000000"/>
              <w:bottom w:val="single" w:sz="6" w:space="0" w:color="000000"/>
              <w:right w:val="single" w:sz="12" w:space="0" w:color="000000"/>
            </w:tcBorders>
            <w:shd w:val="clear" w:color="auto" w:fill="D3D3D3"/>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名股东持股情况</w:t>
            </w:r>
          </w:p>
        </w:tc>
      </w:tr>
      <w:tr>
        <w:trPr>
          <w:trHeight w:val="413" w:hRule="exact"/>
        </w:trPr>
        <w:tc>
          <w:tcPr>
            <w:tcW w:w="1702" w:type="dxa"/>
            <w:vMerge w:val="restart"/>
            <w:tcBorders>
              <w:top w:val="single" w:sz="6" w:space="0" w:color="000000"/>
              <w:left w:val="single" w:sz="12" w:space="0" w:color="000000"/>
              <w:right w:val="single" w:sz="6" w:space="0" w:color="000000"/>
            </w:tcBorders>
            <w:shd w:val="clear" w:color="auto" w:fill="D3D3D3"/>
          </w:tcPr>
          <w:p>
            <w:pPr>
              <w:pStyle w:val="TableParagraph"/>
              <w:spacing w:line="240" w:lineRule="auto" w:before="0"/>
              <w:ind w:right="0"/>
              <w:jc w:val="left"/>
              <w:rPr>
                <w:rFonts w:ascii="宋体" w:hAnsi="宋体" w:cs="宋体" w:eastAsia="宋体" w:hint="default"/>
                <w:b/>
                <w:bCs/>
                <w:sz w:val="20"/>
                <w:szCs w:val="20"/>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7" w:type="dxa"/>
            <w:vMerge w:val="restart"/>
            <w:tcBorders>
              <w:top w:val="single" w:sz="6" w:space="0" w:color="000000"/>
              <w:left w:val="single" w:sz="6" w:space="0" w:color="000000"/>
              <w:right w:val="single" w:sz="6" w:space="0" w:color="000000"/>
            </w:tcBorders>
            <w:shd w:val="clear" w:color="auto" w:fill="D3D3D3"/>
          </w:tcPr>
          <w:p>
            <w:pPr>
              <w:pStyle w:val="TableParagraph"/>
              <w:spacing w:line="240" w:lineRule="auto" w:before="0"/>
              <w:ind w:right="0"/>
              <w:jc w:val="left"/>
              <w:rPr>
                <w:rFonts w:ascii="宋体" w:hAnsi="宋体" w:cs="宋体" w:eastAsia="宋体" w:hint="default"/>
                <w:b/>
                <w:bCs/>
                <w:sz w:val="20"/>
                <w:szCs w:val="20"/>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79" w:type="dxa"/>
            <w:vMerge w:val="restart"/>
            <w:tcBorders>
              <w:top w:val="single" w:sz="6" w:space="0" w:color="000000"/>
              <w:left w:val="single" w:sz="6" w:space="0" w:color="000000"/>
              <w:right w:val="single" w:sz="6" w:space="0" w:color="000000"/>
            </w:tcBorders>
            <w:shd w:val="clear" w:color="auto" w:fill="D3D3D3"/>
          </w:tcPr>
          <w:p>
            <w:pPr>
              <w:pStyle w:val="TableParagraph"/>
              <w:spacing w:line="240" w:lineRule="auto" w:before="0"/>
              <w:ind w:right="0"/>
              <w:jc w:val="left"/>
              <w:rPr>
                <w:rFonts w:ascii="宋体" w:hAnsi="宋体" w:cs="宋体" w:eastAsia="宋体" w:hint="default"/>
                <w:b/>
                <w:bCs/>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8" w:type="dxa"/>
            <w:vMerge w:val="restart"/>
            <w:tcBorders>
              <w:top w:val="single" w:sz="6" w:space="0" w:color="000000"/>
              <w:left w:val="single" w:sz="6" w:space="0" w:color="000000"/>
              <w:right w:val="single" w:sz="6" w:space="0" w:color="000000"/>
            </w:tcBorders>
            <w:shd w:val="clear" w:color="auto" w:fill="D3D3D3"/>
          </w:tcPr>
          <w:p>
            <w:pPr>
              <w:pStyle w:val="TableParagraph"/>
              <w:spacing w:line="240" w:lineRule="auto" w:before="0"/>
              <w:ind w:right="0"/>
              <w:jc w:val="left"/>
              <w:rPr>
                <w:rFonts w:ascii="宋体" w:hAnsi="宋体" w:cs="宋体" w:eastAsia="宋体" w:hint="default"/>
                <w:b/>
                <w:bCs/>
                <w:sz w:val="20"/>
                <w:szCs w:val="20"/>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368" w:type="dxa"/>
            <w:vMerge w:val="restart"/>
            <w:tcBorders>
              <w:top w:val="single" w:sz="6" w:space="0" w:color="000000"/>
              <w:left w:val="single" w:sz="6" w:space="0" w:color="000000"/>
              <w:right w:val="single" w:sz="6" w:space="0" w:color="000000"/>
            </w:tcBorders>
            <w:shd w:val="clear" w:color="auto" w:fill="D3D3D3"/>
          </w:tcPr>
          <w:p>
            <w:pPr>
              <w:pStyle w:val="TableParagraph"/>
              <w:spacing w:line="316" w:lineRule="auto" w:before="106"/>
              <w:ind w:left="225" w:right="47" w:hanging="180"/>
              <w:jc w:val="left"/>
              <w:rPr>
                <w:rFonts w:ascii="宋体" w:hAnsi="宋体" w:cs="宋体" w:eastAsia="宋体" w:hint="default"/>
                <w:sz w:val="18"/>
                <w:szCs w:val="18"/>
              </w:rPr>
            </w:pPr>
            <w:r>
              <w:rPr>
                <w:rFonts w:ascii="宋体" w:hAnsi="宋体" w:cs="宋体" w:eastAsia="宋体" w:hint="default"/>
                <w:sz w:val="18"/>
                <w:szCs w:val="18"/>
              </w:rPr>
              <w:t>持有有限售条件 的股份数量</w:t>
            </w:r>
          </w:p>
        </w:tc>
        <w:tc>
          <w:tcPr>
            <w:tcW w:w="2735" w:type="dxa"/>
            <w:gridSpan w:val="2"/>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5"/>
              <w:ind w:left="72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412" w:hRule="exact"/>
        </w:trPr>
        <w:tc>
          <w:tcPr>
            <w:tcW w:w="1702" w:type="dxa"/>
            <w:vMerge/>
            <w:tcBorders>
              <w:left w:val="single" w:sz="12" w:space="0" w:color="000000"/>
              <w:bottom w:val="single" w:sz="6" w:space="0" w:color="000000"/>
              <w:right w:val="single" w:sz="6" w:space="0" w:color="000000"/>
            </w:tcBorders>
            <w:shd w:val="clear" w:color="auto" w:fill="D3D3D3"/>
          </w:tcPr>
          <w:p>
            <w:pPr/>
          </w:p>
        </w:tc>
        <w:tc>
          <w:tcPr>
            <w:tcW w:w="1417" w:type="dxa"/>
            <w:vMerge/>
            <w:tcBorders>
              <w:left w:val="single" w:sz="6" w:space="0" w:color="000000"/>
              <w:bottom w:val="single" w:sz="6" w:space="0" w:color="000000"/>
              <w:right w:val="single" w:sz="6" w:space="0" w:color="000000"/>
            </w:tcBorders>
            <w:shd w:val="clear" w:color="auto" w:fill="D3D3D3"/>
          </w:tcPr>
          <w:p>
            <w:pPr/>
          </w:p>
        </w:tc>
        <w:tc>
          <w:tcPr>
            <w:tcW w:w="979" w:type="dxa"/>
            <w:vMerge/>
            <w:tcBorders>
              <w:left w:val="single" w:sz="6" w:space="0" w:color="000000"/>
              <w:bottom w:val="single" w:sz="6" w:space="0" w:color="000000"/>
              <w:right w:val="single" w:sz="6" w:space="0" w:color="000000"/>
            </w:tcBorders>
            <w:shd w:val="clear" w:color="auto" w:fill="D3D3D3"/>
          </w:tcPr>
          <w:p>
            <w:pPr/>
          </w:p>
        </w:tc>
        <w:tc>
          <w:tcPr>
            <w:tcW w:w="1368" w:type="dxa"/>
            <w:vMerge/>
            <w:tcBorders>
              <w:left w:val="single" w:sz="6" w:space="0" w:color="000000"/>
              <w:bottom w:val="single" w:sz="6" w:space="0" w:color="000000"/>
              <w:right w:val="single" w:sz="6" w:space="0" w:color="000000"/>
            </w:tcBorders>
            <w:shd w:val="clear" w:color="auto" w:fill="D3D3D3"/>
          </w:tcPr>
          <w:p>
            <w:pPr/>
          </w:p>
        </w:tc>
        <w:tc>
          <w:tcPr>
            <w:tcW w:w="1368" w:type="dxa"/>
            <w:vMerge/>
            <w:tcBorders>
              <w:left w:val="single" w:sz="6" w:space="0" w:color="000000"/>
              <w:bottom w:val="single" w:sz="6" w:space="0" w:color="000000"/>
              <w:right w:val="single" w:sz="6" w:space="0" w:color="000000"/>
            </w:tcBorders>
            <w:shd w:val="clear" w:color="auto" w:fill="D3D3D3"/>
          </w:tcPr>
          <w:p>
            <w:pPr/>
          </w:p>
        </w:tc>
        <w:tc>
          <w:tcPr>
            <w:tcW w:w="136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3"/>
              <w:ind w:right="317"/>
              <w:jc w:val="right"/>
              <w:rPr>
                <w:rFonts w:ascii="宋体" w:hAnsi="宋体" w:cs="宋体" w:eastAsia="宋体" w:hint="default"/>
                <w:sz w:val="18"/>
                <w:szCs w:val="18"/>
              </w:rPr>
            </w:pPr>
            <w:r>
              <w:rPr>
                <w:rFonts w:ascii="宋体" w:hAnsi="宋体" w:cs="宋体" w:eastAsia="宋体" w:hint="default"/>
                <w:sz w:val="18"/>
                <w:szCs w:val="18"/>
              </w:rPr>
              <w:t>股份状态</w:t>
            </w:r>
          </w:p>
        </w:tc>
        <w:tc>
          <w:tcPr>
            <w:tcW w:w="1367"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3"/>
              <w:ind w:left="49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9"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385" w:right="32" w:hanging="360"/>
              <w:jc w:val="left"/>
              <w:rPr>
                <w:rFonts w:ascii="宋体" w:hAnsi="宋体" w:cs="宋体" w:eastAsia="宋体" w:hint="default"/>
                <w:sz w:val="18"/>
                <w:szCs w:val="18"/>
              </w:rPr>
            </w:pPr>
            <w:r>
              <w:rPr>
                <w:rFonts w:ascii="宋体" w:hAnsi="宋体" w:cs="宋体" w:eastAsia="宋体" w:hint="default"/>
                <w:sz w:val="18"/>
                <w:szCs w:val="18"/>
              </w:rPr>
              <w:t>江苏光一投资管理有 限责任公司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32.77%</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28,400,000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28,400,000</w:t>
            </w: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12" w:space="0" w:color="000000"/>
            </w:tcBorders>
          </w:tcPr>
          <w:p>
            <w:pPr/>
          </w:p>
        </w:tc>
      </w:tr>
      <w:tr>
        <w:trPr>
          <w:trHeight w:val="760"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357" w:lineRule="auto" w:before="52"/>
              <w:ind w:left="295" w:right="302"/>
              <w:jc w:val="left"/>
              <w:rPr>
                <w:rFonts w:ascii="宋体" w:hAnsi="宋体" w:cs="宋体" w:eastAsia="宋体" w:hint="default"/>
                <w:sz w:val="18"/>
                <w:szCs w:val="18"/>
              </w:rPr>
            </w:pPr>
            <w:r>
              <w:rPr>
                <w:rFonts w:ascii="宋体" w:hAnsi="宋体" w:cs="宋体" w:eastAsia="宋体" w:hint="default"/>
                <w:sz w:val="18"/>
                <w:szCs w:val="18"/>
              </w:rPr>
              <w:t>北京华康瑞宏 投资有限公司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12.69%</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11,000,000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11,000,000</w:t>
            </w: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龙昌明</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11.5%</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9,969,000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9,969,000</w:t>
            </w: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25" w:right="32"/>
              <w:jc w:val="left"/>
              <w:rPr>
                <w:rFonts w:ascii="宋体" w:hAnsi="宋体" w:cs="宋体" w:eastAsia="宋体" w:hint="default"/>
                <w:sz w:val="18"/>
                <w:szCs w:val="18"/>
              </w:rPr>
            </w:pPr>
            <w:r>
              <w:rPr>
                <w:rFonts w:ascii="宋体" w:hAnsi="宋体" w:cs="宋体" w:eastAsia="宋体" w:hint="default"/>
                <w:sz w:val="18"/>
                <w:szCs w:val="18"/>
              </w:rPr>
              <w:t>杭州熠明创业投资合 伙企业（有限合伙）</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2.77%</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2,400,000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2,400,000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1,600,000</w:t>
            </w:r>
          </w:p>
        </w:tc>
      </w:tr>
      <w:tr>
        <w:trPr>
          <w:trHeight w:val="413"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徐一宁</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2.5%</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9"/>
              <w:jc w:val="right"/>
              <w:rPr>
                <w:rFonts w:ascii="宋体" w:hAnsi="宋体" w:cs="宋体" w:eastAsia="宋体" w:hint="default"/>
                <w:sz w:val="18"/>
                <w:szCs w:val="18"/>
              </w:rPr>
            </w:pPr>
            <w:r>
              <w:rPr>
                <w:rFonts w:ascii="宋体"/>
                <w:sz w:val="18"/>
              </w:rPr>
              <w:t>2,170,000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9"/>
              <w:jc w:val="right"/>
              <w:rPr>
                <w:rFonts w:ascii="宋体" w:hAnsi="宋体" w:cs="宋体" w:eastAsia="宋体" w:hint="default"/>
                <w:sz w:val="18"/>
                <w:szCs w:val="18"/>
              </w:rPr>
            </w:pPr>
            <w:r>
              <w:rPr>
                <w:rFonts w:ascii="宋体"/>
                <w:sz w:val="18"/>
              </w:rPr>
              <w:t>2,170,000</w:t>
            </w: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115" w:right="32" w:hanging="90"/>
              <w:jc w:val="left"/>
              <w:rPr>
                <w:rFonts w:ascii="宋体" w:hAnsi="宋体" w:cs="宋体" w:eastAsia="宋体" w:hint="default"/>
                <w:sz w:val="18"/>
                <w:szCs w:val="18"/>
              </w:rPr>
            </w:pPr>
            <w:r>
              <w:rPr>
                <w:rFonts w:ascii="宋体" w:hAnsi="宋体" w:cs="宋体" w:eastAsia="宋体" w:hint="default"/>
                <w:sz w:val="18"/>
                <w:szCs w:val="18"/>
              </w:rPr>
              <w:t>苏州阿尔法投资管理 中心（有限合伙）</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2.31%</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2,000,000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2,000,000</w:t>
            </w: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蒋国安</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2.1%</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1,820,000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1,820,000</w:t>
            </w: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熊珂</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1.3%</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9"/>
              <w:jc w:val="right"/>
              <w:rPr>
                <w:rFonts w:ascii="宋体" w:hAnsi="宋体" w:cs="宋体" w:eastAsia="宋体" w:hint="default"/>
                <w:sz w:val="18"/>
                <w:szCs w:val="18"/>
              </w:rPr>
            </w:pPr>
            <w:r>
              <w:rPr>
                <w:rFonts w:ascii="宋体"/>
                <w:sz w:val="18"/>
              </w:rPr>
              <w:t>1,125,000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9"/>
              <w:jc w:val="right"/>
              <w:rPr>
                <w:rFonts w:ascii="宋体" w:hAnsi="宋体" w:cs="宋体" w:eastAsia="宋体" w:hint="default"/>
                <w:sz w:val="18"/>
                <w:szCs w:val="18"/>
              </w:rPr>
            </w:pPr>
            <w:r>
              <w:rPr>
                <w:rFonts w:ascii="宋体"/>
                <w:sz w:val="18"/>
              </w:rPr>
              <w:t>1,125,000</w:t>
            </w: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陶涛</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1.27%</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9"/>
              <w:jc w:val="right"/>
              <w:rPr>
                <w:rFonts w:ascii="宋体" w:hAnsi="宋体" w:cs="宋体" w:eastAsia="宋体" w:hint="default"/>
                <w:sz w:val="18"/>
                <w:szCs w:val="18"/>
              </w:rPr>
            </w:pPr>
            <w:r>
              <w:rPr>
                <w:rFonts w:ascii="宋体"/>
                <w:sz w:val="18"/>
              </w:rPr>
              <w:t>1,100,000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9"/>
              <w:jc w:val="right"/>
              <w:rPr>
                <w:rFonts w:ascii="宋体" w:hAnsi="宋体" w:cs="宋体" w:eastAsia="宋体" w:hint="default"/>
                <w:sz w:val="18"/>
                <w:szCs w:val="18"/>
              </w:rPr>
            </w:pPr>
            <w:r>
              <w:rPr>
                <w:rFonts w:ascii="宋体"/>
                <w:sz w:val="18"/>
              </w:rPr>
              <w:t>1,100,000</w:t>
            </w: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565" w:right="32" w:hanging="540"/>
              <w:jc w:val="left"/>
              <w:rPr>
                <w:rFonts w:ascii="宋体" w:hAnsi="宋体" w:cs="宋体" w:eastAsia="宋体" w:hint="default"/>
                <w:sz w:val="18"/>
                <w:szCs w:val="18"/>
              </w:rPr>
            </w:pPr>
            <w:r>
              <w:rPr>
                <w:rFonts w:ascii="宋体" w:hAnsi="宋体" w:cs="宋体" w:eastAsia="宋体" w:hint="default"/>
                <w:sz w:val="18"/>
                <w:szCs w:val="18"/>
              </w:rPr>
              <w:t>汇金立方资本管理有 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1.27%</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1,100,000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1,100,000</w:t>
            </w: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12" w:space="0" w:color="000000"/>
            </w:tcBorders>
          </w:tcPr>
          <w:p>
            <w:pPr/>
          </w:p>
        </w:tc>
      </w:tr>
      <w:tr>
        <w:trPr>
          <w:trHeight w:val="410" w:hRule="exact"/>
        </w:trPr>
        <w:tc>
          <w:tcPr>
            <w:tcW w:w="9570" w:type="dxa"/>
            <w:gridSpan w:val="7"/>
            <w:tcBorders>
              <w:top w:val="single" w:sz="6" w:space="0" w:color="000000"/>
              <w:left w:val="single" w:sz="12" w:space="0" w:color="000000"/>
              <w:bottom w:val="single" w:sz="6" w:space="0" w:color="000000"/>
              <w:right w:val="single" w:sz="12"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413" w:hRule="exact"/>
        </w:trPr>
        <w:tc>
          <w:tcPr>
            <w:tcW w:w="3119" w:type="dxa"/>
            <w:gridSpan w:val="2"/>
            <w:vMerge w:val="restart"/>
            <w:tcBorders>
              <w:top w:val="single" w:sz="6" w:space="0" w:color="000000"/>
              <w:left w:val="single" w:sz="12" w:space="0" w:color="000000"/>
              <w:right w:val="single" w:sz="6" w:space="0" w:color="000000"/>
            </w:tcBorders>
            <w:shd w:val="clear" w:color="auto" w:fill="D3D3D3"/>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715" w:type="dxa"/>
            <w:gridSpan w:val="3"/>
            <w:vMerge w:val="restart"/>
            <w:tcBorders>
              <w:top w:val="single" w:sz="6" w:space="0" w:color="000000"/>
              <w:left w:val="single" w:sz="6" w:space="0" w:color="000000"/>
              <w:right w:val="single" w:sz="6" w:space="0" w:color="000000"/>
            </w:tcBorders>
            <w:shd w:val="clear" w:color="auto" w:fill="D3D3D3"/>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860"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735" w:type="dxa"/>
            <w:gridSpan w:val="2"/>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5"/>
              <w:ind w:left="6"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12" w:hRule="exact"/>
        </w:trPr>
        <w:tc>
          <w:tcPr>
            <w:tcW w:w="3119" w:type="dxa"/>
            <w:gridSpan w:val="2"/>
            <w:vMerge/>
            <w:tcBorders>
              <w:left w:val="single" w:sz="12" w:space="0" w:color="000000"/>
              <w:bottom w:val="single" w:sz="6" w:space="0" w:color="000000"/>
              <w:right w:val="single" w:sz="6" w:space="0" w:color="000000"/>
            </w:tcBorders>
            <w:shd w:val="clear" w:color="auto" w:fill="D3D3D3"/>
          </w:tcPr>
          <w:p>
            <w:pPr/>
          </w:p>
        </w:tc>
        <w:tc>
          <w:tcPr>
            <w:tcW w:w="3715" w:type="dxa"/>
            <w:gridSpan w:val="3"/>
            <w:vMerge/>
            <w:tcBorders>
              <w:left w:val="single" w:sz="6" w:space="0" w:color="000000"/>
              <w:bottom w:val="single" w:sz="6" w:space="0" w:color="000000"/>
              <w:right w:val="single" w:sz="6" w:space="0" w:color="000000"/>
            </w:tcBorders>
            <w:shd w:val="clear" w:color="auto" w:fill="D3D3D3"/>
          </w:tcPr>
          <w:p>
            <w:pPr/>
          </w:p>
        </w:tc>
        <w:tc>
          <w:tcPr>
            <w:tcW w:w="136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4"/>
              <w:ind w:right="317"/>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67"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4"/>
              <w:ind w:left="49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12" w:hRule="exact"/>
        </w:trPr>
        <w:tc>
          <w:tcPr>
            <w:tcW w:w="3119"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杨万蓉</w:t>
            </w:r>
          </w:p>
        </w:tc>
        <w:tc>
          <w:tcPr>
            <w:tcW w:w="371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238,701</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51"/>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238,701</w:t>
            </w:r>
          </w:p>
        </w:tc>
      </w:tr>
      <w:tr>
        <w:trPr>
          <w:trHeight w:val="413" w:hRule="exact"/>
        </w:trPr>
        <w:tc>
          <w:tcPr>
            <w:tcW w:w="3119"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55"/>
              <w:ind w:right="6"/>
              <w:jc w:val="center"/>
              <w:rPr>
                <w:rFonts w:ascii="宋体" w:hAnsi="宋体" w:cs="宋体" w:eastAsia="宋体" w:hint="default"/>
                <w:sz w:val="18"/>
                <w:szCs w:val="18"/>
              </w:rPr>
            </w:pPr>
            <w:r>
              <w:rPr>
                <w:rFonts w:ascii="宋体" w:hAnsi="宋体" w:cs="宋体" w:eastAsia="宋体" w:hint="default"/>
                <w:sz w:val="18"/>
                <w:szCs w:val="18"/>
              </w:rPr>
              <w:t>周杨</w:t>
            </w:r>
          </w:p>
        </w:tc>
        <w:tc>
          <w:tcPr>
            <w:tcW w:w="371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232,107</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51"/>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11"/>
              <w:jc w:val="right"/>
              <w:rPr>
                <w:rFonts w:ascii="宋体" w:hAnsi="宋体" w:cs="宋体" w:eastAsia="宋体" w:hint="default"/>
                <w:sz w:val="18"/>
                <w:szCs w:val="18"/>
              </w:rPr>
            </w:pPr>
            <w:r>
              <w:rPr>
                <w:rFonts w:ascii="宋体"/>
                <w:sz w:val="18"/>
              </w:rPr>
              <w:t>232,107</w:t>
            </w:r>
          </w:p>
        </w:tc>
      </w:tr>
      <w:tr>
        <w:trPr>
          <w:trHeight w:val="419" w:hRule="exact"/>
        </w:trPr>
        <w:tc>
          <w:tcPr>
            <w:tcW w:w="3119"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3"/>
              <w:ind w:left="464" w:right="0"/>
              <w:jc w:val="left"/>
              <w:rPr>
                <w:rFonts w:ascii="宋体" w:hAnsi="宋体" w:cs="宋体" w:eastAsia="宋体" w:hint="default"/>
                <w:sz w:val="18"/>
                <w:szCs w:val="18"/>
              </w:rPr>
            </w:pPr>
            <w:r>
              <w:rPr>
                <w:rFonts w:ascii="宋体" w:hAnsi="宋体" w:cs="宋体" w:eastAsia="宋体" w:hint="default"/>
                <w:sz w:val="18"/>
                <w:szCs w:val="18"/>
              </w:rPr>
              <w:t>中国银河证券股份有限公司</w:t>
            </w:r>
          </w:p>
        </w:tc>
        <w:tc>
          <w:tcPr>
            <w:tcW w:w="3715"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222,780</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251"/>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222,780</w:t>
            </w:r>
          </w:p>
        </w:tc>
      </w:tr>
    </w:tbl>
    <w:p>
      <w:pPr>
        <w:spacing w:after="0" w:line="240" w:lineRule="auto"/>
        <w:jc w:val="right"/>
        <w:rPr>
          <w:rFonts w:ascii="宋体" w:hAnsi="宋体" w:cs="宋体" w:eastAsia="宋体" w:hint="default"/>
          <w:sz w:val="18"/>
          <w:szCs w:val="18"/>
        </w:rPr>
        <w:sectPr>
          <w:pgSz w:w="11910" w:h="16840"/>
          <w:pgMar w:header="747" w:footer="1003" w:top="1040" w:bottom="1200" w:left="980" w:right="980"/>
        </w:sectPr>
      </w:pPr>
    </w:p>
    <w:p>
      <w:pPr>
        <w:spacing w:line="240" w:lineRule="auto" w:before="3"/>
        <w:rPr>
          <w:rFonts w:ascii="宋体" w:hAnsi="宋体" w:cs="宋体" w:eastAsia="宋体" w:hint="default"/>
          <w:b/>
          <w:bCs/>
          <w:sz w:val="29"/>
          <w:szCs w:val="29"/>
        </w:rPr>
      </w:pPr>
    </w:p>
    <w:tbl>
      <w:tblPr>
        <w:tblW w:w="0" w:type="auto"/>
        <w:jc w:val="left"/>
        <w:tblInd w:w="138" w:type="dxa"/>
        <w:tblLayout w:type="fixed"/>
        <w:tblCellMar>
          <w:top w:w="0" w:type="dxa"/>
          <w:left w:w="0" w:type="dxa"/>
          <w:bottom w:w="0" w:type="dxa"/>
          <w:right w:w="0" w:type="dxa"/>
        </w:tblCellMar>
        <w:tblLook w:val="01E0"/>
      </w:tblPr>
      <w:tblGrid>
        <w:gridCol w:w="3119"/>
        <w:gridCol w:w="3715"/>
        <w:gridCol w:w="1368"/>
        <w:gridCol w:w="1367"/>
      </w:tblGrid>
      <w:tr>
        <w:trPr>
          <w:trHeight w:val="419" w:hRule="exact"/>
        </w:trPr>
        <w:tc>
          <w:tcPr>
            <w:tcW w:w="311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1"/>
              <w:ind w:left="464" w:right="0"/>
              <w:jc w:val="left"/>
              <w:rPr>
                <w:rFonts w:ascii="宋体" w:hAnsi="宋体" w:cs="宋体" w:eastAsia="宋体" w:hint="default"/>
                <w:sz w:val="18"/>
                <w:szCs w:val="18"/>
              </w:rPr>
            </w:pPr>
            <w:r>
              <w:rPr>
                <w:rFonts w:ascii="宋体" w:hAnsi="宋体" w:cs="宋体" w:eastAsia="宋体" w:hint="default"/>
                <w:sz w:val="18"/>
                <w:szCs w:val="18"/>
              </w:rPr>
              <w:t>客户信用交易担保证券账户</w:t>
            </w:r>
          </w:p>
        </w:tc>
        <w:tc>
          <w:tcPr>
            <w:tcW w:w="3715" w:type="dxa"/>
            <w:tcBorders>
              <w:top w:val="single" w:sz="12" w:space="0" w:color="000000"/>
              <w:left w:val="single" w:sz="6" w:space="0" w:color="000000"/>
              <w:bottom w:val="single" w:sz="6" w:space="0" w:color="000000"/>
              <w:right w:val="single" w:sz="6" w:space="0" w:color="000000"/>
            </w:tcBorders>
          </w:tcPr>
          <w:p>
            <w:pPr/>
          </w:p>
        </w:tc>
        <w:tc>
          <w:tcPr>
            <w:tcW w:w="1368" w:type="dxa"/>
            <w:tcBorders>
              <w:top w:val="single" w:sz="12" w:space="0" w:color="000000"/>
              <w:left w:val="single" w:sz="6" w:space="0" w:color="000000"/>
              <w:bottom w:val="single" w:sz="6" w:space="0" w:color="000000"/>
              <w:right w:val="single" w:sz="6" w:space="0" w:color="000000"/>
            </w:tcBorders>
          </w:tcPr>
          <w:p>
            <w:pPr/>
          </w:p>
        </w:tc>
        <w:tc>
          <w:tcPr>
            <w:tcW w:w="1367" w:type="dxa"/>
            <w:tcBorders>
              <w:top w:val="single" w:sz="12"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z w:val="18"/>
                <w:szCs w:val="18"/>
              </w:rPr>
              <w:t>深圳市典盛实业有限公司</w:t>
            </w:r>
          </w:p>
        </w:tc>
        <w:tc>
          <w:tcPr>
            <w:tcW w:w="3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192,935</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192,935</w:t>
            </w:r>
          </w:p>
        </w:tc>
      </w:tr>
      <w:tr>
        <w:trPr>
          <w:trHeight w:val="413"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5"/>
              <w:ind w:right="6"/>
              <w:jc w:val="center"/>
              <w:rPr>
                <w:rFonts w:ascii="宋体" w:hAnsi="宋体" w:cs="宋体" w:eastAsia="宋体" w:hint="default"/>
                <w:sz w:val="18"/>
                <w:szCs w:val="18"/>
              </w:rPr>
            </w:pPr>
            <w:r>
              <w:rPr>
                <w:rFonts w:ascii="宋体" w:hAnsi="宋体" w:cs="宋体" w:eastAsia="宋体" w:hint="default"/>
                <w:sz w:val="18"/>
                <w:szCs w:val="18"/>
              </w:rPr>
              <w:t>王顺静</w:t>
            </w:r>
          </w:p>
        </w:tc>
        <w:tc>
          <w:tcPr>
            <w:tcW w:w="3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169,600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2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11"/>
              <w:jc w:val="right"/>
              <w:rPr>
                <w:rFonts w:ascii="宋体" w:hAnsi="宋体" w:cs="宋体" w:eastAsia="宋体" w:hint="default"/>
                <w:sz w:val="18"/>
                <w:szCs w:val="18"/>
              </w:rPr>
            </w:pPr>
            <w:r>
              <w:rPr>
                <w:rFonts w:ascii="宋体"/>
                <w:sz w:val="18"/>
              </w:rPr>
              <w:t>169,600</w:t>
            </w:r>
          </w:p>
        </w:tc>
      </w:tr>
      <w:tr>
        <w:trPr>
          <w:trHeight w:val="412"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谭振华</w:t>
            </w:r>
          </w:p>
        </w:tc>
        <w:tc>
          <w:tcPr>
            <w:tcW w:w="3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166,300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166,300</w:t>
            </w:r>
          </w:p>
        </w:tc>
      </w:tr>
      <w:tr>
        <w:trPr>
          <w:trHeight w:val="412"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张建成</w:t>
            </w:r>
          </w:p>
        </w:tc>
        <w:tc>
          <w:tcPr>
            <w:tcW w:w="3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148,000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148,000</w:t>
            </w:r>
          </w:p>
        </w:tc>
      </w:tr>
      <w:tr>
        <w:trPr>
          <w:trHeight w:val="760"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357" w:lineRule="auto" w:before="52"/>
              <w:ind w:left="644" w:right="470" w:hanging="180"/>
              <w:jc w:val="left"/>
              <w:rPr>
                <w:rFonts w:ascii="宋体" w:hAnsi="宋体" w:cs="宋体" w:eastAsia="宋体" w:hint="default"/>
                <w:sz w:val="18"/>
                <w:szCs w:val="18"/>
              </w:rPr>
            </w:pPr>
            <w:r>
              <w:rPr>
                <w:rFonts w:ascii="宋体" w:hAnsi="宋体" w:cs="宋体" w:eastAsia="宋体" w:hint="default"/>
                <w:sz w:val="18"/>
                <w:szCs w:val="18"/>
              </w:rPr>
              <w:t>长江证券股份有限公司客户 信用交易担保证券账户</w:t>
            </w:r>
          </w:p>
        </w:tc>
        <w:tc>
          <w:tcPr>
            <w:tcW w:w="3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135,600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135,600</w:t>
            </w:r>
          </w:p>
        </w:tc>
      </w:tr>
      <w:tr>
        <w:trPr>
          <w:trHeight w:val="412"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江文晋</w:t>
            </w:r>
          </w:p>
        </w:tc>
        <w:tc>
          <w:tcPr>
            <w:tcW w:w="3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128,798</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128,798</w:t>
            </w:r>
          </w:p>
        </w:tc>
      </w:tr>
      <w:tr>
        <w:trPr>
          <w:trHeight w:val="412"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5"/>
              <w:ind w:right="6"/>
              <w:jc w:val="center"/>
              <w:rPr>
                <w:rFonts w:ascii="宋体" w:hAnsi="宋体" w:cs="宋体" w:eastAsia="宋体" w:hint="default"/>
                <w:sz w:val="18"/>
                <w:szCs w:val="18"/>
              </w:rPr>
            </w:pPr>
            <w:r>
              <w:rPr>
                <w:rFonts w:ascii="宋体" w:hAnsi="宋体" w:cs="宋体" w:eastAsia="宋体" w:hint="default"/>
                <w:sz w:val="18"/>
                <w:szCs w:val="18"/>
              </w:rPr>
              <w:t>邹伟光</w:t>
            </w:r>
          </w:p>
        </w:tc>
        <w:tc>
          <w:tcPr>
            <w:tcW w:w="3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123,900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2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11"/>
              <w:jc w:val="right"/>
              <w:rPr>
                <w:rFonts w:ascii="宋体" w:hAnsi="宋体" w:cs="宋体" w:eastAsia="宋体" w:hint="default"/>
                <w:sz w:val="18"/>
                <w:szCs w:val="18"/>
              </w:rPr>
            </w:pPr>
            <w:r>
              <w:rPr>
                <w:rFonts w:ascii="宋体"/>
                <w:sz w:val="18"/>
              </w:rPr>
              <w:t>123,900</w:t>
            </w:r>
          </w:p>
        </w:tc>
      </w:tr>
      <w:tr>
        <w:trPr>
          <w:trHeight w:val="728" w:hRule="exact"/>
        </w:trPr>
        <w:tc>
          <w:tcPr>
            <w:tcW w:w="3119"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451" w:type="dxa"/>
            <w:gridSpan w:val="3"/>
            <w:tcBorders>
              <w:top w:val="single" w:sz="6" w:space="0" w:color="000000"/>
              <w:left w:val="single" w:sz="6" w:space="0" w:color="000000"/>
              <w:bottom w:val="single" w:sz="12" w:space="0" w:color="000000"/>
              <w:right w:val="single" w:sz="12" w:space="0" w:color="000000"/>
            </w:tcBorders>
          </w:tcPr>
          <w:p>
            <w:pPr>
              <w:pStyle w:val="TableParagraph"/>
              <w:spacing w:line="316" w:lineRule="auto" w:before="52"/>
              <w:ind w:left="21" w:right="11" w:firstLine="360"/>
              <w:jc w:val="left"/>
              <w:rPr>
                <w:rFonts w:ascii="宋体" w:hAnsi="宋体" w:cs="宋体" w:eastAsia="宋体" w:hint="default"/>
                <w:sz w:val="18"/>
                <w:szCs w:val="18"/>
              </w:rPr>
            </w:pPr>
            <w:r>
              <w:rPr>
                <w:rFonts w:ascii="宋体" w:hAnsi="宋体" w:cs="宋体" w:eastAsia="宋体" w:hint="default"/>
                <w:spacing w:val="-3"/>
                <w:sz w:val="18"/>
                <w:szCs w:val="18"/>
              </w:rPr>
              <w:t>公司控股股东光一投资为实际控制人龙昌明先生控制的企业，股东熊珂女士为</w:t>
            </w:r>
            <w:r>
              <w:rPr>
                <w:rFonts w:ascii="宋体" w:hAnsi="宋体" w:cs="宋体" w:eastAsia="宋体" w:hint="default"/>
                <w:sz w:val="18"/>
                <w:szCs w:val="18"/>
              </w:rPr>
              <w:t> 龙昌明先生的配偶，其他股东未知是否存在关联关系或一致行动。</w:t>
            </w:r>
          </w:p>
        </w:tc>
      </w:tr>
    </w:tbl>
    <w:p>
      <w:pPr>
        <w:spacing w:line="240" w:lineRule="auto" w:before="2"/>
        <w:rPr>
          <w:rFonts w:ascii="宋体" w:hAnsi="宋体" w:cs="宋体" w:eastAsia="宋体" w:hint="default"/>
          <w:b/>
          <w:bCs/>
          <w:sz w:val="18"/>
          <w:szCs w:val="18"/>
        </w:rPr>
      </w:pPr>
    </w:p>
    <w:p>
      <w:pPr>
        <w:pStyle w:val="Heading2"/>
        <w:spacing w:line="240" w:lineRule="auto"/>
        <w:ind w:right="106"/>
        <w:jc w:val="left"/>
        <w:rPr>
          <w:b w:val="0"/>
          <w:bCs w:val="0"/>
        </w:rPr>
      </w:pPr>
      <w:r>
        <w:rPr/>
        <w:t>2、公司控股股东情况</w:t>
      </w:r>
      <w:r>
        <w:rPr>
          <w:b w:val="0"/>
          <w:bCs w:val="0"/>
        </w:rPr>
      </w:r>
    </w:p>
    <w:p>
      <w:pPr>
        <w:spacing w:line="240" w:lineRule="auto" w:before="10"/>
        <w:rPr>
          <w:rFonts w:ascii="宋体" w:hAnsi="宋体" w:cs="宋体" w:eastAsia="宋体" w:hint="default"/>
          <w:b/>
          <w:bCs/>
          <w:sz w:val="28"/>
          <w:szCs w:val="28"/>
        </w:rPr>
      </w:pPr>
    </w:p>
    <w:p>
      <w:pPr>
        <w:pStyle w:val="Heading3"/>
        <w:spacing w:line="357" w:lineRule="auto" w:before="0"/>
        <w:ind w:left="154" w:right="216"/>
        <w:jc w:val="left"/>
      </w:pPr>
      <w:r>
        <w:rPr>
          <w:spacing w:val="-2"/>
        </w:rPr>
        <w:t>江苏光一投资管理有限责任公司（简称“光一投资”）持有公司股份2,840万股，持股比例为</w:t>
      </w:r>
      <w:r>
        <w:rPr>
          <w:spacing w:val="-118"/>
        </w:rPr>
        <w:t> </w:t>
      </w:r>
      <w:r>
        <w:rPr>
          <w:spacing w:val="-118"/>
        </w:rPr>
      </w:r>
      <w:r>
        <w:rPr/>
        <w:t>32.77%，为公司控股股东。具体情况如下：</w:t>
      </w:r>
    </w:p>
    <w:p>
      <w:pPr>
        <w:pStyle w:val="Heading3"/>
        <w:spacing w:line="357" w:lineRule="auto"/>
        <w:ind w:left="154" w:right="7210"/>
        <w:jc w:val="left"/>
      </w:pPr>
      <w:r>
        <w:rPr/>
        <w:t>成立时间：2009年1月9日 注册资本：1,000万元 实收资本：1,000万元 法定代表人：龙昌明</w:t>
      </w:r>
    </w:p>
    <w:p>
      <w:pPr>
        <w:pStyle w:val="Heading3"/>
        <w:spacing w:line="357" w:lineRule="auto"/>
        <w:ind w:left="154" w:right="3130"/>
        <w:jc w:val="left"/>
      </w:pPr>
      <w:r>
        <w:rPr/>
        <w:t>注册地址及主要经营地：南京市江宁经济技术开发区胜太路68号 经营范围：投资管理</w:t>
      </w:r>
    </w:p>
    <w:p>
      <w:pPr>
        <w:spacing w:line="357" w:lineRule="auto" w:before="36"/>
        <w:ind w:left="634" w:right="106" w:hanging="480"/>
        <w:jc w:val="left"/>
        <w:rPr>
          <w:rFonts w:ascii="宋体" w:hAnsi="宋体" w:cs="宋体" w:eastAsia="宋体" w:hint="default"/>
          <w:sz w:val="24"/>
          <w:szCs w:val="24"/>
        </w:rPr>
      </w:pPr>
      <w:r>
        <w:rPr>
          <w:rFonts w:ascii="宋体" w:hAnsi="宋体" w:cs="宋体" w:eastAsia="宋体" w:hint="default"/>
          <w:b/>
          <w:bCs/>
          <w:sz w:val="24"/>
          <w:szCs w:val="24"/>
        </w:rPr>
        <w:t>3、公司实际控制人情况</w:t>
      </w:r>
      <w:r>
        <w:rPr>
          <w:rFonts w:ascii="宋体" w:hAnsi="宋体" w:cs="宋体" w:eastAsia="宋体" w:hint="default"/>
          <w:b/>
          <w:bCs/>
          <w:spacing w:val="1"/>
          <w:w w:val="99"/>
          <w:sz w:val="24"/>
          <w:szCs w:val="24"/>
        </w:rPr>
        <w:t> </w:t>
      </w:r>
      <w:r>
        <w:rPr>
          <w:rFonts w:ascii="宋体" w:hAnsi="宋体" w:cs="宋体" w:eastAsia="宋体" w:hint="default"/>
          <w:spacing w:val="6"/>
          <w:sz w:val="24"/>
          <w:szCs w:val="24"/>
        </w:rPr>
        <w:t>龙昌明先生为公司实际控制人，截止2012年12月31日，龙昌明先生直接持有公司股份</w:t>
      </w:r>
      <w:r>
        <w:rPr>
          <w:rFonts w:ascii="宋体" w:hAnsi="宋体" w:cs="宋体" w:eastAsia="宋体" w:hint="default"/>
          <w:sz w:val="24"/>
          <w:szCs w:val="24"/>
        </w:rPr>
      </w:r>
    </w:p>
    <w:p>
      <w:pPr>
        <w:pStyle w:val="Heading3"/>
        <w:spacing w:line="357" w:lineRule="auto"/>
        <w:ind w:right="106"/>
        <w:jc w:val="left"/>
      </w:pPr>
      <w:r>
        <w:rPr>
          <w:spacing w:val="-7"/>
        </w:rPr>
        <w:t>996.90万股，占公司股份总数的11.50%，并通过持有光一投资615万股的股权（持股比例61.5%）</w:t>
      </w:r>
      <w:r>
        <w:rPr>
          <w:spacing w:val="-77"/>
        </w:rPr>
        <w:t> </w:t>
      </w:r>
      <w:r>
        <w:rPr>
          <w:spacing w:val="-77"/>
        </w:rPr>
      </w:r>
      <w:r>
        <w:rPr/>
        <w:t>间接持有公司20.15%的股份，龙昌明先生直接和间接持有公司31.65%的股份。龙昌明先生配</w:t>
      </w:r>
      <w:r>
        <w:rPr/>
        <w:t> 偶熊珂女士直接持有公司股份112.5万股，占公司股份总数的1.30%，并通过持有光一投资165 </w:t>
      </w:r>
      <w:r>
        <w:rPr>
          <w:spacing w:val="-7"/>
        </w:rPr>
        <w:t>万股的股权（出资比例16.5%）间接持有公司5.41%的股份，熊珂女士直接和间接持有公司6.71%</w:t>
      </w:r>
      <w:r>
        <w:rPr>
          <w:spacing w:val="-98"/>
        </w:rPr>
        <w:t> </w:t>
      </w:r>
      <w:r>
        <w:rPr>
          <w:spacing w:val="-98"/>
        </w:rPr>
      </w:r>
      <w:r>
        <w:rPr/>
        <w:t>的股份。龙昌明先生及其一致行动人熊珂女士合计持有公司38.36%的股份。</w:t>
      </w:r>
    </w:p>
    <w:p>
      <w:pPr>
        <w:pStyle w:val="Heading3"/>
        <w:spacing w:line="357" w:lineRule="auto" w:before="35"/>
        <w:ind w:right="227" w:firstLine="480"/>
        <w:jc w:val="both"/>
      </w:pPr>
      <w:r>
        <w:rPr>
          <w:spacing w:val="-3"/>
        </w:rPr>
        <w:t>龙昌明先生简历如下：龙昌明先生，1966年4月出生，中国国籍，无境外永久居留权，大</w:t>
      </w:r>
      <w:r>
        <w:rPr/>
        <w:t> 学本科学历。1987年毕业于南京工学院无线电系，1987年至1997年任职于南京军区前线歌舞</w:t>
      </w:r>
      <w:r>
        <w:rPr>
          <w:spacing w:val="-111"/>
        </w:rPr>
        <w:t> </w:t>
      </w:r>
      <w:r>
        <w:rPr>
          <w:spacing w:val="-111"/>
        </w:rPr>
      </w:r>
      <w:r>
        <w:rPr>
          <w:spacing w:val="-5"/>
        </w:rPr>
        <w:t>团舞美队，担任文职干部；1997年至2000年任职于江苏光一电子有限公司，担任技术负责人；</w:t>
      </w:r>
    </w:p>
    <w:p>
      <w:pPr>
        <w:spacing w:after="0" w:line="357" w:lineRule="auto"/>
        <w:jc w:val="both"/>
        <w:sectPr>
          <w:pgSz w:w="11910" w:h="16840"/>
          <w:pgMar w:header="747" w:footer="1003" w:top="1040" w:bottom="1200" w:left="980" w:right="900"/>
        </w:sectPr>
      </w:pPr>
    </w:p>
    <w:p>
      <w:pPr>
        <w:spacing w:line="240" w:lineRule="auto" w:before="0"/>
        <w:rPr>
          <w:rFonts w:ascii="宋体" w:hAnsi="宋体" w:cs="宋体" w:eastAsia="宋体" w:hint="default"/>
          <w:sz w:val="20"/>
          <w:szCs w:val="20"/>
        </w:rPr>
      </w:pPr>
    </w:p>
    <w:p>
      <w:pPr>
        <w:pStyle w:val="Heading3"/>
        <w:spacing w:line="357" w:lineRule="auto" w:before="161"/>
        <w:ind w:right="132"/>
        <w:jc w:val="left"/>
      </w:pPr>
      <w:r>
        <w:rPr/>
        <w:t>2000年至2009年任职于江苏光一科技有限责任公司，担任董事长；2006年至今兼任江苏苏源</w:t>
      </w:r>
      <w:r>
        <w:rPr>
          <w:spacing w:val="-111"/>
        </w:rPr>
        <w:t> </w:t>
      </w:r>
      <w:r>
        <w:rPr>
          <w:spacing w:val="-111"/>
        </w:rPr>
      </w:r>
      <w:r>
        <w:rPr/>
        <w:t>光一科技有限公司董事长；2009年至今任公司董事长、光一投资执行董事。</w:t>
      </w:r>
      <w:r>
        <w:rPr>
          <w:w w:val="99"/>
        </w:rPr>
        <w:t> </w:t>
      </w:r>
      <w:r>
        <w:rPr/>
        <w:t>公司与实际控制人之间的产权及控制关系的方框图</w:t>
      </w:r>
    </w:p>
    <w:p>
      <w:pPr>
        <w:spacing w:line="240" w:lineRule="auto" w:before="13"/>
        <w:rPr>
          <w:rFonts w:ascii="宋体" w:hAnsi="宋体" w:cs="宋体" w:eastAsia="宋体" w:hint="default"/>
          <w:sz w:val="18"/>
          <w:szCs w:val="18"/>
        </w:rPr>
      </w:pPr>
    </w:p>
    <w:p>
      <w:pPr>
        <w:spacing w:line="4890" w:lineRule="exact"/>
        <w:ind w:left="1763" w:right="0" w:firstLine="0"/>
        <w:rPr>
          <w:rFonts w:ascii="宋体" w:hAnsi="宋体" w:cs="宋体" w:eastAsia="宋体" w:hint="default"/>
          <w:sz w:val="20"/>
          <w:szCs w:val="20"/>
        </w:rPr>
      </w:pPr>
      <w:r>
        <w:rPr>
          <w:rFonts w:ascii="宋体" w:hAnsi="宋体" w:cs="宋体" w:eastAsia="宋体" w:hint="default"/>
          <w:position w:val="-97"/>
          <w:sz w:val="20"/>
          <w:szCs w:val="20"/>
        </w:rPr>
        <w:drawing>
          <wp:inline distT="0" distB="0" distL="0" distR="0">
            <wp:extent cx="4086605" cy="3105150"/>
            <wp:effectExtent l="0" t="0" r="0" b="0"/>
            <wp:docPr id="1" name="image3.png" descr=""/>
            <wp:cNvGraphicFramePr>
              <a:graphicFrameLocks noChangeAspect="1"/>
            </wp:cNvGraphicFramePr>
            <a:graphic>
              <a:graphicData uri="http://schemas.openxmlformats.org/drawingml/2006/picture">
                <pic:pic>
                  <pic:nvPicPr>
                    <pic:cNvPr id="2" name="image3.png"/>
                    <pic:cNvPicPr/>
                  </pic:nvPicPr>
                  <pic:blipFill>
                    <a:blip r:embed="rId13" cstate="print"/>
                    <a:stretch>
                      <a:fillRect/>
                    </a:stretch>
                  </pic:blipFill>
                  <pic:spPr>
                    <a:xfrm>
                      <a:off x="0" y="0"/>
                      <a:ext cx="4086605" cy="3105150"/>
                    </a:xfrm>
                    <a:prstGeom prst="rect">
                      <a:avLst/>
                    </a:prstGeom>
                  </pic:spPr>
                </pic:pic>
              </a:graphicData>
            </a:graphic>
          </wp:inline>
        </w:drawing>
      </w:r>
      <w:r>
        <w:rPr>
          <w:rFonts w:ascii="宋体" w:hAnsi="宋体" w:cs="宋体" w:eastAsia="宋体" w:hint="default"/>
          <w:position w:val="-97"/>
          <w:sz w:val="20"/>
          <w:szCs w:val="20"/>
        </w:rPr>
      </w:r>
    </w:p>
    <w:p>
      <w:pPr>
        <w:spacing w:line="240" w:lineRule="auto" w:before="12"/>
        <w:rPr>
          <w:rFonts w:ascii="宋体" w:hAnsi="宋体" w:cs="宋体" w:eastAsia="宋体" w:hint="default"/>
          <w:sz w:val="17"/>
          <w:szCs w:val="17"/>
        </w:rPr>
      </w:pPr>
    </w:p>
    <w:p>
      <w:pPr>
        <w:pStyle w:val="BodyText"/>
        <w:spacing w:line="240" w:lineRule="auto"/>
        <w:ind w:right="132"/>
        <w:jc w:val="left"/>
      </w:pPr>
      <w:r>
        <w:rPr/>
        <w:t>实际控制人通过信托或其他资产管理方式控制公司</w:t>
      </w:r>
    </w:p>
    <w:p>
      <w:pPr>
        <w:spacing w:line="240" w:lineRule="auto" w:before="3"/>
        <w:rPr>
          <w:rFonts w:ascii="宋体" w:hAnsi="宋体" w:cs="宋体" w:eastAsia="宋体" w:hint="default"/>
          <w:sz w:val="18"/>
          <w:szCs w:val="18"/>
        </w:rPr>
      </w:pPr>
    </w:p>
    <w:p>
      <w:pPr>
        <w:pStyle w:val="BodyText"/>
        <w:spacing w:line="240" w:lineRule="auto"/>
        <w:ind w:right="132"/>
        <w:jc w:val="left"/>
      </w:pPr>
      <w:r>
        <w:rPr/>
        <w:t>□ 适用 √</w:t>
      </w:r>
      <w:r>
        <w:rPr>
          <w:spacing w:val="-3"/>
        </w:rPr>
        <w:t> </w:t>
      </w:r>
      <w:r>
        <w:rPr/>
        <w:t>不适用</w:t>
      </w:r>
    </w:p>
    <w:p>
      <w:pPr>
        <w:spacing w:line="240" w:lineRule="auto" w:before="12"/>
        <w:rPr>
          <w:rFonts w:ascii="宋体" w:hAnsi="宋体" w:cs="宋体" w:eastAsia="宋体" w:hint="default"/>
          <w:sz w:val="23"/>
          <w:szCs w:val="23"/>
        </w:rPr>
      </w:pPr>
    </w:p>
    <w:p>
      <w:pPr>
        <w:pStyle w:val="Heading2"/>
        <w:spacing w:line="240" w:lineRule="auto" w:before="0"/>
        <w:ind w:right="132"/>
        <w:jc w:val="left"/>
        <w:rPr>
          <w:b w:val="0"/>
          <w:bCs w:val="0"/>
        </w:rPr>
      </w:pPr>
      <w:r>
        <w:rPr/>
        <w:t>4、其他持股在</w:t>
      </w:r>
      <w:r>
        <w:rPr>
          <w:spacing w:val="-62"/>
        </w:rPr>
        <w:t> </w:t>
      </w:r>
      <w:r>
        <w:rPr/>
        <w:t>10%以上的法人股东</w:t>
      </w:r>
      <w:r>
        <w:rPr>
          <w:b w:val="0"/>
          <w:bCs w:val="0"/>
        </w:rPr>
      </w:r>
    </w:p>
    <w:p>
      <w:pPr>
        <w:spacing w:line="240" w:lineRule="auto" w:before="10"/>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2269"/>
        <w:gridCol w:w="1134"/>
        <w:gridCol w:w="1560"/>
        <w:gridCol w:w="1276"/>
        <w:gridCol w:w="1134"/>
        <w:gridCol w:w="2195"/>
      </w:tblGrid>
      <w:tr>
        <w:trPr>
          <w:trHeight w:val="727" w:hRule="exact"/>
        </w:trPr>
        <w:tc>
          <w:tcPr>
            <w:tcW w:w="2269"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法人股东名称</w:t>
            </w:r>
          </w:p>
        </w:tc>
        <w:tc>
          <w:tcPr>
            <w:tcW w:w="113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51"/>
              <w:ind w:left="109" w:right="63" w:hanging="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w w:val="99"/>
                <w:sz w:val="18"/>
                <w:szCs w:val="18"/>
              </w:rPr>
              <w:t> </w:t>
            </w:r>
            <w:r>
              <w:rPr>
                <w:rFonts w:ascii="宋体" w:hAnsi="宋体" w:cs="宋体" w:eastAsia="宋体" w:hint="default"/>
                <w:sz w:val="18"/>
                <w:szCs w:val="18"/>
              </w:rPr>
              <w:t>单位负责人</w:t>
            </w:r>
          </w:p>
        </w:tc>
        <w:tc>
          <w:tcPr>
            <w:tcW w:w="156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276"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13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195"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360" w:hRule="exact"/>
        </w:trPr>
        <w:tc>
          <w:tcPr>
            <w:tcW w:w="2269" w:type="dxa"/>
            <w:tcBorders>
              <w:top w:val="single" w:sz="6" w:space="0" w:color="000000"/>
              <w:left w:val="single" w:sz="12"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560" w:type="dxa"/>
            <w:tcBorders>
              <w:top w:val="single" w:sz="6" w:space="0" w:color="000000"/>
              <w:left w:val="single" w:sz="6" w:space="0" w:color="000000"/>
              <w:bottom w:val="nil" w:sz="6" w:space="0" w:color="auto"/>
              <w:right w:val="single" w:sz="6" w:space="0" w:color="000000"/>
            </w:tcBorders>
          </w:tcPr>
          <w:p>
            <w:pPr/>
          </w:p>
        </w:tc>
        <w:tc>
          <w:tcPr>
            <w:tcW w:w="1276"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2195" w:type="dxa"/>
            <w:tcBorders>
              <w:top w:val="single" w:sz="6" w:space="0" w:color="000000"/>
              <w:left w:val="single" w:sz="6" w:space="0" w:color="000000"/>
              <w:bottom w:val="nil" w:sz="6" w:space="0" w:color="auto"/>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项目投资；投资管理；资产</w:t>
            </w:r>
          </w:p>
        </w:tc>
      </w:tr>
      <w:tr>
        <w:trPr>
          <w:trHeight w:val="625" w:hRule="exact"/>
        </w:trPr>
        <w:tc>
          <w:tcPr>
            <w:tcW w:w="2269" w:type="dxa"/>
            <w:tcBorders>
              <w:top w:val="nil" w:sz="6" w:space="0" w:color="auto"/>
              <w:left w:val="single" w:sz="12"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北京华康瑞宏投资有限公司</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熊俊</w:t>
            </w:r>
          </w:p>
        </w:tc>
        <w:tc>
          <w:tcPr>
            <w:tcW w:w="156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56366077-4</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55,000,000</w:t>
            </w:r>
          </w:p>
        </w:tc>
        <w:tc>
          <w:tcPr>
            <w:tcW w:w="2195" w:type="dxa"/>
            <w:tcBorders>
              <w:top w:val="nil" w:sz="6" w:space="0" w:color="auto"/>
              <w:left w:val="single" w:sz="6" w:space="0" w:color="000000"/>
              <w:bottom w:val="nil" w:sz="6" w:space="0" w:color="auto"/>
              <w:right w:val="single" w:sz="12" w:space="0" w:color="000000"/>
            </w:tcBorders>
          </w:tcPr>
          <w:p>
            <w:pPr>
              <w:pStyle w:val="TableParagraph"/>
              <w:spacing w:line="316" w:lineRule="auto" w:before="10"/>
              <w:ind w:left="20" w:right="10"/>
              <w:jc w:val="left"/>
              <w:rPr>
                <w:rFonts w:ascii="宋体" w:hAnsi="宋体" w:cs="宋体" w:eastAsia="宋体" w:hint="default"/>
                <w:sz w:val="18"/>
                <w:szCs w:val="18"/>
              </w:rPr>
            </w:pPr>
            <w:r>
              <w:rPr>
                <w:rFonts w:ascii="宋体" w:hAnsi="宋体" w:cs="宋体" w:eastAsia="宋体" w:hint="default"/>
                <w:spacing w:val="-2"/>
                <w:sz w:val="18"/>
                <w:szCs w:val="18"/>
              </w:rPr>
              <w:t>管理；企业管理咨询；经济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信息咨询；市场调查；企业</w:t>
            </w:r>
          </w:p>
        </w:tc>
      </w:tr>
      <w:tr>
        <w:trPr>
          <w:trHeight w:val="366" w:hRule="exact"/>
        </w:trPr>
        <w:tc>
          <w:tcPr>
            <w:tcW w:w="2269" w:type="dxa"/>
            <w:tcBorders>
              <w:top w:val="nil" w:sz="6" w:space="0" w:color="auto"/>
              <w:left w:val="single" w:sz="12" w:space="0" w:color="000000"/>
              <w:bottom w:val="single" w:sz="12" w:space="0" w:color="000000"/>
              <w:right w:val="single" w:sz="6" w:space="0" w:color="000000"/>
            </w:tcBorders>
          </w:tcPr>
          <w:p>
            <w:pPr/>
          </w:p>
        </w:tc>
        <w:tc>
          <w:tcPr>
            <w:tcW w:w="1134" w:type="dxa"/>
            <w:tcBorders>
              <w:top w:val="nil" w:sz="6" w:space="0" w:color="auto"/>
              <w:left w:val="single" w:sz="6" w:space="0" w:color="000000"/>
              <w:bottom w:val="single" w:sz="12" w:space="0" w:color="000000"/>
              <w:right w:val="single" w:sz="6" w:space="0" w:color="000000"/>
            </w:tcBorders>
          </w:tcPr>
          <w:p>
            <w:pPr/>
          </w:p>
        </w:tc>
        <w:tc>
          <w:tcPr>
            <w:tcW w:w="1560" w:type="dxa"/>
            <w:tcBorders>
              <w:top w:val="nil" w:sz="6" w:space="0" w:color="auto"/>
              <w:left w:val="single" w:sz="6" w:space="0" w:color="000000"/>
              <w:bottom w:val="single" w:sz="12" w:space="0" w:color="000000"/>
              <w:right w:val="single" w:sz="6" w:space="0" w:color="000000"/>
            </w:tcBorders>
          </w:tcPr>
          <w:p>
            <w:pPr/>
          </w:p>
        </w:tc>
        <w:tc>
          <w:tcPr>
            <w:tcW w:w="1276" w:type="dxa"/>
            <w:tcBorders>
              <w:top w:val="nil" w:sz="6" w:space="0" w:color="auto"/>
              <w:left w:val="single" w:sz="6" w:space="0" w:color="000000"/>
              <w:bottom w:val="single" w:sz="12" w:space="0" w:color="000000"/>
              <w:right w:val="single" w:sz="6" w:space="0" w:color="000000"/>
            </w:tcBorders>
          </w:tcPr>
          <w:p>
            <w:pPr/>
          </w:p>
        </w:tc>
        <w:tc>
          <w:tcPr>
            <w:tcW w:w="1134" w:type="dxa"/>
            <w:tcBorders>
              <w:top w:val="nil" w:sz="6" w:space="0" w:color="auto"/>
              <w:left w:val="single" w:sz="6" w:space="0" w:color="000000"/>
              <w:bottom w:val="single" w:sz="12" w:space="0" w:color="000000"/>
              <w:right w:val="single" w:sz="6" w:space="0" w:color="000000"/>
            </w:tcBorders>
          </w:tcPr>
          <w:p>
            <w:pPr/>
          </w:p>
        </w:tc>
        <w:tc>
          <w:tcPr>
            <w:tcW w:w="2195" w:type="dxa"/>
            <w:tcBorders>
              <w:top w:val="nil" w:sz="6" w:space="0" w:color="auto"/>
              <w:left w:val="single" w:sz="6" w:space="0" w:color="000000"/>
              <w:bottom w:val="single" w:sz="12" w:space="0" w:color="000000"/>
              <w:right w:val="single" w:sz="12"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营销策划。</w:t>
            </w:r>
          </w:p>
        </w:tc>
      </w:tr>
    </w:tbl>
    <w:p>
      <w:pPr>
        <w:spacing w:line="240" w:lineRule="auto" w:before="2"/>
        <w:rPr>
          <w:rFonts w:ascii="宋体" w:hAnsi="宋体" w:cs="宋体" w:eastAsia="宋体" w:hint="default"/>
          <w:b/>
          <w:bCs/>
          <w:sz w:val="18"/>
          <w:szCs w:val="18"/>
        </w:rPr>
      </w:pPr>
    </w:p>
    <w:p>
      <w:pPr>
        <w:pStyle w:val="Heading2"/>
        <w:spacing w:line="240" w:lineRule="auto"/>
        <w:ind w:right="132"/>
        <w:jc w:val="left"/>
        <w:rPr>
          <w:b w:val="0"/>
          <w:bCs w:val="0"/>
        </w:rPr>
      </w:pPr>
      <w:r>
        <w:rPr/>
        <w:t>5、前</w:t>
      </w:r>
      <w:r>
        <w:rPr>
          <w:spacing w:val="-62"/>
        </w:rPr>
        <w:t> </w:t>
      </w:r>
      <w:r>
        <w:rPr/>
        <w:t>10</w:t>
      </w:r>
      <w:r>
        <w:rPr>
          <w:spacing w:val="-62"/>
        </w:rPr>
        <w:t> </w:t>
      </w:r>
      <w:r>
        <w:rPr/>
        <w:t>名有限售条件股东持股数量及限售条件</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3119"/>
        <w:gridCol w:w="1559"/>
        <w:gridCol w:w="1560"/>
        <w:gridCol w:w="1418"/>
        <w:gridCol w:w="1913"/>
      </w:tblGrid>
      <w:tr>
        <w:trPr>
          <w:trHeight w:val="727" w:hRule="exact"/>
        </w:trPr>
        <w:tc>
          <w:tcPr>
            <w:tcW w:w="3119"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559"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51"/>
              <w:ind w:left="142" w:right="49" w:hanging="90"/>
              <w:jc w:val="left"/>
              <w:rPr>
                <w:rFonts w:ascii="宋体" w:hAnsi="宋体" w:cs="宋体" w:eastAsia="宋体" w:hint="default"/>
                <w:sz w:val="18"/>
                <w:szCs w:val="18"/>
              </w:rPr>
            </w:pPr>
            <w:r>
              <w:rPr>
                <w:rFonts w:ascii="宋体" w:hAnsi="宋体" w:cs="宋体" w:eastAsia="宋体" w:hint="default"/>
                <w:sz w:val="18"/>
                <w:szCs w:val="18"/>
              </w:rPr>
              <w:t>持有的有限售条件</w:t>
            </w:r>
            <w:r>
              <w:rPr>
                <w:rFonts w:ascii="宋体" w:hAnsi="宋体" w:cs="宋体" w:eastAsia="宋体" w:hint="default"/>
                <w:w w:val="99"/>
                <w:sz w:val="18"/>
                <w:szCs w:val="18"/>
              </w:rPr>
              <w:t> </w:t>
            </w:r>
            <w:r>
              <w:rPr>
                <w:rFonts w:ascii="宋体" w:hAnsi="宋体" w:cs="宋体" w:eastAsia="宋体" w:hint="default"/>
                <w:sz w:val="18"/>
                <w:szCs w:val="18"/>
              </w:rPr>
              <w:t>股份数量（股）</w:t>
            </w:r>
          </w:p>
        </w:tc>
        <w:tc>
          <w:tcPr>
            <w:tcW w:w="156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可上市交易时间</w:t>
            </w:r>
          </w:p>
        </w:tc>
        <w:tc>
          <w:tcPr>
            <w:tcW w:w="1418"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51"/>
              <w:ind w:left="71" w:right="70"/>
              <w:jc w:val="left"/>
              <w:rPr>
                <w:rFonts w:ascii="宋体" w:hAnsi="宋体" w:cs="宋体" w:eastAsia="宋体" w:hint="default"/>
                <w:sz w:val="18"/>
                <w:szCs w:val="18"/>
              </w:rPr>
            </w:pPr>
            <w:r>
              <w:rPr>
                <w:rFonts w:ascii="宋体" w:hAnsi="宋体" w:cs="宋体" w:eastAsia="宋体" w:hint="default"/>
                <w:sz w:val="18"/>
                <w:szCs w:val="18"/>
              </w:rPr>
              <w:t>新增可上市交易</w:t>
            </w:r>
            <w:r>
              <w:rPr>
                <w:rFonts w:ascii="宋体" w:hAnsi="宋体" w:cs="宋体" w:eastAsia="宋体" w:hint="default"/>
                <w:w w:val="99"/>
                <w:sz w:val="18"/>
                <w:szCs w:val="18"/>
              </w:rPr>
              <w:t> </w:t>
            </w:r>
            <w:r>
              <w:rPr>
                <w:rFonts w:ascii="宋体" w:hAnsi="宋体" w:cs="宋体" w:eastAsia="宋体" w:hint="default"/>
                <w:sz w:val="18"/>
                <w:szCs w:val="18"/>
              </w:rPr>
              <w:t>股份数量（股）</w:t>
            </w:r>
          </w:p>
        </w:tc>
        <w:tc>
          <w:tcPr>
            <w:tcW w:w="1913"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7"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w w:val="95"/>
                <w:sz w:val="18"/>
              </w:rPr>
              <w:t>28,400,000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8"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7"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北京华康瑞宏投资有限公司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w w:val="95"/>
                <w:sz w:val="18"/>
              </w:rPr>
              <w:t>11,000,000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8"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7"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龙昌明</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w w:val="95"/>
                <w:sz w:val="18"/>
              </w:rPr>
              <w:t>9,969,000</w:t>
            </w:r>
            <w:r>
              <w:rPr>
                <w:rFonts w:ascii="宋体"/>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8"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15" w:hRule="exact"/>
        </w:trPr>
        <w:tc>
          <w:tcPr>
            <w:tcW w:w="311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right="96"/>
              <w:jc w:val="center"/>
              <w:rPr>
                <w:rFonts w:ascii="宋体" w:hAnsi="宋体" w:cs="宋体" w:eastAsia="宋体" w:hint="default"/>
                <w:sz w:val="18"/>
                <w:szCs w:val="18"/>
              </w:rPr>
            </w:pPr>
            <w:r>
              <w:rPr>
                <w:rFonts w:ascii="宋体" w:hAnsi="宋体" w:cs="宋体" w:eastAsia="宋体" w:hint="default"/>
                <w:w w:val="99"/>
                <w:sz w:val="18"/>
                <w:szCs w:val="18"/>
              </w:rPr>
              <w:t>杭州熠明创业投资合伙企</w:t>
            </w:r>
            <w:r>
              <w:rPr>
                <w:rFonts w:ascii="宋体" w:hAnsi="宋体" w:cs="宋体" w:eastAsia="宋体" w:hint="default"/>
                <w:spacing w:val="-87"/>
                <w:w w:val="99"/>
                <w:sz w:val="18"/>
                <w:szCs w:val="18"/>
              </w:rPr>
              <w:t>业</w:t>
            </w:r>
            <w:r>
              <w:rPr>
                <w:rFonts w:ascii="宋体" w:hAnsi="宋体" w:cs="宋体" w:eastAsia="宋体" w:hint="default"/>
                <w:spacing w:val="-2"/>
                <w:w w:val="99"/>
                <w:sz w:val="18"/>
                <w:szCs w:val="18"/>
              </w:rPr>
              <w:t>（</w:t>
            </w:r>
            <w:r>
              <w:rPr>
                <w:rFonts w:ascii="宋体" w:hAnsi="宋体" w:cs="宋体" w:eastAsia="宋体" w:hint="default"/>
                <w:w w:val="99"/>
                <w:sz w:val="18"/>
                <w:szCs w:val="18"/>
              </w:rPr>
              <w:t>有限合伙</w:t>
            </w:r>
            <w:r>
              <w:rPr>
                <w:rFonts w:ascii="宋体" w:hAnsi="宋体" w:cs="宋体" w:eastAsia="宋体" w:hint="default"/>
                <w:sz w:val="18"/>
                <w:szCs w:val="18"/>
              </w:rPr>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tabs>
                <w:tab w:pos="713" w:val="left" w:leader="none"/>
              </w:tabs>
              <w:spacing w:line="240" w:lineRule="auto" w:before="52"/>
              <w:ind w:left="-127" w:right="18"/>
              <w:jc w:val="right"/>
              <w:rPr>
                <w:rFonts w:ascii="宋体" w:hAnsi="宋体" w:cs="宋体" w:eastAsia="宋体" w:hint="default"/>
                <w:sz w:val="18"/>
                <w:szCs w:val="18"/>
              </w:rPr>
            </w:pPr>
            <w:r>
              <w:rPr>
                <w:rFonts w:ascii="宋体" w:hAnsi="宋体" w:cs="宋体" w:eastAsia="宋体" w:hint="default"/>
                <w:w w:val="95"/>
                <w:sz w:val="18"/>
                <w:szCs w:val="18"/>
              </w:rPr>
              <w:t>）</w:t>
              <w:tab/>
              <w:t>2,400,000</w:t>
            </w:r>
            <w:r>
              <w:rPr>
                <w:rFonts w:ascii="宋体" w:hAnsi="宋体" w:cs="宋体" w:eastAsia="宋体" w:hint="default"/>
                <w:sz w:val="18"/>
                <w:szCs w:val="18"/>
              </w:rPr>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6"/>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8" w:type="dxa"/>
            <w:tcBorders>
              <w:top w:val="single" w:sz="6" w:space="0" w:color="000000"/>
              <w:left w:val="single" w:sz="6" w:space="0" w:color="000000"/>
              <w:bottom w:val="single" w:sz="12" w:space="0" w:color="000000"/>
              <w:right w:val="single" w:sz="6" w:space="0" w:color="000000"/>
            </w:tcBorders>
          </w:tcPr>
          <w:p>
            <w:pP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589" w:right="0"/>
              <w:jc w:val="left"/>
              <w:rPr>
                <w:rFonts w:ascii="宋体" w:hAnsi="宋体" w:cs="宋体" w:eastAsia="宋体" w:hint="default"/>
                <w:sz w:val="18"/>
                <w:szCs w:val="18"/>
              </w:rPr>
            </w:pPr>
            <w:r>
              <w:rPr>
                <w:rFonts w:ascii="宋体" w:hAnsi="宋体" w:cs="宋体" w:eastAsia="宋体" w:hint="default"/>
                <w:sz w:val="18"/>
                <w:szCs w:val="18"/>
              </w:rPr>
              <w:t>首发承诺</w:t>
            </w:r>
          </w:p>
        </w:tc>
      </w:tr>
    </w:tbl>
    <w:p>
      <w:pPr>
        <w:spacing w:after="0" w:line="240" w:lineRule="auto"/>
        <w:jc w:val="left"/>
        <w:rPr>
          <w:rFonts w:ascii="宋体" w:hAnsi="宋体" w:cs="宋体" w:eastAsia="宋体" w:hint="default"/>
          <w:sz w:val="18"/>
          <w:szCs w:val="18"/>
        </w:rPr>
        <w:sectPr>
          <w:pgSz w:w="11910" w:h="16840"/>
          <w:pgMar w:header="747" w:footer="1003" w:top="1040" w:bottom="120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3119"/>
        <w:gridCol w:w="1559"/>
        <w:gridCol w:w="1560"/>
        <w:gridCol w:w="1418"/>
        <w:gridCol w:w="1913"/>
      </w:tblGrid>
      <w:tr>
        <w:trPr>
          <w:trHeight w:val="727" w:hRule="exact"/>
        </w:trPr>
        <w:tc>
          <w:tcPr>
            <w:tcW w:w="3119"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559"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51"/>
              <w:ind w:left="142" w:right="49" w:hanging="90"/>
              <w:jc w:val="left"/>
              <w:rPr>
                <w:rFonts w:ascii="宋体" w:hAnsi="宋体" w:cs="宋体" w:eastAsia="宋体" w:hint="default"/>
                <w:sz w:val="18"/>
                <w:szCs w:val="18"/>
              </w:rPr>
            </w:pPr>
            <w:r>
              <w:rPr>
                <w:rFonts w:ascii="宋体" w:hAnsi="宋体" w:cs="宋体" w:eastAsia="宋体" w:hint="default"/>
                <w:sz w:val="18"/>
                <w:szCs w:val="18"/>
              </w:rPr>
              <w:t>持有的有限售条件 股份数量（股）</w:t>
            </w:r>
          </w:p>
        </w:tc>
        <w:tc>
          <w:tcPr>
            <w:tcW w:w="156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可上市交易时间</w:t>
            </w:r>
          </w:p>
        </w:tc>
        <w:tc>
          <w:tcPr>
            <w:tcW w:w="1418"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51"/>
              <w:ind w:left="71" w:right="71"/>
              <w:jc w:val="left"/>
              <w:rPr>
                <w:rFonts w:ascii="宋体" w:hAnsi="宋体" w:cs="宋体" w:eastAsia="宋体" w:hint="default"/>
                <w:sz w:val="18"/>
                <w:szCs w:val="18"/>
              </w:rPr>
            </w:pPr>
            <w:r>
              <w:rPr>
                <w:rFonts w:ascii="宋体" w:hAnsi="宋体" w:cs="宋体" w:eastAsia="宋体" w:hint="default"/>
                <w:sz w:val="18"/>
                <w:szCs w:val="18"/>
              </w:rPr>
              <w:t>新增可上市交易 股份数量（股）</w:t>
            </w:r>
          </w:p>
        </w:tc>
        <w:tc>
          <w:tcPr>
            <w:tcW w:w="1913"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7"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徐一宁</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2,170,000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8"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7"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苏州阿尔法投资管理中心（有限合伙）</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8"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7"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蒋国安</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1,820,000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8"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7"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熊珂</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1,125,000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5"/>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8"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589"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7"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陶涛</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8"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589"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16" w:hRule="exact"/>
        </w:trPr>
        <w:tc>
          <w:tcPr>
            <w:tcW w:w="311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汇金立方资本管理有限公司</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1,100,000</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8" w:type="dxa"/>
            <w:tcBorders>
              <w:top w:val="single" w:sz="6" w:space="0" w:color="000000"/>
              <w:left w:val="single" w:sz="6" w:space="0" w:color="000000"/>
              <w:bottom w:val="single" w:sz="12" w:space="0" w:color="000000"/>
              <w:right w:val="single" w:sz="6" w:space="0" w:color="000000"/>
            </w:tcBorders>
          </w:tcPr>
          <w:p>
            <w:pP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589" w:right="0"/>
              <w:jc w:val="left"/>
              <w:rPr>
                <w:rFonts w:ascii="宋体" w:hAnsi="宋体" w:cs="宋体" w:eastAsia="宋体" w:hint="default"/>
                <w:sz w:val="18"/>
                <w:szCs w:val="18"/>
              </w:rPr>
            </w:pPr>
            <w:r>
              <w:rPr>
                <w:rFonts w:ascii="宋体" w:hAnsi="宋体" w:cs="宋体" w:eastAsia="宋体" w:hint="default"/>
                <w:sz w:val="18"/>
                <w:szCs w:val="18"/>
              </w:rPr>
              <w:t>首发承诺</w:t>
            </w:r>
          </w:p>
        </w:tc>
      </w:tr>
    </w:tbl>
    <w:p>
      <w:pPr>
        <w:spacing w:after="0" w:line="240" w:lineRule="auto"/>
        <w:jc w:val="left"/>
        <w:rPr>
          <w:rFonts w:ascii="宋体" w:hAnsi="宋体" w:cs="宋体" w:eastAsia="宋体" w:hint="default"/>
          <w:sz w:val="18"/>
          <w:szCs w:val="18"/>
        </w:rPr>
        <w:sectPr>
          <w:pgSz w:w="11910" w:h="16840"/>
          <w:pgMar w:header="747" w:footer="1003" w:top="1040" w:bottom="120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50.350998pt;margin-top:269.279999pt;width:13.45pt;height:31.2pt;mso-position-horizontal-relative:page;mso-position-vertical-relative:page;z-index:-655936" coordorigin="3007,5386" coordsize="269,624">
            <v:group style="position:absolute;left:3007;top:5386;width:269;height:624" coordorigin="3007,5386" coordsize="269,624">
              <v:shape style="position:absolute;left:3007;top:5386;width:269;height:624" coordorigin="3007,5386" coordsize="269,624" path="m3007,5386l3007,6010,3276,6010,3276,5386,3007,5386xe" filled="true" fillcolor="#ffffff" stroked="false">
                <v:path arrowok="t"/>
                <v:fill type="solid"/>
              </v:shape>
            </v:group>
            <v:group style="position:absolute;left:3027;top:5542;width:228;height:312" coordorigin="3027,5542" coordsize="228,312">
              <v:shape style="position:absolute;left:3027;top:5542;width:228;height:312" coordorigin="3027,5542" coordsize="228,312" path="m3027,5542l3027,5854,3255,5854,3255,5542,3027,5542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20"/>
          <w:szCs w:val="20"/>
        </w:rPr>
      </w:pPr>
    </w:p>
    <w:p>
      <w:pPr>
        <w:pStyle w:val="Heading1"/>
        <w:spacing w:line="240" w:lineRule="auto"/>
        <w:ind w:left="4338" w:right="0"/>
        <w:jc w:val="left"/>
        <w:rPr>
          <w:b w:val="0"/>
          <w:bCs w:val="0"/>
        </w:rPr>
      </w:pPr>
      <w:bookmarkStart w:name="_TOC_250003" w:id="7"/>
      <w:r>
        <w:rPr/>
        <w:t>第七节</w:t>
      </w:r>
      <w:r>
        <w:rPr>
          <w:spacing w:val="-16"/>
        </w:rPr>
        <w:t> </w:t>
      </w:r>
      <w:r>
        <w:rPr/>
        <w:t>董事、监事、高级管理人员和员工情况</w:t>
      </w:r>
      <w:bookmarkEnd w:id="7"/>
      <w:r>
        <w:rPr>
          <w:b w:val="0"/>
          <w:bCs w:val="0"/>
        </w:rPr>
      </w:r>
    </w:p>
    <w:p>
      <w:pPr>
        <w:spacing w:line="240" w:lineRule="auto" w:before="11"/>
        <w:rPr>
          <w:rFonts w:ascii="宋体" w:hAnsi="宋体" w:cs="宋体" w:eastAsia="宋体" w:hint="default"/>
          <w:b/>
          <w:bCs/>
          <w:sz w:val="38"/>
          <w:szCs w:val="38"/>
        </w:rPr>
      </w:pPr>
    </w:p>
    <w:p>
      <w:pPr>
        <w:pStyle w:val="Heading2"/>
        <w:spacing w:line="240" w:lineRule="auto" w:before="0"/>
        <w:ind w:left="699" w:right="0"/>
        <w:jc w:val="left"/>
        <w:rPr>
          <w:b w:val="0"/>
          <w:bCs w:val="0"/>
        </w:rPr>
      </w:pPr>
      <w:r>
        <w:rPr/>
        <w:pict>
          <v:shape style="position:absolute;margin-left:437.930786pt;margin-top:34.055611pt;width:66.1pt;height:46.8pt;mso-position-horizontal-relative:page;mso-position-vertical-relative:paragraph;z-index:-65598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8"/>
                      <w:szCs w:val="18"/>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pict>
          <v:shape style="position:absolute;margin-left:579.71051pt;margin-top:34.055611pt;width:108.6pt;height:46.8pt;mso-position-horizontal-relative:page;mso-position-vertical-relative:paragraph;z-index:-655960"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t>一、董事、监事和高级管理人员持股变动</w:t>
      </w:r>
      <w:r>
        <w:rPr>
          <w:b w:val="0"/>
          <w:bCs w:val="0"/>
        </w:rPr>
      </w:r>
    </w:p>
    <w:p>
      <w:pPr>
        <w:spacing w:line="240" w:lineRule="auto" w:before="10"/>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710"/>
        <w:gridCol w:w="1418"/>
        <w:gridCol w:w="283"/>
        <w:gridCol w:w="425"/>
        <w:gridCol w:w="1702"/>
        <w:gridCol w:w="1560"/>
        <w:gridCol w:w="1274"/>
        <w:gridCol w:w="994"/>
        <w:gridCol w:w="850"/>
        <w:gridCol w:w="1134"/>
        <w:gridCol w:w="851"/>
        <w:gridCol w:w="1702"/>
        <w:gridCol w:w="1274"/>
        <w:gridCol w:w="850"/>
      </w:tblGrid>
      <w:tr>
        <w:trPr>
          <w:trHeight w:val="958" w:hRule="exact"/>
        </w:trPr>
        <w:tc>
          <w:tcPr>
            <w:tcW w:w="710"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418"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283"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43" w:right="43"/>
              <w:jc w:val="left"/>
              <w:rPr>
                <w:rFonts w:ascii="宋体" w:hAnsi="宋体" w:cs="宋体" w:eastAsia="宋体" w:hint="default"/>
                <w:sz w:val="18"/>
                <w:szCs w:val="18"/>
              </w:rPr>
            </w:pPr>
            <w:r>
              <w:rPr>
                <w:rFonts w:ascii="宋体" w:hAnsi="宋体" w:cs="宋体" w:eastAsia="宋体" w:hint="default"/>
                <w:sz w:val="18"/>
                <w:szCs w:val="18"/>
              </w:rPr>
              <w:t>性 别</w:t>
            </w:r>
          </w:p>
        </w:tc>
        <w:tc>
          <w:tcPr>
            <w:tcW w:w="425"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年龄</w:t>
            </w:r>
          </w:p>
        </w:tc>
        <w:tc>
          <w:tcPr>
            <w:tcW w:w="1702"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27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9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0" w:right="38" w:firstLine="18"/>
              <w:jc w:val="left"/>
              <w:rPr>
                <w:rFonts w:ascii="宋体" w:hAnsi="宋体" w:cs="宋体" w:eastAsia="宋体" w:hint="default"/>
                <w:sz w:val="18"/>
                <w:szCs w:val="18"/>
              </w:rPr>
            </w:pPr>
            <w:r>
              <w:rPr>
                <w:rFonts w:ascii="宋体" w:hAnsi="宋体" w:cs="宋体" w:eastAsia="宋体" w:hint="default"/>
                <w:sz w:val="18"/>
                <w:szCs w:val="18"/>
              </w:rPr>
              <w:t>本期增持股 份数量</w:t>
            </w:r>
          </w:p>
        </w:tc>
        <w:tc>
          <w:tcPr>
            <w:tcW w:w="85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10"/>
              <w:ind w:left="57" w:right="55"/>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4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3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851"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10"/>
              <w:ind w:left="20" w:right="56" w:firstLine="37"/>
              <w:jc w:val="both"/>
              <w:rPr>
                <w:rFonts w:ascii="宋体" w:hAnsi="宋体" w:cs="宋体" w:eastAsia="宋体" w:hint="default"/>
                <w:sz w:val="18"/>
                <w:szCs w:val="18"/>
              </w:rPr>
            </w:pPr>
            <w:r>
              <w:rPr>
                <w:rFonts w:ascii="宋体" w:hAnsi="宋体" w:cs="宋体" w:eastAsia="宋体" w:hint="default"/>
                <w:sz w:val="18"/>
                <w:szCs w:val="18"/>
              </w:rPr>
              <w:t>期初持有 股票期权 数量</w:t>
            </w:r>
          </w:p>
        </w:tc>
        <w:tc>
          <w:tcPr>
            <w:tcW w:w="1702"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122" w:right="32" w:hanging="90"/>
              <w:jc w:val="left"/>
              <w:rPr>
                <w:rFonts w:ascii="宋体" w:hAnsi="宋体" w:cs="宋体" w:eastAsia="宋体" w:hint="default"/>
                <w:sz w:val="18"/>
                <w:szCs w:val="18"/>
              </w:rPr>
            </w:pPr>
            <w:r>
              <w:rPr>
                <w:rFonts w:ascii="宋体" w:hAnsi="宋体" w:cs="宋体" w:eastAsia="宋体" w:hint="default"/>
                <w:sz w:val="18"/>
                <w:szCs w:val="18"/>
              </w:rPr>
              <w:t>其中：被授予的限制 性股票数量（股）</w:t>
            </w:r>
          </w:p>
        </w:tc>
        <w:tc>
          <w:tcPr>
            <w:tcW w:w="127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0" w:right="-21" w:firstLine="69"/>
              <w:jc w:val="left"/>
              <w:rPr>
                <w:rFonts w:ascii="宋体" w:hAnsi="宋体" w:cs="宋体" w:eastAsia="宋体" w:hint="default"/>
                <w:sz w:val="18"/>
                <w:szCs w:val="18"/>
              </w:rPr>
            </w:pPr>
            <w:r>
              <w:rPr>
                <w:rFonts w:ascii="宋体" w:hAnsi="宋体" w:cs="宋体" w:eastAsia="宋体" w:hint="default"/>
                <w:sz w:val="18"/>
                <w:szCs w:val="18"/>
              </w:rPr>
              <w:t>期末持有股票 期权数量（股）</w:t>
            </w:r>
          </w:p>
        </w:tc>
        <w:tc>
          <w:tcPr>
            <w:tcW w:w="850"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变动原因</w:t>
            </w:r>
          </w:p>
        </w:tc>
      </w:tr>
      <w:tr>
        <w:trPr>
          <w:trHeight w:val="412" w:hRule="exact"/>
        </w:trPr>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46"/>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9,969,000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9,969,000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sz w:val="18"/>
              </w:rPr>
              <w:t>-</w:t>
            </w:r>
          </w:p>
        </w:tc>
      </w:tr>
      <w:tr>
        <w:trPr>
          <w:trHeight w:val="412" w:hRule="exact"/>
        </w:trPr>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王海俊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46"/>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43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868,000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868,000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sz w:val="18"/>
              </w:rPr>
              <w:t>-</w:t>
            </w:r>
          </w:p>
        </w:tc>
      </w:tr>
      <w:tr>
        <w:trPr>
          <w:trHeight w:val="413" w:hRule="exact"/>
        </w:trPr>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邱卫东</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46"/>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47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434,000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434,000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sz w:val="18"/>
              </w:rPr>
              <w:t>-</w:t>
            </w:r>
          </w:p>
        </w:tc>
      </w:tr>
      <w:tr>
        <w:trPr>
          <w:trHeight w:val="638" w:hRule="exact"/>
        </w:trPr>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戴晓东</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1" w:right="120"/>
              <w:jc w:val="left"/>
              <w:rPr>
                <w:rFonts w:ascii="宋体" w:hAnsi="宋体" w:cs="宋体" w:eastAsia="宋体" w:hint="default"/>
                <w:sz w:val="18"/>
                <w:szCs w:val="18"/>
              </w:rPr>
            </w:pPr>
            <w:r>
              <w:rPr>
                <w:rFonts w:ascii="宋体" w:hAnsi="宋体" w:cs="宋体" w:eastAsia="宋体" w:hint="default"/>
                <w:sz w:val="18"/>
                <w:szCs w:val="18"/>
              </w:rPr>
              <w:t>董事、副总经理 财务总监</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before="10"/>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41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434,000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434,000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sz w:val="18"/>
              </w:rPr>
              <w:t>-</w:t>
            </w:r>
          </w:p>
        </w:tc>
      </w:tr>
      <w:tr>
        <w:trPr>
          <w:trHeight w:val="412" w:hRule="exact"/>
        </w:trPr>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熊俊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46"/>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sz w:val="18"/>
              </w:rPr>
              <w:t>-</w:t>
            </w:r>
          </w:p>
        </w:tc>
      </w:tr>
      <w:tr>
        <w:trPr>
          <w:trHeight w:val="413" w:hRule="exact"/>
        </w:trPr>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46"/>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37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sz w:val="18"/>
              </w:rPr>
              <w:t>-</w:t>
            </w:r>
          </w:p>
        </w:tc>
      </w:tr>
      <w:tr>
        <w:trPr>
          <w:trHeight w:val="412" w:hRule="exact"/>
        </w:trPr>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李和渝</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46"/>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sz w:val="18"/>
              </w:rPr>
              <w:t>-</w:t>
            </w:r>
          </w:p>
        </w:tc>
      </w:tr>
      <w:tr>
        <w:trPr>
          <w:trHeight w:val="412" w:hRule="exact"/>
        </w:trPr>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廖家河</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46"/>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43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sz w:val="18"/>
              </w:rPr>
              <w:t>-</w:t>
            </w:r>
          </w:p>
        </w:tc>
      </w:tr>
      <w:tr>
        <w:trPr>
          <w:trHeight w:val="413" w:hRule="exact"/>
        </w:trPr>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曲凯</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46"/>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42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sz w:val="18"/>
              </w:rPr>
              <w:t>-</w:t>
            </w:r>
          </w:p>
        </w:tc>
      </w:tr>
      <w:tr>
        <w:trPr>
          <w:trHeight w:val="638" w:hRule="exact"/>
        </w:trPr>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张云龙</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1" w:right="120"/>
              <w:jc w:val="left"/>
              <w:rPr>
                <w:rFonts w:ascii="宋体" w:hAnsi="宋体" w:cs="宋体" w:eastAsia="宋体" w:hint="default"/>
                <w:sz w:val="18"/>
                <w:szCs w:val="18"/>
              </w:rPr>
            </w:pPr>
            <w:r>
              <w:rPr>
                <w:rFonts w:ascii="宋体" w:hAnsi="宋体" w:cs="宋体" w:eastAsia="宋体" w:hint="default"/>
                <w:sz w:val="18"/>
                <w:szCs w:val="18"/>
              </w:rPr>
              <w:t>原第一届董事会 独立董事</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49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sz w:val="18"/>
              </w:rPr>
              <w:t>-</w:t>
            </w:r>
          </w:p>
        </w:tc>
      </w:tr>
      <w:tr>
        <w:trPr>
          <w:trHeight w:val="640" w:hRule="exact"/>
        </w:trPr>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唐富文</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1" w:right="120"/>
              <w:jc w:val="left"/>
              <w:rPr>
                <w:rFonts w:ascii="宋体" w:hAnsi="宋体" w:cs="宋体" w:eastAsia="宋体" w:hint="default"/>
                <w:sz w:val="18"/>
                <w:szCs w:val="18"/>
              </w:rPr>
            </w:pPr>
            <w:r>
              <w:rPr>
                <w:rFonts w:ascii="宋体" w:hAnsi="宋体" w:cs="宋体" w:eastAsia="宋体" w:hint="default"/>
                <w:sz w:val="18"/>
                <w:szCs w:val="18"/>
              </w:rPr>
              <w:t>原第一届董事会 董事</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41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sz w:val="18"/>
              </w:rPr>
              <w:t>-</w:t>
            </w:r>
          </w:p>
        </w:tc>
      </w:tr>
      <w:tr>
        <w:trPr>
          <w:trHeight w:val="638" w:hRule="exact"/>
        </w:trPr>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徐一宁</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1" w:right="18"/>
              <w:jc w:val="left"/>
              <w:rPr>
                <w:rFonts w:ascii="宋体" w:hAnsi="宋体" w:cs="宋体" w:eastAsia="宋体" w:hint="default"/>
                <w:sz w:val="18"/>
                <w:szCs w:val="18"/>
              </w:rPr>
            </w:pPr>
            <w:r>
              <w:rPr>
                <w:rFonts w:ascii="宋体" w:hAnsi="宋体" w:cs="宋体" w:eastAsia="宋体" w:hint="default"/>
                <w:spacing w:val="-10"/>
                <w:sz w:val="18"/>
                <w:szCs w:val="18"/>
              </w:rPr>
              <w:t>监事、原第一届董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事会董事</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63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2,170,000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2,170,000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sz w:val="18"/>
              </w:rPr>
              <w:t>-</w:t>
            </w:r>
          </w:p>
        </w:tc>
      </w:tr>
      <w:tr>
        <w:trPr>
          <w:trHeight w:val="421" w:hRule="exact"/>
        </w:trPr>
        <w:tc>
          <w:tcPr>
            <w:tcW w:w="71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朱云飞</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46"/>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48</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145,000</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145,000</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sz w:val="18"/>
              </w:rPr>
              <w:t>-</w:t>
            </w:r>
          </w:p>
        </w:tc>
      </w:tr>
    </w:tbl>
    <w:p>
      <w:pPr>
        <w:spacing w:after="0" w:line="240" w:lineRule="auto"/>
        <w:jc w:val="left"/>
        <w:rPr>
          <w:rFonts w:ascii="宋体" w:hAnsi="宋体" w:cs="宋体" w:eastAsia="宋体" w:hint="default"/>
          <w:sz w:val="18"/>
          <w:szCs w:val="18"/>
        </w:rPr>
        <w:sectPr>
          <w:headerReference w:type="default" r:id="rId14"/>
          <w:footerReference w:type="default" r:id="rId15"/>
          <w:pgSz w:w="16840" w:h="11910" w:orient="landscape"/>
          <w:pgMar w:header="877" w:footer="999" w:top="1100" w:bottom="1180" w:left="740" w:right="800"/>
          <w:pgNumType w:start="45"/>
        </w:sectPr>
      </w:pPr>
    </w:p>
    <w:tbl>
      <w:tblPr>
        <w:tblW w:w="0" w:type="auto"/>
        <w:jc w:val="left"/>
        <w:tblInd w:w="116" w:type="dxa"/>
        <w:tblLayout w:type="fixed"/>
        <w:tblCellMar>
          <w:top w:w="0" w:type="dxa"/>
          <w:left w:w="0" w:type="dxa"/>
          <w:bottom w:w="0" w:type="dxa"/>
          <w:right w:w="0" w:type="dxa"/>
        </w:tblCellMar>
        <w:tblLook w:val="01E0"/>
      </w:tblPr>
      <w:tblGrid>
        <w:gridCol w:w="710"/>
        <w:gridCol w:w="1418"/>
        <w:gridCol w:w="283"/>
        <w:gridCol w:w="425"/>
        <w:gridCol w:w="1702"/>
        <w:gridCol w:w="1560"/>
        <w:gridCol w:w="1274"/>
        <w:gridCol w:w="994"/>
        <w:gridCol w:w="850"/>
        <w:gridCol w:w="1134"/>
        <w:gridCol w:w="851"/>
        <w:gridCol w:w="1702"/>
        <w:gridCol w:w="1274"/>
        <w:gridCol w:w="850"/>
      </w:tblGrid>
      <w:tr>
        <w:trPr>
          <w:trHeight w:val="958" w:hRule="exact"/>
        </w:trPr>
        <w:tc>
          <w:tcPr>
            <w:tcW w:w="710"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姓名</w:t>
            </w:r>
          </w:p>
        </w:tc>
        <w:tc>
          <w:tcPr>
            <w:tcW w:w="1418"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283"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43" w:right="43"/>
              <w:jc w:val="left"/>
              <w:rPr>
                <w:rFonts w:ascii="宋体" w:hAnsi="宋体" w:cs="宋体" w:eastAsia="宋体" w:hint="default"/>
                <w:sz w:val="18"/>
                <w:szCs w:val="18"/>
              </w:rPr>
            </w:pPr>
            <w:r>
              <w:rPr>
                <w:rFonts w:ascii="宋体" w:hAnsi="宋体" w:cs="宋体" w:eastAsia="宋体" w:hint="default"/>
                <w:sz w:val="18"/>
                <w:szCs w:val="18"/>
              </w:rPr>
              <w:t>性 别</w:t>
            </w:r>
          </w:p>
        </w:tc>
        <w:tc>
          <w:tcPr>
            <w:tcW w:w="425"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年龄</w:t>
            </w:r>
          </w:p>
        </w:tc>
        <w:tc>
          <w:tcPr>
            <w:tcW w:w="1702"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27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9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0" w:right="38" w:firstLine="18"/>
              <w:jc w:val="left"/>
              <w:rPr>
                <w:rFonts w:ascii="宋体" w:hAnsi="宋体" w:cs="宋体" w:eastAsia="宋体" w:hint="default"/>
                <w:sz w:val="18"/>
                <w:szCs w:val="18"/>
              </w:rPr>
            </w:pPr>
            <w:r>
              <w:rPr>
                <w:rFonts w:ascii="宋体" w:hAnsi="宋体" w:cs="宋体" w:eastAsia="宋体" w:hint="default"/>
                <w:sz w:val="18"/>
                <w:szCs w:val="18"/>
              </w:rPr>
              <w:t>本期增持股 份数量</w:t>
            </w:r>
          </w:p>
        </w:tc>
        <w:tc>
          <w:tcPr>
            <w:tcW w:w="85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10"/>
              <w:ind w:left="57" w:right="55"/>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4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3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851"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10"/>
              <w:ind w:left="20" w:right="56" w:firstLine="37"/>
              <w:jc w:val="both"/>
              <w:rPr>
                <w:rFonts w:ascii="宋体" w:hAnsi="宋体" w:cs="宋体" w:eastAsia="宋体" w:hint="default"/>
                <w:sz w:val="18"/>
                <w:szCs w:val="18"/>
              </w:rPr>
            </w:pPr>
            <w:r>
              <w:rPr>
                <w:rFonts w:ascii="宋体" w:hAnsi="宋体" w:cs="宋体" w:eastAsia="宋体" w:hint="default"/>
                <w:sz w:val="18"/>
                <w:szCs w:val="18"/>
              </w:rPr>
              <w:t>期初持有 股票期权 数量</w:t>
            </w:r>
          </w:p>
        </w:tc>
        <w:tc>
          <w:tcPr>
            <w:tcW w:w="1702"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122" w:right="32" w:hanging="90"/>
              <w:jc w:val="left"/>
              <w:rPr>
                <w:rFonts w:ascii="宋体" w:hAnsi="宋体" w:cs="宋体" w:eastAsia="宋体" w:hint="default"/>
                <w:sz w:val="18"/>
                <w:szCs w:val="18"/>
              </w:rPr>
            </w:pPr>
            <w:r>
              <w:rPr>
                <w:rFonts w:ascii="宋体" w:hAnsi="宋体" w:cs="宋体" w:eastAsia="宋体" w:hint="default"/>
                <w:sz w:val="18"/>
                <w:szCs w:val="18"/>
              </w:rPr>
              <w:t>其中：被授予的限制 性股票数量（股）</w:t>
            </w:r>
          </w:p>
        </w:tc>
        <w:tc>
          <w:tcPr>
            <w:tcW w:w="127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0" w:right="-21" w:firstLine="69"/>
              <w:jc w:val="left"/>
              <w:rPr>
                <w:rFonts w:ascii="宋体" w:hAnsi="宋体" w:cs="宋体" w:eastAsia="宋体" w:hint="default"/>
                <w:sz w:val="18"/>
                <w:szCs w:val="18"/>
              </w:rPr>
            </w:pPr>
            <w:r>
              <w:rPr>
                <w:rFonts w:ascii="宋体" w:hAnsi="宋体" w:cs="宋体" w:eastAsia="宋体" w:hint="default"/>
                <w:sz w:val="18"/>
                <w:szCs w:val="18"/>
              </w:rPr>
              <w:t>期末持有股票 期权数量（股）</w:t>
            </w:r>
          </w:p>
        </w:tc>
        <w:tc>
          <w:tcPr>
            <w:tcW w:w="850"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变动原因</w:t>
            </w:r>
          </w:p>
        </w:tc>
      </w:tr>
      <w:tr>
        <w:trPr>
          <w:trHeight w:val="412" w:hRule="exact"/>
        </w:trPr>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何素蓉</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46"/>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31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sz w:val="18"/>
              </w:rPr>
              <w:t>-</w:t>
            </w:r>
          </w:p>
        </w:tc>
      </w:tr>
      <w:tr>
        <w:trPr>
          <w:trHeight w:val="640" w:hRule="exact"/>
        </w:trPr>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刘兆亮</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1" w:right="120"/>
              <w:jc w:val="left"/>
              <w:rPr>
                <w:rFonts w:ascii="宋体" w:hAnsi="宋体" w:cs="宋体" w:eastAsia="宋体" w:hint="default"/>
                <w:sz w:val="18"/>
                <w:szCs w:val="18"/>
              </w:rPr>
            </w:pPr>
            <w:r>
              <w:rPr>
                <w:rFonts w:ascii="宋体" w:hAnsi="宋体" w:cs="宋体" w:eastAsia="宋体" w:hint="default"/>
                <w:sz w:val="18"/>
                <w:szCs w:val="18"/>
              </w:rPr>
              <w:t>原第一届监事会 监事</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43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sz w:val="18"/>
              </w:rPr>
              <w:t>-</w:t>
            </w:r>
          </w:p>
        </w:tc>
      </w:tr>
      <w:tr>
        <w:trPr>
          <w:trHeight w:val="412" w:hRule="exact"/>
        </w:trPr>
        <w:tc>
          <w:tcPr>
            <w:tcW w:w="710" w:type="dxa"/>
            <w:vMerge w:val="restart"/>
            <w:tcBorders>
              <w:top w:val="single" w:sz="6" w:space="0" w:color="000000"/>
              <w:left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沈健</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原董事会秘书</w:t>
            </w:r>
          </w:p>
        </w:tc>
        <w:tc>
          <w:tcPr>
            <w:tcW w:w="283"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208" w:right="0"/>
              <w:jc w:val="left"/>
              <w:rPr>
                <w:rFonts w:ascii="宋体" w:hAnsi="宋体" w:cs="宋体" w:eastAsia="宋体" w:hint="default"/>
                <w:sz w:val="18"/>
                <w:szCs w:val="18"/>
              </w:rPr>
            </w:pPr>
            <w:r>
              <w:rPr>
                <w:rFonts w:ascii="宋体"/>
                <w:sz w:val="18"/>
              </w:rPr>
              <w:t>40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pacing w:val="14"/>
                <w:sz w:val="18"/>
                <w:szCs w:val="18"/>
              </w:rPr>
              <w:t>2010年3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4"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699" w:right="0"/>
              <w:jc w:val="left"/>
              <w:rPr>
                <w:rFonts w:ascii="宋体" w:hAnsi="宋体" w:cs="宋体" w:eastAsia="宋体" w:hint="default"/>
                <w:sz w:val="18"/>
                <w:szCs w:val="18"/>
              </w:rPr>
            </w:pPr>
            <w:r>
              <w:rPr>
                <w:rFonts w:ascii="宋体"/>
                <w:sz w:val="18"/>
              </w:rPr>
              <w:t>80,000</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850"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134"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557" w:right="0"/>
              <w:jc w:val="left"/>
              <w:rPr>
                <w:rFonts w:ascii="宋体" w:hAnsi="宋体" w:cs="宋体" w:eastAsia="宋体" w:hint="default"/>
                <w:sz w:val="18"/>
                <w:szCs w:val="18"/>
              </w:rPr>
            </w:pPr>
            <w:r>
              <w:rPr>
                <w:rFonts w:ascii="宋体"/>
                <w:sz w:val="18"/>
              </w:rPr>
              <w:t>80,000</w:t>
            </w:r>
          </w:p>
        </w:tc>
        <w:tc>
          <w:tcPr>
            <w:tcW w:w="851"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1274"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50" w:type="dxa"/>
            <w:vMerge w:val="restart"/>
            <w:tcBorders>
              <w:top w:val="single" w:sz="6" w:space="0" w:color="000000"/>
              <w:left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20" w:right="0"/>
              <w:jc w:val="left"/>
              <w:rPr>
                <w:rFonts w:ascii="宋体" w:hAnsi="宋体" w:cs="宋体" w:eastAsia="宋体" w:hint="default"/>
                <w:sz w:val="18"/>
                <w:szCs w:val="18"/>
              </w:rPr>
            </w:pPr>
            <w:r>
              <w:rPr>
                <w:rFonts w:ascii="宋体"/>
                <w:sz w:val="18"/>
              </w:rPr>
              <w:t>-</w:t>
            </w:r>
          </w:p>
        </w:tc>
      </w:tr>
      <w:tr>
        <w:trPr>
          <w:trHeight w:val="412" w:hRule="exact"/>
        </w:trPr>
        <w:tc>
          <w:tcPr>
            <w:tcW w:w="710" w:type="dxa"/>
            <w:vMerge/>
            <w:tcBorders>
              <w:left w:val="single" w:sz="12"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283" w:type="dxa"/>
            <w:vMerge/>
            <w:tcBorders>
              <w:left w:val="single" w:sz="6" w:space="0" w:color="000000"/>
              <w:bottom w:val="single" w:sz="6" w:space="0" w:color="000000"/>
              <w:right w:val="single" w:sz="6" w:space="0" w:color="000000"/>
            </w:tcBorders>
          </w:tcPr>
          <w:p>
            <w:pPr/>
          </w:p>
        </w:tc>
        <w:tc>
          <w:tcPr>
            <w:tcW w:w="425" w:type="dxa"/>
            <w:vMerge/>
            <w:tcBorders>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pacing w:val="14"/>
                <w:sz w:val="18"/>
                <w:szCs w:val="18"/>
              </w:rPr>
              <w:t>2010年3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4"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1134" w:type="dxa"/>
            <w:vMerge/>
            <w:tcBorders>
              <w:left w:val="single" w:sz="6" w:space="0" w:color="000000"/>
              <w:bottom w:val="single" w:sz="6" w:space="0" w:color="000000"/>
              <w:right w:val="single" w:sz="6" w:space="0" w:color="000000"/>
            </w:tcBorders>
          </w:tcPr>
          <w:p>
            <w:pPr/>
          </w:p>
        </w:tc>
        <w:tc>
          <w:tcPr>
            <w:tcW w:w="851"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12" w:space="0" w:color="000000"/>
            </w:tcBorders>
          </w:tcPr>
          <w:p>
            <w:pPr/>
          </w:p>
        </w:tc>
      </w:tr>
      <w:tr>
        <w:trPr>
          <w:trHeight w:val="413" w:hRule="exact"/>
        </w:trPr>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赵俊平</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46"/>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145,000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145,000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sz w:val="18"/>
              </w:rPr>
              <w:t>-</w:t>
            </w:r>
          </w:p>
        </w:tc>
      </w:tr>
      <w:tr>
        <w:trPr>
          <w:trHeight w:val="638" w:hRule="exact"/>
        </w:trPr>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蒋悦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1" w:right="18"/>
              <w:jc w:val="left"/>
              <w:rPr>
                <w:rFonts w:ascii="宋体" w:hAnsi="宋体" w:cs="宋体" w:eastAsia="宋体" w:hint="default"/>
                <w:sz w:val="18"/>
                <w:szCs w:val="18"/>
              </w:rPr>
            </w:pPr>
            <w:r>
              <w:rPr>
                <w:rFonts w:ascii="宋体" w:hAnsi="宋体" w:cs="宋体" w:eastAsia="宋体" w:hint="default"/>
                <w:spacing w:val="-10"/>
                <w:sz w:val="18"/>
                <w:szCs w:val="18"/>
              </w:rPr>
              <w:t>副总经理、董事会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秘书</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38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sz w:val="18"/>
              </w:rPr>
              <w:t>-</w:t>
            </w:r>
          </w:p>
        </w:tc>
      </w:tr>
      <w:tr>
        <w:trPr>
          <w:trHeight w:val="421" w:hRule="exact"/>
        </w:trPr>
        <w:tc>
          <w:tcPr>
            <w:tcW w:w="710"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3"/>
              <w:ind w:right="164"/>
              <w:jc w:val="righ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283"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425"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3"/>
              <w:ind w:left="113" w:right="0"/>
              <w:jc w:val="left"/>
              <w:rPr>
                <w:rFonts w:ascii="宋体" w:hAnsi="宋体" w:cs="宋体" w:eastAsia="宋体" w:hint="default"/>
                <w:sz w:val="18"/>
                <w:szCs w:val="18"/>
              </w:rPr>
            </w:pPr>
            <w:r>
              <w:rPr>
                <w:rFonts w:ascii="宋体"/>
                <w:sz w:val="18"/>
              </w:rPr>
              <w:t>--</w:t>
            </w:r>
          </w:p>
        </w:tc>
        <w:tc>
          <w:tcPr>
            <w:tcW w:w="1702"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1560"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14,245,000</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14,245,000</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12" w:space="0" w:color="000000"/>
              <w:right w:val="single" w:sz="12" w:space="0" w:color="000000"/>
            </w:tcBorders>
            <w:shd w:val="clear" w:color="auto" w:fill="D3D3D3"/>
          </w:tcPr>
          <w:p>
            <w:pPr>
              <w:pStyle w:val="TableParagraph"/>
              <w:spacing w:line="240" w:lineRule="auto" w:before="53"/>
              <w:ind w:left="7" w:right="0"/>
              <w:jc w:val="center"/>
              <w:rPr>
                <w:rFonts w:ascii="宋体" w:hAnsi="宋体" w:cs="宋体" w:eastAsia="宋体" w:hint="default"/>
                <w:sz w:val="18"/>
                <w:szCs w:val="18"/>
              </w:rPr>
            </w:pPr>
            <w:r>
              <w:rPr>
                <w:rFonts w:ascii="宋体"/>
                <w:sz w:val="18"/>
              </w:rPr>
              <w:t>--</w:t>
            </w:r>
          </w:p>
        </w:tc>
      </w:tr>
    </w:tbl>
    <w:p>
      <w:pPr>
        <w:rPr>
          <w:sz w:val="2"/>
          <w:szCs w:val="2"/>
        </w:rPr>
      </w:pPr>
      <w:r>
        <w:rPr/>
        <w:pict>
          <v:shape style="position:absolute;margin-left:437.930786pt;margin-top:58.200001pt;width:66.1pt;height:46.8pt;mso-position-horizontal-relative:page;mso-position-vertical-relative:page;z-index:-65591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8"/>
                      <w:szCs w:val="18"/>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pict>
          <v:shape style="position:absolute;margin-left:579.71051pt;margin-top:58.200001pt;width:108.6pt;height:46.8pt;mso-position-horizontal-relative:page;mso-position-vertical-relative:page;z-index:-65588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p>
    <w:p>
      <w:pPr>
        <w:spacing w:after="0"/>
        <w:rPr>
          <w:sz w:val="2"/>
          <w:szCs w:val="2"/>
        </w:rPr>
        <w:sectPr>
          <w:pgSz w:w="16840" w:h="11910" w:orient="landscape"/>
          <w:pgMar w:header="877" w:footer="999" w:top="1100" w:bottom="1180" w:left="740" w:right="800"/>
        </w:sectPr>
      </w:pPr>
    </w:p>
    <w:p>
      <w:pPr>
        <w:spacing w:line="240" w:lineRule="auto" w:before="9"/>
        <w:rPr>
          <w:rFonts w:ascii="宋体" w:hAnsi="宋体" w:cs="宋体" w:eastAsia="宋体" w:hint="default"/>
          <w:b/>
          <w:bCs/>
          <w:sz w:val="19"/>
          <w:szCs w:val="19"/>
        </w:rPr>
      </w:pPr>
    </w:p>
    <w:p>
      <w:pPr>
        <w:pStyle w:val="Heading2"/>
        <w:spacing w:line="240" w:lineRule="auto"/>
        <w:ind w:right="0"/>
        <w:jc w:val="both"/>
        <w:rPr>
          <w:b w:val="0"/>
          <w:bCs w:val="0"/>
        </w:rPr>
      </w:pPr>
      <w:r>
        <w:rPr/>
        <w:t>二、任职情况</w:t>
      </w:r>
      <w:r>
        <w:rPr>
          <w:b w:val="0"/>
          <w:bCs w:val="0"/>
        </w:rPr>
      </w:r>
    </w:p>
    <w:p>
      <w:pPr>
        <w:spacing w:line="240" w:lineRule="auto" w:before="10"/>
        <w:rPr>
          <w:rFonts w:ascii="宋体" w:hAnsi="宋体" w:cs="宋体" w:eastAsia="宋体" w:hint="default"/>
          <w:b/>
          <w:bCs/>
          <w:sz w:val="28"/>
          <w:szCs w:val="28"/>
        </w:rPr>
      </w:pPr>
    </w:p>
    <w:p>
      <w:pPr>
        <w:pStyle w:val="Heading3"/>
        <w:spacing w:line="357" w:lineRule="auto" w:before="0"/>
        <w:ind w:left="573" w:right="3291" w:hanging="420"/>
        <w:jc w:val="left"/>
      </w:pPr>
      <w:r>
        <w:rPr/>
        <w:t>公司现任董事、监事、高级管理人员最近</w:t>
      </w:r>
      <w:r>
        <w:rPr>
          <w:spacing w:val="-60"/>
        </w:rPr>
        <w:t> </w:t>
      </w:r>
      <w:r>
        <w:rPr/>
        <w:t>5</w:t>
      </w:r>
      <w:r>
        <w:rPr>
          <w:spacing w:val="-60"/>
        </w:rPr>
        <w:t> </w:t>
      </w:r>
      <w:r>
        <w:rPr/>
        <w:t>年的主要工作经历</w:t>
      </w:r>
      <w:r>
        <w:rPr/>
        <w:t> 1、董事长龙昌明先生简历：</w:t>
      </w:r>
    </w:p>
    <w:p>
      <w:pPr>
        <w:pStyle w:val="Heading3"/>
        <w:spacing w:line="357" w:lineRule="auto"/>
        <w:ind w:right="149" w:firstLine="420"/>
        <w:jc w:val="both"/>
      </w:pPr>
      <w:r>
        <w:rPr>
          <w:spacing w:val="-1"/>
        </w:rPr>
        <w:t>龙昌明先生，1966年4月出生，中国国籍，无境外永久居留权，大学本科学历。1987年毕</w:t>
      </w:r>
      <w:r>
        <w:rPr/>
        <w:t> 业于南京工学院无线电系，1987年至1997年任职于南京军区前线歌舞团舞美队，担任文职干</w:t>
      </w:r>
      <w:r>
        <w:rPr>
          <w:spacing w:val="-116"/>
        </w:rPr>
        <w:t> </w:t>
      </w:r>
      <w:r>
        <w:rPr>
          <w:spacing w:val="-116"/>
        </w:rPr>
      </w:r>
      <w:r>
        <w:rPr/>
        <w:t>部；1997年至2000年任职于江苏光一电子有限公司，担任技术负责人；2000年至2009年任职</w:t>
      </w:r>
      <w:r>
        <w:rPr/>
        <w:t> 于江苏光一科技有限责任公司，担任董事长；2006年至今兼任江苏苏源光一科技有限公司董</w:t>
      </w:r>
      <w:r>
        <w:rPr>
          <w:spacing w:val="-102"/>
        </w:rPr>
        <w:t> </w:t>
      </w:r>
      <w:r>
        <w:rPr>
          <w:spacing w:val="-102"/>
        </w:rPr>
      </w:r>
      <w:r>
        <w:rPr/>
        <w:t>事长；2009年至今任公司董事长、光一投资执行董事。</w:t>
      </w:r>
    </w:p>
    <w:p>
      <w:pPr>
        <w:pStyle w:val="Heading3"/>
        <w:spacing w:line="357" w:lineRule="auto"/>
        <w:ind w:left="574" w:right="132"/>
        <w:jc w:val="left"/>
      </w:pPr>
      <w:r>
        <w:rPr/>
        <w:t>2、董事、总经理王海俊先生简历： </w:t>
      </w:r>
      <w:r>
        <w:rPr>
          <w:spacing w:val="-1"/>
        </w:rPr>
        <w:t>王海俊先生，1969年7月出生，中国国籍，无境外永久居留权，硕士研究生学历。1993年</w:t>
      </w:r>
    </w:p>
    <w:p>
      <w:pPr>
        <w:pStyle w:val="Heading3"/>
        <w:spacing w:line="357" w:lineRule="auto"/>
        <w:ind w:left="154" w:right="150"/>
        <w:jc w:val="both"/>
      </w:pPr>
      <w:r>
        <w:rPr/>
        <w:t>毕业于南京理工大学机械制造系，1993年至2000年任职于煤炭科研总院南京研究所；2000年 至2007年任职于江苏光一科技有限责任公司，担任副总经理、总经理，2006年至今兼任江苏</w:t>
      </w:r>
      <w:r>
        <w:rPr>
          <w:spacing w:val="-117"/>
        </w:rPr>
        <w:t> </w:t>
      </w:r>
      <w:r>
        <w:rPr>
          <w:spacing w:val="-117"/>
        </w:rPr>
      </w:r>
      <w:r>
        <w:rPr/>
        <w:t>苏源光一科技有限公司董事；现任公司董事、总经理。</w:t>
      </w:r>
    </w:p>
    <w:p>
      <w:pPr>
        <w:pStyle w:val="Heading3"/>
        <w:spacing w:line="357" w:lineRule="auto"/>
        <w:ind w:left="574" w:right="132"/>
        <w:jc w:val="left"/>
      </w:pPr>
      <w:r>
        <w:rPr/>
        <w:t>3、董事、副总经理邱卫东先生简历： </w:t>
      </w:r>
      <w:r>
        <w:rPr>
          <w:spacing w:val="-1"/>
        </w:rPr>
        <w:t>邱卫东先生，1965年3月出生，中国国籍，无境外永久居留权，硕士研究生学历，高级工</w:t>
      </w:r>
    </w:p>
    <w:p>
      <w:pPr>
        <w:pStyle w:val="Heading3"/>
        <w:spacing w:line="357" w:lineRule="auto"/>
        <w:ind w:right="149"/>
        <w:jc w:val="both"/>
      </w:pPr>
      <w:r>
        <w:rPr/>
        <w:t>程师。1986年毕业于东南大学无线电系，获工学学士学位；1991年获得东南大学经济学第二</w:t>
      </w:r>
      <w:r>
        <w:rPr>
          <w:spacing w:val="-117"/>
        </w:rPr>
        <w:t> </w:t>
      </w:r>
      <w:r>
        <w:rPr>
          <w:spacing w:val="-117"/>
        </w:rPr>
      </w:r>
      <w:r>
        <w:rPr>
          <w:spacing w:val="-5"/>
        </w:rPr>
        <w:t>学士学位；2002年获得东南大学工商管理硕士学位。1986年至1987年在东南大学理化系工作，</w:t>
      </w:r>
      <w:r>
        <w:rPr>
          <w:spacing w:val="-87"/>
        </w:rPr>
        <w:t> </w:t>
      </w:r>
      <w:r>
        <w:rPr>
          <w:spacing w:val="-87"/>
        </w:rPr>
      </w:r>
      <w:r>
        <w:rPr/>
        <w:t>担任团总支书记；1988年至1991年在东南大学团委工作，担任部长；1992年至2002年任职于</w:t>
      </w:r>
      <w:r>
        <w:rPr/>
        <w:t> 东南大学东大集团总公司，担任副总经理，其中2000年至2002年兼任南京东大微电子有限责</w:t>
      </w:r>
      <w:r>
        <w:rPr>
          <w:spacing w:val="-115"/>
        </w:rPr>
        <w:t> </w:t>
      </w:r>
      <w:r>
        <w:rPr>
          <w:spacing w:val="-115"/>
        </w:rPr>
      </w:r>
      <w:r>
        <w:rPr/>
        <w:t>任公司总经理；2002年至今任职于江苏光一科技有限责任公司，担任副总经理；2003年至今</w:t>
      </w:r>
      <w:r>
        <w:rPr/>
        <w:t> 兼任江苏苏源光一科技有限公司总经理，2006年至今兼任江苏苏源光一科技有限公司董事；</w:t>
      </w:r>
      <w:r>
        <w:rPr>
          <w:spacing w:val="-101"/>
        </w:rPr>
        <w:t> </w:t>
      </w:r>
      <w:r>
        <w:rPr>
          <w:spacing w:val="-101"/>
        </w:rPr>
      </w:r>
      <w:r>
        <w:rPr/>
        <w:t>现任公司董事、副总经理。</w:t>
      </w:r>
    </w:p>
    <w:p>
      <w:pPr>
        <w:pStyle w:val="Heading3"/>
        <w:spacing w:line="357" w:lineRule="auto"/>
        <w:ind w:left="573" w:right="132"/>
        <w:jc w:val="left"/>
      </w:pPr>
      <w:r>
        <w:rPr/>
        <w:t>4、董事、副总经理、财务负责人戴晓东先生简历： </w:t>
      </w:r>
      <w:r>
        <w:rPr>
          <w:spacing w:val="-1"/>
        </w:rPr>
        <w:t>戴晓东先生，1971年1月出生，中国国籍，无境外永久居留权，硕士研究生学历，注册会</w:t>
      </w:r>
    </w:p>
    <w:p>
      <w:pPr>
        <w:pStyle w:val="Heading3"/>
        <w:spacing w:line="357" w:lineRule="auto"/>
        <w:ind w:right="147"/>
        <w:jc w:val="both"/>
      </w:pPr>
      <w:r>
        <w:rPr/>
        <w:t>计师（非执业）。2000年毕业于南京财经大学工业会计专业。1993年至1996年任职于华东地</w:t>
      </w:r>
      <w:r>
        <w:rPr>
          <w:spacing w:val="-112"/>
        </w:rPr>
        <w:t> </w:t>
      </w:r>
      <w:r>
        <w:rPr>
          <w:spacing w:val="-112"/>
        </w:rPr>
      </w:r>
      <w:r>
        <w:rPr>
          <w:spacing w:val="-5"/>
        </w:rPr>
        <w:t>勘局，担任成本会计、科长；1996年至1997年任职于江苏康宝实业有限公司，担任财务经理；</w:t>
      </w:r>
      <w:r>
        <w:rPr>
          <w:spacing w:val="-99"/>
        </w:rPr>
        <w:t> </w:t>
      </w:r>
      <w:r>
        <w:rPr>
          <w:spacing w:val="-99"/>
        </w:rPr>
      </w:r>
      <w:r>
        <w:rPr/>
        <w:t>1997年至1999年任职于江苏光一电子有限公司，担任财务经理；2000年至2009年任职于江苏</w:t>
      </w:r>
      <w:r>
        <w:rPr/>
        <w:t> 光一科技有限责任公司，担任财务总监，2009年至今兼任江苏苏源光一科技有限公司董事；</w:t>
      </w:r>
      <w:r>
        <w:rPr>
          <w:spacing w:val="-101"/>
        </w:rPr>
        <w:t> </w:t>
      </w:r>
      <w:r>
        <w:rPr>
          <w:spacing w:val="-101"/>
        </w:rPr>
      </w:r>
      <w:r>
        <w:rPr/>
        <w:t>2009年至2012年任公司董事、财务总监；现任公司董事、副总经理、财务总监。</w:t>
      </w:r>
    </w:p>
    <w:p>
      <w:pPr>
        <w:spacing w:after="0" w:line="357" w:lineRule="auto"/>
        <w:jc w:val="both"/>
        <w:sectPr>
          <w:headerReference w:type="default" r:id="rId16"/>
          <w:footerReference w:type="default" r:id="rId17"/>
          <w:pgSz w:w="11910" w:h="16840"/>
          <w:pgMar w:header="877" w:footer="1003" w:top="1100" w:bottom="1200" w:left="980" w:right="980"/>
          <w:pgNumType w:start="47"/>
        </w:sectPr>
      </w:pPr>
    </w:p>
    <w:p>
      <w:pPr>
        <w:spacing w:line="240" w:lineRule="auto" w:before="7"/>
        <w:rPr>
          <w:rFonts w:ascii="宋体" w:hAnsi="宋体" w:cs="宋体" w:eastAsia="宋体" w:hint="default"/>
          <w:sz w:val="25"/>
          <w:szCs w:val="25"/>
        </w:rPr>
      </w:pPr>
    </w:p>
    <w:p>
      <w:pPr>
        <w:pStyle w:val="Heading3"/>
        <w:spacing w:line="357" w:lineRule="auto" w:before="26"/>
        <w:ind w:left="574" w:right="132"/>
        <w:jc w:val="left"/>
      </w:pPr>
      <w:r>
        <w:rPr/>
        <w:t>5、董事熊俊先生简历： </w:t>
      </w:r>
      <w:r>
        <w:rPr>
          <w:spacing w:val="-1"/>
        </w:rPr>
        <w:t>熊俊先生，1985年3月出生，中国国籍，持有香港永久居留权，大学本科双学位。2008年</w:t>
      </w:r>
    </w:p>
    <w:p>
      <w:pPr>
        <w:pStyle w:val="Heading3"/>
        <w:spacing w:line="357" w:lineRule="auto"/>
        <w:ind w:right="148"/>
        <w:jc w:val="both"/>
      </w:pPr>
      <w:r>
        <w:rPr>
          <w:spacing w:val="-2"/>
        </w:rPr>
        <w:t>毕业于美国波士顿大学，2008年8月至2010年2月任职于摩根史丹利投资银行部；2010年2月至</w:t>
      </w:r>
      <w:r>
        <w:rPr>
          <w:spacing w:val="-106"/>
        </w:rPr>
        <w:t> </w:t>
      </w:r>
      <w:r>
        <w:rPr>
          <w:spacing w:val="-106"/>
        </w:rPr>
      </w:r>
      <w:r>
        <w:rPr>
          <w:spacing w:val="-2"/>
        </w:rPr>
        <w:t>2010年9月任职于香港荣俊投资发展有限公司，担任董事长；2010年10月至今任职于北京华康</w:t>
      </w:r>
      <w:r>
        <w:rPr>
          <w:spacing w:val="-110"/>
        </w:rPr>
        <w:t> </w:t>
      </w:r>
      <w:r>
        <w:rPr>
          <w:spacing w:val="-110"/>
        </w:rPr>
      </w:r>
      <w:r>
        <w:rPr/>
        <w:t>瑞宏投资有限公司，担任董事长，现为北京海外联谊会青年委员及香港海归青年华菁会青年</w:t>
      </w:r>
      <w:r>
        <w:rPr>
          <w:spacing w:val="-83"/>
        </w:rPr>
        <w:t> </w:t>
      </w:r>
      <w:r>
        <w:rPr>
          <w:spacing w:val="-83"/>
        </w:rPr>
      </w:r>
      <w:r>
        <w:rPr/>
        <w:t>委员；现任公司董事。</w:t>
      </w:r>
    </w:p>
    <w:p>
      <w:pPr>
        <w:pStyle w:val="Heading3"/>
        <w:spacing w:line="357" w:lineRule="auto"/>
        <w:ind w:left="573" w:right="132"/>
        <w:jc w:val="left"/>
      </w:pPr>
      <w:r>
        <w:rPr/>
        <w:t>6、董事李俊先生简历： </w:t>
      </w:r>
      <w:r>
        <w:rPr>
          <w:spacing w:val="-1"/>
        </w:rPr>
        <w:t>李俊先生，1975年6月出生，中国国籍，无境外永久居留权，大学本科学历。经济师，中</w:t>
      </w:r>
    </w:p>
    <w:p>
      <w:pPr>
        <w:pStyle w:val="Heading3"/>
        <w:spacing w:line="357" w:lineRule="auto"/>
        <w:ind w:right="149"/>
        <w:jc w:val="both"/>
      </w:pPr>
      <w:r>
        <w:rPr/>
        <w:t>共党员。1996年至2005年任职于骏林投资集团公司，担任企管部经理；2006年至2012年任职 于深圳市华隆投资集团有限公司，担任总裁助理；2010年至今任职于北京华康瑞宏投资有限</w:t>
      </w:r>
      <w:r>
        <w:rPr>
          <w:spacing w:val="-117"/>
        </w:rPr>
        <w:t> </w:t>
      </w:r>
      <w:r>
        <w:rPr>
          <w:spacing w:val="-117"/>
        </w:rPr>
      </w:r>
      <w:r>
        <w:rPr/>
        <w:t>公司，担任副总经理；现任公司董事。</w:t>
      </w:r>
    </w:p>
    <w:p>
      <w:pPr>
        <w:pStyle w:val="Heading3"/>
        <w:spacing w:line="357" w:lineRule="auto"/>
        <w:ind w:left="573" w:right="132"/>
        <w:jc w:val="left"/>
      </w:pPr>
      <w:r>
        <w:rPr/>
        <w:t>7、独立董事李和渝先生简历： </w:t>
      </w:r>
      <w:r>
        <w:rPr>
          <w:spacing w:val="-1"/>
        </w:rPr>
        <w:t>李和渝先生，1956年7月出生，中国国籍，无境外永久居留权，大学本科学历。1982年毕</w:t>
      </w:r>
    </w:p>
    <w:p>
      <w:pPr>
        <w:pStyle w:val="Heading3"/>
        <w:spacing w:line="357" w:lineRule="auto"/>
        <w:ind w:right="151"/>
        <w:jc w:val="both"/>
      </w:pPr>
      <w:r>
        <w:rPr/>
        <w:t>业于东南大学动力工程系，1982年至1990年任职于东南大学电气工程系，担任助教、讲师；</w:t>
      </w:r>
      <w:r>
        <w:rPr>
          <w:spacing w:val="-116"/>
        </w:rPr>
        <w:t> </w:t>
      </w:r>
      <w:r>
        <w:rPr>
          <w:spacing w:val="-116"/>
        </w:rPr>
      </w:r>
      <w:r>
        <w:rPr/>
        <w:t>1990年至1992年任职于江苏省灌云县，担任科技副县长；1992年至1999年任职于东南大学电</w:t>
      </w:r>
      <w:r>
        <w:rPr/>
        <w:t> </w:t>
      </w:r>
      <w:r>
        <w:rPr>
          <w:spacing w:val="-5"/>
        </w:rPr>
        <w:t>气工程系，担任党总支副书记兼副系主任、副教授；1999年至2006年任职于东南大学学生处，</w:t>
      </w:r>
      <w:r>
        <w:rPr>
          <w:spacing w:val="-99"/>
        </w:rPr>
        <w:t> </w:t>
      </w:r>
      <w:r>
        <w:rPr>
          <w:spacing w:val="-99"/>
        </w:rPr>
      </w:r>
      <w:r>
        <w:rPr>
          <w:spacing w:val="-2"/>
        </w:rPr>
        <w:t>担任副处长（正处级）；2006年4月至今任职于东南大学电气工程学院，担任党委书记；2009</w:t>
      </w:r>
      <w:r>
        <w:rPr>
          <w:spacing w:val="-114"/>
        </w:rPr>
        <w:t> </w:t>
      </w:r>
      <w:r>
        <w:rPr>
          <w:spacing w:val="-114"/>
        </w:rPr>
      </w:r>
      <w:r>
        <w:rPr/>
        <w:t>年至今公司独立董事。</w:t>
      </w:r>
    </w:p>
    <w:p>
      <w:pPr>
        <w:pStyle w:val="Heading3"/>
        <w:spacing w:line="357" w:lineRule="auto"/>
        <w:ind w:left="573" w:right="132"/>
        <w:jc w:val="left"/>
      </w:pPr>
      <w:r>
        <w:rPr/>
        <w:t>8、独立董事廖家河先生简历： 廖家河先生，1969年12月出生，中国国籍，无境外永久居留权，大学本科学历。1992年</w:t>
      </w:r>
    </w:p>
    <w:p>
      <w:pPr>
        <w:pStyle w:val="Heading3"/>
        <w:spacing w:line="357" w:lineRule="auto"/>
        <w:ind w:right="148"/>
        <w:jc w:val="both"/>
      </w:pPr>
      <w:r>
        <w:rPr/>
        <w:t>毕业于南京大学数学系，1992年至1998年任职于北京有机化工厂；1998年至2002年任职于中 天信(原中信)会计师事务所，担任项目经理、部门经理；2002年至2003年任职于北京天华会 </w:t>
      </w:r>
      <w:r>
        <w:rPr>
          <w:spacing w:val="-2"/>
        </w:rPr>
        <w:t>计事务所，担任经理；2003年至2004年担任北京东湖会计师事务所合伙人；2005年至2011年8</w:t>
      </w:r>
      <w:r>
        <w:rPr>
          <w:spacing w:val="-106"/>
        </w:rPr>
        <w:t> </w:t>
      </w:r>
      <w:r>
        <w:rPr>
          <w:spacing w:val="-106"/>
        </w:rPr>
      </w:r>
      <w:r>
        <w:rPr>
          <w:spacing w:val="-2"/>
        </w:rPr>
        <w:t>月担任天健正信会计师事务所（原中和正信会计师事务所）合伙人；2011年8月至今担任立信</w:t>
      </w:r>
      <w:r>
        <w:rPr>
          <w:spacing w:val="-118"/>
        </w:rPr>
        <w:t> </w:t>
      </w:r>
      <w:r>
        <w:rPr>
          <w:spacing w:val="-118"/>
        </w:rPr>
      </w:r>
      <w:r>
        <w:rPr/>
        <w:t>会计师事务所有限公司合伙人；2009年至今任公司独立董事。</w:t>
      </w:r>
    </w:p>
    <w:p>
      <w:pPr>
        <w:pStyle w:val="Heading3"/>
        <w:spacing w:line="357" w:lineRule="auto"/>
        <w:ind w:left="573" w:right="132"/>
        <w:jc w:val="left"/>
      </w:pPr>
      <w:r>
        <w:rPr/>
        <w:t>9、独立董事曲凯先生简历： </w:t>
      </w:r>
      <w:r>
        <w:rPr>
          <w:spacing w:val="-1"/>
        </w:rPr>
        <w:t>曲凯先生，1970年5月出生，中国国籍，无境外永久居留权，大学本科学历。1992年毕业</w:t>
      </w:r>
    </w:p>
    <w:p>
      <w:pPr>
        <w:pStyle w:val="Heading3"/>
        <w:spacing w:line="357" w:lineRule="auto"/>
        <w:ind w:right="149"/>
        <w:jc w:val="both"/>
      </w:pPr>
      <w:r>
        <w:rPr/>
        <w:t>于西南政法学院经济法系，1992年至1994年任职于吉林省土地管理局；1994年至1997年任职 于长春市房地产律师事务所；1997年至1999年任职于北京京融律师事务所；1999年至2003年</w:t>
      </w:r>
    </w:p>
    <w:p>
      <w:pPr>
        <w:spacing w:after="0" w:line="357" w:lineRule="auto"/>
        <w:jc w:val="both"/>
        <w:sectPr>
          <w:pgSz w:w="11910" w:h="16840"/>
          <w:pgMar w:header="877" w:footer="1003" w:top="1100" w:bottom="1200" w:left="980" w:right="980"/>
        </w:sectPr>
      </w:pPr>
    </w:p>
    <w:p>
      <w:pPr>
        <w:spacing w:line="240" w:lineRule="auto" w:before="7"/>
        <w:rPr>
          <w:rFonts w:ascii="宋体" w:hAnsi="宋体" w:cs="宋体" w:eastAsia="宋体" w:hint="default"/>
          <w:sz w:val="25"/>
          <w:szCs w:val="25"/>
        </w:rPr>
      </w:pPr>
    </w:p>
    <w:p>
      <w:pPr>
        <w:pStyle w:val="Heading3"/>
        <w:spacing w:line="357" w:lineRule="auto" w:before="26"/>
        <w:ind w:right="150"/>
        <w:jc w:val="both"/>
      </w:pPr>
      <w:r>
        <w:rPr/>
        <w:t>任职于北京市中银律师事务所；2003年创办北京凯文律师事务所，担任合伙人；2012年任国</w:t>
      </w:r>
      <w:r>
        <w:rPr>
          <w:spacing w:val="-98"/>
        </w:rPr>
        <w:t> </w:t>
      </w:r>
      <w:r>
        <w:rPr>
          <w:spacing w:val="-98"/>
        </w:rPr>
      </w:r>
      <w:r>
        <w:rPr/>
        <w:t>枫凯文律师事务所合伙人，2009年至今任公司独立董事。</w:t>
      </w:r>
    </w:p>
    <w:p>
      <w:pPr>
        <w:pStyle w:val="Heading3"/>
        <w:spacing w:line="357" w:lineRule="auto"/>
        <w:ind w:left="573" w:right="132"/>
        <w:jc w:val="left"/>
      </w:pPr>
      <w:r>
        <w:rPr/>
        <w:t>10、监事会主席朱云飞先生简历： </w:t>
      </w:r>
      <w:r>
        <w:rPr>
          <w:spacing w:val="-1"/>
        </w:rPr>
        <w:t>朱云飞先生，1964年7月出生，中国国籍，无境外永久居留权，大学本科学历。1987年毕</w:t>
      </w:r>
    </w:p>
    <w:p>
      <w:pPr>
        <w:pStyle w:val="Heading3"/>
        <w:spacing w:line="357" w:lineRule="auto"/>
        <w:ind w:right="149"/>
        <w:jc w:val="both"/>
      </w:pPr>
      <w:r>
        <w:rPr/>
        <w:t>业于南京工学院（现为东南大学），1987年至1997年任职于常州电子仪器厂，历任产品设计</w:t>
      </w:r>
      <w:r>
        <w:rPr>
          <w:spacing w:val="-116"/>
        </w:rPr>
        <w:t> </w:t>
      </w:r>
      <w:r>
        <w:rPr>
          <w:spacing w:val="-116"/>
        </w:rPr>
      </w:r>
      <w:r>
        <w:rPr/>
        <w:t>师、外经科副科长、科长、厂长助理；1998年至2000年任职于常州华诚佳莺电子有限公司，</w:t>
      </w:r>
      <w:r>
        <w:rPr>
          <w:spacing w:val="-115"/>
        </w:rPr>
        <w:t> </w:t>
      </w:r>
      <w:r>
        <w:rPr>
          <w:spacing w:val="-115"/>
        </w:rPr>
      </w:r>
      <w:r>
        <w:rPr/>
        <w:t>担任总经理、党总支书记；2000年至2003年任职于江苏光一科技有限责任公司，历任生产部</w:t>
      </w:r>
      <w:r>
        <w:rPr>
          <w:spacing w:val="-116"/>
        </w:rPr>
        <w:t> </w:t>
      </w:r>
      <w:r>
        <w:rPr>
          <w:spacing w:val="-116"/>
        </w:rPr>
      </w:r>
      <w:r>
        <w:rPr/>
        <w:t>经理、品管部经理、产品部副经理；2003年至2004年任职于常州万方电子有限公司，担任副</w:t>
      </w:r>
      <w:r>
        <w:rPr>
          <w:spacing w:val="-116"/>
        </w:rPr>
        <w:t> </w:t>
      </w:r>
      <w:r>
        <w:rPr>
          <w:spacing w:val="-116"/>
        </w:rPr>
      </w:r>
      <w:r>
        <w:rPr/>
        <w:t>总经理；2004年至2009年任职于江苏光一科技有限责任公司，历任产品技术部经理、研发中</w:t>
      </w:r>
      <w:r>
        <w:rPr>
          <w:spacing w:val="-103"/>
        </w:rPr>
        <w:t> </w:t>
      </w:r>
      <w:r>
        <w:rPr>
          <w:spacing w:val="-103"/>
        </w:rPr>
      </w:r>
      <w:r>
        <w:rPr/>
        <w:t>心主任、采购部经理、计划管理部经理、总经理助理；2009年至今兼任江苏苏源光一科技有</w:t>
      </w:r>
      <w:r>
        <w:rPr>
          <w:spacing w:val="-84"/>
        </w:rPr>
        <w:t> </w:t>
      </w:r>
      <w:r>
        <w:rPr>
          <w:spacing w:val="-84"/>
        </w:rPr>
      </w:r>
      <w:r>
        <w:rPr/>
        <w:t>限公司监事；2009年至今任公司监事会主席。</w:t>
      </w:r>
    </w:p>
    <w:p>
      <w:pPr>
        <w:pStyle w:val="Heading3"/>
        <w:spacing w:line="357" w:lineRule="auto"/>
        <w:ind w:left="573" w:right="132"/>
        <w:jc w:val="left"/>
      </w:pPr>
      <w:r>
        <w:rPr/>
        <w:t>11、监事徐一宁先生简历： 徐一宁先生，1949年10月出生，中国国籍，无境外永久居留权，大学本科学历。1977年</w:t>
      </w:r>
    </w:p>
    <w:p>
      <w:pPr>
        <w:pStyle w:val="Heading3"/>
        <w:spacing w:line="357" w:lineRule="auto"/>
        <w:ind w:right="147"/>
        <w:jc w:val="both"/>
      </w:pPr>
      <w:r>
        <w:rPr/>
        <w:t>至1981年任职于中国科学院沈阳计算技术研究所；1981年至1987年任职于地矿部石油物探研</w:t>
      </w:r>
      <w:r>
        <w:rPr>
          <w:spacing w:val="-111"/>
        </w:rPr>
        <w:t> </w:t>
      </w:r>
      <w:r>
        <w:rPr>
          <w:spacing w:val="-111"/>
        </w:rPr>
      </w:r>
      <w:r>
        <w:rPr/>
        <w:t>究所计算部，担任工程师；1987年至1994年任职于江苏电子信息产业集团公司、江苏省计算</w:t>
      </w:r>
      <w:r>
        <w:rPr>
          <w:spacing w:val="-116"/>
        </w:rPr>
        <w:t> </w:t>
      </w:r>
      <w:r>
        <w:rPr>
          <w:spacing w:val="-116"/>
        </w:rPr>
      </w:r>
      <w:r>
        <w:rPr/>
        <w:t>机服务公司，担任常务副总经理；1994年至2003年任职于南京同创信息产业集团公司，担任</w:t>
      </w:r>
      <w:r>
        <w:rPr>
          <w:spacing w:val="-101"/>
        </w:rPr>
        <w:t> </w:t>
      </w:r>
      <w:r>
        <w:rPr>
          <w:spacing w:val="-101"/>
        </w:rPr>
      </w:r>
      <w:r>
        <w:rPr/>
        <w:t>总工程师兼研发中心总监；2003年至2009年任职于江苏光一科技有限责任公司，历任副总经</w:t>
      </w:r>
      <w:r>
        <w:rPr>
          <w:spacing w:val="-116"/>
        </w:rPr>
        <w:t> </w:t>
      </w:r>
      <w:r>
        <w:rPr>
          <w:spacing w:val="-116"/>
        </w:rPr>
      </w:r>
      <w:r>
        <w:rPr/>
        <w:t>理、总工程师、副董事长，2006年至今兼任江苏苏源光一科技有限公司董事；2009年至2012</w:t>
      </w:r>
      <w:r>
        <w:rPr>
          <w:spacing w:val="-102"/>
        </w:rPr>
        <w:t> </w:t>
      </w:r>
      <w:r>
        <w:rPr>
          <w:spacing w:val="-102"/>
        </w:rPr>
      </w:r>
      <w:r>
        <w:rPr/>
        <w:t>年任公司第一届董事会副董事长，现任公司第二届监事会监事。</w:t>
      </w:r>
    </w:p>
    <w:p>
      <w:pPr>
        <w:pStyle w:val="Heading3"/>
        <w:spacing w:line="357" w:lineRule="auto"/>
        <w:ind w:left="573" w:right="132"/>
        <w:jc w:val="left"/>
      </w:pPr>
      <w:r>
        <w:rPr/>
        <w:t>12、监事何素蓉女士简历： </w:t>
      </w:r>
      <w:r>
        <w:rPr>
          <w:spacing w:val="-1"/>
        </w:rPr>
        <w:t>何素蓉女士，1981年8月出生，中国国籍，无境外永久居留权，大学专科学历。2002年毕</w:t>
      </w:r>
    </w:p>
    <w:p>
      <w:pPr>
        <w:pStyle w:val="Heading3"/>
        <w:spacing w:line="357" w:lineRule="auto"/>
        <w:ind w:right="151"/>
        <w:jc w:val="both"/>
      </w:pPr>
      <w:r>
        <w:rPr>
          <w:spacing w:val="-5"/>
        </w:rPr>
        <w:t>业于南京工业大学，2002年至2009年任职于江苏光一科技有限责任公司，担任行政主管；2009</w:t>
      </w:r>
      <w:r>
        <w:rPr>
          <w:spacing w:val="-89"/>
        </w:rPr>
        <w:t> </w:t>
      </w:r>
      <w:r>
        <w:rPr>
          <w:spacing w:val="-89"/>
        </w:rPr>
      </w:r>
      <w:r>
        <w:rPr/>
        <w:t>年至今任公司职工监事。</w:t>
      </w:r>
    </w:p>
    <w:p>
      <w:pPr>
        <w:pStyle w:val="Heading3"/>
        <w:spacing w:line="357" w:lineRule="auto"/>
        <w:ind w:left="573" w:right="132"/>
        <w:jc w:val="left"/>
      </w:pPr>
      <w:r>
        <w:rPr/>
        <w:t>13、副总经理沈健先生简历： </w:t>
      </w:r>
      <w:r>
        <w:rPr>
          <w:spacing w:val="2"/>
        </w:rPr>
        <w:t>沈健先生，1972年出生，中国国籍，无境外永久居留权，硕士研究生学历。1993年毕业</w:t>
      </w:r>
      <w:r>
        <w:rPr/>
      </w:r>
    </w:p>
    <w:p>
      <w:pPr>
        <w:pStyle w:val="Heading3"/>
        <w:spacing w:line="357" w:lineRule="auto"/>
        <w:ind w:right="149"/>
        <w:jc w:val="both"/>
      </w:pPr>
      <w:r>
        <w:rPr>
          <w:spacing w:val="-2"/>
        </w:rPr>
        <w:t>于东南大学计算机科学与工程系，获本科学历，2001年毕业于东南大学经济管理学院，获MBA</w:t>
      </w:r>
      <w:r>
        <w:rPr>
          <w:spacing w:val="-116"/>
        </w:rPr>
        <w:t> </w:t>
      </w:r>
      <w:r>
        <w:rPr>
          <w:spacing w:val="-116"/>
        </w:rPr>
      </w:r>
      <w:r>
        <w:rPr>
          <w:spacing w:val="-2"/>
        </w:rPr>
        <w:t>学位。1993年至2000年任职于江苏农垦局/江苏农垦集团计划财务处，2000年至2001年任职于</w:t>
      </w:r>
      <w:r>
        <w:rPr>
          <w:spacing w:val="-104"/>
        </w:rPr>
        <w:t> </w:t>
      </w:r>
      <w:r>
        <w:rPr>
          <w:spacing w:val="-104"/>
        </w:rPr>
      </w:r>
      <w:r>
        <w:rPr>
          <w:spacing w:val="-5"/>
        </w:rPr>
        <w:t>南京金迈博通资讯有限公司，担任技术总监；2001年至2002年任职于南京汉信科技有限公司，</w:t>
      </w:r>
      <w:r>
        <w:rPr>
          <w:spacing w:val="-97"/>
        </w:rPr>
        <w:t> </w:t>
      </w:r>
      <w:r>
        <w:rPr>
          <w:spacing w:val="-97"/>
        </w:rPr>
      </w:r>
      <w:r>
        <w:rPr/>
        <w:t>担任总经理；2002年至2009年任职于江苏光一科技有限责任公司，担任总经理助理，江苏光</w:t>
      </w:r>
    </w:p>
    <w:p>
      <w:pPr>
        <w:spacing w:after="0" w:line="357" w:lineRule="auto"/>
        <w:jc w:val="both"/>
        <w:sectPr>
          <w:pgSz w:w="11910" w:h="16840"/>
          <w:pgMar w:header="877" w:footer="1003" w:top="1100" w:bottom="1200" w:left="980" w:right="980"/>
        </w:sectPr>
      </w:pPr>
    </w:p>
    <w:p>
      <w:pPr>
        <w:spacing w:line="240" w:lineRule="auto" w:before="7"/>
        <w:rPr>
          <w:rFonts w:ascii="宋体" w:hAnsi="宋体" w:cs="宋体" w:eastAsia="宋体" w:hint="default"/>
          <w:sz w:val="25"/>
          <w:szCs w:val="25"/>
        </w:rPr>
      </w:pPr>
    </w:p>
    <w:p>
      <w:pPr>
        <w:pStyle w:val="Heading3"/>
        <w:spacing w:line="357" w:lineRule="auto" w:before="26"/>
        <w:ind w:left="154" w:right="150"/>
        <w:jc w:val="both"/>
      </w:pPr>
      <w:r>
        <w:rPr/>
        <w:t>一环保工程有限公司副总经理，2009年至2012年任公司副总经理兼董事会秘书；现任公司副</w:t>
      </w:r>
      <w:r>
        <w:rPr>
          <w:spacing w:val="-102"/>
        </w:rPr>
        <w:t> </w:t>
      </w:r>
      <w:r>
        <w:rPr>
          <w:spacing w:val="-102"/>
        </w:rPr>
      </w:r>
      <w:r>
        <w:rPr/>
        <w:t>总经理。</w:t>
      </w:r>
    </w:p>
    <w:p>
      <w:pPr>
        <w:pStyle w:val="Heading3"/>
        <w:spacing w:line="357" w:lineRule="auto"/>
        <w:ind w:left="574" w:right="132"/>
        <w:jc w:val="left"/>
      </w:pPr>
      <w:r>
        <w:rPr/>
        <w:t>14、副总经理赵俊平先生简历： 赵俊平先生，1962年12月出生，中国国籍，无境外永久居留权，大学本科学历。1985年</w:t>
      </w:r>
    </w:p>
    <w:p>
      <w:pPr>
        <w:pStyle w:val="Heading3"/>
        <w:spacing w:line="357" w:lineRule="auto"/>
        <w:ind w:left="154" w:right="149"/>
        <w:jc w:val="both"/>
      </w:pPr>
      <w:r>
        <w:rPr/>
        <w:t>毕业于东南大学，1985年至1986年任职于南京电视台电视节目制作中心；1986年至1988年任 职于无锡无线电厂录音机分厂，担任技术副厂长；1989年至1994年任职于南京华夏通讯设备</w:t>
      </w:r>
      <w:r>
        <w:rPr>
          <w:spacing w:val="-115"/>
        </w:rPr>
        <w:t> </w:t>
      </w:r>
      <w:r>
        <w:rPr>
          <w:spacing w:val="-115"/>
        </w:rPr>
      </w:r>
      <w:r>
        <w:rPr/>
        <w:t>厂技术部，担任经理；1995年至1999年任职于南瑞集团华宁通讯设备有限公司，担任总工程</w:t>
      </w:r>
      <w:r>
        <w:rPr>
          <w:spacing w:val="-102"/>
        </w:rPr>
        <w:t> </w:t>
      </w:r>
      <w:r>
        <w:rPr>
          <w:spacing w:val="-102"/>
        </w:rPr>
      </w:r>
      <w:r>
        <w:rPr/>
        <w:t>师；2000年至2007年任职于浙江电力高技术开发有限公司，担任副总经理；2007年到2009年</w:t>
      </w:r>
      <w:r>
        <w:rPr/>
        <w:t> 任江苏光一科技有限责任公司副总经理；2009年至今任公司副总经理。</w:t>
      </w:r>
    </w:p>
    <w:p>
      <w:pPr>
        <w:pStyle w:val="Heading3"/>
        <w:spacing w:line="357" w:lineRule="auto"/>
        <w:ind w:left="574" w:right="132"/>
        <w:jc w:val="left"/>
      </w:pPr>
      <w:r>
        <w:rPr/>
        <w:t>15、副总经理、董事会秘书蒋悦女士简历： </w:t>
      </w:r>
      <w:r>
        <w:rPr>
          <w:spacing w:val="-7"/>
        </w:rPr>
        <w:t>蒋悦女士，1974年6月出生，中国国籍，无境外永久居留权，大专学历，注册会计师。1994</w:t>
      </w:r>
      <w:r>
        <w:rPr/>
      </w:r>
    </w:p>
    <w:p>
      <w:pPr>
        <w:pStyle w:val="Heading3"/>
        <w:spacing w:line="357" w:lineRule="auto"/>
        <w:ind w:left="154" w:right="147"/>
        <w:jc w:val="both"/>
      </w:pPr>
      <w:r>
        <w:rPr>
          <w:spacing w:val="-2"/>
        </w:rPr>
        <w:t>年7月毕业于南京理工大学财会专业，1994年至1998年任职于利源实业有限公司财务部，历任</w:t>
      </w:r>
      <w:r>
        <w:rPr>
          <w:spacing w:val="-112"/>
        </w:rPr>
        <w:t> </w:t>
      </w:r>
      <w:r>
        <w:rPr>
          <w:spacing w:val="-112"/>
        </w:rPr>
      </w:r>
      <w:r>
        <w:rPr/>
        <w:t>总账会计、副经理；1998年至2001年任职于南京澳派实业有限公司，历任财务部经理、总经</w:t>
      </w:r>
      <w:r>
        <w:rPr>
          <w:spacing w:val="-103"/>
        </w:rPr>
        <w:t> </w:t>
      </w:r>
      <w:r>
        <w:rPr>
          <w:spacing w:val="-103"/>
        </w:rPr>
      </w:r>
      <w:r>
        <w:rPr>
          <w:spacing w:val="-5"/>
        </w:rPr>
        <w:t>理助理；2001年至2006年任职于舜天轻纺吉源进出口公司，历任财务部经理、副总经理；2008</w:t>
      </w:r>
      <w:r>
        <w:rPr>
          <w:spacing w:val="-89"/>
        </w:rPr>
        <w:t> </w:t>
      </w:r>
      <w:r>
        <w:rPr>
          <w:spacing w:val="-89"/>
        </w:rPr>
      </w:r>
      <w:r>
        <w:rPr/>
        <w:t>年至2010年任职于大贺安康集团，担任财务总监；2010年至2012年任职于光一科技股份有限</w:t>
      </w:r>
      <w:r>
        <w:rPr>
          <w:spacing w:val="-111"/>
        </w:rPr>
        <w:t> </w:t>
      </w:r>
      <w:r>
        <w:rPr>
          <w:spacing w:val="-111"/>
        </w:rPr>
      </w:r>
      <w:r>
        <w:rPr/>
        <w:t>公司，担任证券事务代表；现任公司副总经理、董事会秘书。</w:t>
      </w:r>
    </w:p>
    <w:p>
      <w:pPr>
        <w:spacing w:line="240" w:lineRule="auto" w:before="0"/>
        <w:rPr>
          <w:rFonts w:ascii="宋体" w:hAnsi="宋体" w:cs="宋体" w:eastAsia="宋体" w:hint="default"/>
          <w:sz w:val="24"/>
          <w:szCs w:val="24"/>
        </w:rPr>
      </w:pPr>
    </w:p>
    <w:p>
      <w:pPr>
        <w:pStyle w:val="BodyText"/>
        <w:spacing w:line="240" w:lineRule="auto" w:before="176"/>
        <w:ind w:right="0"/>
        <w:jc w:val="both"/>
      </w:pPr>
      <w:r>
        <w:rPr/>
        <w:t>在股东单位任职情况</w:t>
      </w:r>
    </w:p>
    <w:p>
      <w:pPr>
        <w:pStyle w:val="BodyText"/>
        <w:spacing w:line="240" w:lineRule="auto" w:before="78"/>
        <w:ind w:right="0"/>
        <w:jc w:val="both"/>
      </w:pPr>
      <w:r>
        <w:rPr/>
        <w:t>√ 适用 □</w:t>
      </w:r>
      <w:r>
        <w:rPr>
          <w:spacing w:val="-2"/>
        </w:rPr>
        <w:t> </w:t>
      </w:r>
      <w:r>
        <w:rPr/>
        <w:t>不适用</w:t>
      </w:r>
    </w:p>
    <w:p>
      <w:pPr>
        <w:spacing w:line="240" w:lineRule="auto" w:before="12"/>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1202"/>
        <w:gridCol w:w="2627"/>
        <w:gridCol w:w="992"/>
        <w:gridCol w:w="1830"/>
        <w:gridCol w:w="1330"/>
        <w:gridCol w:w="1587"/>
      </w:tblGrid>
      <w:tr>
        <w:trPr>
          <w:trHeight w:val="646" w:hRule="exact"/>
        </w:trPr>
        <w:tc>
          <w:tcPr>
            <w:tcW w:w="1202"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627"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992"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10"/>
              <w:ind w:left="38" w:right="3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83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587"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316" w:lineRule="auto" w:before="10"/>
              <w:ind w:left="335" w:right="56"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12"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朱云飞</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熊俊</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北京华康瑞宏投资有限公司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9" w:hRule="exact"/>
        </w:trPr>
        <w:tc>
          <w:tcPr>
            <w:tcW w:w="12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李俊</w:t>
            </w:r>
          </w:p>
        </w:tc>
        <w:tc>
          <w:tcPr>
            <w:tcW w:w="26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北京华康瑞宏投资有限公司</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8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8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26"/>
        <w:ind w:right="132"/>
        <w:jc w:val="left"/>
      </w:pPr>
      <w:r>
        <w:rPr/>
        <w:t>在其他单位任职情况</w:t>
      </w:r>
    </w:p>
    <w:p>
      <w:pPr>
        <w:pStyle w:val="BodyText"/>
        <w:spacing w:line="240" w:lineRule="auto" w:before="78"/>
        <w:ind w:right="132"/>
        <w:jc w:val="left"/>
      </w:pPr>
      <w:r>
        <w:rPr/>
        <w:t>√ 适用 □</w:t>
      </w:r>
      <w:r>
        <w:rPr>
          <w:spacing w:val="-2"/>
        </w:rPr>
        <w:t> </w:t>
      </w:r>
      <w:r>
        <w:rPr/>
        <w:t>不适用</w:t>
      </w:r>
    </w:p>
    <w:p>
      <w:pPr>
        <w:spacing w:line="240" w:lineRule="auto" w:before="12"/>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1202"/>
        <w:gridCol w:w="2627"/>
        <w:gridCol w:w="992"/>
        <w:gridCol w:w="1843"/>
        <w:gridCol w:w="1310"/>
        <w:gridCol w:w="1593"/>
      </w:tblGrid>
      <w:tr>
        <w:trPr>
          <w:trHeight w:val="646" w:hRule="exact"/>
        </w:trPr>
        <w:tc>
          <w:tcPr>
            <w:tcW w:w="1202"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627"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992"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10"/>
              <w:ind w:left="38" w:right="3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843"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1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593"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316" w:lineRule="auto" w:before="10"/>
              <w:ind w:left="339" w:right="59"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13"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江苏大烨电气有限公司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7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李和渝</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东南大学电气工程学院</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党委书记</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1992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10月</w:t>
            </w:r>
            <w:r>
              <w:rPr>
                <w:rFonts w:ascii="宋体" w:hAnsi="宋体" w:cs="宋体" w:eastAsia="宋体" w:hint="default"/>
                <w:spacing w:val="-46"/>
                <w:sz w:val="18"/>
                <w:szCs w:val="18"/>
              </w:rPr>
              <w:t> </w:t>
            </w:r>
            <w:r>
              <w:rPr>
                <w:rFonts w:ascii="宋体" w:hAnsi="宋体" w:cs="宋体" w:eastAsia="宋体" w:hint="default"/>
                <w:spacing w:val="22"/>
                <w:sz w:val="18"/>
                <w:szCs w:val="18"/>
              </w:rPr>
              <w:t>1日</w:t>
            </w:r>
            <w:r>
              <w:rPr>
                <w:rFonts w:ascii="宋体" w:hAnsi="宋体" w:cs="宋体" w:eastAsia="宋体" w:hint="default"/>
                <w:spacing w:val="-45"/>
                <w:sz w:val="18"/>
                <w:szCs w:val="18"/>
              </w:rPr>
              <w:t> </w:t>
            </w:r>
            <w:r>
              <w:rPr>
                <w:rFonts w:ascii="宋体" w:hAnsi="宋体" w:cs="宋体" w:eastAsia="宋体" w:hint="default"/>
                <w:sz w:val="18"/>
                <w:szCs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9" w:hRule="exact"/>
        </w:trPr>
        <w:tc>
          <w:tcPr>
            <w:tcW w:w="12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廖家河</w:t>
            </w:r>
          </w:p>
        </w:tc>
        <w:tc>
          <w:tcPr>
            <w:tcW w:w="26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立信会计师事务所有限公司</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合伙人</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left="261" w:right="0"/>
              <w:jc w:val="left"/>
              <w:rPr>
                <w:rFonts w:ascii="宋体" w:hAnsi="宋体" w:cs="宋体" w:eastAsia="宋体" w:hint="default"/>
                <w:sz w:val="18"/>
                <w:szCs w:val="18"/>
              </w:rPr>
            </w:pPr>
            <w:r>
              <w:rPr>
                <w:rFonts w:ascii="宋体" w:hAnsi="宋体" w:cs="宋体" w:eastAsia="宋体" w:hint="default"/>
                <w:spacing w:val="14"/>
                <w:sz w:val="18"/>
                <w:szCs w:val="18"/>
              </w:rPr>
              <w:t>2011年7</w:t>
            </w:r>
            <w:r>
              <w:rPr>
                <w:rFonts w:ascii="宋体" w:hAnsi="宋体" w:cs="宋体" w:eastAsia="宋体" w:hint="default"/>
                <w:spacing w:val="-44"/>
                <w:sz w:val="18"/>
                <w:szCs w:val="18"/>
              </w:rPr>
              <w:t> </w:t>
            </w:r>
            <w:r>
              <w:rPr>
                <w:rFonts w:ascii="宋体" w:hAnsi="宋体" w:cs="宋体" w:eastAsia="宋体" w:hint="default"/>
                <w:spacing w:val="22"/>
                <w:sz w:val="18"/>
                <w:szCs w:val="18"/>
              </w:rPr>
              <w:t>月1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3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77" w:footer="1003" w:top="1100" w:bottom="1200" w:left="980" w:right="98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1202"/>
        <w:gridCol w:w="2627"/>
        <w:gridCol w:w="992"/>
        <w:gridCol w:w="1843"/>
        <w:gridCol w:w="1310"/>
        <w:gridCol w:w="1593"/>
      </w:tblGrid>
      <w:tr>
        <w:trPr>
          <w:trHeight w:val="646" w:hRule="exact"/>
        </w:trPr>
        <w:tc>
          <w:tcPr>
            <w:tcW w:w="1202"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627"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992"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10"/>
              <w:ind w:left="38" w:right="3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843"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1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593"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316" w:lineRule="auto" w:before="10"/>
              <w:ind w:left="339" w:right="59"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638" w:hRule="exact"/>
        </w:trPr>
        <w:tc>
          <w:tcPr>
            <w:tcW w:w="1202" w:type="dxa"/>
            <w:vMerge w:val="restart"/>
            <w:tcBorders>
              <w:top w:val="single" w:sz="6" w:space="0" w:color="000000"/>
              <w:left w:val="single" w:sz="12" w:space="0" w:color="000000"/>
              <w:right w:val="single" w:sz="6" w:space="0" w:color="000000"/>
            </w:tcBorders>
          </w:tcPr>
          <w:p>
            <w:pP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765" w:right="314" w:hanging="450"/>
              <w:jc w:val="left"/>
              <w:rPr>
                <w:rFonts w:ascii="宋体" w:hAnsi="宋体" w:cs="宋体" w:eastAsia="宋体" w:hint="default"/>
                <w:sz w:val="18"/>
                <w:szCs w:val="18"/>
              </w:rPr>
            </w:pPr>
            <w:r>
              <w:rPr>
                <w:rFonts w:ascii="宋体" w:hAnsi="宋体" w:cs="宋体" w:eastAsia="宋体" w:hint="default"/>
                <w:sz w:val="18"/>
                <w:szCs w:val="18"/>
              </w:rPr>
              <w:t>北京中关村科技发展控股 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12月</w:t>
            </w:r>
            <w:r>
              <w:rPr>
                <w:rFonts w:ascii="宋体" w:hAnsi="宋体" w:cs="宋体" w:eastAsia="宋体" w:hint="default"/>
                <w:spacing w:val="-46"/>
                <w:sz w:val="18"/>
                <w:szCs w:val="18"/>
              </w:rPr>
              <w:t> </w:t>
            </w:r>
            <w:r>
              <w:rPr>
                <w:rFonts w:ascii="宋体" w:hAnsi="宋体" w:cs="宋体" w:eastAsia="宋体" w:hint="default"/>
                <w:spacing w:val="22"/>
                <w:sz w:val="18"/>
                <w:szCs w:val="18"/>
              </w:rPr>
              <w:t>1日</w:t>
            </w:r>
            <w:r>
              <w:rPr>
                <w:rFonts w:ascii="宋体" w:hAnsi="宋体" w:cs="宋体" w:eastAsia="宋体" w:hint="default"/>
                <w:spacing w:val="-45"/>
                <w:sz w:val="18"/>
                <w:szCs w:val="18"/>
              </w:rPr>
              <w:t> </w:t>
            </w:r>
            <w:r>
              <w:rPr>
                <w:rFonts w:ascii="宋体" w:hAnsi="宋体" w:cs="宋体" w:eastAsia="宋体" w:hint="default"/>
                <w:sz w:val="18"/>
                <w:szCs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3" w:hRule="exact"/>
        </w:trPr>
        <w:tc>
          <w:tcPr>
            <w:tcW w:w="1202" w:type="dxa"/>
            <w:vMerge/>
            <w:tcBorders>
              <w:left w:val="single" w:sz="12" w:space="0" w:color="000000"/>
              <w:right w:val="single" w:sz="6" w:space="0" w:color="000000"/>
            </w:tcBorders>
          </w:tcPr>
          <w:p>
            <w:pP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河南省中原内配股份有限公司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11月</w:t>
            </w:r>
            <w:r>
              <w:rPr>
                <w:rFonts w:ascii="宋体" w:hAnsi="宋体" w:cs="宋体" w:eastAsia="宋体" w:hint="default"/>
                <w:spacing w:val="-46"/>
                <w:sz w:val="18"/>
                <w:szCs w:val="18"/>
              </w:rPr>
              <w:t> </w:t>
            </w:r>
            <w:r>
              <w:rPr>
                <w:rFonts w:ascii="宋体" w:hAnsi="宋体" w:cs="宋体" w:eastAsia="宋体" w:hint="default"/>
                <w:spacing w:val="22"/>
                <w:sz w:val="18"/>
                <w:szCs w:val="18"/>
              </w:rPr>
              <w:t>1日</w:t>
            </w:r>
            <w:r>
              <w:rPr>
                <w:rFonts w:ascii="宋体" w:hAnsi="宋体" w:cs="宋体" w:eastAsia="宋体" w:hint="default"/>
                <w:spacing w:val="-45"/>
                <w:sz w:val="18"/>
                <w:szCs w:val="18"/>
              </w:rPr>
              <w:t> </w:t>
            </w:r>
            <w:r>
              <w:rPr>
                <w:rFonts w:ascii="宋体" w:hAnsi="宋体" w:cs="宋体" w:eastAsia="宋体" w:hint="default"/>
                <w:sz w:val="18"/>
                <w:szCs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38" w:hRule="exact"/>
        </w:trPr>
        <w:tc>
          <w:tcPr>
            <w:tcW w:w="1202" w:type="dxa"/>
            <w:vMerge/>
            <w:tcBorders>
              <w:left w:val="single" w:sz="12" w:space="0" w:color="000000"/>
              <w:right w:val="single" w:sz="6" w:space="0" w:color="000000"/>
            </w:tcBorders>
          </w:tcPr>
          <w:p>
            <w:pP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765" w:right="494" w:hanging="270"/>
              <w:jc w:val="left"/>
              <w:rPr>
                <w:rFonts w:ascii="宋体" w:hAnsi="宋体" w:cs="宋体" w:eastAsia="宋体" w:hint="default"/>
                <w:sz w:val="18"/>
                <w:szCs w:val="18"/>
              </w:rPr>
            </w:pPr>
            <w:r>
              <w:rPr>
                <w:rFonts w:ascii="宋体" w:hAnsi="宋体" w:cs="宋体" w:eastAsia="宋体" w:hint="default"/>
                <w:sz w:val="18"/>
                <w:szCs w:val="18"/>
              </w:rPr>
              <w:t>江苏双星彩塑新材料 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pacing w:val="14"/>
                <w:sz w:val="18"/>
                <w:szCs w:val="18"/>
              </w:rPr>
              <w:t>2009年6</w:t>
            </w:r>
            <w:r>
              <w:rPr>
                <w:rFonts w:ascii="宋体" w:hAnsi="宋体" w:cs="宋体" w:eastAsia="宋体" w:hint="default"/>
                <w:spacing w:val="-44"/>
                <w:sz w:val="18"/>
                <w:szCs w:val="18"/>
              </w:rPr>
              <w:t> </w:t>
            </w:r>
            <w:r>
              <w:rPr>
                <w:rFonts w:ascii="宋体" w:hAnsi="宋体" w:cs="宋体" w:eastAsia="宋体" w:hint="default"/>
                <w:spacing w:val="22"/>
                <w:sz w:val="18"/>
                <w:szCs w:val="18"/>
              </w:rPr>
              <w:t>月1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3" w:hRule="exact"/>
        </w:trPr>
        <w:tc>
          <w:tcPr>
            <w:tcW w:w="1202" w:type="dxa"/>
            <w:vMerge/>
            <w:tcBorders>
              <w:left w:val="single" w:sz="12" w:space="0" w:color="000000"/>
              <w:bottom w:val="single" w:sz="6" w:space="0" w:color="000000"/>
              <w:right w:val="single" w:sz="6" w:space="0" w:color="000000"/>
            </w:tcBorders>
          </w:tcPr>
          <w:p>
            <w:pP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江苏佳宇资源利用股份有限公司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11月</w:t>
            </w:r>
            <w:r>
              <w:rPr>
                <w:rFonts w:ascii="宋体" w:hAnsi="宋体" w:cs="宋体" w:eastAsia="宋体" w:hint="default"/>
                <w:spacing w:val="-46"/>
                <w:sz w:val="18"/>
                <w:szCs w:val="18"/>
              </w:rPr>
              <w:t> </w:t>
            </w:r>
            <w:r>
              <w:rPr>
                <w:rFonts w:ascii="宋体" w:hAnsi="宋体" w:cs="宋体" w:eastAsia="宋体" w:hint="default"/>
                <w:spacing w:val="22"/>
                <w:sz w:val="18"/>
                <w:szCs w:val="18"/>
              </w:rPr>
              <w:t>1日</w:t>
            </w:r>
            <w:r>
              <w:rPr>
                <w:rFonts w:ascii="宋体" w:hAnsi="宋体" w:cs="宋体" w:eastAsia="宋体" w:hint="default"/>
                <w:spacing w:val="-45"/>
                <w:sz w:val="18"/>
                <w:szCs w:val="18"/>
              </w:rPr>
              <w:t> </w:t>
            </w:r>
            <w:r>
              <w:rPr>
                <w:rFonts w:ascii="宋体" w:hAnsi="宋体" w:cs="宋体" w:eastAsia="宋体" w:hint="default"/>
                <w:sz w:val="18"/>
                <w:szCs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1202"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曲凯</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北京国枫凯文律师事务所</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合伙人</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61" w:right="0"/>
              <w:jc w:val="left"/>
              <w:rPr>
                <w:rFonts w:ascii="宋体" w:hAnsi="宋体" w:cs="宋体" w:eastAsia="宋体" w:hint="default"/>
                <w:sz w:val="18"/>
                <w:szCs w:val="18"/>
              </w:rPr>
            </w:pPr>
            <w:r>
              <w:rPr>
                <w:rFonts w:ascii="宋体" w:hAnsi="宋体" w:cs="宋体" w:eastAsia="宋体" w:hint="default"/>
                <w:spacing w:val="14"/>
                <w:sz w:val="18"/>
                <w:szCs w:val="18"/>
              </w:rPr>
              <w:t>2012年4</w:t>
            </w:r>
            <w:r>
              <w:rPr>
                <w:rFonts w:ascii="宋体" w:hAnsi="宋体" w:cs="宋体" w:eastAsia="宋体" w:hint="default"/>
                <w:spacing w:val="-44"/>
                <w:sz w:val="18"/>
                <w:szCs w:val="18"/>
              </w:rPr>
              <w:t> </w:t>
            </w:r>
            <w:r>
              <w:rPr>
                <w:rFonts w:ascii="宋体" w:hAnsi="宋体" w:cs="宋体" w:eastAsia="宋体" w:hint="default"/>
                <w:spacing w:val="22"/>
                <w:sz w:val="18"/>
                <w:szCs w:val="18"/>
              </w:rPr>
              <w:t>月1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1202" w:type="dxa"/>
            <w:vMerge/>
            <w:tcBorders>
              <w:left w:val="single" w:sz="12" w:space="0" w:color="000000"/>
              <w:right w:val="single" w:sz="6" w:space="0" w:color="000000"/>
            </w:tcBorders>
          </w:tcPr>
          <w:p>
            <w:pP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北京恩菲环保股份有限公司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61" w:right="0"/>
              <w:jc w:val="left"/>
              <w:rPr>
                <w:rFonts w:ascii="宋体" w:hAnsi="宋体" w:cs="宋体" w:eastAsia="宋体" w:hint="default"/>
                <w:sz w:val="18"/>
                <w:szCs w:val="18"/>
              </w:rPr>
            </w:pPr>
            <w:r>
              <w:rPr>
                <w:rFonts w:ascii="宋体" w:hAnsi="宋体" w:cs="宋体" w:eastAsia="宋体" w:hint="default"/>
                <w:spacing w:val="14"/>
                <w:sz w:val="18"/>
                <w:szCs w:val="18"/>
              </w:rPr>
              <w:t>2007年3</w:t>
            </w:r>
            <w:r>
              <w:rPr>
                <w:rFonts w:ascii="宋体" w:hAnsi="宋体" w:cs="宋体" w:eastAsia="宋体" w:hint="default"/>
                <w:spacing w:val="-44"/>
                <w:sz w:val="18"/>
                <w:szCs w:val="18"/>
              </w:rPr>
              <w:t> </w:t>
            </w:r>
            <w:r>
              <w:rPr>
                <w:rFonts w:ascii="宋体" w:hAnsi="宋体" w:cs="宋体" w:eastAsia="宋体" w:hint="default"/>
                <w:spacing w:val="22"/>
                <w:sz w:val="18"/>
                <w:szCs w:val="18"/>
              </w:rPr>
              <w:t>月1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21" w:hRule="exact"/>
        </w:trPr>
        <w:tc>
          <w:tcPr>
            <w:tcW w:w="1202" w:type="dxa"/>
            <w:vMerge/>
            <w:tcBorders>
              <w:left w:val="single" w:sz="12" w:space="0" w:color="000000"/>
              <w:bottom w:val="single" w:sz="12" w:space="0" w:color="000000"/>
              <w:right w:val="single" w:sz="6" w:space="0" w:color="000000"/>
            </w:tcBorders>
          </w:tcPr>
          <w:p>
            <w:pPr/>
          </w:p>
        </w:tc>
        <w:tc>
          <w:tcPr>
            <w:tcW w:w="26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楚天科技股份有限公司</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pacing w:val="14"/>
                <w:sz w:val="18"/>
                <w:szCs w:val="18"/>
              </w:rPr>
              <w:t>2011年3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3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2"/>
        <w:spacing w:line="240" w:lineRule="auto"/>
        <w:ind w:right="132"/>
        <w:jc w:val="left"/>
        <w:rPr>
          <w:b w:val="0"/>
          <w:bCs w:val="0"/>
        </w:rPr>
      </w:pPr>
      <w:r>
        <w:rPr/>
        <w:t>三、董事、监事、高级管理人员报酬情况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3596"/>
        <w:gridCol w:w="5972"/>
      </w:tblGrid>
      <w:tr>
        <w:trPr>
          <w:trHeight w:val="1037" w:hRule="exact"/>
        </w:trPr>
        <w:tc>
          <w:tcPr>
            <w:tcW w:w="3596"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3"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972" w:type="dxa"/>
            <w:tcBorders>
              <w:top w:val="single" w:sz="12" w:space="0" w:color="000000"/>
              <w:left w:val="single" w:sz="6" w:space="0" w:color="000000"/>
              <w:bottom w:val="single" w:sz="6" w:space="0" w:color="000000"/>
              <w:right w:val="single" w:sz="12" w:space="0" w:color="000000"/>
            </w:tcBorders>
          </w:tcPr>
          <w:p>
            <w:pPr>
              <w:pStyle w:val="TableParagraph"/>
              <w:spacing w:line="316" w:lineRule="auto" w:before="51"/>
              <w:ind w:left="20" w:right="-11"/>
              <w:jc w:val="both"/>
              <w:rPr>
                <w:rFonts w:ascii="宋体" w:hAnsi="宋体" w:cs="宋体" w:eastAsia="宋体" w:hint="default"/>
                <w:sz w:val="18"/>
                <w:szCs w:val="18"/>
              </w:rPr>
            </w:pPr>
            <w:r>
              <w:rPr>
                <w:rFonts w:ascii="宋体" w:hAnsi="宋体" w:cs="宋体" w:eastAsia="宋体" w:hint="default"/>
                <w:sz w:val="18"/>
                <w:szCs w:val="18"/>
              </w:rPr>
              <w:t>公司董事、监事报酬由股东大会决定，高级管理人员报酬由董事会决定；在 公司担任工作职务的董事、监事、高级管理人员报酬由公司支付，董事、监 事不另外支付津贴。独立董事津贴根据股东大会所通过的决议来进行支付。</w:t>
            </w:r>
          </w:p>
        </w:tc>
      </w:tr>
      <w:tr>
        <w:trPr>
          <w:trHeight w:val="720" w:hRule="exact"/>
        </w:trPr>
        <w:tc>
          <w:tcPr>
            <w:tcW w:w="3596"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972"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2"/>
              <w:ind w:left="20" w:right="11"/>
              <w:jc w:val="left"/>
              <w:rPr>
                <w:rFonts w:ascii="宋体" w:hAnsi="宋体" w:cs="宋体" w:eastAsia="宋体" w:hint="default"/>
                <w:sz w:val="18"/>
                <w:szCs w:val="18"/>
              </w:rPr>
            </w:pPr>
            <w:r>
              <w:rPr>
                <w:rFonts w:ascii="宋体" w:hAnsi="宋体" w:cs="宋体" w:eastAsia="宋体" w:hint="default"/>
                <w:spacing w:val="-1"/>
                <w:sz w:val="18"/>
                <w:szCs w:val="18"/>
              </w:rPr>
              <w:t>依据公司盈利水平及董事、监事、高级管理人员的职责履行情况并结合年度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绩效完成情况综合确定。</w:t>
            </w:r>
          </w:p>
        </w:tc>
      </w:tr>
      <w:tr>
        <w:trPr>
          <w:trHeight w:val="727" w:hRule="exact"/>
        </w:trPr>
        <w:tc>
          <w:tcPr>
            <w:tcW w:w="3596"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316" w:lineRule="auto" w:before="51"/>
              <w:ind w:left="13" w:right="19"/>
              <w:jc w:val="left"/>
              <w:rPr>
                <w:rFonts w:ascii="宋体" w:hAnsi="宋体" w:cs="宋体" w:eastAsia="宋体" w:hint="default"/>
                <w:sz w:val="18"/>
                <w:szCs w:val="18"/>
              </w:rPr>
            </w:pPr>
            <w:r>
              <w:rPr>
                <w:rFonts w:ascii="宋体" w:hAnsi="宋体" w:cs="宋体" w:eastAsia="宋体" w:hint="default"/>
                <w:spacing w:val="-4"/>
                <w:sz w:val="18"/>
                <w:szCs w:val="18"/>
              </w:rPr>
              <w:t>董事、监事和高级管理人员报酬的实际支付情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况</w:t>
            </w:r>
          </w:p>
        </w:tc>
        <w:tc>
          <w:tcPr>
            <w:tcW w:w="5972"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51"/>
              <w:ind w:left="20" w:right="11"/>
              <w:jc w:val="left"/>
              <w:rPr>
                <w:rFonts w:ascii="宋体" w:hAnsi="宋体" w:cs="宋体" w:eastAsia="宋体" w:hint="default"/>
                <w:sz w:val="18"/>
                <w:szCs w:val="18"/>
              </w:rPr>
            </w:pPr>
            <w:r>
              <w:rPr>
                <w:rFonts w:ascii="宋体" w:hAnsi="宋体" w:cs="宋体" w:eastAsia="宋体" w:hint="default"/>
                <w:sz w:val="18"/>
                <w:szCs w:val="18"/>
              </w:rPr>
              <w:t>公司现有董事、监事、高级管理人员共</w:t>
            </w:r>
            <w:r>
              <w:rPr>
                <w:rFonts w:ascii="宋体" w:hAnsi="宋体" w:cs="宋体" w:eastAsia="宋体" w:hint="default"/>
                <w:spacing w:val="-52"/>
                <w:sz w:val="18"/>
                <w:szCs w:val="18"/>
              </w:rPr>
              <w:t> </w:t>
            </w:r>
            <w:r>
              <w:rPr>
                <w:rFonts w:ascii="宋体" w:hAnsi="宋体" w:cs="宋体" w:eastAsia="宋体" w:hint="default"/>
                <w:sz w:val="18"/>
                <w:szCs w:val="18"/>
              </w:rPr>
              <w:t>15</w:t>
            </w:r>
            <w:r>
              <w:rPr>
                <w:rFonts w:ascii="宋体" w:hAnsi="宋体" w:cs="宋体" w:eastAsia="宋体" w:hint="default"/>
                <w:spacing w:val="-51"/>
                <w:sz w:val="18"/>
                <w:szCs w:val="18"/>
              </w:rPr>
              <w:t> </w:t>
            </w:r>
            <w:r>
              <w:rPr>
                <w:rFonts w:ascii="宋体" w:hAnsi="宋体" w:cs="宋体" w:eastAsia="宋体" w:hint="default"/>
                <w:sz w:val="18"/>
                <w:szCs w:val="18"/>
              </w:rPr>
              <w:t>人，2012</w:t>
            </w:r>
            <w:r>
              <w:rPr>
                <w:rFonts w:ascii="宋体" w:hAnsi="宋体" w:cs="宋体" w:eastAsia="宋体" w:hint="default"/>
                <w:spacing w:val="-52"/>
                <w:sz w:val="18"/>
                <w:szCs w:val="18"/>
              </w:rPr>
              <w:t> </w:t>
            </w:r>
            <w:r>
              <w:rPr>
                <w:rFonts w:ascii="宋体" w:hAnsi="宋体" w:cs="宋体" w:eastAsia="宋体" w:hint="default"/>
                <w:sz w:val="18"/>
                <w:szCs w:val="18"/>
              </w:rPr>
              <w:t>年共计支付薪酬</w:t>
            </w:r>
            <w:r>
              <w:rPr>
                <w:rFonts w:ascii="宋体" w:hAnsi="宋体" w:cs="宋体" w:eastAsia="宋体" w:hint="default"/>
                <w:spacing w:val="-52"/>
                <w:sz w:val="18"/>
                <w:szCs w:val="18"/>
              </w:rPr>
              <w:t> </w:t>
            </w:r>
            <w:r>
              <w:rPr>
                <w:rFonts w:ascii="宋体" w:hAnsi="宋体" w:cs="宋体" w:eastAsia="宋体" w:hint="default"/>
                <w:sz w:val="18"/>
                <w:szCs w:val="18"/>
              </w:rPr>
              <w:t>562.02</w:t>
            </w:r>
            <w:r>
              <w:rPr>
                <w:rFonts w:ascii="宋体" w:hAnsi="宋体" w:cs="宋体" w:eastAsia="宋体" w:hint="default"/>
                <w:sz w:val="18"/>
                <w:szCs w:val="18"/>
              </w:rPr>
              <w:t> 万元。</w:t>
            </w:r>
          </w:p>
        </w:tc>
      </w:tr>
    </w:tbl>
    <w:p>
      <w:pPr>
        <w:pStyle w:val="BodyText"/>
        <w:spacing w:line="240" w:lineRule="auto" w:before="26"/>
        <w:ind w:right="132"/>
        <w:jc w:val="left"/>
      </w:pPr>
      <w:r>
        <w:rPr/>
        <w:t>公司报告期内董事、监事和高级管理人员报酬情况</w:t>
      </w:r>
    </w:p>
    <w:p>
      <w:pPr>
        <w:spacing w:line="240" w:lineRule="auto" w:before="12"/>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1198"/>
        <w:gridCol w:w="1780"/>
        <w:gridCol w:w="611"/>
        <w:gridCol w:w="1196"/>
        <w:gridCol w:w="1195"/>
        <w:gridCol w:w="1196"/>
        <w:gridCol w:w="1196"/>
        <w:gridCol w:w="1195"/>
      </w:tblGrid>
      <w:tr>
        <w:trPr>
          <w:trHeight w:val="727" w:hRule="exact"/>
        </w:trPr>
        <w:tc>
          <w:tcPr>
            <w:tcW w:w="1198"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姓名</w:t>
            </w:r>
          </w:p>
        </w:tc>
        <w:tc>
          <w:tcPr>
            <w:tcW w:w="178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611"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319" w:lineRule="auto" w:before="51"/>
              <w:ind w:left="231" w:right="48"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319" w:lineRule="auto" w:before="51"/>
              <w:ind w:left="50" w:right="49"/>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319" w:lineRule="auto" w:before="51"/>
              <w:ind w:left="230" w:right="41"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7"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龙昌明</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46</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170.51</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0.00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170.51</w:t>
            </w:r>
          </w:p>
        </w:tc>
      </w:tr>
      <w:tr>
        <w:trPr>
          <w:trHeight w:val="407"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王海俊</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总经理、董事</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43</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110.23</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0.00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110.23</w:t>
            </w:r>
          </w:p>
        </w:tc>
      </w:tr>
      <w:tr>
        <w:trPr>
          <w:trHeight w:val="408"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邱卫东</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副总经理、董事</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47</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40.57</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0.00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40.57</w:t>
            </w:r>
          </w:p>
        </w:tc>
      </w:tr>
      <w:tr>
        <w:trPr>
          <w:trHeight w:val="407"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戴晓东</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财务总监、董事</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41</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33.67</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33.67</w:t>
            </w:r>
          </w:p>
        </w:tc>
      </w:tr>
      <w:tr>
        <w:trPr>
          <w:trHeight w:val="407"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熊  俊</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27</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0.00</w:t>
            </w:r>
          </w:p>
        </w:tc>
      </w:tr>
      <w:tr>
        <w:trPr>
          <w:trHeight w:val="407"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李  俊</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37</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0.00</w:t>
            </w:r>
          </w:p>
        </w:tc>
      </w:tr>
      <w:tr>
        <w:trPr>
          <w:trHeight w:val="407"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李和渝</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56</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5.00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0.00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5.00</w:t>
            </w:r>
          </w:p>
        </w:tc>
      </w:tr>
      <w:tr>
        <w:trPr>
          <w:trHeight w:val="407"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廖家河</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43</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5.00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0.00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5.00</w:t>
            </w:r>
          </w:p>
        </w:tc>
      </w:tr>
      <w:tr>
        <w:trPr>
          <w:trHeight w:val="408"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曲  凯</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42</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5.00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0.00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5.00</w:t>
            </w:r>
          </w:p>
        </w:tc>
      </w:tr>
      <w:tr>
        <w:trPr>
          <w:trHeight w:val="407"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朱云飞</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48</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22.72</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22.72</w:t>
            </w:r>
          </w:p>
        </w:tc>
      </w:tr>
      <w:tr>
        <w:trPr>
          <w:trHeight w:val="407"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徐一宁</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63</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60.20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60.20</w:t>
            </w:r>
          </w:p>
        </w:tc>
      </w:tr>
      <w:tr>
        <w:trPr>
          <w:trHeight w:val="407"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何素蓉</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31</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4.50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4.50</w:t>
            </w:r>
          </w:p>
        </w:tc>
      </w:tr>
      <w:tr>
        <w:trPr>
          <w:trHeight w:val="415" w:hRule="exact"/>
        </w:trPr>
        <w:tc>
          <w:tcPr>
            <w:tcW w:w="1198" w:type="dxa"/>
            <w:tcBorders>
              <w:top w:val="single" w:sz="6" w:space="0" w:color="000000"/>
              <w:left w:val="single" w:sz="12" w:space="0" w:color="000000"/>
              <w:bottom w:val="single" w:sz="12" w:space="0" w:color="000000"/>
              <w:right w:val="single" w:sz="6" w:space="0" w:color="000000"/>
            </w:tcBorders>
          </w:tcPr>
          <w:p>
            <w:pPr>
              <w:pStyle w:val="TableParagraph"/>
              <w:tabs>
                <w:tab w:pos="449" w:val="left" w:leader="none"/>
              </w:tabs>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沈</w:t>
              <w:tab/>
              <w:t>健</w:t>
            </w:r>
          </w:p>
        </w:tc>
        <w:tc>
          <w:tcPr>
            <w:tcW w:w="17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6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40</w:t>
            </w:r>
          </w:p>
        </w:tc>
        <w:tc>
          <w:tcPr>
            <w:tcW w:w="11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38.38</w:t>
            </w:r>
          </w:p>
        </w:tc>
        <w:tc>
          <w:tcPr>
            <w:tcW w:w="11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0.00</w:t>
            </w:r>
          </w:p>
        </w:tc>
        <w:tc>
          <w:tcPr>
            <w:tcW w:w="119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38.38</w:t>
            </w:r>
          </w:p>
        </w:tc>
      </w:tr>
    </w:tbl>
    <w:p>
      <w:pPr>
        <w:spacing w:after="0" w:line="240" w:lineRule="auto"/>
        <w:jc w:val="right"/>
        <w:rPr>
          <w:rFonts w:ascii="宋体" w:hAnsi="宋体" w:cs="宋体" w:eastAsia="宋体" w:hint="default"/>
          <w:sz w:val="18"/>
          <w:szCs w:val="18"/>
        </w:rPr>
        <w:sectPr>
          <w:pgSz w:w="11910" w:h="16840"/>
          <w:pgMar w:header="877" w:footer="1003" w:top="1100" w:bottom="1200" w:left="980" w:right="98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1198"/>
        <w:gridCol w:w="1780"/>
        <w:gridCol w:w="611"/>
        <w:gridCol w:w="1196"/>
        <w:gridCol w:w="1195"/>
        <w:gridCol w:w="1196"/>
        <w:gridCol w:w="1196"/>
        <w:gridCol w:w="1195"/>
      </w:tblGrid>
      <w:tr>
        <w:trPr>
          <w:trHeight w:val="415" w:hRule="exact"/>
        </w:trPr>
        <w:tc>
          <w:tcPr>
            <w:tcW w:w="119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赵俊平</w:t>
            </w:r>
          </w:p>
        </w:tc>
        <w:tc>
          <w:tcPr>
            <w:tcW w:w="17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6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50</w:t>
            </w:r>
          </w:p>
        </w:tc>
        <w:tc>
          <w:tcPr>
            <w:tcW w:w="11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34.93</w:t>
            </w:r>
          </w:p>
        </w:tc>
        <w:tc>
          <w:tcPr>
            <w:tcW w:w="11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19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34.93</w:t>
            </w:r>
          </w:p>
        </w:tc>
      </w:tr>
      <w:tr>
        <w:trPr>
          <w:trHeight w:val="407"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蒋  悦</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r>
              <w:rPr>
                <w:rFonts w:ascii="宋体" w:hAnsi="宋体" w:cs="宋体" w:eastAsia="宋体" w:hint="default"/>
                <w:spacing w:val="-76"/>
                <w:sz w:val="18"/>
                <w:szCs w:val="18"/>
              </w:rPr>
              <w:t>、</w:t>
            </w:r>
            <w:r>
              <w:rPr>
                <w:rFonts w:ascii="宋体" w:hAnsi="宋体" w:cs="宋体" w:eastAsia="宋体" w:hint="default"/>
                <w:sz w:val="18"/>
                <w:szCs w:val="18"/>
              </w:rPr>
              <w:t>董事会秘书</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38</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26.31</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26.31</w:t>
            </w:r>
          </w:p>
        </w:tc>
      </w:tr>
      <w:tr>
        <w:trPr>
          <w:trHeight w:val="407"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唐富文</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41</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0.00</w:t>
            </w:r>
          </w:p>
        </w:tc>
      </w:tr>
      <w:tr>
        <w:trPr>
          <w:trHeight w:val="407"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张云龙</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49</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5.00</w:t>
            </w:r>
          </w:p>
        </w:tc>
      </w:tr>
      <w:tr>
        <w:trPr>
          <w:trHeight w:val="407"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刘兆亮</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43</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0.00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0.00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0.00</w:t>
            </w:r>
          </w:p>
        </w:tc>
      </w:tr>
      <w:tr>
        <w:trPr>
          <w:trHeight w:val="414" w:hRule="exact"/>
        </w:trPr>
        <w:tc>
          <w:tcPr>
            <w:tcW w:w="1198"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1780"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611"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196"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195"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1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562.02</w:t>
            </w:r>
          </w:p>
        </w:tc>
        <w:tc>
          <w:tcPr>
            <w:tcW w:w="11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0.00</w:t>
            </w:r>
          </w:p>
        </w:tc>
        <w:tc>
          <w:tcPr>
            <w:tcW w:w="119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562.02</w:t>
            </w:r>
          </w:p>
        </w:tc>
      </w:tr>
    </w:tbl>
    <w:p>
      <w:pPr>
        <w:spacing w:line="240" w:lineRule="auto" w:before="3"/>
        <w:rPr>
          <w:rFonts w:ascii="宋体" w:hAnsi="宋体" w:cs="宋体" w:eastAsia="宋体" w:hint="default"/>
          <w:sz w:val="26"/>
          <w:szCs w:val="26"/>
        </w:rPr>
      </w:pPr>
    </w:p>
    <w:p>
      <w:pPr>
        <w:pStyle w:val="BodyText"/>
        <w:spacing w:line="240" w:lineRule="auto" w:before="35"/>
        <w:ind w:right="132"/>
        <w:jc w:val="left"/>
      </w:pPr>
      <w:r>
        <w:rPr/>
        <w:t>公司董事、监事、高级管理人员报告期内被授予的股权激励情况</w:t>
      </w:r>
    </w:p>
    <w:p>
      <w:pPr>
        <w:pStyle w:val="BodyText"/>
        <w:spacing w:line="240" w:lineRule="auto" w:before="76"/>
        <w:ind w:right="132"/>
        <w:jc w:val="left"/>
      </w:pPr>
      <w:r>
        <w:rPr/>
        <w:t>□ 适用 √</w:t>
      </w:r>
      <w:r>
        <w:rPr>
          <w:spacing w:val="-2"/>
        </w:rPr>
        <w:t> </w:t>
      </w:r>
      <w:r>
        <w:rPr/>
        <w:t>不适用</w:t>
      </w:r>
    </w:p>
    <w:p>
      <w:pPr>
        <w:spacing w:line="240" w:lineRule="auto" w:before="0"/>
        <w:rPr>
          <w:rFonts w:ascii="宋体" w:hAnsi="宋体" w:cs="宋体" w:eastAsia="宋体" w:hint="default"/>
          <w:sz w:val="24"/>
          <w:szCs w:val="24"/>
        </w:rPr>
      </w:pPr>
    </w:p>
    <w:p>
      <w:pPr>
        <w:pStyle w:val="Heading2"/>
        <w:spacing w:line="240" w:lineRule="auto" w:before="0"/>
        <w:ind w:right="132"/>
        <w:jc w:val="left"/>
        <w:rPr>
          <w:b w:val="0"/>
          <w:bCs w:val="0"/>
        </w:rPr>
      </w:pPr>
      <w:r>
        <w:rPr/>
        <w:t>四、公司董事、监事、高级管理人员变动情况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1330"/>
        <w:gridCol w:w="1330"/>
        <w:gridCol w:w="1330"/>
        <w:gridCol w:w="1823"/>
        <w:gridCol w:w="3755"/>
      </w:tblGrid>
      <w:tr>
        <w:trPr>
          <w:trHeight w:val="416" w:hRule="exact"/>
        </w:trPr>
        <w:tc>
          <w:tcPr>
            <w:tcW w:w="1330"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变动情形</w:t>
            </w:r>
          </w:p>
        </w:tc>
        <w:tc>
          <w:tcPr>
            <w:tcW w:w="1823"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变动日期</w:t>
            </w:r>
          </w:p>
        </w:tc>
        <w:tc>
          <w:tcPr>
            <w:tcW w:w="3755"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414" w:hRule="exact"/>
        </w:trPr>
        <w:tc>
          <w:tcPr>
            <w:tcW w:w="133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6"/>
              <w:ind w:right="7"/>
              <w:jc w:val="center"/>
              <w:rPr>
                <w:rFonts w:ascii="宋体" w:hAnsi="宋体" w:cs="宋体" w:eastAsia="宋体" w:hint="default"/>
                <w:sz w:val="18"/>
                <w:szCs w:val="18"/>
              </w:rPr>
            </w:pPr>
            <w:r>
              <w:rPr>
                <w:rFonts w:ascii="宋体" w:hAnsi="宋体" w:cs="宋体" w:eastAsia="宋体" w:hint="default"/>
                <w:sz w:val="18"/>
                <w:szCs w:val="18"/>
              </w:rPr>
              <w:t>徐一宁</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离职</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7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第一届董事会任期届满</w:t>
            </w:r>
          </w:p>
        </w:tc>
      </w:tr>
      <w:tr>
        <w:trPr>
          <w:trHeight w:val="412" w:hRule="exact"/>
        </w:trPr>
        <w:tc>
          <w:tcPr>
            <w:tcW w:w="133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唐富文</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离职</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7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第一届董事会任期届满</w:t>
            </w:r>
          </w:p>
        </w:tc>
      </w:tr>
      <w:tr>
        <w:trPr>
          <w:trHeight w:val="412" w:hRule="exact"/>
        </w:trPr>
        <w:tc>
          <w:tcPr>
            <w:tcW w:w="133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张云龙</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离职</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7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left="8" w:right="0"/>
              <w:jc w:val="center"/>
              <w:rPr>
                <w:rFonts w:ascii="宋体" w:hAnsi="宋体" w:cs="宋体" w:eastAsia="宋体" w:hint="default"/>
                <w:sz w:val="18"/>
                <w:szCs w:val="18"/>
              </w:rPr>
            </w:pPr>
            <w:r>
              <w:rPr>
                <w:rFonts w:ascii="宋体" w:hAnsi="宋体" w:cs="宋体" w:eastAsia="宋体" w:hint="default"/>
                <w:sz w:val="18"/>
                <w:szCs w:val="18"/>
              </w:rPr>
              <w:t>第一届董事会任期届满</w:t>
            </w:r>
          </w:p>
        </w:tc>
      </w:tr>
      <w:tr>
        <w:trPr>
          <w:trHeight w:val="421" w:hRule="exact"/>
        </w:trPr>
        <w:tc>
          <w:tcPr>
            <w:tcW w:w="133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刘兆亮</w:t>
            </w: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离职</w:t>
            </w:r>
          </w:p>
        </w:tc>
        <w:tc>
          <w:tcPr>
            <w:tcW w:w="18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75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5"/>
              <w:ind w:left="8" w:right="0"/>
              <w:jc w:val="center"/>
              <w:rPr>
                <w:rFonts w:ascii="宋体" w:hAnsi="宋体" w:cs="宋体" w:eastAsia="宋体" w:hint="default"/>
                <w:sz w:val="18"/>
                <w:szCs w:val="18"/>
              </w:rPr>
            </w:pPr>
            <w:r>
              <w:rPr>
                <w:rFonts w:ascii="宋体" w:hAnsi="宋体" w:cs="宋体" w:eastAsia="宋体" w:hint="default"/>
                <w:sz w:val="18"/>
                <w:szCs w:val="18"/>
              </w:rPr>
              <w:t>第一届监事会任期届满</w:t>
            </w:r>
          </w:p>
        </w:tc>
      </w:tr>
    </w:tbl>
    <w:p>
      <w:pPr>
        <w:spacing w:line="240" w:lineRule="auto" w:before="2"/>
        <w:rPr>
          <w:rFonts w:ascii="宋体" w:hAnsi="宋体" w:cs="宋体" w:eastAsia="宋体" w:hint="default"/>
          <w:b/>
          <w:bCs/>
          <w:sz w:val="18"/>
          <w:szCs w:val="18"/>
        </w:rPr>
      </w:pPr>
    </w:p>
    <w:p>
      <w:pPr>
        <w:spacing w:line="465" w:lineRule="auto" w:before="26"/>
        <w:ind w:left="154" w:right="855" w:firstLine="0"/>
        <w:jc w:val="left"/>
        <w:rPr>
          <w:rFonts w:ascii="宋体" w:hAnsi="宋体" w:cs="宋体" w:eastAsia="宋体" w:hint="default"/>
          <w:sz w:val="24"/>
          <w:szCs w:val="24"/>
        </w:rPr>
      </w:pPr>
      <w:r>
        <w:rPr>
          <w:rFonts w:ascii="宋体" w:hAnsi="宋体" w:cs="宋体" w:eastAsia="宋体" w:hint="default"/>
          <w:b/>
          <w:bCs/>
          <w:sz w:val="24"/>
          <w:szCs w:val="24"/>
        </w:rPr>
        <w:t>五、报告期核心技术团队或关键技术人员变动情况（非董事、监事、高级管理人员）</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报告期内，公司核心技术团队及关键技术人员未发生变动。</w:t>
      </w:r>
    </w:p>
    <w:p>
      <w:pPr>
        <w:pStyle w:val="Heading2"/>
        <w:spacing w:line="240" w:lineRule="auto" w:before="74"/>
        <w:ind w:right="132"/>
        <w:jc w:val="left"/>
        <w:rPr>
          <w:b w:val="0"/>
          <w:bCs w:val="0"/>
        </w:rPr>
      </w:pPr>
      <w:r>
        <w:rPr/>
        <w:t>六、公司员工情况</w:t>
      </w:r>
      <w:r>
        <w:rPr>
          <w:b w:val="0"/>
          <w:bCs w:val="0"/>
        </w:rPr>
      </w:r>
    </w:p>
    <w:p>
      <w:pPr>
        <w:spacing w:line="240" w:lineRule="auto" w:before="10"/>
        <w:rPr>
          <w:rFonts w:ascii="宋体" w:hAnsi="宋体" w:cs="宋体" w:eastAsia="宋体" w:hint="default"/>
          <w:b/>
          <w:bCs/>
          <w:sz w:val="28"/>
          <w:szCs w:val="28"/>
        </w:rPr>
      </w:pPr>
    </w:p>
    <w:p>
      <w:pPr>
        <w:pStyle w:val="Heading3"/>
        <w:spacing w:line="357" w:lineRule="auto" w:before="0"/>
        <w:ind w:left="634" w:right="2210"/>
        <w:jc w:val="left"/>
      </w:pPr>
      <w:r>
        <w:rPr/>
        <w:t>1、员工人数 截至2012年12月31日，公司有正式员工277人，具体构成情况如下：</w:t>
      </w:r>
    </w:p>
    <w:p>
      <w:pPr>
        <w:pStyle w:val="Heading3"/>
        <w:spacing w:line="240" w:lineRule="auto"/>
        <w:ind w:left="514" w:right="132"/>
        <w:jc w:val="left"/>
      </w:pPr>
      <w:r>
        <w:rPr/>
        <w:t>（1）专业结构</w:t>
      </w:r>
    </w:p>
    <w:p>
      <w:pPr>
        <w:spacing w:line="240" w:lineRule="auto" w:before="9"/>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727"/>
        <w:gridCol w:w="2725"/>
        <w:gridCol w:w="2627"/>
      </w:tblGrid>
      <w:tr>
        <w:trPr>
          <w:trHeight w:val="439" w:hRule="exact"/>
        </w:trPr>
        <w:tc>
          <w:tcPr>
            <w:tcW w:w="272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3"/>
              <w:ind w:right="990"/>
              <w:jc w:val="right"/>
              <w:rPr>
                <w:rFonts w:ascii="宋体" w:hAnsi="宋体" w:cs="宋体" w:eastAsia="宋体" w:hint="default"/>
                <w:sz w:val="18"/>
                <w:szCs w:val="18"/>
              </w:rPr>
            </w:pPr>
            <w:r>
              <w:rPr>
                <w:rFonts w:ascii="宋体" w:hAnsi="宋体" w:cs="宋体" w:eastAsia="宋体" w:hint="default"/>
                <w:b/>
                <w:bCs/>
                <w:w w:val="95"/>
                <w:sz w:val="18"/>
                <w:szCs w:val="18"/>
              </w:rPr>
              <w:t>专业类别</w:t>
            </w:r>
            <w:r>
              <w:rPr>
                <w:rFonts w:ascii="宋体" w:hAnsi="宋体" w:cs="宋体" w:eastAsia="宋体" w:hint="default"/>
                <w:sz w:val="18"/>
                <w:szCs w:val="18"/>
              </w:rPr>
            </w:r>
          </w:p>
        </w:tc>
        <w:tc>
          <w:tcPr>
            <w:tcW w:w="272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员工人数（人）</w:t>
            </w:r>
            <w:r>
              <w:rPr>
                <w:rFonts w:ascii="宋体" w:hAnsi="宋体" w:cs="宋体" w:eastAsia="宋体" w:hint="default"/>
                <w:sz w:val="18"/>
                <w:szCs w:val="18"/>
              </w:rPr>
            </w:r>
          </w:p>
        </w:tc>
        <w:tc>
          <w:tcPr>
            <w:tcW w:w="262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3"/>
              <w:ind w:left="7" w:right="0"/>
              <w:jc w:val="center"/>
              <w:rPr>
                <w:rFonts w:ascii="宋体" w:hAnsi="宋体" w:cs="宋体" w:eastAsia="宋体" w:hint="default"/>
                <w:sz w:val="18"/>
                <w:szCs w:val="18"/>
              </w:rPr>
            </w:pPr>
            <w:r>
              <w:rPr>
                <w:rFonts w:ascii="宋体" w:hAnsi="宋体" w:cs="宋体" w:eastAsia="宋体" w:hint="default"/>
                <w:b/>
                <w:bCs/>
                <w:sz w:val="18"/>
                <w:szCs w:val="18"/>
              </w:rPr>
              <w:t>占员工总数比例</w:t>
            </w:r>
            <w:r>
              <w:rPr>
                <w:rFonts w:ascii="宋体" w:hAnsi="宋体" w:cs="宋体" w:eastAsia="宋体" w:hint="default"/>
                <w:sz w:val="18"/>
                <w:szCs w:val="18"/>
              </w:rPr>
            </w:r>
          </w:p>
        </w:tc>
      </w:tr>
      <w:tr>
        <w:trPr>
          <w:trHeight w:val="432" w:hRule="exact"/>
        </w:trPr>
        <w:tc>
          <w:tcPr>
            <w:tcW w:w="27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right="991"/>
              <w:jc w:val="right"/>
              <w:rPr>
                <w:rFonts w:ascii="宋体" w:hAnsi="宋体" w:cs="宋体" w:eastAsia="宋体" w:hint="default"/>
                <w:sz w:val="18"/>
                <w:szCs w:val="18"/>
              </w:rPr>
            </w:pPr>
            <w:r>
              <w:rPr>
                <w:rFonts w:ascii="宋体" w:hAnsi="宋体" w:cs="宋体" w:eastAsia="宋体" w:hint="default"/>
                <w:sz w:val="18"/>
                <w:szCs w:val="18"/>
              </w:rPr>
              <w:t>财务人员</w:t>
            </w:r>
          </w:p>
        </w:tc>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7</w:t>
            </w:r>
          </w:p>
        </w:tc>
        <w:tc>
          <w:tcPr>
            <w:tcW w:w="26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7" w:right="0"/>
              <w:jc w:val="center"/>
              <w:rPr>
                <w:rFonts w:ascii="宋体" w:hAnsi="宋体" w:cs="宋体" w:eastAsia="宋体" w:hint="default"/>
                <w:sz w:val="18"/>
                <w:szCs w:val="18"/>
              </w:rPr>
            </w:pPr>
            <w:r>
              <w:rPr>
                <w:rFonts w:ascii="宋体"/>
                <w:sz w:val="18"/>
              </w:rPr>
              <w:t>2.53%</w:t>
            </w:r>
          </w:p>
        </w:tc>
      </w:tr>
      <w:tr>
        <w:trPr>
          <w:trHeight w:val="432" w:hRule="exact"/>
        </w:trPr>
        <w:tc>
          <w:tcPr>
            <w:tcW w:w="27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right="991"/>
              <w:jc w:val="right"/>
              <w:rPr>
                <w:rFonts w:ascii="宋体" w:hAnsi="宋体" w:cs="宋体" w:eastAsia="宋体" w:hint="default"/>
                <w:sz w:val="18"/>
                <w:szCs w:val="18"/>
              </w:rPr>
            </w:pPr>
            <w:r>
              <w:rPr>
                <w:rFonts w:ascii="宋体" w:hAnsi="宋体" w:cs="宋体" w:eastAsia="宋体" w:hint="default"/>
                <w:sz w:val="18"/>
                <w:szCs w:val="18"/>
              </w:rPr>
              <w:t>工程人员</w:t>
            </w:r>
          </w:p>
        </w:tc>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28</w:t>
            </w:r>
          </w:p>
        </w:tc>
        <w:tc>
          <w:tcPr>
            <w:tcW w:w="26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8" w:right="0"/>
              <w:jc w:val="center"/>
              <w:rPr>
                <w:rFonts w:ascii="宋体" w:hAnsi="宋体" w:cs="宋体" w:eastAsia="宋体" w:hint="default"/>
                <w:sz w:val="18"/>
                <w:szCs w:val="18"/>
              </w:rPr>
            </w:pPr>
            <w:r>
              <w:rPr>
                <w:rFonts w:ascii="宋体"/>
                <w:sz w:val="18"/>
              </w:rPr>
              <w:t>10.11%</w:t>
            </w:r>
          </w:p>
        </w:tc>
      </w:tr>
      <w:tr>
        <w:trPr>
          <w:trHeight w:val="432" w:hRule="exact"/>
        </w:trPr>
        <w:tc>
          <w:tcPr>
            <w:tcW w:w="27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right="991"/>
              <w:jc w:val="right"/>
              <w:rPr>
                <w:rFonts w:ascii="宋体" w:hAnsi="宋体" w:cs="宋体" w:eastAsia="宋体" w:hint="default"/>
                <w:sz w:val="18"/>
                <w:szCs w:val="18"/>
              </w:rPr>
            </w:pPr>
            <w:r>
              <w:rPr>
                <w:rFonts w:ascii="宋体" w:hAnsi="宋体" w:cs="宋体" w:eastAsia="宋体" w:hint="default"/>
                <w:sz w:val="18"/>
                <w:szCs w:val="18"/>
              </w:rPr>
              <w:t>管理人员</w:t>
            </w:r>
          </w:p>
        </w:tc>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14</w:t>
            </w:r>
          </w:p>
        </w:tc>
        <w:tc>
          <w:tcPr>
            <w:tcW w:w="26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7" w:right="0"/>
              <w:jc w:val="center"/>
              <w:rPr>
                <w:rFonts w:ascii="宋体" w:hAnsi="宋体" w:cs="宋体" w:eastAsia="宋体" w:hint="default"/>
                <w:sz w:val="18"/>
                <w:szCs w:val="18"/>
              </w:rPr>
            </w:pPr>
            <w:r>
              <w:rPr>
                <w:rFonts w:ascii="宋体"/>
                <w:sz w:val="18"/>
              </w:rPr>
              <w:t>5.05%</w:t>
            </w:r>
          </w:p>
        </w:tc>
      </w:tr>
      <w:tr>
        <w:trPr>
          <w:trHeight w:val="432" w:hRule="exact"/>
        </w:trPr>
        <w:tc>
          <w:tcPr>
            <w:tcW w:w="27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right="991"/>
              <w:jc w:val="right"/>
              <w:rPr>
                <w:rFonts w:ascii="宋体" w:hAnsi="宋体" w:cs="宋体" w:eastAsia="宋体" w:hint="default"/>
                <w:sz w:val="18"/>
                <w:szCs w:val="18"/>
              </w:rPr>
            </w:pPr>
            <w:r>
              <w:rPr>
                <w:rFonts w:ascii="宋体" w:hAnsi="宋体" w:cs="宋体" w:eastAsia="宋体" w:hint="default"/>
                <w:sz w:val="18"/>
                <w:szCs w:val="18"/>
              </w:rPr>
              <w:t>技术人员</w:t>
            </w:r>
          </w:p>
        </w:tc>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115</w:t>
            </w:r>
          </w:p>
        </w:tc>
        <w:tc>
          <w:tcPr>
            <w:tcW w:w="26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8" w:right="0"/>
              <w:jc w:val="center"/>
              <w:rPr>
                <w:rFonts w:ascii="宋体" w:hAnsi="宋体" w:cs="宋体" w:eastAsia="宋体" w:hint="default"/>
                <w:sz w:val="18"/>
                <w:szCs w:val="18"/>
              </w:rPr>
            </w:pPr>
            <w:r>
              <w:rPr>
                <w:rFonts w:ascii="宋体"/>
                <w:sz w:val="18"/>
              </w:rPr>
              <w:t>41.52%</w:t>
            </w:r>
          </w:p>
        </w:tc>
      </w:tr>
      <w:tr>
        <w:trPr>
          <w:trHeight w:val="432" w:hRule="exact"/>
        </w:trPr>
        <w:tc>
          <w:tcPr>
            <w:tcW w:w="27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right="991"/>
              <w:jc w:val="right"/>
              <w:rPr>
                <w:rFonts w:ascii="宋体" w:hAnsi="宋体" w:cs="宋体" w:eastAsia="宋体" w:hint="default"/>
                <w:sz w:val="18"/>
                <w:szCs w:val="18"/>
              </w:rPr>
            </w:pPr>
            <w:r>
              <w:rPr>
                <w:rFonts w:ascii="宋体" w:hAnsi="宋体" w:cs="宋体" w:eastAsia="宋体" w:hint="default"/>
                <w:sz w:val="18"/>
                <w:szCs w:val="18"/>
              </w:rPr>
              <w:t>生产人员</w:t>
            </w:r>
          </w:p>
        </w:tc>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59</w:t>
            </w:r>
          </w:p>
        </w:tc>
        <w:tc>
          <w:tcPr>
            <w:tcW w:w="26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8" w:right="0"/>
              <w:jc w:val="center"/>
              <w:rPr>
                <w:rFonts w:ascii="宋体" w:hAnsi="宋体" w:cs="宋体" w:eastAsia="宋体" w:hint="default"/>
                <w:sz w:val="18"/>
                <w:szCs w:val="18"/>
              </w:rPr>
            </w:pPr>
            <w:r>
              <w:rPr>
                <w:rFonts w:ascii="宋体"/>
                <w:sz w:val="18"/>
              </w:rPr>
              <w:t>21.30%</w:t>
            </w:r>
          </w:p>
        </w:tc>
      </w:tr>
      <w:tr>
        <w:trPr>
          <w:trHeight w:val="432" w:hRule="exact"/>
        </w:trPr>
        <w:tc>
          <w:tcPr>
            <w:tcW w:w="27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right="991"/>
              <w:jc w:val="right"/>
              <w:rPr>
                <w:rFonts w:ascii="宋体" w:hAnsi="宋体" w:cs="宋体" w:eastAsia="宋体" w:hint="default"/>
                <w:sz w:val="18"/>
                <w:szCs w:val="18"/>
              </w:rPr>
            </w:pPr>
            <w:r>
              <w:rPr>
                <w:rFonts w:ascii="宋体" w:hAnsi="宋体" w:cs="宋体" w:eastAsia="宋体" w:hint="default"/>
                <w:sz w:val="18"/>
                <w:szCs w:val="18"/>
              </w:rPr>
              <w:t>市场人员</w:t>
            </w:r>
          </w:p>
        </w:tc>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17</w:t>
            </w:r>
          </w:p>
        </w:tc>
        <w:tc>
          <w:tcPr>
            <w:tcW w:w="26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7" w:right="0"/>
              <w:jc w:val="center"/>
              <w:rPr>
                <w:rFonts w:ascii="宋体" w:hAnsi="宋体" w:cs="宋体" w:eastAsia="宋体" w:hint="default"/>
                <w:sz w:val="18"/>
                <w:szCs w:val="18"/>
              </w:rPr>
            </w:pPr>
            <w:r>
              <w:rPr>
                <w:rFonts w:ascii="宋体"/>
                <w:sz w:val="18"/>
              </w:rPr>
              <w:t>6.14%</w:t>
            </w:r>
          </w:p>
        </w:tc>
      </w:tr>
      <w:tr>
        <w:trPr>
          <w:trHeight w:val="440" w:hRule="exact"/>
        </w:trPr>
        <w:tc>
          <w:tcPr>
            <w:tcW w:w="272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4"/>
              <w:ind w:right="991"/>
              <w:jc w:val="right"/>
              <w:rPr>
                <w:rFonts w:ascii="宋体" w:hAnsi="宋体" w:cs="宋体" w:eastAsia="宋体" w:hint="default"/>
                <w:sz w:val="18"/>
                <w:szCs w:val="18"/>
              </w:rPr>
            </w:pPr>
            <w:r>
              <w:rPr>
                <w:rFonts w:ascii="宋体" w:hAnsi="宋体" w:cs="宋体" w:eastAsia="宋体" w:hint="default"/>
                <w:sz w:val="18"/>
                <w:szCs w:val="18"/>
              </w:rPr>
              <w:t>行政人员</w:t>
            </w:r>
          </w:p>
        </w:tc>
        <w:tc>
          <w:tcPr>
            <w:tcW w:w="27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37</w:t>
            </w:r>
          </w:p>
        </w:tc>
        <w:tc>
          <w:tcPr>
            <w:tcW w:w="262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4"/>
              <w:ind w:left="8" w:right="0"/>
              <w:jc w:val="center"/>
              <w:rPr>
                <w:rFonts w:ascii="宋体" w:hAnsi="宋体" w:cs="宋体" w:eastAsia="宋体" w:hint="default"/>
                <w:sz w:val="18"/>
                <w:szCs w:val="18"/>
              </w:rPr>
            </w:pPr>
            <w:r>
              <w:rPr>
                <w:rFonts w:ascii="宋体"/>
                <w:sz w:val="18"/>
              </w:rPr>
              <w:t>13.35%</w:t>
            </w:r>
          </w:p>
        </w:tc>
      </w:tr>
    </w:tbl>
    <w:p>
      <w:pPr>
        <w:spacing w:after="0" w:line="240" w:lineRule="auto"/>
        <w:jc w:val="center"/>
        <w:rPr>
          <w:rFonts w:ascii="宋体" w:hAnsi="宋体" w:cs="宋体" w:eastAsia="宋体" w:hint="default"/>
          <w:sz w:val="18"/>
          <w:szCs w:val="18"/>
        </w:rPr>
        <w:sectPr>
          <w:pgSz w:w="11910" w:h="16840"/>
          <w:pgMar w:header="877" w:footer="1003" w:top="1100" w:bottom="1200" w:left="980" w:right="980"/>
        </w:sectPr>
      </w:pPr>
    </w:p>
    <w:p>
      <w:pPr>
        <w:spacing w:line="240" w:lineRule="auto" w:before="6"/>
        <w:rPr>
          <w:rFonts w:ascii="宋体" w:hAnsi="宋体" w:cs="宋体" w:eastAsia="宋体" w:hint="default"/>
          <w:sz w:val="24"/>
          <w:szCs w:val="24"/>
        </w:rPr>
      </w:pPr>
    </w:p>
    <w:tbl>
      <w:tblPr>
        <w:tblW w:w="0" w:type="auto"/>
        <w:jc w:val="left"/>
        <w:tblInd w:w="133" w:type="dxa"/>
        <w:tblLayout w:type="fixed"/>
        <w:tblCellMar>
          <w:top w:w="0" w:type="dxa"/>
          <w:left w:w="0" w:type="dxa"/>
          <w:bottom w:w="0" w:type="dxa"/>
          <w:right w:w="0" w:type="dxa"/>
        </w:tblCellMar>
        <w:tblLook w:val="01E0"/>
      </w:tblPr>
      <w:tblGrid>
        <w:gridCol w:w="2727"/>
        <w:gridCol w:w="2725"/>
        <w:gridCol w:w="2627"/>
      </w:tblGrid>
      <w:tr>
        <w:trPr>
          <w:trHeight w:val="448" w:hRule="exact"/>
        </w:trPr>
        <w:tc>
          <w:tcPr>
            <w:tcW w:w="2727" w:type="dxa"/>
            <w:tcBorders>
              <w:top w:val="single" w:sz="12" w:space="0" w:color="000000"/>
              <w:left w:val="single" w:sz="12" w:space="0" w:color="000000"/>
              <w:bottom w:val="single" w:sz="12" w:space="0" w:color="000000"/>
              <w:right w:val="single" w:sz="6" w:space="0" w:color="000000"/>
            </w:tcBorders>
          </w:tcPr>
          <w:p>
            <w:pPr>
              <w:pStyle w:val="TableParagraph"/>
              <w:tabs>
                <w:tab w:pos="539" w:val="left" w:leader="none"/>
              </w:tabs>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sz w:val="18"/>
              </w:rPr>
              <w:t>277</w:t>
            </w:r>
          </w:p>
        </w:tc>
        <w:tc>
          <w:tcPr>
            <w:tcW w:w="2627"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63"/>
              <w:ind w:left="7" w:right="0"/>
              <w:jc w:val="center"/>
              <w:rPr>
                <w:rFonts w:ascii="宋体" w:hAnsi="宋体" w:cs="宋体" w:eastAsia="宋体" w:hint="default"/>
                <w:sz w:val="18"/>
                <w:szCs w:val="18"/>
              </w:rPr>
            </w:pPr>
            <w:r>
              <w:rPr>
                <w:rFonts w:ascii="宋体"/>
                <w:sz w:val="18"/>
              </w:rPr>
              <w:t>100.00%</w:t>
            </w:r>
          </w:p>
        </w:tc>
      </w:tr>
    </w:tbl>
    <w:p>
      <w:pPr>
        <w:pStyle w:val="Heading3"/>
        <w:spacing w:line="240" w:lineRule="auto" w:before="40"/>
        <w:ind w:left="636" w:right="132"/>
        <w:jc w:val="left"/>
      </w:pPr>
      <w:r>
        <w:rPr/>
        <w:t>（2）教育程度</w:t>
      </w:r>
    </w:p>
    <w:p>
      <w:pPr>
        <w:spacing w:line="240" w:lineRule="auto" w:before="8"/>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709"/>
        <w:gridCol w:w="2711"/>
        <w:gridCol w:w="2660"/>
      </w:tblGrid>
      <w:tr>
        <w:trPr>
          <w:trHeight w:val="440" w:hRule="exact"/>
        </w:trPr>
        <w:tc>
          <w:tcPr>
            <w:tcW w:w="270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b/>
                <w:bCs/>
                <w:sz w:val="18"/>
                <w:szCs w:val="18"/>
              </w:rPr>
              <w:t>学历类别</w:t>
            </w:r>
            <w:r>
              <w:rPr>
                <w:rFonts w:ascii="宋体" w:hAnsi="宋体" w:cs="宋体" w:eastAsia="宋体" w:hint="default"/>
                <w:sz w:val="18"/>
                <w:szCs w:val="18"/>
              </w:rPr>
            </w:r>
          </w:p>
        </w:tc>
        <w:tc>
          <w:tcPr>
            <w:tcW w:w="27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员工人数（人）</w:t>
            </w:r>
            <w:r>
              <w:rPr>
                <w:rFonts w:ascii="宋体" w:hAnsi="宋体" w:cs="宋体" w:eastAsia="宋体" w:hint="default"/>
                <w:sz w:val="18"/>
                <w:szCs w:val="18"/>
              </w:rPr>
            </w:r>
          </w:p>
        </w:tc>
        <w:tc>
          <w:tcPr>
            <w:tcW w:w="266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3"/>
              <w:ind w:left="3" w:right="0"/>
              <w:jc w:val="center"/>
              <w:rPr>
                <w:rFonts w:ascii="宋体" w:hAnsi="宋体" w:cs="宋体" w:eastAsia="宋体" w:hint="default"/>
                <w:sz w:val="18"/>
                <w:szCs w:val="18"/>
              </w:rPr>
            </w:pPr>
            <w:r>
              <w:rPr>
                <w:rFonts w:ascii="宋体" w:hAnsi="宋体" w:cs="宋体" w:eastAsia="宋体" w:hint="default"/>
                <w:b/>
                <w:bCs/>
                <w:sz w:val="18"/>
                <w:szCs w:val="18"/>
              </w:rPr>
              <w:t>占员工总数比例</w:t>
            </w:r>
            <w:r>
              <w:rPr>
                <w:rFonts w:ascii="宋体" w:hAnsi="宋体" w:cs="宋体" w:eastAsia="宋体" w:hint="default"/>
                <w:sz w:val="18"/>
                <w:szCs w:val="18"/>
              </w:rPr>
            </w:r>
          </w:p>
        </w:tc>
      </w:tr>
      <w:tr>
        <w:trPr>
          <w:trHeight w:val="432" w:hRule="exact"/>
        </w:trPr>
        <w:tc>
          <w:tcPr>
            <w:tcW w:w="27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研究生及以上</w:t>
            </w:r>
          </w:p>
        </w:tc>
        <w:tc>
          <w:tcPr>
            <w:tcW w:w="2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宋体" w:hAnsi="宋体" w:cs="宋体" w:eastAsia="宋体" w:hint="default"/>
                <w:sz w:val="18"/>
                <w:szCs w:val="18"/>
              </w:rPr>
            </w:pPr>
            <w:r>
              <w:rPr>
                <w:rFonts w:ascii="宋体"/>
                <w:sz w:val="18"/>
              </w:rPr>
              <w:t>14</w:t>
            </w:r>
          </w:p>
        </w:tc>
        <w:tc>
          <w:tcPr>
            <w:tcW w:w="26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3"/>
              <w:ind w:left="6" w:right="0"/>
              <w:jc w:val="center"/>
              <w:rPr>
                <w:rFonts w:ascii="宋体" w:hAnsi="宋体" w:cs="宋体" w:eastAsia="宋体" w:hint="default"/>
                <w:sz w:val="18"/>
                <w:szCs w:val="18"/>
              </w:rPr>
            </w:pPr>
            <w:r>
              <w:rPr>
                <w:rFonts w:ascii="宋体"/>
                <w:sz w:val="18"/>
              </w:rPr>
              <w:t>5.05%</w:t>
            </w:r>
          </w:p>
        </w:tc>
      </w:tr>
      <w:tr>
        <w:trPr>
          <w:trHeight w:val="432" w:hRule="exact"/>
        </w:trPr>
        <w:tc>
          <w:tcPr>
            <w:tcW w:w="27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大学本科</w:t>
            </w:r>
          </w:p>
        </w:tc>
        <w:tc>
          <w:tcPr>
            <w:tcW w:w="2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sz w:val="18"/>
              </w:rPr>
              <w:t>102</w:t>
            </w:r>
          </w:p>
        </w:tc>
        <w:tc>
          <w:tcPr>
            <w:tcW w:w="26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sz w:val="18"/>
              </w:rPr>
              <w:t>36.82%</w:t>
            </w:r>
          </w:p>
        </w:tc>
      </w:tr>
      <w:tr>
        <w:trPr>
          <w:trHeight w:val="432" w:hRule="exact"/>
        </w:trPr>
        <w:tc>
          <w:tcPr>
            <w:tcW w:w="27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大学专科</w:t>
            </w:r>
          </w:p>
        </w:tc>
        <w:tc>
          <w:tcPr>
            <w:tcW w:w="2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sz w:val="18"/>
              </w:rPr>
              <w:t>108</w:t>
            </w:r>
          </w:p>
        </w:tc>
        <w:tc>
          <w:tcPr>
            <w:tcW w:w="26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sz w:val="18"/>
              </w:rPr>
              <w:t>38.99%</w:t>
            </w:r>
          </w:p>
        </w:tc>
      </w:tr>
      <w:tr>
        <w:trPr>
          <w:trHeight w:val="432" w:hRule="exact"/>
        </w:trPr>
        <w:tc>
          <w:tcPr>
            <w:tcW w:w="27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专科以下</w:t>
            </w:r>
          </w:p>
        </w:tc>
        <w:tc>
          <w:tcPr>
            <w:tcW w:w="2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宋体" w:hAnsi="宋体" w:cs="宋体" w:eastAsia="宋体" w:hint="default"/>
                <w:sz w:val="18"/>
                <w:szCs w:val="18"/>
              </w:rPr>
            </w:pPr>
            <w:r>
              <w:rPr>
                <w:rFonts w:ascii="宋体"/>
                <w:sz w:val="18"/>
              </w:rPr>
              <w:t>53</w:t>
            </w:r>
          </w:p>
        </w:tc>
        <w:tc>
          <w:tcPr>
            <w:tcW w:w="26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sz w:val="18"/>
              </w:rPr>
              <w:t>19.14%</w:t>
            </w:r>
          </w:p>
        </w:tc>
      </w:tr>
      <w:tr>
        <w:trPr>
          <w:trHeight w:val="440" w:hRule="exact"/>
        </w:trPr>
        <w:tc>
          <w:tcPr>
            <w:tcW w:w="2709" w:type="dxa"/>
            <w:tcBorders>
              <w:top w:val="single" w:sz="6" w:space="0" w:color="000000"/>
              <w:left w:val="single" w:sz="12" w:space="0" w:color="000000"/>
              <w:bottom w:val="single" w:sz="12" w:space="0" w:color="000000"/>
              <w:right w:val="single" w:sz="6" w:space="0" w:color="000000"/>
            </w:tcBorders>
          </w:tcPr>
          <w:p>
            <w:pPr>
              <w:pStyle w:val="TableParagraph"/>
              <w:tabs>
                <w:tab w:pos="539" w:val="left" w:leader="none"/>
              </w:tabs>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7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sz w:val="18"/>
              </w:rPr>
              <w:t>277</w:t>
            </w:r>
          </w:p>
        </w:tc>
        <w:tc>
          <w:tcPr>
            <w:tcW w:w="266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3"/>
              <w:ind w:left="6" w:right="0"/>
              <w:jc w:val="center"/>
              <w:rPr>
                <w:rFonts w:ascii="宋体" w:hAnsi="宋体" w:cs="宋体" w:eastAsia="宋体" w:hint="default"/>
                <w:sz w:val="18"/>
                <w:szCs w:val="18"/>
              </w:rPr>
            </w:pPr>
            <w:r>
              <w:rPr>
                <w:rFonts w:ascii="宋体"/>
                <w:sz w:val="18"/>
              </w:rPr>
              <w:t>100.00%</w:t>
            </w:r>
          </w:p>
        </w:tc>
      </w:tr>
    </w:tbl>
    <w:p>
      <w:pPr>
        <w:pStyle w:val="Heading3"/>
        <w:spacing w:line="240" w:lineRule="auto" w:before="40"/>
        <w:ind w:left="636" w:right="132"/>
        <w:jc w:val="left"/>
      </w:pPr>
      <w:r>
        <w:rPr/>
        <w:t>（3）年龄分布</w:t>
      </w:r>
    </w:p>
    <w:p>
      <w:pPr>
        <w:spacing w:line="240" w:lineRule="auto" w:before="9"/>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709"/>
        <w:gridCol w:w="2711"/>
        <w:gridCol w:w="2660"/>
      </w:tblGrid>
      <w:tr>
        <w:trPr>
          <w:trHeight w:val="440" w:hRule="exact"/>
        </w:trPr>
        <w:tc>
          <w:tcPr>
            <w:tcW w:w="270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b/>
                <w:bCs/>
                <w:sz w:val="18"/>
                <w:szCs w:val="18"/>
              </w:rPr>
              <w:t>年龄区间</w:t>
            </w:r>
            <w:r>
              <w:rPr>
                <w:rFonts w:ascii="宋体" w:hAnsi="宋体" w:cs="宋体" w:eastAsia="宋体" w:hint="default"/>
                <w:sz w:val="18"/>
                <w:szCs w:val="18"/>
              </w:rPr>
            </w:r>
          </w:p>
        </w:tc>
        <w:tc>
          <w:tcPr>
            <w:tcW w:w="27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员工人数（人）</w:t>
            </w:r>
            <w:r>
              <w:rPr>
                <w:rFonts w:ascii="宋体" w:hAnsi="宋体" w:cs="宋体" w:eastAsia="宋体" w:hint="default"/>
                <w:sz w:val="18"/>
                <w:szCs w:val="18"/>
              </w:rPr>
            </w:r>
          </w:p>
        </w:tc>
        <w:tc>
          <w:tcPr>
            <w:tcW w:w="266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3"/>
              <w:ind w:left="3" w:right="0"/>
              <w:jc w:val="center"/>
              <w:rPr>
                <w:rFonts w:ascii="宋体" w:hAnsi="宋体" w:cs="宋体" w:eastAsia="宋体" w:hint="default"/>
                <w:sz w:val="18"/>
                <w:szCs w:val="18"/>
              </w:rPr>
            </w:pPr>
            <w:r>
              <w:rPr>
                <w:rFonts w:ascii="宋体" w:hAnsi="宋体" w:cs="宋体" w:eastAsia="宋体" w:hint="default"/>
                <w:b/>
                <w:bCs/>
                <w:sz w:val="18"/>
                <w:szCs w:val="18"/>
              </w:rPr>
              <w:t>占员工总数比例</w:t>
            </w:r>
            <w:r>
              <w:rPr>
                <w:rFonts w:ascii="宋体" w:hAnsi="宋体" w:cs="宋体" w:eastAsia="宋体" w:hint="default"/>
                <w:sz w:val="18"/>
                <w:szCs w:val="18"/>
              </w:rPr>
            </w:r>
          </w:p>
        </w:tc>
      </w:tr>
      <w:tr>
        <w:trPr>
          <w:trHeight w:val="432" w:hRule="exact"/>
        </w:trPr>
        <w:tc>
          <w:tcPr>
            <w:tcW w:w="27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30岁以下</w:t>
            </w:r>
          </w:p>
        </w:tc>
        <w:tc>
          <w:tcPr>
            <w:tcW w:w="2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sz w:val="18"/>
              </w:rPr>
              <w:t>154</w:t>
            </w:r>
          </w:p>
        </w:tc>
        <w:tc>
          <w:tcPr>
            <w:tcW w:w="26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sz w:val="18"/>
              </w:rPr>
              <w:t>55.60%</w:t>
            </w:r>
          </w:p>
        </w:tc>
      </w:tr>
      <w:tr>
        <w:trPr>
          <w:trHeight w:val="432" w:hRule="exact"/>
        </w:trPr>
        <w:tc>
          <w:tcPr>
            <w:tcW w:w="27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31-40岁</w:t>
            </w:r>
          </w:p>
        </w:tc>
        <w:tc>
          <w:tcPr>
            <w:tcW w:w="2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宋体" w:hAnsi="宋体" w:cs="宋体" w:eastAsia="宋体" w:hint="default"/>
                <w:sz w:val="18"/>
                <w:szCs w:val="18"/>
              </w:rPr>
            </w:pPr>
            <w:r>
              <w:rPr>
                <w:rFonts w:ascii="宋体"/>
                <w:sz w:val="18"/>
              </w:rPr>
              <w:t>93</w:t>
            </w:r>
          </w:p>
        </w:tc>
        <w:tc>
          <w:tcPr>
            <w:tcW w:w="26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sz w:val="18"/>
              </w:rPr>
              <w:t>33.57%</w:t>
            </w:r>
          </w:p>
        </w:tc>
      </w:tr>
      <w:tr>
        <w:trPr>
          <w:trHeight w:val="432" w:hRule="exact"/>
        </w:trPr>
        <w:tc>
          <w:tcPr>
            <w:tcW w:w="27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41-50岁</w:t>
            </w:r>
          </w:p>
        </w:tc>
        <w:tc>
          <w:tcPr>
            <w:tcW w:w="2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宋体" w:hAnsi="宋体" w:cs="宋体" w:eastAsia="宋体" w:hint="default"/>
                <w:sz w:val="18"/>
                <w:szCs w:val="18"/>
              </w:rPr>
            </w:pPr>
            <w:r>
              <w:rPr>
                <w:rFonts w:ascii="宋体"/>
                <w:sz w:val="18"/>
              </w:rPr>
              <w:t>21</w:t>
            </w:r>
          </w:p>
        </w:tc>
        <w:tc>
          <w:tcPr>
            <w:tcW w:w="26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3"/>
              <w:ind w:left="6" w:right="0"/>
              <w:jc w:val="center"/>
              <w:rPr>
                <w:rFonts w:ascii="宋体" w:hAnsi="宋体" w:cs="宋体" w:eastAsia="宋体" w:hint="default"/>
                <w:sz w:val="18"/>
                <w:szCs w:val="18"/>
              </w:rPr>
            </w:pPr>
            <w:r>
              <w:rPr>
                <w:rFonts w:ascii="宋体"/>
                <w:sz w:val="18"/>
              </w:rPr>
              <w:t>7.58%</w:t>
            </w:r>
          </w:p>
        </w:tc>
      </w:tr>
      <w:tr>
        <w:trPr>
          <w:trHeight w:val="432" w:hRule="exact"/>
        </w:trPr>
        <w:tc>
          <w:tcPr>
            <w:tcW w:w="27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51岁以上</w:t>
            </w:r>
          </w:p>
        </w:tc>
        <w:tc>
          <w:tcPr>
            <w:tcW w:w="2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sz w:val="18"/>
              </w:rPr>
              <w:t>9</w:t>
            </w:r>
          </w:p>
        </w:tc>
        <w:tc>
          <w:tcPr>
            <w:tcW w:w="26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3"/>
              <w:ind w:left="6" w:right="0"/>
              <w:jc w:val="center"/>
              <w:rPr>
                <w:rFonts w:ascii="宋体" w:hAnsi="宋体" w:cs="宋体" w:eastAsia="宋体" w:hint="default"/>
                <w:sz w:val="18"/>
                <w:szCs w:val="18"/>
              </w:rPr>
            </w:pPr>
            <w:r>
              <w:rPr>
                <w:rFonts w:ascii="宋体"/>
                <w:sz w:val="18"/>
              </w:rPr>
              <w:t>3.25%</w:t>
            </w:r>
          </w:p>
        </w:tc>
      </w:tr>
      <w:tr>
        <w:trPr>
          <w:trHeight w:val="440" w:hRule="exact"/>
        </w:trPr>
        <w:tc>
          <w:tcPr>
            <w:tcW w:w="2709" w:type="dxa"/>
            <w:tcBorders>
              <w:top w:val="single" w:sz="6" w:space="0" w:color="000000"/>
              <w:left w:val="single" w:sz="12" w:space="0" w:color="000000"/>
              <w:bottom w:val="single" w:sz="12" w:space="0" w:color="000000"/>
              <w:right w:val="single" w:sz="6" w:space="0" w:color="000000"/>
            </w:tcBorders>
          </w:tcPr>
          <w:p>
            <w:pPr>
              <w:pStyle w:val="TableParagraph"/>
              <w:tabs>
                <w:tab w:pos="539" w:val="left" w:leader="none"/>
              </w:tabs>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7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sz w:val="18"/>
              </w:rPr>
              <w:t>277</w:t>
            </w:r>
          </w:p>
        </w:tc>
        <w:tc>
          <w:tcPr>
            <w:tcW w:w="266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3"/>
              <w:ind w:left="6" w:right="0"/>
              <w:jc w:val="center"/>
              <w:rPr>
                <w:rFonts w:ascii="宋体" w:hAnsi="宋体" w:cs="宋体" w:eastAsia="宋体" w:hint="default"/>
                <w:sz w:val="18"/>
                <w:szCs w:val="18"/>
              </w:rPr>
            </w:pPr>
            <w:r>
              <w:rPr>
                <w:rFonts w:ascii="宋体"/>
                <w:sz w:val="18"/>
              </w:rPr>
              <w:t>100.00%</w:t>
            </w:r>
          </w:p>
        </w:tc>
      </w:tr>
    </w:tbl>
    <w:p>
      <w:pPr>
        <w:spacing w:line="240" w:lineRule="auto" w:before="12"/>
        <w:rPr>
          <w:rFonts w:ascii="宋体" w:hAnsi="宋体" w:cs="宋体" w:eastAsia="宋体" w:hint="default"/>
          <w:sz w:val="24"/>
          <w:szCs w:val="24"/>
        </w:rPr>
      </w:pPr>
    </w:p>
    <w:p>
      <w:pPr>
        <w:pStyle w:val="Heading3"/>
        <w:spacing w:line="240" w:lineRule="auto" w:before="26"/>
        <w:ind w:left="720" w:right="132"/>
        <w:jc w:val="left"/>
      </w:pPr>
      <w:r>
        <w:rPr/>
        <w:t>2、截至2012年12月31日，公司有劳务派遣员工137人。</w:t>
      </w:r>
    </w:p>
    <w:p>
      <w:pPr>
        <w:pStyle w:val="Heading3"/>
        <w:spacing w:line="240" w:lineRule="auto" w:before="154"/>
        <w:ind w:left="720" w:right="132"/>
        <w:jc w:val="left"/>
      </w:pPr>
      <w:r>
        <w:rPr/>
        <w:t>3、公司没有需要承担费用的离退休职工。</w:t>
      </w:r>
    </w:p>
    <w:p>
      <w:pPr>
        <w:spacing w:after="0" w:line="240" w:lineRule="auto"/>
        <w:jc w:val="left"/>
        <w:sectPr>
          <w:pgSz w:w="11910" w:h="16840"/>
          <w:pgMar w:header="877" w:footer="1003" w:top="1100" w:bottom="12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right="3233"/>
        <w:jc w:val="center"/>
        <w:rPr>
          <w:b w:val="0"/>
          <w:bCs w:val="0"/>
        </w:rPr>
      </w:pPr>
      <w:bookmarkStart w:name="_TOC_250002" w:id="8"/>
      <w:r>
        <w:rPr/>
        <w:t>第八节</w:t>
      </w:r>
      <w:r>
        <w:rPr>
          <w:spacing w:val="-5"/>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both"/>
        <w:rPr>
          <w:b w:val="0"/>
          <w:bCs w:val="0"/>
        </w:rPr>
      </w:pPr>
      <w:r>
        <w:rPr/>
        <w:t>一、公司治理的基本状况</w:t>
      </w:r>
      <w:r>
        <w:rPr>
          <w:b w:val="0"/>
          <w:bCs w:val="0"/>
        </w:rPr>
      </w:r>
    </w:p>
    <w:p>
      <w:pPr>
        <w:spacing w:line="240" w:lineRule="auto" w:before="11"/>
        <w:rPr>
          <w:rFonts w:ascii="宋体" w:hAnsi="宋体" w:cs="宋体" w:eastAsia="宋体" w:hint="default"/>
          <w:b/>
          <w:bCs/>
          <w:sz w:val="28"/>
          <w:szCs w:val="28"/>
        </w:rPr>
      </w:pPr>
    </w:p>
    <w:p>
      <w:pPr>
        <w:pStyle w:val="Heading3"/>
        <w:spacing w:line="240" w:lineRule="auto" w:before="0"/>
        <w:ind w:left="580" w:right="132"/>
        <w:jc w:val="left"/>
      </w:pPr>
      <w:r>
        <w:rPr/>
        <w:t>报告期内，公司严格按照《公司法》、《证券法》、《上市公司信息披露管理办法》、</w:t>
      </w:r>
    </w:p>
    <w:p>
      <w:pPr>
        <w:pStyle w:val="Heading3"/>
        <w:spacing w:line="357" w:lineRule="auto" w:before="154"/>
        <w:ind w:right="148"/>
        <w:jc w:val="both"/>
      </w:pPr>
      <w:r>
        <w:rPr>
          <w:spacing w:val="-5"/>
        </w:rPr>
        <w:t>《深圳证券交易所创业板股票上市规则》、《深圳证券交易所创业板上市公司规范运作指引》</w:t>
      </w:r>
      <w:r>
        <w:rPr>
          <w:spacing w:val="-118"/>
        </w:rPr>
        <w:t> </w:t>
      </w:r>
      <w:r>
        <w:rPr>
          <w:spacing w:val="-118"/>
        </w:rPr>
      </w:r>
      <w:r>
        <w:rPr/>
        <w:t>等有关法律、法规、业务规则的有关规定，结合公司实际情况，进一步完善公司规范运作管</w:t>
      </w:r>
      <w:r>
        <w:rPr>
          <w:spacing w:val="-83"/>
        </w:rPr>
        <w:t> </w:t>
      </w:r>
      <w:r>
        <w:rPr>
          <w:spacing w:val="-83"/>
        </w:rPr>
      </w:r>
      <w:r>
        <w:rPr/>
        <w:t>理制度，加强内部控制制度建设，不断规范公司运作，提高公司治理水平。</w:t>
      </w:r>
    </w:p>
    <w:p>
      <w:pPr>
        <w:pStyle w:val="Heading3"/>
        <w:spacing w:line="357" w:lineRule="auto"/>
        <w:ind w:left="579" w:right="132" w:firstLine="2"/>
        <w:jc w:val="left"/>
      </w:pPr>
      <w:r>
        <w:rPr/>
        <w:t>1、关于股东与股东大会 公司股东按照《公司章程》、《上市公司股东大会规则》的规定按其所持股份享有平等</w:t>
      </w:r>
    </w:p>
    <w:p>
      <w:pPr>
        <w:pStyle w:val="Heading3"/>
        <w:spacing w:line="357" w:lineRule="auto"/>
        <w:ind w:right="148"/>
        <w:jc w:val="both"/>
      </w:pPr>
      <w:r>
        <w:rPr/>
        <w:t>地位，并承担相应义务。公司治理结构能够保证所有股东，特别是中小股东享有平等地位，</w:t>
      </w:r>
      <w:r>
        <w:rPr>
          <w:spacing w:val="-83"/>
        </w:rPr>
        <w:t> </w:t>
      </w:r>
      <w:r>
        <w:rPr>
          <w:spacing w:val="-83"/>
        </w:rPr>
      </w:r>
      <w:r>
        <w:rPr/>
        <w:t>确保股东合法行使权益，保证了股东对公司重大事项的知情权、参与权、表决权。</w:t>
      </w:r>
    </w:p>
    <w:p>
      <w:pPr>
        <w:pStyle w:val="Heading3"/>
        <w:spacing w:line="357" w:lineRule="auto"/>
        <w:ind w:right="147" w:firstLine="426"/>
        <w:jc w:val="both"/>
      </w:pPr>
      <w:r>
        <w:rPr/>
        <w:t>报告期内的股东大会均由董事会召集召开，并聘请律师进行现场见证，根据相关法律、</w:t>
      </w:r>
      <w:r>
        <w:rPr>
          <w:spacing w:val="2"/>
        </w:rPr>
        <w:t> </w:t>
      </w:r>
      <w:r>
        <w:rPr/>
        <w:t>行政法规、部门规章、规范性文件及公司章程等规定应由股东大会表决的事项均按照相应的</w:t>
      </w:r>
      <w:r>
        <w:rPr>
          <w:spacing w:val="-83"/>
        </w:rPr>
        <w:t> </w:t>
      </w:r>
      <w:r>
        <w:rPr>
          <w:spacing w:val="-83"/>
        </w:rPr>
      </w:r>
      <w:r>
        <w:rPr/>
        <w:t>权限审批后交由股东大会审议，不存在越权审批或先实施后审议的情况。</w:t>
      </w:r>
    </w:p>
    <w:p>
      <w:pPr>
        <w:pStyle w:val="Heading3"/>
        <w:spacing w:line="357" w:lineRule="auto"/>
        <w:ind w:left="573" w:right="132"/>
        <w:jc w:val="left"/>
      </w:pPr>
      <w:r>
        <w:rPr/>
        <w:t>2、关于公司与控股股东 </w:t>
      </w:r>
      <w:r>
        <w:rPr>
          <w:spacing w:val="2"/>
        </w:rPr>
        <w:t>公司具有独立的业务经营能力及完备的运营体系，在业务、人员、资产、机构、财务上</w:t>
      </w:r>
      <w:r>
        <w:rPr/>
      </w:r>
    </w:p>
    <w:p>
      <w:pPr>
        <w:pStyle w:val="Heading3"/>
        <w:spacing w:line="357" w:lineRule="auto" w:before="35"/>
        <w:ind w:right="148"/>
        <w:jc w:val="both"/>
      </w:pPr>
      <w:r>
        <w:rPr/>
        <w:t>均独立于控股股东，公司董事会、监事会和内部机构根据其议事规则或公司制度独立运作。</w:t>
      </w:r>
      <w:r>
        <w:rPr>
          <w:spacing w:val="-83"/>
        </w:rPr>
        <w:t> </w:t>
      </w:r>
      <w:r>
        <w:rPr>
          <w:spacing w:val="-83"/>
        </w:rPr>
      </w:r>
      <w:r>
        <w:rPr/>
        <w:t>公司控股股东能严格规范自己的行为，通过股东大会依法行使其权利并承担义务，没有超越</w:t>
      </w:r>
      <w:r>
        <w:rPr>
          <w:spacing w:val="-83"/>
        </w:rPr>
        <w:t> </w:t>
      </w:r>
      <w:r>
        <w:rPr>
          <w:spacing w:val="-83"/>
        </w:rPr>
      </w:r>
      <w:r>
        <w:rPr>
          <w:spacing w:val="-2"/>
        </w:rPr>
        <w:t>股东大会直接或间接干预公司经营活动。报告期内,公司没有为控股股东提供担保，亦不存在</w:t>
      </w:r>
      <w:r>
        <w:rPr/>
        <w:t> 控股股东非经营性占用公司资金的行为。</w:t>
      </w:r>
    </w:p>
    <w:p>
      <w:pPr>
        <w:pStyle w:val="Heading3"/>
        <w:spacing w:line="357" w:lineRule="auto"/>
        <w:ind w:left="573" w:right="132"/>
        <w:jc w:val="left"/>
      </w:pPr>
      <w:r>
        <w:rPr/>
        <w:t>3、关于董事和董事会 </w:t>
      </w:r>
      <w:r>
        <w:rPr>
          <w:spacing w:val="2"/>
        </w:rPr>
        <w:t>公司严格按照《公司法》、《公司章程》规定的选聘程序选举董事，公司董事会人数和</w:t>
      </w:r>
      <w:r>
        <w:rPr/>
      </w:r>
    </w:p>
    <w:p>
      <w:pPr>
        <w:pStyle w:val="Heading3"/>
        <w:spacing w:line="357" w:lineRule="auto"/>
        <w:ind w:right="148"/>
        <w:jc w:val="both"/>
      </w:pPr>
      <w:r>
        <w:rPr/>
        <w:t>人员构成符合法律、法规的要求，各位董事能够以认真负责的态度出席董事会和股东大会，</w:t>
      </w:r>
      <w:r>
        <w:rPr>
          <w:spacing w:val="-83"/>
        </w:rPr>
        <w:t> </w:t>
      </w:r>
      <w:r>
        <w:rPr>
          <w:spacing w:val="-83"/>
        </w:rPr>
      </w:r>
      <w:r>
        <w:rPr/>
        <w:t>从公司和全体股东的利益出发，忠实履行职责，积极参加有关培训，学习有关法律法规，促</w:t>
      </w:r>
      <w:r>
        <w:rPr>
          <w:spacing w:val="-83"/>
        </w:rPr>
        <w:t> </w:t>
      </w:r>
      <w:r>
        <w:rPr>
          <w:spacing w:val="-83"/>
        </w:rPr>
      </w:r>
      <w:r>
        <w:rPr/>
        <w:t>进董事会规范运作和科学决策。董事会会议程序符合规定，会议记录完整、真实，会议相关</w:t>
      </w:r>
      <w:r>
        <w:rPr>
          <w:spacing w:val="-83"/>
        </w:rPr>
        <w:t> </w:t>
      </w:r>
      <w:r>
        <w:rPr>
          <w:spacing w:val="-83"/>
        </w:rPr>
      </w:r>
      <w:r>
        <w:rPr/>
        <w:t>信息披露及时、准确、充分。</w:t>
      </w:r>
    </w:p>
    <w:p>
      <w:pPr>
        <w:pStyle w:val="Heading3"/>
        <w:spacing w:line="357" w:lineRule="auto"/>
        <w:ind w:left="573" w:right="132"/>
        <w:jc w:val="left"/>
      </w:pPr>
      <w:r>
        <w:rPr/>
        <w:t>4、关于监事和监事会 </w:t>
      </w:r>
      <w:r>
        <w:rPr>
          <w:spacing w:val="2"/>
        </w:rPr>
        <w:t>公司严格按照《公司法》、《公司章程》规定的选聘程序选举监事，公司监事会人数和</w:t>
      </w:r>
      <w:r>
        <w:rPr/>
      </w:r>
    </w:p>
    <w:p>
      <w:pPr>
        <w:spacing w:after="0" w:line="357" w:lineRule="auto"/>
        <w:jc w:val="left"/>
        <w:sectPr>
          <w:pgSz w:w="11910" w:h="16840"/>
          <w:pgMar w:header="877" w:footer="1003" w:top="1100" w:bottom="1200" w:left="980" w:right="980"/>
        </w:sectPr>
      </w:pPr>
    </w:p>
    <w:p>
      <w:pPr>
        <w:spacing w:line="240" w:lineRule="auto" w:before="7"/>
        <w:rPr>
          <w:rFonts w:ascii="宋体" w:hAnsi="宋体" w:cs="宋体" w:eastAsia="宋体" w:hint="default"/>
          <w:sz w:val="25"/>
          <w:szCs w:val="25"/>
        </w:rPr>
      </w:pPr>
    </w:p>
    <w:p>
      <w:pPr>
        <w:pStyle w:val="Heading3"/>
        <w:spacing w:line="357" w:lineRule="auto" w:before="26"/>
        <w:ind w:right="148"/>
        <w:jc w:val="both"/>
      </w:pPr>
      <w:r>
        <w:rPr/>
        <w:t>人员构成符合法律、法规的要求。各位监事能够认真学习有关法律法规、积极参加相关业务</w:t>
      </w:r>
      <w:r>
        <w:rPr>
          <w:spacing w:val="-83"/>
        </w:rPr>
        <w:t> </w:t>
      </w:r>
      <w:r>
        <w:rPr>
          <w:spacing w:val="-83"/>
        </w:rPr>
      </w:r>
      <w:r>
        <w:rPr/>
        <w:t>培训、认真履行职责，本着对全体股东尤其是中小股东负责的精神，对公司重大事项、关联</w:t>
      </w:r>
      <w:r>
        <w:rPr>
          <w:spacing w:val="-83"/>
        </w:rPr>
        <w:t> </w:t>
      </w:r>
      <w:r>
        <w:rPr>
          <w:spacing w:val="-83"/>
        </w:rPr>
      </w:r>
      <w:r>
        <w:rPr/>
        <w:t>交易、财务状况以及董事和其他高级管理人员履行职责的合法、合规性进行监督并发表独立</w:t>
      </w:r>
      <w:r>
        <w:rPr>
          <w:spacing w:val="-83"/>
        </w:rPr>
        <w:t> </w:t>
      </w:r>
      <w:r>
        <w:rPr>
          <w:spacing w:val="-83"/>
        </w:rPr>
      </w:r>
      <w:r>
        <w:rPr/>
        <w:t>意见，维护公司及股东的合法权益。</w:t>
      </w:r>
    </w:p>
    <w:p>
      <w:pPr>
        <w:pStyle w:val="Heading3"/>
        <w:spacing w:line="357" w:lineRule="auto"/>
        <w:ind w:left="573" w:right="132"/>
        <w:jc w:val="left"/>
      </w:pPr>
      <w:r>
        <w:rPr/>
        <w:t>5、关于绩效评价与激励约束机制 </w:t>
      </w:r>
      <w:r>
        <w:rPr>
          <w:spacing w:val="2"/>
        </w:rPr>
        <w:t>公司建立并逐步完善公正、透明的董事、监事、高级管理人员的绩效评价标准与激励约</w:t>
      </w:r>
      <w:r>
        <w:rPr/>
      </w:r>
    </w:p>
    <w:p>
      <w:pPr>
        <w:pStyle w:val="Heading3"/>
        <w:spacing w:line="357" w:lineRule="auto"/>
        <w:ind w:left="573" w:right="132" w:hanging="420"/>
        <w:jc w:val="left"/>
      </w:pPr>
      <w:r>
        <w:rPr/>
        <w:t>束机制；高级管理人员的聘任公开、透明，符合相关法律、法规的规定。 6、关于相关利益者 </w:t>
      </w:r>
      <w:r>
        <w:rPr>
          <w:spacing w:val="2"/>
        </w:rPr>
        <w:t>公司能够充分尊重和维护相关利益者的合法权益，积极与相关利益者合作，加强与各方</w:t>
      </w:r>
      <w:r>
        <w:rPr/>
      </w:r>
    </w:p>
    <w:p>
      <w:pPr>
        <w:pStyle w:val="Heading3"/>
        <w:spacing w:line="357" w:lineRule="auto"/>
        <w:ind w:right="136"/>
        <w:jc w:val="left"/>
      </w:pPr>
      <w:r>
        <w:rPr>
          <w:spacing w:val="-5"/>
        </w:rPr>
        <w:t>的沟通和交流，实现社会、股东、公司、员工等各方利益的协调平衡，推动公司持续、稳定、</w:t>
      </w:r>
      <w:r>
        <w:rPr/>
        <w:t> 健康发展。</w:t>
      </w:r>
    </w:p>
    <w:p>
      <w:pPr>
        <w:pStyle w:val="Heading3"/>
        <w:spacing w:line="357" w:lineRule="auto"/>
        <w:ind w:right="132" w:firstLine="420"/>
        <w:jc w:val="left"/>
      </w:pPr>
      <w:r>
        <w:rPr/>
        <w:t>7、关于信息披露与透明度 公司严格按照有关法律法规和《公司信息披露管理制度》的规定，加强信息披露事务管理，</w:t>
      </w:r>
      <w:r>
        <w:rPr>
          <w:spacing w:val="-83"/>
        </w:rPr>
        <w:t> </w:t>
      </w:r>
      <w:r>
        <w:rPr>
          <w:spacing w:val="-83"/>
        </w:rPr>
      </w:r>
      <w:r>
        <w:rPr>
          <w:spacing w:val="-6"/>
        </w:rPr>
        <w:t>履行信息披露义务，并指定《证券时报》、《中国证券报》、《上海证券报》、《证券日报》</w:t>
      </w:r>
      <w:r>
        <w:rPr>
          <w:spacing w:val="-108"/>
        </w:rPr>
        <w:t> </w:t>
      </w:r>
      <w:r>
        <w:rPr>
          <w:spacing w:val="-108"/>
        </w:rPr>
      </w:r>
      <w:r>
        <w:rPr>
          <w:spacing w:val="-2"/>
        </w:rPr>
        <w:t>和中国证监会创业板指定信息披露网站（巨潮资讯网</w:t>
      </w:r>
      <w:r>
        <w:rPr>
          <w:color w:val="0000FF"/>
          <w:spacing w:val="-2"/>
        </w:rPr>
      </w:r>
      <w:hyperlink r:id="rId12">
        <w:r>
          <w:rPr>
            <w:color w:val="0000FF"/>
            <w:spacing w:val="-2"/>
            <w:u w:val="single" w:color="0000FF"/>
          </w:rPr>
          <w:t>www.cninfo.com.cn</w:t>
        </w:r>
        <w:r>
          <w:rPr>
            <w:color w:val="0000FF"/>
            <w:spacing w:val="-2"/>
          </w:rPr>
        </w:r>
      </w:hyperlink>
      <w:r>
        <w:rPr>
          <w:color w:val="0000FF"/>
          <w:spacing w:val="-2"/>
        </w:rPr>
        <w:t>）</w:t>
      </w:r>
      <w:r>
        <w:rPr>
          <w:spacing w:val="-2"/>
        </w:rPr>
        <w:t>为公司信息披露报</w:t>
      </w:r>
      <w:r>
        <w:rPr>
          <w:spacing w:val="-104"/>
        </w:rPr>
        <w:t> </w:t>
      </w:r>
      <w:r>
        <w:rPr>
          <w:spacing w:val="-104"/>
        </w:rPr>
      </w:r>
      <w:r>
        <w:rPr/>
        <w:t>纸和网站，真实、准确、及时、完整的披露信息，确保所有投资者公平获取公司信息。</w:t>
      </w:r>
    </w:p>
    <w:p>
      <w:pPr>
        <w:pStyle w:val="Heading3"/>
        <w:spacing w:line="240" w:lineRule="auto"/>
        <w:ind w:left="576" w:right="132"/>
        <w:jc w:val="left"/>
      </w:pPr>
      <w:r>
        <w:rPr/>
        <w:t>报告期内，公司未发生信息披露不规范而受到监管部门批评的情形。</w:t>
      </w:r>
    </w:p>
    <w:p>
      <w:pPr>
        <w:spacing w:line="240" w:lineRule="auto" w:before="0"/>
        <w:rPr>
          <w:rFonts w:ascii="宋体" w:hAnsi="宋体" w:cs="宋体" w:eastAsia="宋体" w:hint="default"/>
          <w:sz w:val="24"/>
          <w:szCs w:val="24"/>
        </w:rPr>
      </w:pPr>
    </w:p>
    <w:p>
      <w:pPr>
        <w:pStyle w:val="BodyText"/>
        <w:spacing w:line="240" w:lineRule="auto" w:before="175"/>
        <w:ind w:right="132"/>
        <w:jc w:val="left"/>
      </w:pPr>
      <w:r>
        <w:rPr/>
        <w:t>公司治理与《公司法》和中国证监会相关规定的要求是否存在差异</w:t>
      </w:r>
    </w:p>
    <w:p>
      <w:pPr>
        <w:spacing w:line="240" w:lineRule="auto" w:before="10"/>
        <w:rPr>
          <w:rFonts w:ascii="宋体" w:hAnsi="宋体" w:cs="宋体" w:eastAsia="宋体" w:hint="default"/>
          <w:sz w:val="14"/>
          <w:szCs w:val="14"/>
        </w:rPr>
      </w:pPr>
    </w:p>
    <w:p>
      <w:pPr>
        <w:pStyle w:val="BodyText"/>
        <w:spacing w:line="240" w:lineRule="auto"/>
        <w:ind w:right="132"/>
        <w:jc w:val="left"/>
      </w:pPr>
      <w:r>
        <w:rPr/>
        <w:t>□ 是 √</w:t>
      </w:r>
      <w:r>
        <w:rPr>
          <w:spacing w:val="-1"/>
        </w:rPr>
        <w:t> </w:t>
      </w:r>
      <w:r>
        <w:rPr/>
        <w:t>否</w:t>
      </w:r>
    </w:p>
    <w:p>
      <w:pPr>
        <w:spacing w:line="240" w:lineRule="auto" w:before="0"/>
        <w:rPr>
          <w:rFonts w:ascii="宋体" w:hAnsi="宋体" w:cs="宋体" w:eastAsia="宋体" w:hint="default"/>
          <w:sz w:val="20"/>
          <w:szCs w:val="20"/>
        </w:rPr>
      </w:pPr>
    </w:p>
    <w:p>
      <w:pPr>
        <w:pStyle w:val="Heading2"/>
        <w:spacing w:line="468" w:lineRule="auto" w:before="131"/>
        <w:ind w:right="3265"/>
        <w:jc w:val="left"/>
        <w:rPr>
          <w:b w:val="0"/>
          <w:bCs w:val="0"/>
        </w:rPr>
      </w:pPr>
      <w:r>
        <w:rPr/>
        <w:t>二、报告期内召开的年度股东大会和临时股东大会的有关情况</w:t>
      </w:r>
      <w:r>
        <w:rPr>
          <w:spacing w:val="1"/>
          <w:w w:val="99"/>
        </w:rPr>
        <w:t> </w:t>
      </w:r>
      <w:r>
        <w:rPr/>
        <w:t>1、本报告期年度股东大会情况</w:t>
      </w:r>
      <w:r>
        <w:rPr>
          <w:b w:val="0"/>
          <w:bCs w:val="0"/>
        </w:rPr>
      </w:r>
    </w:p>
    <w:p>
      <w:pPr>
        <w:spacing w:line="240" w:lineRule="auto" w:before="3"/>
        <w:rPr>
          <w:rFonts w:ascii="宋体" w:hAnsi="宋体" w:cs="宋体" w:eastAsia="宋体" w:hint="default"/>
          <w:b/>
          <w:bCs/>
          <w:sz w:val="8"/>
          <w:szCs w:val="8"/>
        </w:rPr>
      </w:pPr>
    </w:p>
    <w:tbl>
      <w:tblPr>
        <w:tblW w:w="0" w:type="auto"/>
        <w:jc w:val="left"/>
        <w:tblInd w:w="138" w:type="dxa"/>
        <w:tblLayout w:type="fixed"/>
        <w:tblCellMar>
          <w:top w:w="0" w:type="dxa"/>
          <w:left w:w="0" w:type="dxa"/>
          <w:bottom w:w="0" w:type="dxa"/>
          <w:right w:w="0" w:type="dxa"/>
        </w:tblCellMar>
        <w:tblLook w:val="01E0"/>
      </w:tblPr>
      <w:tblGrid>
        <w:gridCol w:w="2392"/>
        <w:gridCol w:w="2393"/>
        <w:gridCol w:w="2304"/>
        <w:gridCol w:w="2479"/>
      </w:tblGrid>
      <w:tr>
        <w:trPr>
          <w:trHeight w:val="766" w:hRule="exact"/>
        </w:trPr>
        <w:tc>
          <w:tcPr>
            <w:tcW w:w="2392"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0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360" w:lineRule="auto" w:before="51"/>
              <w:ind w:left="783" w:right="155" w:hanging="630"/>
              <w:jc w:val="left"/>
              <w:rPr>
                <w:rFonts w:ascii="宋体" w:hAnsi="宋体" w:cs="宋体" w:eastAsia="宋体" w:hint="default"/>
                <w:sz w:val="18"/>
                <w:szCs w:val="18"/>
              </w:rPr>
            </w:pPr>
            <w:r>
              <w:rPr>
                <w:rFonts w:ascii="宋体" w:hAnsi="宋体" w:cs="宋体" w:eastAsia="宋体" w:hint="default"/>
                <w:sz w:val="18"/>
                <w:szCs w:val="18"/>
              </w:rPr>
              <w:t>会议决议刊登的指定网站 查询索引</w:t>
            </w:r>
          </w:p>
        </w:tc>
        <w:tc>
          <w:tcPr>
            <w:tcW w:w="2479"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会议决议刊登的信息披露日期</w:t>
            </w:r>
          </w:p>
        </w:tc>
      </w:tr>
      <w:tr>
        <w:trPr>
          <w:trHeight w:val="419" w:hRule="exact"/>
        </w:trPr>
        <w:tc>
          <w:tcPr>
            <w:tcW w:w="239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5"/>
              <w:ind w:right="5"/>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年度股东大会</w:t>
            </w:r>
          </w:p>
        </w:tc>
        <w:tc>
          <w:tcPr>
            <w:tcW w:w="23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1"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243" w:right="0"/>
              <w:jc w:val="left"/>
              <w:rPr>
                <w:rFonts w:ascii="宋体" w:hAnsi="宋体" w:cs="宋体" w:eastAsia="宋体" w:hint="default"/>
                <w:sz w:val="18"/>
                <w:szCs w:val="18"/>
              </w:rPr>
            </w:pPr>
            <w:r>
              <w:rPr>
                <w:rFonts w:ascii="宋体" w:hAnsi="宋体" w:cs="宋体" w:eastAsia="宋体" w:hint="default"/>
                <w:sz w:val="18"/>
                <w:szCs w:val="18"/>
              </w:rPr>
              <w:t>上市前会议，无需刊登</w:t>
            </w:r>
          </w:p>
        </w:tc>
        <w:tc>
          <w:tcPr>
            <w:tcW w:w="2479"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ind w:right="132"/>
        <w:jc w:val="left"/>
        <w:rPr>
          <w:b w:val="0"/>
          <w:bCs w:val="0"/>
        </w:rPr>
      </w:pPr>
      <w:r>
        <w:rPr/>
        <w:t>2、本报告期临时股东大会情况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2553"/>
        <w:gridCol w:w="2232"/>
        <w:gridCol w:w="2392"/>
        <w:gridCol w:w="2391"/>
      </w:tblGrid>
      <w:tr>
        <w:trPr>
          <w:trHeight w:val="774" w:hRule="exact"/>
        </w:trPr>
        <w:tc>
          <w:tcPr>
            <w:tcW w:w="2553" w:type="dxa"/>
            <w:tcBorders>
              <w:top w:val="single" w:sz="12"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232" w:type="dxa"/>
            <w:tcBorders>
              <w:top w:val="single" w:sz="12"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12" w:space="0" w:color="000000"/>
              <w:left w:val="single" w:sz="6" w:space="0" w:color="000000"/>
              <w:bottom w:val="single" w:sz="12" w:space="0" w:color="000000"/>
              <w:right w:val="single" w:sz="6" w:space="0" w:color="000000"/>
            </w:tcBorders>
            <w:shd w:val="clear" w:color="auto" w:fill="D3D3D3"/>
          </w:tcPr>
          <w:p>
            <w:pPr>
              <w:pStyle w:val="TableParagraph"/>
              <w:spacing w:line="360" w:lineRule="auto" w:before="51"/>
              <w:ind w:left="827" w:right="197" w:hanging="630"/>
              <w:jc w:val="left"/>
              <w:rPr>
                <w:rFonts w:ascii="宋体" w:hAnsi="宋体" w:cs="宋体" w:eastAsia="宋体" w:hint="default"/>
                <w:sz w:val="18"/>
                <w:szCs w:val="18"/>
              </w:rPr>
            </w:pPr>
            <w:r>
              <w:rPr>
                <w:rFonts w:ascii="宋体" w:hAnsi="宋体" w:cs="宋体" w:eastAsia="宋体" w:hint="default"/>
                <w:sz w:val="18"/>
                <w:szCs w:val="18"/>
              </w:rPr>
              <w:t>会议决议刊登的指定网站 查询索引</w:t>
            </w:r>
          </w:p>
        </w:tc>
        <w:tc>
          <w:tcPr>
            <w:tcW w:w="2391" w:type="dxa"/>
            <w:tcBorders>
              <w:top w:val="single" w:sz="12" w:space="0" w:color="000000"/>
              <w:left w:val="single" w:sz="6" w:space="0" w:color="000000"/>
              <w:bottom w:val="single" w:sz="12" w:space="0" w:color="000000"/>
              <w:right w:val="single" w:sz="12" w:space="0" w:color="000000"/>
            </w:tcBorders>
            <w:shd w:val="clear" w:color="auto" w:fill="D3D3D3"/>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会议决议刊登的信息披露日期</w:t>
            </w:r>
          </w:p>
        </w:tc>
      </w:tr>
    </w:tbl>
    <w:p>
      <w:pPr>
        <w:spacing w:after="0" w:line="240" w:lineRule="auto"/>
        <w:jc w:val="left"/>
        <w:rPr>
          <w:rFonts w:ascii="宋体" w:hAnsi="宋体" w:cs="宋体" w:eastAsia="宋体" w:hint="default"/>
          <w:sz w:val="18"/>
          <w:szCs w:val="18"/>
        </w:rPr>
        <w:sectPr>
          <w:pgSz w:w="11910" w:h="16840"/>
          <w:pgMar w:header="877" w:footer="1003" w:top="1100" w:bottom="1200" w:left="980" w:right="980"/>
        </w:sectPr>
      </w:pPr>
    </w:p>
    <w:p>
      <w:pPr>
        <w:spacing w:line="240" w:lineRule="auto" w:before="6"/>
        <w:rPr>
          <w:rFonts w:ascii="宋体" w:hAnsi="宋体" w:cs="宋体" w:eastAsia="宋体" w:hint="default"/>
          <w:b/>
          <w:bCs/>
          <w:sz w:val="24"/>
          <w:szCs w:val="24"/>
        </w:rPr>
      </w:pPr>
    </w:p>
    <w:tbl>
      <w:tblPr>
        <w:tblW w:w="0" w:type="auto"/>
        <w:jc w:val="left"/>
        <w:tblInd w:w="138" w:type="dxa"/>
        <w:tblLayout w:type="fixed"/>
        <w:tblCellMar>
          <w:top w:w="0" w:type="dxa"/>
          <w:left w:w="0" w:type="dxa"/>
          <w:bottom w:w="0" w:type="dxa"/>
          <w:right w:w="0" w:type="dxa"/>
        </w:tblCellMar>
        <w:tblLook w:val="01E0"/>
      </w:tblPr>
      <w:tblGrid>
        <w:gridCol w:w="2553"/>
        <w:gridCol w:w="2232"/>
        <w:gridCol w:w="2392"/>
        <w:gridCol w:w="2391"/>
      </w:tblGrid>
      <w:tr>
        <w:trPr>
          <w:trHeight w:val="419" w:hRule="exact"/>
        </w:trPr>
        <w:tc>
          <w:tcPr>
            <w:tcW w:w="255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w:t>
            </w:r>
          </w:p>
        </w:tc>
        <w:tc>
          <w:tcPr>
            <w:tcW w:w="223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hyperlink r:id="rId12">
              <w:r>
                <w:rPr>
                  <w:rFonts w:ascii="宋体"/>
                  <w:sz w:val="18"/>
                </w:rPr>
                <w:t>http://www.cninfo.com.cn</w:t>
              </w:r>
            </w:hyperlink>
          </w:p>
        </w:tc>
        <w:tc>
          <w:tcPr>
            <w:tcW w:w="239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12" w:hRule="exact"/>
        </w:trPr>
        <w:tc>
          <w:tcPr>
            <w:tcW w:w="25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上市前会议，无需刊登</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421" w:hRule="exact"/>
        </w:trPr>
        <w:tc>
          <w:tcPr>
            <w:tcW w:w="255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年第三次临时股东大会</w:t>
            </w:r>
          </w:p>
        </w:tc>
        <w:tc>
          <w:tcPr>
            <w:tcW w:w="22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1"/>
              <w:jc w:val="center"/>
              <w:rPr>
                <w:rFonts w:ascii="宋体" w:hAnsi="宋体" w:cs="宋体" w:eastAsia="宋体" w:hint="default"/>
                <w:sz w:val="18"/>
                <w:szCs w:val="18"/>
              </w:rPr>
            </w:pPr>
            <w:hyperlink r:id="rId12">
              <w:r>
                <w:rPr>
                  <w:rFonts w:ascii="宋体"/>
                  <w:sz w:val="18"/>
                </w:rPr>
                <w:t>http://www.cninfo.com.cn</w:t>
              </w:r>
            </w:hyperlink>
          </w:p>
        </w:tc>
        <w:tc>
          <w:tcPr>
            <w:tcW w:w="23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5"/>
              <w:ind w:left="8"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ind w:right="106"/>
        <w:jc w:val="left"/>
        <w:rPr>
          <w:b w:val="0"/>
          <w:bCs w:val="0"/>
        </w:rPr>
      </w:pP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2553"/>
        <w:gridCol w:w="1984"/>
        <w:gridCol w:w="2640"/>
        <w:gridCol w:w="2391"/>
      </w:tblGrid>
      <w:tr>
        <w:trPr>
          <w:trHeight w:val="766" w:hRule="exact"/>
        </w:trPr>
        <w:tc>
          <w:tcPr>
            <w:tcW w:w="2553"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98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64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357" w:lineRule="auto" w:before="51"/>
              <w:ind w:left="951" w:right="323" w:hanging="630"/>
              <w:jc w:val="left"/>
              <w:rPr>
                <w:rFonts w:ascii="宋体" w:hAnsi="宋体" w:cs="宋体" w:eastAsia="宋体" w:hint="default"/>
                <w:sz w:val="18"/>
                <w:szCs w:val="18"/>
              </w:rPr>
            </w:pPr>
            <w:r>
              <w:rPr>
                <w:rFonts w:ascii="宋体" w:hAnsi="宋体" w:cs="宋体" w:eastAsia="宋体" w:hint="default"/>
                <w:sz w:val="18"/>
                <w:szCs w:val="18"/>
              </w:rPr>
              <w:t>会议决议刊登的指定网站 查询索引</w:t>
            </w:r>
          </w:p>
        </w:tc>
        <w:tc>
          <w:tcPr>
            <w:tcW w:w="2391"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会议决议刊登的信息披露日期</w:t>
            </w:r>
          </w:p>
        </w:tc>
      </w:tr>
      <w:tr>
        <w:trPr>
          <w:trHeight w:val="407" w:hRule="exact"/>
        </w:trPr>
        <w:tc>
          <w:tcPr>
            <w:tcW w:w="25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第一届董事会第十四次会议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上市前会议，无需刊登</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5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第一届董事会第十五次会议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上市前会议，无需刊登</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5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第一届董事会第十六次会议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hyperlink r:id="rId12">
              <w:r>
                <w:rPr>
                  <w:rFonts w:ascii="宋体"/>
                  <w:sz w:val="18"/>
                </w:rPr>
                <w:t>http://www.cninfo.com.cn</w:t>
              </w:r>
            </w:hyperlink>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7" w:hRule="exact"/>
        </w:trPr>
        <w:tc>
          <w:tcPr>
            <w:tcW w:w="25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第一届董事会第十七次会议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上市前会议，无需刊登</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5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第一届董事会第十八次会议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上市前会议，无需刊登</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5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第一届董事会第十九次会议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上市前会议，无需刊登</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5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第一届董事会第二十次会议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上市前会议，无需刊登</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25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第一届董事会第二十一次会议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141" w:right="53" w:hanging="90"/>
              <w:jc w:val="left"/>
              <w:rPr>
                <w:rFonts w:ascii="宋体" w:hAnsi="宋体" w:cs="宋体" w:eastAsia="宋体" w:hint="default"/>
                <w:sz w:val="18"/>
                <w:szCs w:val="18"/>
              </w:rPr>
            </w:pPr>
            <w:r>
              <w:rPr>
                <w:rFonts w:ascii="宋体" w:hAnsi="宋体" w:cs="宋体" w:eastAsia="宋体" w:hint="default"/>
                <w:sz w:val="18"/>
                <w:szCs w:val="18"/>
              </w:rPr>
              <w:t>会议仅审议通过三季报议案，按 监管部门要求无需刊登公告。</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5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第一届董事会第二十二次会议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hyperlink r:id="rId12">
              <w:r>
                <w:rPr>
                  <w:rFonts w:ascii="宋体"/>
                  <w:sz w:val="18"/>
                </w:rPr>
                <w:t>http://www.cninfo.com.cn</w:t>
              </w:r>
            </w:hyperlink>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7" w:hRule="exact"/>
        </w:trPr>
        <w:tc>
          <w:tcPr>
            <w:tcW w:w="25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第一届董事会第二十三次会议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hyperlink r:id="rId12">
              <w:r>
                <w:rPr>
                  <w:rFonts w:ascii="宋体"/>
                  <w:sz w:val="18"/>
                </w:rPr>
                <w:t>http://www.cninfo.com.cn</w:t>
              </w:r>
            </w:hyperlink>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15" w:hRule="exact"/>
        </w:trPr>
        <w:tc>
          <w:tcPr>
            <w:tcW w:w="255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第一届董事会第二十四次会议</w:t>
            </w:r>
          </w:p>
        </w:tc>
        <w:tc>
          <w:tcPr>
            <w:tcW w:w="19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6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hyperlink r:id="rId12">
              <w:r>
                <w:rPr>
                  <w:rFonts w:ascii="宋体"/>
                  <w:sz w:val="18"/>
                </w:rPr>
                <w:t>http://www.cninfo.com.cn</w:t>
              </w:r>
            </w:hyperlink>
          </w:p>
        </w:tc>
        <w:tc>
          <w:tcPr>
            <w:tcW w:w="23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ind w:right="106"/>
        <w:jc w:val="left"/>
        <w:rPr>
          <w:b w:val="0"/>
          <w:bCs w:val="0"/>
        </w:rPr>
      </w:pPr>
      <w:r>
        <w:rPr/>
        <w:t>四、年度报告重大差错责任追究制度的建立与执行情况</w:t>
      </w:r>
      <w:r>
        <w:rPr>
          <w:b w:val="0"/>
          <w:bCs w:val="0"/>
        </w:rPr>
      </w:r>
    </w:p>
    <w:p>
      <w:pPr>
        <w:spacing w:line="240" w:lineRule="auto" w:before="10"/>
        <w:rPr>
          <w:rFonts w:ascii="宋体" w:hAnsi="宋体" w:cs="宋体" w:eastAsia="宋体" w:hint="default"/>
          <w:b/>
          <w:bCs/>
          <w:sz w:val="28"/>
          <w:szCs w:val="28"/>
        </w:rPr>
      </w:pPr>
    </w:p>
    <w:p>
      <w:pPr>
        <w:pStyle w:val="Heading3"/>
        <w:spacing w:line="357" w:lineRule="auto" w:before="0"/>
        <w:ind w:right="106" w:firstLine="480"/>
        <w:jc w:val="left"/>
      </w:pPr>
      <w:r>
        <w:rPr>
          <w:spacing w:val="25"/>
        </w:rPr>
        <w:t>2013年1月</w:t>
      </w:r>
      <w:r>
        <w:rPr>
          <w:spacing w:val="-60"/>
        </w:rPr>
        <w:t> </w:t>
      </w:r>
      <w:r>
        <w:rPr/>
        <w:t>11</w:t>
      </w:r>
      <w:r>
        <w:rPr>
          <w:spacing w:val="-60"/>
        </w:rPr>
        <w:t> </w:t>
      </w:r>
      <w:r>
        <w:rPr/>
        <w:t>日，公司第二届董事会第一次会议审议通过了《年报信息披露重大差错</w:t>
      </w:r>
      <w:r>
        <w:rPr/>
        <w:t> </w:t>
      </w:r>
      <w:r>
        <w:rPr>
          <w:spacing w:val="-3"/>
        </w:rPr>
        <w:t>责任追究制度》，对信息披露违规、差错的有关责任认定及问责方式等事项进行了明确规定。</w:t>
      </w:r>
      <w:r>
        <w:rPr>
          <w:spacing w:val="-84"/>
        </w:rPr>
        <w:t> </w:t>
      </w:r>
      <w:r>
        <w:rPr>
          <w:spacing w:val="-84"/>
        </w:rPr>
      </w:r>
      <w:r>
        <w:rPr/>
        <w:t>报告期内，未发生重大会计差错更正、重大遗漏信息补充及业绩预告修正等情况。</w:t>
      </w:r>
    </w:p>
    <w:p>
      <w:pPr>
        <w:spacing w:line="240" w:lineRule="auto" w:before="11"/>
        <w:rPr>
          <w:rFonts w:ascii="宋体" w:hAnsi="宋体" w:cs="宋体" w:eastAsia="宋体" w:hint="default"/>
          <w:sz w:val="19"/>
          <w:szCs w:val="19"/>
        </w:rPr>
      </w:pPr>
    </w:p>
    <w:p>
      <w:pPr>
        <w:pStyle w:val="Heading2"/>
        <w:spacing w:line="240" w:lineRule="auto" w:before="0"/>
        <w:ind w:left="153" w:right="106"/>
        <w:jc w:val="left"/>
        <w:rPr>
          <w:b w:val="0"/>
          <w:bCs w:val="0"/>
        </w:rPr>
      </w:pPr>
      <w:r>
        <w:rPr/>
        <w:t>五、监事会工作情况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06"/>
        <w:jc w:val="left"/>
      </w:pPr>
      <w:r>
        <w:rPr/>
        <w:t>监事会在报告期内的监督活动是否发现公司存在风险</w:t>
      </w:r>
    </w:p>
    <w:p>
      <w:pPr>
        <w:spacing w:line="240" w:lineRule="auto" w:before="10"/>
        <w:rPr>
          <w:rFonts w:ascii="宋体" w:hAnsi="宋体" w:cs="宋体" w:eastAsia="宋体" w:hint="default"/>
          <w:sz w:val="14"/>
          <w:szCs w:val="14"/>
        </w:rPr>
      </w:pPr>
    </w:p>
    <w:p>
      <w:pPr>
        <w:pStyle w:val="BodyText"/>
        <w:spacing w:line="408" w:lineRule="auto"/>
        <w:ind w:right="5860"/>
        <w:jc w:val="left"/>
      </w:pPr>
      <w:r>
        <w:rPr/>
        <w:t>□ 是 √</w:t>
      </w:r>
      <w:r>
        <w:rPr>
          <w:spacing w:val="-1"/>
        </w:rPr>
        <w:t> </w:t>
      </w:r>
      <w:r>
        <w:rPr/>
        <w:t>否</w:t>
      </w:r>
      <w:r>
        <w:rPr/>
        <w:t> 公司监事会对报告期内的监督事项无异议。</w:t>
      </w:r>
    </w:p>
    <w:p>
      <w:pPr>
        <w:spacing w:after="0" w:line="408" w:lineRule="auto"/>
        <w:jc w:val="left"/>
        <w:sectPr>
          <w:pgSz w:w="11910" w:h="16840"/>
          <w:pgMar w:header="877" w:footer="1003" w:top="1100" w:bottom="120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3233"/>
        <w:jc w:val="center"/>
        <w:rPr>
          <w:b w:val="0"/>
          <w:bCs w:val="0"/>
        </w:rPr>
      </w:pPr>
      <w:bookmarkStart w:name="_TOC_250001" w:id="9"/>
      <w:r>
        <w:rPr/>
        <w:t>第九节</w:t>
      </w:r>
      <w:r>
        <w:rPr>
          <w:spacing w:val="-5"/>
        </w:rPr>
        <w:t> </w:t>
      </w:r>
      <w:r>
        <w:rPr/>
        <w:t>财务报告</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132"/>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4784"/>
        <w:gridCol w:w="4784"/>
      </w:tblGrid>
      <w:tr>
        <w:trPr>
          <w:trHeight w:val="420" w:hRule="exact"/>
        </w:trPr>
        <w:tc>
          <w:tcPr>
            <w:tcW w:w="4784"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12" w:hRule="exact"/>
        </w:trPr>
        <w:tc>
          <w:tcPr>
            <w:tcW w:w="4784"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4"/>
              <w:ind w:left="1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12" w:hRule="exact"/>
        </w:trPr>
        <w:tc>
          <w:tcPr>
            <w:tcW w:w="4784"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4"/>
              <w:ind w:left="1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0" w:right="0"/>
              <w:jc w:val="left"/>
              <w:rPr>
                <w:rFonts w:ascii="宋体" w:hAnsi="宋体" w:cs="宋体" w:eastAsia="宋体" w:hint="default"/>
                <w:sz w:val="18"/>
                <w:szCs w:val="18"/>
              </w:rPr>
            </w:pPr>
            <w:r>
              <w:rPr>
                <w:rFonts w:ascii="宋体" w:hAnsi="宋体" w:cs="宋体" w:eastAsia="宋体" w:hint="default"/>
                <w:sz w:val="18"/>
                <w:szCs w:val="18"/>
              </w:rPr>
              <w:t>上海众华沪银会计师事务所有限公司</w:t>
            </w:r>
          </w:p>
        </w:tc>
      </w:tr>
      <w:tr>
        <w:trPr>
          <w:trHeight w:val="419" w:hRule="exact"/>
        </w:trPr>
        <w:tc>
          <w:tcPr>
            <w:tcW w:w="4784"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沪众会字(2013)第</w:t>
            </w:r>
            <w:r>
              <w:rPr>
                <w:rFonts w:ascii="宋体" w:hAnsi="宋体" w:cs="宋体" w:eastAsia="宋体" w:hint="default"/>
                <w:spacing w:val="-46"/>
                <w:sz w:val="18"/>
                <w:szCs w:val="18"/>
              </w:rPr>
              <w:t> </w:t>
            </w:r>
            <w:r>
              <w:rPr>
                <w:rFonts w:ascii="宋体" w:hAnsi="宋体" w:cs="宋体" w:eastAsia="宋体" w:hint="default"/>
                <w:sz w:val="18"/>
                <w:szCs w:val="18"/>
              </w:rPr>
              <w:t>1152</w:t>
            </w:r>
            <w:r>
              <w:rPr>
                <w:rFonts w:ascii="宋体" w:hAnsi="宋体" w:cs="宋体" w:eastAsia="宋体" w:hint="default"/>
                <w:spacing w:val="-46"/>
                <w:sz w:val="18"/>
                <w:szCs w:val="18"/>
              </w:rPr>
              <w:t> </w:t>
            </w:r>
            <w:r>
              <w:rPr>
                <w:rFonts w:ascii="宋体" w:hAnsi="宋体" w:cs="宋体" w:eastAsia="宋体" w:hint="default"/>
                <w:sz w:val="18"/>
                <w:szCs w:val="18"/>
              </w:rPr>
              <w:t>号</w:t>
            </w:r>
          </w:p>
        </w:tc>
      </w:tr>
    </w:tbl>
    <w:p>
      <w:pPr>
        <w:spacing w:line="240" w:lineRule="auto" w:before="1"/>
        <w:rPr>
          <w:rFonts w:ascii="宋体" w:hAnsi="宋体" w:cs="宋体" w:eastAsia="宋体" w:hint="default"/>
          <w:b/>
          <w:bCs/>
          <w:sz w:val="25"/>
          <w:szCs w:val="25"/>
        </w:rPr>
      </w:pPr>
    </w:p>
    <w:p>
      <w:pPr>
        <w:pStyle w:val="Heading3"/>
        <w:spacing w:line="240" w:lineRule="auto" w:before="26"/>
        <w:ind w:left="3235" w:right="3233"/>
        <w:jc w:val="center"/>
      </w:pPr>
      <w:r>
        <w:rPr/>
        <w:t>审计报告正文</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4"/>
        <w:spacing w:line="240" w:lineRule="auto" w:before="35"/>
        <w:ind w:right="132"/>
        <w:jc w:val="left"/>
        <w:rPr>
          <w:b w:val="0"/>
          <w:bCs w:val="0"/>
        </w:rPr>
      </w:pPr>
      <w:r>
        <w:rPr/>
        <w:t>光一科技股份有限公司全体股东：</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408" w:lineRule="auto" w:before="137"/>
        <w:ind w:right="150" w:firstLine="435"/>
        <w:jc w:val="both"/>
      </w:pPr>
      <w:r>
        <w:rPr>
          <w:spacing w:val="-1"/>
        </w:rPr>
        <w:t>我们审计了后附的光一科技股份有限公司(以下简称光一科技)财务报表，包括2012年12月31日的合并</w:t>
      </w:r>
      <w:r>
        <w:rPr/>
        <w:t> </w:t>
      </w:r>
      <w:r>
        <w:rPr>
          <w:spacing w:val="-1"/>
        </w:rPr>
        <w:t>及公司资产负债表，2012年度的合并及公司利润表、合并及公司现金流量表和合并及公司所有者权益变动</w:t>
      </w:r>
      <w:r>
        <w:rPr>
          <w:spacing w:val="-81"/>
        </w:rPr>
        <w:t> </w:t>
      </w:r>
      <w:r>
        <w:rPr>
          <w:spacing w:val="-81"/>
        </w:rPr>
      </w:r>
      <w:r>
        <w:rPr/>
        <w:t>表以及财务报表附注。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8" w:lineRule="auto" w:before="0"/>
        <w:ind w:left="589" w:right="132"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1"/>
          <w:sz w:val="21"/>
          <w:szCs w:val="21"/>
        </w:rPr>
        <w:t> </w:t>
      </w:r>
      <w:r>
        <w:rPr>
          <w:rFonts w:ascii="宋体" w:hAnsi="宋体" w:cs="宋体" w:eastAsia="宋体" w:hint="default"/>
          <w:b/>
          <w:bCs/>
          <w:sz w:val="21"/>
          <w:szCs w:val="21"/>
        </w:rPr>
        <w:t>管理层对财务报表的责任</w:t>
      </w:r>
      <w:r>
        <w:rPr>
          <w:rFonts w:ascii="宋体" w:hAnsi="宋体" w:cs="宋体" w:eastAsia="宋体" w:hint="default"/>
          <w:b/>
          <w:bCs/>
          <w:spacing w:val="1"/>
          <w:w w:val="99"/>
          <w:sz w:val="21"/>
          <w:szCs w:val="21"/>
        </w:rPr>
        <w:t> </w:t>
      </w:r>
      <w:r>
        <w:rPr>
          <w:rFonts w:ascii="宋体" w:hAnsi="宋体" w:cs="宋体" w:eastAsia="宋体" w:hint="default"/>
          <w:sz w:val="21"/>
          <w:szCs w:val="21"/>
        </w:rPr>
        <w:t>编制和公允列报财务报表是光一科技管理层的责任，这种责任包括：(1)按照企业会计准则的规定编</w:t>
      </w:r>
    </w:p>
    <w:p>
      <w:pPr>
        <w:pStyle w:val="BodyText"/>
        <w:spacing w:line="408" w:lineRule="auto" w:before="46"/>
        <w:ind w:right="132"/>
        <w:jc w:val="left"/>
      </w:pPr>
      <w:r>
        <w:rPr/>
        <w:t>制财务报表，并使其实现公允反映；(2)设计、执行和维护必要的内部控制，以使财务报表不存在由于舞</w:t>
      </w:r>
      <w:r>
        <w:rPr>
          <w:spacing w:val="-35"/>
        </w:rPr>
        <w:t> </w:t>
      </w:r>
      <w:r>
        <w:rPr>
          <w:spacing w:val="-35"/>
        </w:rPr>
      </w:r>
      <w:r>
        <w:rPr/>
        <w:t>弊或错误导致的重大错报。</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8" w:lineRule="auto" w:before="0"/>
        <w:ind w:left="589" w:right="139"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2"/>
          <w:sz w:val="21"/>
          <w:szCs w:val="21"/>
        </w:rPr>
        <w:t> </w:t>
      </w:r>
      <w:r>
        <w:rPr>
          <w:rFonts w:ascii="宋体" w:hAnsi="宋体" w:cs="宋体" w:eastAsia="宋体" w:hint="default"/>
          <w:b/>
          <w:bCs/>
          <w:sz w:val="21"/>
          <w:szCs w:val="21"/>
        </w:rPr>
        <w:t>注册会计师的责任</w:t>
      </w:r>
      <w:r>
        <w:rPr>
          <w:rFonts w:ascii="宋体" w:hAnsi="宋体" w:cs="宋体" w:eastAsia="宋体" w:hint="default"/>
          <w:b/>
          <w:bCs/>
          <w:w w:val="99"/>
          <w:sz w:val="21"/>
          <w:szCs w:val="21"/>
        </w:rPr>
        <w:t> </w:t>
      </w:r>
      <w:r>
        <w:rPr>
          <w:rFonts w:ascii="宋体" w:hAnsi="宋体" w:cs="宋体" w:eastAsia="宋体" w:hint="default"/>
          <w:spacing w:val="-1"/>
          <w:sz w:val="21"/>
          <w:szCs w:val="21"/>
        </w:rPr>
        <w:t>我们的责任是在执行审计工作的基础上对财务报表发表审计意见。我们按照中国注册会计师审计准则</w:t>
      </w:r>
    </w:p>
    <w:p>
      <w:pPr>
        <w:pStyle w:val="BodyText"/>
        <w:spacing w:line="408" w:lineRule="auto" w:before="46"/>
        <w:ind w:right="132"/>
        <w:jc w:val="left"/>
      </w:pPr>
      <w:r>
        <w:rPr>
          <w:spacing w:val="-1"/>
        </w:rPr>
        <w:t>的规定执行了审计工作。中国注册会计师审计准则要求我们遵守中国注册会计师职业道德守则，计划和执</w:t>
      </w:r>
      <w:r>
        <w:rPr>
          <w:spacing w:val="-81"/>
        </w:rPr>
        <w:t> </w:t>
      </w:r>
      <w:r>
        <w:rPr>
          <w:spacing w:val="-81"/>
        </w:rPr>
      </w:r>
      <w:r>
        <w:rPr/>
        <w:t>行审计工作以对财务报表是否不存在重大错报获取合理保证。</w:t>
      </w:r>
    </w:p>
    <w:p>
      <w:pPr>
        <w:pStyle w:val="BodyText"/>
        <w:spacing w:line="408" w:lineRule="auto" w:before="46"/>
        <w:ind w:right="148" w:firstLine="435"/>
        <w:jc w:val="both"/>
      </w:pPr>
      <w:r>
        <w:rPr>
          <w:spacing w:val="-1"/>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会计师考虑与财务报表编制和公允列报相关的内部控制，以设计恰当的审计程序，但目的并非对内部控制</w:t>
      </w:r>
      <w:r>
        <w:rPr>
          <w:spacing w:val="-81"/>
        </w:rPr>
        <w:t> </w:t>
      </w:r>
      <w:r>
        <w:rPr>
          <w:spacing w:val="-81"/>
        </w:rPr>
      </w:r>
      <w:r>
        <w:rPr>
          <w:spacing w:val="-1"/>
        </w:rPr>
        <w:t>的有效性发表意见。审计工作还包括评价管理层选用会计政策的恰当性和作出会计估计的合理性，以及评</w:t>
      </w:r>
    </w:p>
    <w:p>
      <w:pPr>
        <w:spacing w:after="0" w:line="408" w:lineRule="auto"/>
        <w:jc w:val="both"/>
        <w:sectPr>
          <w:pgSz w:w="11910" w:h="16840"/>
          <w:pgMar w:header="877" w:footer="1003" w:top="1100" w:bottom="1200" w:left="980" w:right="980"/>
        </w:sectPr>
      </w:pPr>
    </w:p>
    <w:p>
      <w:pPr>
        <w:spacing w:line="240" w:lineRule="auto" w:before="8"/>
        <w:rPr>
          <w:rFonts w:ascii="宋体" w:hAnsi="宋体" w:cs="宋体" w:eastAsia="宋体" w:hint="default"/>
          <w:sz w:val="26"/>
          <w:szCs w:val="26"/>
        </w:rPr>
      </w:pPr>
    </w:p>
    <w:p>
      <w:pPr>
        <w:pStyle w:val="BodyText"/>
        <w:spacing w:line="408" w:lineRule="auto" w:before="35"/>
        <w:ind w:left="589" w:right="1985" w:hanging="436"/>
        <w:jc w:val="left"/>
      </w:pPr>
      <w:r>
        <w:rPr/>
        <w:t>价财务报表的总体列报。 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08" w:lineRule="auto"/>
        <w:ind w:left="589" w:right="132"/>
        <w:jc w:val="left"/>
      </w:pPr>
      <w:r>
        <w:rPr>
          <w:rFonts w:ascii="宋体" w:hAnsi="宋体" w:cs="宋体" w:eastAsia="宋体" w:hint="default"/>
          <w:b/>
          <w:bCs/>
        </w:rPr>
        <w:t>(三)、</w:t>
      </w:r>
      <w:r>
        <w:rPr>
          <w:rFonts w:ascii="宋体" w:hAnsi="宋体" w:cs="宋体" w:eastAsia="宋体" w:hint="default"/>
          <w:b/>
          <w:bCs/>
          <w:spacing w:val="-2"/>
        </w:rPr>
        <w:t> </w:t>
      </w:r>
      <w:r>
        <w:rPr>
          <w:rFonts w:ascii="宋体" w:hAnsi="宋体" w:cs="宋体" w:eastAsia="宋体" w:hint="default"/>
          <w:b/>
          <w:bCs/>
        </w:rPr>
        <w:t>审计意见</w:t>
      </w:r>
      <w:r>
        <w:rPr>
          <w:rFonts w:ascii="宋体" w:hAnsi="宋体" w:cs="宋体" w:eastAsia="宋体" w:hint="default"/>
          <w:b/>
          <w:bCs/>
          <w:w w:val="99"/>
        </w:rPr>
        <w:t> </w:t>
      </w:r>
      <w:r>
        <w:rPr>
          <w:spacing w:val="3"/>
        </w:rPr>
        <w:t>我们认为，光一科技财务报表在所有重大方面按照企业会计准则的规定编制，公允反映了光一科技</w:t>
      </w:r>
      <w:r>
        <w:rPr/>
      </w:r>
    </w:p>
    <w:p>
      <w:pPr>
        <w:pStyle w:val="BodyText"/>
        <w:spacing w:line="240" w:lineRule="auto" w:before="46"/>
        <w:ind w:right="132"/>
        <w:jc w:val="left"/>
      </w:pPr>
      <w:r>
        <w:rPr/>
        <w:t>2012年12月31日的合并及公司财务状况以及2012年度的合并及公司经营成果和合并及公司现金流量。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tabs>
          <w:tab w:pos="4185" w:val="left" w:leader="none"/>
          <w:tab w:pos="6077" w:val="left" w:leader="none"/>
        </w:tabs>
        <w:spacing w:line="240" w:lineRule="auto"/>
        <w:ind w:right="132"/>
        <w:jc w:val="left"/>
      </w:pPr>
      <w:r>
        <w:rPr/>
        <w:t>上海众华沪银会计师事务所有限公司</w:t>
        <w:tab/>
        <w:t>中国注册会计师</w:t>
        <w:tab/>
        <w:t>梁烽</w:t>
      </w:r>
    </w:p>
    <w:p>
      <w:pPr>
        <w:spacing w:line="240" w:lineRule="auto" w:before="9"/>
        <w:rPr>
          <w:rFonts w:ascii="宋体" w:hAnsi="宋体" w:cs="宋体" w:eastAsia="宋体" w:hint="default"/>
          <w:sz w:val="26"/>
          <w:szCs w:val="26"/>
        </w:rPr>
      </w:pPr>
    </w:p>
    <w:p>
      <w:pPr>
        <w:pStyle w:val="BodyText"/>
        <w:tabs>
          <w:tab w:pos="6085" w:val="left" w:leader="none"/>
        </w:tabs>
        <w:spacing w:line="240" w:lineRule="auto"/>
        <w:ind w:left="4193" w:right="132"/>
        <w:jc w:val="left"/>
      </w:pPr>
      <w:r>
        <w:rPr/>
        <w:t>中国注册会计师</w:t>
        <w:tab/>
        <w:t>凌松梅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4148" w:val="left" w:leader="none"/>
        </w:tabs>
        <w:spacing w:line="240" w:lineRule="auto" w:before="137"/>
        <w:ind w:left="153" w:right="132"/>
        <w:jc w:val="left"/>
      </w:pPr>
      <w:r>
        <w:rPr/>
        <w:t>中国，上海</w:t>
        <w:tab/>
        <w:t>二〇一三年三月十九日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99" w:lineRule="auto" w:before="154"/>
        <w:ind w:left="154" w:right="6410" w:firstLine="0"/>
        <w:jc w:val="left"/>
        <w:rPr>
          <w:rFonts w:ascii="宋体" w:hAnsi="宋体" w:cs="宋体" w:eastAsia="宋体" w:hint="default"/>
          <w:sz w:val="24"/>
          <w:szCs w:val="24"/>
        </w:rPr>
      </w:pPr>
      <w:r>
        <w:rPr>
          <w:rFonts w:ascii="宋体" w:hAnsi="宋体" w:cs="宋体" w:eastAsia="宋体" w:hint="default"/>
          <w:b/>
          <w:bCs/>
          <w:sz w:val="24"/>
          <w:szCs w:val="24"/>
        </w:rPr>
        <w:t>二、财务报表</w:t>
      </w:r>
      <w:r>
        <w:rPr>
          <w:rFonts w:ascii="宋体" w:hAnsi="宋体" w:cs="宋体" w:eastAsia="宋体" w:hint="default"/>
          <w:b/>
          <w:bCs/>
          <w:w w:val="99"/>
          <w:sz w:val="24"/>
          <w:szCs w:val="24"/>
        </w:rPr>
        <w:t> </w:t>
      </w:r>
      <w:r>
        <w:rPr>
          <w:rFonts w:ascii="宋体" w:hAnsi="宋体" w:cs="宋体" w:eastAsia="宋体" w:hint="default"/>
          <w:sz w:val="21"/>
          <w:szCs w:val="21"/>
        </w:rPr>
        <w:t>财务附注中报表的单位为：人民币元 </w:t>
      </w:r>
      <w:r>
        <w:rPr>
          <w:rFonts w:ascii="宋体" w:hAnsi="宋体" w:cs="宋体" w:eastAsia="宋体" w:hint="default"/>
          <w:b/>
          <w:bCs/>
          <w:sz w:val="24"/>
          <w:szCs w:val="24"/>
        </w:rPr>
        <w:t>1、合并资产负债表</w:t>
      </w:r>
      <w:r>
        <w:rPr>
          <w:rFonts w:ascii="宋体" w:hAnsi="宋体" w:cs="宋体" w:eastAsia="宋体" w:hint="default"/>
          <w:sz w:val="24"/>
          <w:szCs w:val="24"/>
        </w:rPr>
      </w:r>
    </w:p>
    <w:p>
      <w:pPr>
        <w:spacing w:before="89"/>
        <w:ind w:left="154" w:right="132" w:firstLine="0"/>
        <w:jc w:val="left"/>
        <w:rPr>
          <w:rFonts w:ascii="宋体" w:hAnsi="宋体" w:cs="宋体" w:eastAsia="宋体" w:hint="default"/>
          <w:sz w:val="18"/>
          <w:szCs w:val="18"/>
        </w:rPr>
      </w:pPr>
      <w:r>
        <w:rPr>
          <w:rFonts w:ascii="宋体" w:hAnsi="宋体" w:cs="宋体" w:eastAsia="宋体" w:hint="default"/>
          <w:sz w:val="18"/>
          <w:szCs w:val="18"/>
        </w:rPr>
        <w:t>编制单位：光一科技股份有限公司</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119"/>
        <w:gridCol w:w="3149"/>
        <w:gridCol w:w="3299"/>
      </w:tblGrid>
      <w:tr>
        <w:trPr>
          <w:trHeight w:val="398" w:hRule="exact"/>
        </w:trPr>
        <w:tc>
          <w:tcPr>
            <w:tcW w:w="3119" w:type="dxa"/>
            <w:tcBorders>
              <w:top w:val="single" w:sz="29" w:space="0" w:color="D3D3D3"/>
              <w:left w:val="single" w:sz="12" w:space="0" w:color="000000"/>
              <w:bottom w:val="single" w:sz="17" w:space="0" w:color="D3D3D3"/>
              <w:right w:val="single" w:sz="6" w:space="0" w:color="000000"/>
            </w:tcBorders>
          </w:tcPr>
          <w:p>
            <w:pPr>
              <w:pStyle w:val="TableParagraph"/>
              <w:tabs>
                <w:tab w:pos="1351"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项目</w:t>
              <w:tab/>
            </w:r>
            <w:r>
              <w:rPr>
                <w:rFonts w:ascii="宋体" w:hAnsi="宋体" w:cs="宋体" w:eastAsia="宋体" w:hint="default"/>
                <w:sz w:val="18"/>
                <w:szCs w:val="18"/>
              </w:rPr>
            </w:r>
          </w:p>
        </w:tc>
        <w:tc>
          <w:tcPr>
            <w:tcW w:w="3149" w:type="dxa"/>
            <w:tcBorders>
              <w:top w:val="single" w:sz="29" w:space="0" w:color="D3D3D3"/>
              <w:left w:val="single" w:sz="6" w:space="0" w:color="000000"/>
              <w:bottom w:val="single" w:sz="17" w:space="0" w:color="D3D3D3"/>
              <w:right w:val="single" w:sz="6" w:space="0" w:color="000000"/>
            </w:tcBorders>
          </w:tcPr>
          <w:p>
            <w:pPr>
              <w:pStyle w:val="TableParagraph"/>
              <w:tabs>
                <w:tab w:pos="1185" w:val="left" w:leader="none"/>
                <w:tab w:pos="3091" w:val="left" w:leader="none"/>
              </w:tabs>
              <w:spacing w:line="240" w:lineRule="auto" w:before="10"/>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期末余额</w:t>
              <w:tab/>
            </w:r>
            <w:r>
              <w:rPr>
                <w:rFonts w:ascii="宋体" w:hAnsi="宋体" w:cs="宋体" w:eastAsia="宋体" w:hint="default"/>
                <w:sz w:val="18"/>
                <w:szCs w:val="18"/>
              </w:rPr>
            </w:r>
          </w:p>
        </w:tc>
        <w:tc>
          <w:tcPr>
            <w:tcW w:w="3299" w:type="dxa"/>
            <w:tcBorders>
              <w:top w:val="single" w:sz="29" w:space="0" w:color="D3D3D3"/>
              <w:left w:val="single" w:sz="6" w:space="0" w:color="000000"/>
              <w:bottom w:val="single" w:sz="17" w:space="0" w:color="D3D3D3"/>
              <w:right w:val="single" w:sz="12" w:space="0" w:color="000000"/>
            </w:tcBorders>
          </w:tcPr>
          <w:p>
            <w:pPr>
              <w:pStyle w:val="TableParagraph"/>
              <w:tabs>
                <w:tab w:pos="1262" w:val="left" w:leader="none"/>
                <w:tab w:pos="3244" w:val="left" w:leader="none"/>
              </w:tabs>
              <w:spacing w:line="240" w:lineRule="auto" w:before="10"/>
              <w:ind w:right="11"/>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期初余额</w:t>
              <w:tab/>
            </w:r>
            <w:r>
              <w:rPr>
                <w:rFonts w:ascii="宋体" w:hAnsi="宋体" w:cs="宋体" w:eastAsia="宋体" w:hint="default"/>
                <w:sz w:val="18"/>
                <w:szCs w:val="18"/>
              </w:rPr>
            </w:r>
          </w:p>
        </w:tc>
      </w:tr>
      <w:tr>
        <w:trPr>
          <w:trHeight w:val="383"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063" w:val="left" w:leader="none"/>
              </w:tabs>
              <w:spacing w:line="240" w:lineRule="auto" w:before="39"/>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流动资产：</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shd w:val="clear" w:color="auto" w:fill="D3D3D3"/>
          </w:tcPr>
          <w:p>
            <w:pPr/>
          </w:p>
        </w:tc>
        <w:tc>
          <w:tcPr>
            <w:tcW w:w="3299" w:type="dxa"/>
            <w:tcBorders>
              <w:top w:val="single" w:sz="6" w:space="0" w:color="000000"/>
              <w:left w:val="single" w:sz="6" w:space="0" w:color="000000"/>
              <w:bottom w:val="single" w:sz="6" w:space="0" w:color="000000"/>
              <w:right w:val="single" w:sz="12" w:space="0" w:color="000000"/>
            </w:tcBorders>
            <w:shd w:val="clear" w:color="auto" w:fill="D3D3D3"/>
          </w:tcPr>
          <w:p>
            <w:pPr/>
          </w:p>
        </w:tc>
      </w:tr>
      <w:tr>
        <w:trPr>
          <w:trHeight w:val="440" w:hRule="exact"/>
        </w:trPr>
        <w:tc>
          <w:tcPr>
            <w:tcW w:w="311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49" w:type="dxa"/>
            <w:tcBorders>
              <w:top w:val="single" w:sz="23" w:space="0" w:color="D3D3D3"/>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474,178,650.82</w:t>
            </w:r>
          </w:p>
        </w:tc>
        <w:tc>
          <w:tcPr>
            <w:tcW w:w="3299" w:type="dxa"/>
            <w:tcBorders>
              <w:top w:val="single" w:sz="23" w:space="0" w:color="D3D3D3"/>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91,833,830.73</w:t>
            </w:r>
          </w:p>
        </w:tc>
      </w:tr>
      <w:tr>
        <w:trPr>
          <w:trHeight w:val="413"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4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结算备付金</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40"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拆出资金</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11"/>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交易性金融资产</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4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应收票据</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692,200.00</w:t>
            </w:r>
          </w:p>
        </w:tc>
      </w:tr>
      <w:tr>
        <w:trPr>
          <w:trHeight w:val="412"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应收账款</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118,166,642.69</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108,206,892.06</w:t>
            </w:r>
          </w:p>
        </w:tc>
      </w:tr>
      <w:tr>
        <w:trPr>
          <w:trHeight w:val="412"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预付款项</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7,972,033.78</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14,618,508.67</w:t>
            </w:r>
          </w:p>
        </w:tc>
      </w:tr>
      <w:tr>
        <w:trPr>
          <w:trHeight w:val="413"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4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应收保费</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应收分保账款</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9"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应收分保合同准备金</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12" w:space="0" w:color="000000"/>
              <w:right w:val="single" w:sz="6" w:space="0" w:color="000000"/>
            </w:tcBorders>
          </w:tcPr>
          <w:p>
            <w:pPr/>
          </w:p>
        </w:tc>
        <w:tc>
          <w:tcPr>
            <w:tcW w:w="3299"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1003" w:top="1100" w:bottom="120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3119"/>
        <w:gridCol w:w="3149"/>
        <w:gridCol w:w="3299"/>
      </w:tblGrid>
      <w:tr>
        <w:trPr>
          <w:trHeight w:val="370" w:hRule="exact"/>
        </w:trPr>
        <w:tc>
          <w:tcPr>
            <w:tcW w:w="3119" w:type="dxa"/>
            <w:tcBorders>
              <w:top w:val="single" w:sz="29" w:space="0" w:color="D3D3D3"/>
              <w:left w:val="single" w:sz="12" w:space="0" w:color="000000"/>
              <w:bottom w:val="single" w:sz="40" w:space="0" w:color="D3D3D3"/>
              <w:right w:val="single" w:sz="6" w:space="0" w:color="000000"/>
            </w:tcBorders>
          </w:tcPr>
          <w:p>
            <w:pPr>
              <w:pStyle w:val="TableParagraph"/>
              <w:tabs>
                <w:tab w:pos="1351"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项目</w:t>
              <w:tab/>
            </w:r>
            <w:r>
              <w:rPr>
                <w:rFonts w:ascii="宋体" w:hAnsi="宋体" w:cs="宋体" w:eastAsia="宋体" w:hint="default"/>
                <w:sz w:val="18"/>
                <w:szCs w:val="18"/>
              </w:rPr>
            </w:r>
          </w:p>
        </w:tc>
        <w:tc>
          <w:tcPr>
            <w:tcW w:w="3149" w:type="dxa"/>
            <w:tcBorders>
              <w:top w:val="single" w:sz="29" w:space="0" w:color="D3D3D3"/>
              <w:left w:val="single" w:sz="6" w:space="0" w:color="000000"/>
              <w:bottom w:val="single" w:sz="17" w:space="0" w:color="D3D3D3"/>
              <w:right w:val="single" w:sz="6" w:space="0" w:color="000000"/>
            </w:tcBorders>
          </w:tcPr>
          <w:p>
            <w:pPr>
              <w:pStyle w:val="TableParagraph"/>
              <w:tabs>
                <w:tab w:pos="1185" w:val="left" w:leader="none"/>
                <w:tab w:pos="3091" w:val="left" w:leader="none"/>
              </w:tabs>
              <w:spacing w:line="240" w:lineRule="auto" w:before="10"/>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期末余额</w:t>
              <w:tab/>
            </w:r>
            <w:r>
              <w:rPr>
                <w:rFonts w:ascii="宋体" w:hAnsi="宋体" w:cs="宋体" w:eastAsia="宋体" w:hint="default"/>
                <w:sz w:val="18"/>
                <w:szCs w:val="18"/>
              </w:rPr>
            </w:r>
          </w:p>
        </w:tc>
        <w:tc>
          <w:tcPr>
            <w:tcW w:w="3299" w:type="dxa"/>
            <w:tcBorders>
              <w:top w:val="single" w:sz="29" w:space="0" w:color="D3D3D3"/>
              <w:left w:val="single" w:sz="6" w:space="0" w:color="000000"/>
              <w:bottom w:val="single" w:sz="17" w:space="0" w:color="D3D3D3"/>
              <w:right w:val="single" w:sz="12" w:space="0" w:color="000000"/>
            </w:tcBorders>
          </w:tcPr>
          <w:p>
            <w:pPr>
              <w:pStyle w:val="TableParagraph"/>
              <w:tabs>
                <w:tab w:pos="1262" w:val="left" w:leader="none"/>
                <w:tab w:pos="3244" w:val="left" w:leader="none"/>
              </w:tabs>
              <w:spacing w:line="240" w:lineRule="auto" w:before="10"/>
              <w:ind w:right="11"/>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期初余额</w:t>
              <w:tab/>
            </w:r>
            <w:r>
              <w:rPr>
                <w:rFonts w:ascii="宋体" w:hAnsi="宋体" w:cs="宋体" w:eastAsia="宋体" w:hint="default"/>
                <w:sz w:val="18"/>
                <w:szCs w:val="18"/>
              </w:rPr>
            </w:r>
          </w:p>
        </w:tc>
      </w:tr>
      <w:tr>
        <w:trPr>
          <w:trHeight w:val="440" w:hRule="exact"/>
        </w:trPr>
        <w:tc>
          <w:tcPr>
            <w:tcW w:w="311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49" w:type="dxa"/>
            <w:tcBorders>
              <w:top w:val="single" w:sz="17" w:space="0" w:color="D3D3D3"/>
              <w:left w:val="single" w:sz="6" w:space="0" w:color="000000"/>
              <w:bottom w:val="single" w:sz="6" w:space="0" w:color="000000"/>
              <w:right w:val="single" w:sz="6" w:space="0" w:color="000000"/>
            </w:tcBorders>
          </w:tcPr>
          <w:p>
            <w:pPr/>
          </w:p>
        </w:tc>
        <w:tc>
          <w:tcPr>
            <w:tcW w:w="3299" w:type="dxa"/>
            <w:tcBorders>
              <w:top w:val="single" w:sz="17" w:space="0" w:color="D3D3D3"/>
              <w:left w:val="single" w:sz="6" w:space="0" w:color="000000"/>
              <w:bottom w:val="single" w:sz="6" w:space="0" w:color="000000"/>
              <w:right w:val="single" w:sz="12" w:space="0" w:color="000000"/>
            </w:tcBorders>
          </w:tcPr>
          <w:p>
            <w:pPr/>
          </w:p>
        </w:tc>
      </w:tr>
      <w:tr>
        <w:trPr>
          <w:trHeight w:val="413"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4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应收股利</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40"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其他应收款</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3,775,718.33</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7,888,076.69</w:t>
            </w:r>
          </w:p>
        </w:tc>
      </w:tr>
      <w:tr>
        <w:trPr>
          <w:trHeight w:val="412"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买入返售金融资产</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4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存货</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38,033,551.02</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35,701,166.53</w:t>
            </w:r>
          </w:p>
        </w:tc>
      </w:tr>
      <w:tr>
        <w:trPr>
          <w:trHeight w:val="412"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38"/>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一年内到期的非流动资产</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其他流动资产</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34"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063" w:val="left" w:leader="none"/>
              </w:tabs>
              <w:spacing w:line="240" w:lineRule="auto" w:before="11"/>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流动资产合计</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23" w:space="0" w:color="D3D3D3"/>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642,126,596.64</w:t>
            </w:r>
          </w:p>
        </w:tc>
        <w:tc>
          <w:tcPr>
            <w:tcW w:w="3299" w:type="dxa"/>
            <w:tcBorders>
              <w:top w:val="single" w:sz="6" w:space="0" w:color="000000"/>
              <w:left w:val="single" w:sz="6" w:space="0" w:color="000000"/>
              <w:bottom w:val="single" w:sz="23" w:space="0" w:color="D3D3D3"/>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258,940,674.68</w:t>
            </w:r>
          </w:p>
        </w:tc>
      </w:tr>
      <w:tr>
        <w:trPr>
          <w:trHeight w:val="362"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063" w:val="left" w:leader="none"/>
              </w:tabs>
              <w:spacing w:line="240" w:lineRule="auto" w:before="17"/>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非流动资产：</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shd w:val="clear" w:color="auto" w:fill="D3D3D3"/>
          </w:tcPr>
          <w:p>
            <w:pPr/>
          </w:p>
        </w:tc>
        <w:tc>
          <w:tcPr>
            <w:tcW w:w="3299" w:type="dxa"/>
            <w:tcBorders>
              <w:top w:val="single" w:sz="6" w:space="0" w:color="000000"/>
              <w:left w:val="single" w:sz="6" w:space="0" w:color="000000"/>
              <w:bottom w:val="single" w:sz="6" w:space="0" w:color="000000"/>
              <w:right w:val="single" w:sz="12" w:space="0" w:color="000000"/>
            </w:tcBorders>
            <w:shd w:val="clear" w:color="auto" w:fill="D3D3D3"/>
          </w:tcPr>
          <w:p>
            <w:pPr/>
          </w:p>
        </w:tc>
      </w:tr>
      <w:tr>
        <w:trPr>
          <w:trHeight w:val="440" w:hRule="exact"/>
        </w:trPr>
        <w:tc>
          <w:tcPr>
            <w:tcW w:w="311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149" w:type="dxa"/>
            <w:tcBorders>
              <w:top w:val="single" w:sz="17" w:space="0" w:color="D3D3D3"/>
              <w:left w:val="single" w:sz="6" w:space="0" w:color="000000"/>
              <w:bottom w:val="single" w:sz="6" w:space="0" w:color="000000"/>
              <w:right w:val="single" w:sz="6" w:space="0" w:color="000000"/>
            </w:tcBorders>
          </w:tcPr>
          <w:p>
            <w:pPr/>
          </w:p>
        </w:tc>
        <w:tc>
          <w:tcPr>
            <w:tcW w:w="3299" w:type="dxa"/>
            <w:tcBorders>
              <w:top w:val="single" w:sz="17" w:space="0" w:color="D3D3D3"/>
              <w:left w:val="single" w:sz="6" w:space="0" w:color="000000"/>
              <w:bottom w:val="single" w:sz="6" w:space="0" w:color="000000"/>
              <w:right w:val="single" w:sz="12" w:space="0" w:color="000000"/>
            </w:tcBorders>
          </w:tcPr>
          <w:p>
            <w:pPr/>
          </w:p>
        </w:tc>
      </w:tr>
      <w:tr>
        <w:trPr>
          <w:trHeight w:val="413" w:hRule="exact"/>
        </w:trPr>
        <w:tc>
          <w:tcPr>
            <w:tcW w:w="3119" w:type="dxa"/>
            <w:tcBorders>
              <w:top w:val="single" w:sz="40"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11"/>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可供出售金融资产</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持有至到期投资</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长期应收款</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4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长期股权投资</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6,742,650.93</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1,995,488.40</w:t>
            </w:r>
          </w:p>
        </w:tc>
      </w:tr>
      <w:tr>
        <w:trPr>
          <w:trHeight w:val="412" w:hRule="exact"/>
        </w:trPr>
        <w:tc>
          <w:tcPr>
            <w:tcW w:w="3119" w:type="dxa"/>
            <w:tcBorders>
              <w:top w:val="single" w:sz="40"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投资性房地产</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固定资产</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91,452,069.20</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58,567,400.58</w:t>
            </w:r>
          </w:p>
        </w:tc>
      </w:tr>
      <w:tr>
        <w:trPr>
          <w:trHeight w:val="413"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4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在建工程</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9,560,318.33</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4,014,055.00</w:t>
            </w:r>
          </w:p>
        </w:tc>
      </w:tr>
      <w:tr>
        <w:trPr>
          <w:trHeight w:val="412"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38"/>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工程物资</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固定资产清理</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4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生产性生物资产</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油气资产</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无形资产</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36,129,735.87</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9,464,453.30</w:t>
            </w:r>
          </w:p>
        </w:tc>
      </w:tr>
      <w:tr>
        <w:trPr>
          <w:trHeight w:val="413"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4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开发支出</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商誉</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长期待摊费用</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4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递延所得税资产</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1,132,441.86</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2,391,258.45</w:t>
            </w:r>
          </w:p>
        </w:tc>
      </w:tr>
      <w:tr>
        <w:trPr>
          <w:trHeight w:val="412"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其他非流动资产</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063" w:val="left" w:leader="none"/>
              </w:tabs>
              <w:spacing w:line="240" w:lineRule="auto" w:before="39"/>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非流动资产合计</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145,017,216.19</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76,432,655.73</w:t>
            </w:r>
          </w:p>
        </w:tc>
      </w:tr>
      <w:tr>
        <w:trPr>
          <w:trHeight w:val="434"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063" w:val="left" w:leader="none"/>
              </w:tabs>
              <w:spacing w:line="240" w:lineRule="auto" w:before="40"/>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资产总计</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23" w:space="0" w:color="D3D3D3"/>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787,143,812.83</w:t>
            </w:r>
          </w:p>
        </w:tc>
        <w:tc>
          <w:tcPr>
            <w:tcW w:w="3299" w:type="dxa"/>
            <w:tcBorders>
              <w:top w:val="single" w:sz="6" w:space="0" w:color="000000"/>
              <w:left w:val="single" w:sz="6" w:space="0" w:color="000000"/>
              <w:bottom w:val="single" w:sz="23" w:space="0" w:color="D3D3D3"/>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335,373,330.41</w:t>
            </w:r>
          </w:p>
        </w:tc>
      </w:tr>
      <w:tr>
        <w:trPr>
          <w:trHeight w:val="362"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063" w:val="left" w:leader="none"/>
              </w:tabs>
              <w:spacing w:line="225" w:lineRule="exact"/>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流动负债：</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shd w:val="clear" w:color="auto" w:fill="D3D3D3"/>
          </w:tcPr>
          <w:p>
            <w:pPr/>
          </w:p>
        </w:tc>
        <w:tc>
          <w:tcPr>
            <w:tcW w:w="3299" w:type="dxa"/>
            <w:tcBorders>
              <w:top w:val="single" w:sz="6" w:space="0" w:color="000000"/>
              <w:left w:val="single" w:sz="6" w:space="0" w:color="000000"/>
              <w:bottom w:val="single" w:sz="6" w:space="0" w:color="000000"/>
              <w:right w:val="single" w:sz="12" w:space="0" w:color="000000"/>
            </w:tcBorders>
            <w:shd w:val="clear" w:color="auto" w:fill="D3D3D3"/>
          </w:tcPr>
          <w:p>
            <w:pPr/>
          </w:p>
        </w:tc>
      </w:tr>
      <w:tr>
        <w:trPr>
          <w:trHeight w:val="440" w:hRule="exact"/>
        </w:trPr>
        <w:tc>
          <w:tcPr>
            <w:tcW w:w="311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149" w:type="dxa"/>
            <w:tcBorders>
              <w:top w:val="single" w:sz="23" w:space="0" w:color="D3D3D3"/>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13,000,000.00</w:t>
            </w:r>
          </w:p>
        </w:tc>
        <w:tc>
          <w:tcPr>
            <w:tcW w:w="3299" w:type="dxa"/>
            <w:tcBorders>
              <w:top w:val="single" w:sz="23" w:space="0" w:color="D3D3D3"/>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15,000,000.00</w:t>
            </w:r>
          </w:p>
        </w:tc>
      </w:tr>
      <w:tr>
        <w:trPr>
          <w:trHeight w:val="421"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4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向中央银行借款</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12" w:space="0" w:color="000000"/>
              <w:right w:val="single" w:sz="6" w:space="0" w:color="000000"/>
            </w:tcBorders>
          </w:tcPr>
          <w:p>
            <w:pPr/>
          </w:p>
        </w:tc>
        <w:tc>
          <w:tcPr>
            <w:tcW w:w="3299"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1003" w:top="1100" w:bottom="120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3119"/>
        <w:gridCol w:w="3149"/>
        <w:gridCol w:w="3299"/>
      </w:tblGrid>
      <w:tr>
        <w:trPr>
          <w:trHeight w:val="370" w:hRule="exact"/>
        </w:trPr>
        <w:tc>
          <w:tcPr>
            <w:tcW w:w="3119" w:type="dxa"/>
            <w:tcBorders>
              <w:top w:val="single" w:sz="29" w:space="0" w:color="D3D3D3"/>
              <w:left w:val="single" w:sz="12" w:space="0" w:color="000000"/>
              <w:bottom w:val="single" w:sz="40" w:space="0" w:color="D3D3D3"/>
              <w:right w:val="single" w:sz="6" w:space="0" w:color="000000"/>
            </w:tcBorders>
          </w:tcPr>
          <w:p>
            <w:pPr>
              <w:pStyle w:val="TableParagraph"/>
              <w:tabs>
                <w:tab w:pos="1351"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项目</w:t>
              <w:tab/>
            </w:r>
            <w:r>
              <w:rPr>
                <w:rFonts w:ascii="宋体" w:hAnsi="宋体" w:cs="宋体" w:eastAsia="宋体" w:hint="default"/>
                <w:sz w:val="18"/>
                <w:szCs w:val="18"/>
              </w:rPr>
            </w:r>
          </w:p>
        </w:tc>
        <w:tc>
          <w:tcPr>
            <w:tcW w:w="3149" w:type="dxa"/>
            <w:tcBorders>
              <w:top w:val="single" w:sz="29" w:space="0" w:color="D3D3D3"/>
              <w:left w:val="single" w:sz="6" w:space="0" w:color="000000"/>
              <w:bottom w:val="single" w:sz="17" w:space="0" w:color="D3D3D3"/>
              <w:right w:val="single" w:sz="6" w:space="0" w:color="000000"/>
            </w:tcBorders>
          </w:tcPr>
          <w:p>
            <w:pPr>
              <w:pStyle w:val="TableParagraph"/>
              <w:tabs>
                <w:tab w:pos="1185" w:val="left" w:leader="none"/>
                <w:tab w:pos="3091" w:val="left" w:leader="none"/>
              </w:tabs>
              <w:spacing w:line="240" w:lineRule="auto" w:before="10"/>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期末余额</w:t>
              <w:tab/>
            </w:r>
            <w:r>
              <w:rPr>
                <w:rFonts w:ascii="宋体" w:hAnsi="宋体" w:cs="宋体" w:eastAsia="宋体" w:hint="default"/>
                <w:sz w:val="18"/>
                <w:szCs w:val="18"/>
              </w:rPr>
            </w:r>
          </w:p>
        </w:tc>
        <w:tc>
          <w:tcPr>
            <w:tcW w:w="3299" w:type="dxa"/>
            <w:tcBorders>
              <w:top w:val="single" w:sz="29" w:space="0" w:color="D3D3D3"/>
              <w:left w:val="single" w:sz="6" w:space="0" w:color="000000"/>
              <w:bottom w:val="single" w:sz="17" w:space="0" w:color="D3D3D3"/>
              <w:right w:val="single" w:sz="12" w:space="0" w:color="000000"/>
            </w:tcBorders>
          </w:tcPr>
          <w:p>
            <w:pPr>
              <w:pStyle w:val="TableParagraph"/>
              <w:tabs>
                <w:tab w:pos="1262" w:val="left" w:leader="none"/>
                <w:tab w:pos="3244" w:val="left" w:leader="none"/>
              </w:tabs>
              <w:spacing w:line="240" w:lineRule="auto" w:before="10"/>
              <w:ind w:right="11"/>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期初余额</w:t>
              <w:tab/>
            </w:r>
            <w:r>
              <w:rPr>
                <w:rFonts w:ascii="宋体" w:hAnsi="宋体" w:cs="宋体" w:eastAsia="宋体" w:hint="default"/>
                <w:sz w:val="18"/>
                <w:szCs w:val="18"/>
              </w:rPr>
            </w:r>
          </w:p>
        </w:tc>
      </w:tr>
      <w:tr>
        <w:trPr>
          <w:trHeight w:val="440" w:hRule="exact"/>
        </w:trPr>
        <w:tc>
          <w:tcPr>
            <w:tcW w:w="311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149" w:type="dxa"/>
            <w:tcBorders>
              <w:top w:val="single" w:sz="17" w:space="0" w:color="D3D3D3"/>
              <w:left w:val="single" w:sz="6" w:space="0" w:color="000000"/>
              <w:bottom w:val="single" w:sz="6" w:space="0" w:color="000000"/>
              <w:right w:val="single" w:sz="6" w:space="0" w:color="000000"/>
            </w:tcBorders>
          </w:tcPr>
          <w:p>
            <w:pPr/>
          </w:p>
        </w:tc>
        <w:tc>
          <w:tcPr>
            <w:tcW w:w="3299" w:type="dxa"/>
            <w:tcBorders>
              <w:top w:val="single" w:sz="17" w:space="0" w:color="D3D3D3"/>
              <w:left w:val="single" w:sz="6" w:space="0" w:color="000000"/>
              <w:bottom w:val="single" w:sz="6" w:space="0" w:color="000000"/>
              <w:right w:val="single" w:sz="12" w:space="0" w:color="000000"/>
            </w:tcBorders>
          </w:tcPr>
          <w:p>
            <w:pPr/>
          </w:p>
        </w:tc>
      </w:tr>
      <w:tr>
        <w:trPr>
          <w:trHeight w:val="413"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4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拆入资金</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40"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交易性金融负债</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应付票据</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31,236,928.32</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3,679,450.01</w:t>
            </w:r>
          </w:p>
        </w:tc>
      </w:tr>
      <w:tr>
        <w:trPr>
          <w:trHeight w:val="413"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4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应付账款</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49,821,094.01</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60,513,856.90</w:t>
            </w:r>
          </w:p>
        </w:tc>
      </w:tr>
      <w:tr>
        <w:trPr>
          <w:trHeight w:val="412"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38"/>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预收款项</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4,111,571.20</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243,134.57</w:t>
            </w:r>
          </w:p>
        </w:tc>
      </w:tr>
      <w:tr>
        <w:trPr>
          <w:trHeight w:val="412"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卖出回购金融资产款</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11"/>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应付手续费及佣金</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38"/>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应付职工薪酬</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12,166,439.23</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7,328,992.03</w:t>
            </w:r>
          </w:p>
        </w:tc>
      </w:tr>
      <w:tr>
        <w:trPr>
          <w:trHeight w:val="412" w:hRule="exact"/>
        </w:trPr>
        <w:tc>
          <w:tcPr>
            <w:tcW w:w="3119" w:type="dxa"/>
            <w:tcBorders>
              <w:top w:val="single" w:sz="40"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应交税费</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9,710,176.77</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16,109,037.57</w:t>
            </w:r>
          </w:p>
        </w:tc>
      </w:tr>
      <w:tr>
        <w:trPr>
          <w:trHeight w:val="413" w:hRule="exact"/>
        </w:trPr>
        <w:tc>
          <w:tcPr>
            <w:tcW w:w="3119" w:type="dxa"/>
            <w:tcBorders>
              <w:top w:val="single" w:sz="40"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11"/>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应付利息</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应付股利</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其他应付款</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3,906,724.03</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155,259.42</w:t>
            </w:r>
          </w:p>
        </w:tc>
      </w:tr>
      <w:tr>
        <w:trPr>
          <w:trHeight w:val="413"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4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应付分保账款</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40"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保险合同准备金</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代理买卖证券款</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4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代理承销证券款</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38"/>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一年内到期的非流动负债</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其他流动负债</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34"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063" w:val="left" w:leader="none"/>
              </w:tabs>
              <w:spacing w:line="240" w:lineRule="auto" w:before="40"/>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流动负债合计</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23" w:space="0" w:color="D3D3D3"/>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123,952,933.56</w:t>
            </w:r>
          </w:p>
        </w:tc>
        <w:tc>
          <w:tcPr>
            <w:tcW w:w="3299" w:type="dxa"/>
            <w:tcBorders>
              <w:top w:val="single" w:sz="6" w:space="0" w:color="000000"/>
              <w:left w:val="single" w:sz="6" w:space="0" w:color="000000"/>
              <w:bottom w:val="single" w:sz="23" w:space="0" w:color="D3D3D3"/>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103,029,730.50</w:t>
            </w:r>
          </w:p>
        </w:tc>
      </w:tr>
      <w:tr>
        <w:trPr>
          <w:trHeight w:val="362"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063" w:val="left" w:leader="none"/>
              </w:tabs>
              <w:spacing w:line="225" w:lineRule="exact"/>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非流动负债：</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shd w:val="clear" w:color="auto" w:fill="D3D3D3"/>
          </w:tcPr>
          <w:p>
            <w:pPr/>
          </w:p>
        </w:tc>
        <w:tc>
          <w:tcPr>
            <w:tcW w:w="3299" w:type="dxa"/>
            <w:tcBorders>
              <w:top w:val="single" w:sz="6" w:space="0" w:color="000000"/>
              <w:left w:val="single" w:sz="6" w:space="0" w:color="000000"/>
              <w:bottom w:val="single" w:sz="6" w:space="0" w:color="000000"/>
              <w:right w:val="single" w:sz="12" w:space="0" w:color="000000"/>
            </w:tcBorders>
            <w:shd w:val="clear" w:color="auto" w:fill="D3D3D3"/>
          </w:tcPr>
          <w:p>
            <w:pPr/>
          </w:p>
        </w:tc>
      </w:tr>
      <w:tr>
        <w:trPr>
          <w:trHeight w:val="440" w:hRule="exact"/>
        </w:trPr>
        <w:tc>
          <w:tcPr>
            <w:tcW w:w="311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149" w:type="dxa"/>
            <w:tcBorders>
              <w:top w:val="single" w:sz="23" w:space="0" w:color="D3D3D3"/>
              <w:left w:val="single" w:sz="6" w:space="0" w:color="000000"/>
              <w:bottom w:val="single" w:sz="6" w:space="0" w:color="000000"/>
              <w:right w:val="single" w:sz="6" w:space="0" w:color="000000"/>
            </w:tcBorders>
          </w:tcPr>
          <w:p>
            <w:pPr/>
          </w:p>
        </w:tc>
        <w:tc>
          <w:tcPr>
            <w:tcW w:w="3299" w:type="dxa"/>
            <w:tcBorders>
              <w:top w:val="single" w:sz="23" w:space="0" w:color="D3D3D3"/>
              <w:left w:val="single" w:sz="6" w:space="0" w:color="000000"/>
              <w:bottom w:val="single" w:sz="6" w:space="0" w:color="000000"/>
              <w:right w:val="single" w:sz="12" w:space="0" w:color="000000"/>
            </w:tcBorders>
          </w:tcPr>
          <w:p>
            <w:pPr/>
          </w:p>
        </w:tc>
      </w:tr>
      <w:tr>
        <w:trPr>
          <w:trHeight w:val="413"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4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应付债券</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长期应付款</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专项应付款</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4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预计负债</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递延所得税负债</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其他非流动负债</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5,512,503.00</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1,612,503.00</w:t>
            </w:r>
          </w:p>
        </w:tc>
      </w:tr>
      <w:tr>
        <w:trPr>
          <w:trHeight w:val="413"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063" w:val="left" w:leader="none"/>
              </w:tabs>
              <w:spacing w:line="240" w:lineRule="auto" w:before="40"/>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非流动负债合计</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5,512,503.00</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1,612,503.00</w:t>
            </w:r>
          </w:p>
        </w:tc>
      </w:tr>
      <w:tr>
        <w:trPr>
          <w:trHeight w:val="433"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063" w:val="left" w:leader="none"/>
              </w:tabs>
              <w:spacing w:line="240" w:lineRule="auto" w:before="10"/>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负债合计</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23" w:space="0" w:color="D3D3D3"/>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129,465,436.56</w:t>
            </w:r>
          </w:p>
        </w:tc>
        <w:tc>
          <w:tcPr>
            <w:tcW w:w="3299" w:type="dxa"/>
            <w:tcBorders>
              <w:top w:val="single" w:sz="6" w:space="0" w:color="000000"/>
              <w:left w:val="single" w:sz="6" w:space="0" w:color="000000"/>
              <w:bottom w:val="single" w:sz="23" w:space="0" w:color="D3D3D3"/>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104,642,233.50</w:t>
            </w:r>
          </w:p>
        </w:tc>
      </w:tr>
      <w:tr>
        <w:trPr>
          <w:trHeight w:val="362"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063" w:val="left" w:leader="none"/>
              </w:tabs>
              <w:spacing w:line="240" w:lineRule="auto" w:before="17"/>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所有者权益（或股东权益</w:t>
            </w:r>
            <w:r>
              <w:rPr>
                <w:rFonts w:ascii="宋体" w:hAnsi="宋体" w:cs="宋体" w:eastAsia="宋体" w:hint="default"/>
                <w:spacing w:val="-90"/>
                <w:sz w:val="18"/>
                <w:szCs w:val="18"/>
                <w:shd w:fill="D3D3D3" w:color="auto" w:val="clear"/>
              </w:rPr>
              <w:t>）</w:t>
            </w:r>
            <w:r>
              <w:rPr>
                <w:rFonts w:ascii="宋体" w:hAnsi="宋体" w:cs="宋体" w:eastAsia="宋体" w:hint="default"/>
                <w:sz w:val="18"/>
                <w:szCs w:val="18"/>
                <w:shd w:fill="D3D3D3" w:color="auto" w:val="clear"/>
              </w:rPr>
              <w:t>：</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shd w:val="clear" w:color="auto" w:fill="D3D3D3"/>
          </w:tcPr>
          <w:p>
            <w:pPr/>
          </w:p>
        </w:tc>
        <w:tc>
          <w:tcPr>
            <w:tcW w:w="3299" w:type="dxa"/>
            <w:tcBorders>
              <w:top w:val="single" w:sz="6" w:space="0" w:color="000000"/>
              <w:left w:val="single" w:sz="6" w:space="0" w:color="000000"/>
              <w:bottom w:val="single" w:sz="6" w:space="0" w:color="000000"/>
              <w:right w:val="single" w:sz="12" w:space="0" w:color="000000"/>
            </w:tcBorders>
            <w:shd w:val="clear" w:color="auto" w:fill="D3D3D3"/>
          </w:tcPr>
          <w:p>
            <w:pPr/>
          </w:p>
        </w:tc>
      </w:tr>
      <w:tr>
        <w:trPr>
          <w:trHeight w:val="449"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68"/>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实收资本（或股本）</w:t>
              <w:tab/>
            </w:r>
            <w:r>
              <w:rPr>
                <w:rFonts w:ascii="宋体" w:hAnsi="宋体" w:cs="宋体" w:eastAsia="宋体" w:hint="default"/>
                <w:sz w:val="18"/>
                <w:szCs w:val="18"/>
              </w:rPr>
            </w:r>
          </w:p>
        </w:tc>
        <w:tc>
          <w:tcPr>
            <w:tcW w:w="3149" w:type="dxa"/>
            <w:tcBorders>
              <w:top w:val="single" w:sz="23" w:space="0" w:color="D3D3D3"/>
              <w:left w:val="single" w:sz="6" w:space="0" w:color="000000"/>
              <w:bottom w:val="single" w:sz="12"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86,670,000.00</w:t>
            </w:r>
          </w:p>
        </w:tc>
        <w:tc>
          <w:tcPr>
            <w:tcW w:w="3299" w:type="dxa"/>
            <w:tcBorders>
              <w:top w:val="single" w:sz="23" w:space="0" w:color="D3D3D3"/>
              <w:left w:val="single" w:sz="6" w:space="0" w:color="000000"/>
              <w:bottom w:val="single" w:sz="12"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65,000,000.00</w:t>
            </w:r>
          </w:p>
        </w:tc>
      </w:tr>
    </w:tbl>
    <w:p>
      <w:pPr>
        <w:spacing w:after="0" w:line="240" w:lineRule="auto"/>
        <w:jc w:val="right"/>
        <w:rPr>
          <w:rFonts w:ascii="宋体" w:hAnsi="宋体" w:cs="宋体" w:eastAsia="宋体" w:hint="default"/>
          <w:sz w:val="18"/>
          <w:szCs w:val="18"/>
        </w:rPr>
        <w:sectPr>
          <w:pgSz w:w="11910" w:h="16840"/>
          <w:pgMar w:header="877" w:footer="1003" w:top="1100" w:bottom="120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3119"/>
        <w:gridCol w:w="3149"/>
        <w:gridCol w:w="3299"/>
      </w:tblGrid>
      <w:tr>
        <w:trPr>
          <w:trHeight w:val="370" w:hRule="exact"/>
        </w:trPr>
        <w:tc>
          <w:tcPr>
            <w:tcW w:w="3119" w:type="dxa"/>
            <w:tcBorders>
              <w:top w:val="single" w:sz="29" w:space="0" w:color="D3D3D3"/>
              <w:left w:val="single" w:sz="12" w:space="0" w:color="000000"/>
              <w:bottom w:val="single" w:sz="40" w:space="0" w:color="D3D3D3"/>
              <w:right w:val="single" w:sz="6" w:space="0" w:color="000000"/>
            </w:tcBorders>
          </w:tcPr>
          <w:p>
            <w:pPr>
              <w:pStyle w:val="TableParagraph"/>
              <w:tabs>
                <w:tab w:pos="1351"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项目</w:t>
              <w:tab/>
            </w:r>
            <w:r>
              <w:rPr>
                <w:rFonts w:ascii="宋体" w:hAnsi="宋体" w:cs="宋体" w:eastAsia="宋体" w:hint="default"/>
                <w:sz w:val="18"/>
                <w:szCs w:val="18"/>
              </w:rPr>
            </w:r>
          </w:p>
        </w:tc>
        <w:tc>
          <w:tcPr>
            <w:tcW w:w="3149" w:type="dxa"/>
            <w:tcBorders>
              <w:top w:val="single" w:sz="29" w:space="0" w:color="D3D3D3"/>
              <w:left w:val="single" w:sz="6" w:space="0" w:color="000000"/>
              <w:bottom w:val="single" w:sz="17" w:space="0" w:color="D3D3D3"/>
              <w:right w:val="single" w:sz="6" w:space="0" w:color="000000"/>
            </w:tcBorders>
          </w:tcPr>
          <w:p>
            <w:pPr>
              <w:pStyle w:val="TableParagraph"/>
              <w:tabs>
                <w:tab w:pos="1185" w:val="left" w:leader="none"/>
                <w:tab w:pos="3091" w:val="left" w:leader="none"/>
              </w:tabs>
              <w:spacing w:line="240" w:lineRule="auto" w:before="10"/>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期末余额</w:t>
              <w:tab/>
            </w:r>
            <w:r>
              <w:rPr>
                <w:rFonts w:ascii="宋体" w:hAnsi="宋体" w:cs="宋体" w:eastAsia="宋体" w:hint="default"/>
                <w:sz w:val="18"/>
                <w:szCs w:val="18"/>
              </w:rPr>
            </w:r>
          </w:p>
        </w:tc>
        <w:tc>
          <w:tcPr>
            <w:tcW w:w="3299" w:type="dxa"/>
            <w:tcBorders>
              <w:top w:val="single" w:sz="29" w:space="0" w:color="D3D3D3"/>
              <w:left w:val="single" w:sz="6" w:space="0" w:color="000000"/>
              <w:bottom w:val="single" w:sz="17" w:space="0" w:color="D3D3D3"/>
              <w:right w:val="single" w:sz="12" w:space="0" w:color="000000"/>
            </w:tcBorders>
          </w:tcPr>
          <w:p>
            <w:pPr>
              <w:pStyle w:val="TableParagraph"/>
              <w:tabs>
                <w:tab w:pos="1262" w:val="left" w:leader="none"/>
                <w:tab w:pos="3244" w:val="left" w:leader="none"/>
              </w:tabs>
              <w:spacing w:line="240" w:lineRule="auto" w:before="10"/>
              <w:ind w:right="11"/>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期初余额</w:t>
              <w:tab/>
            </w:r>
            <w:r>
              <w:rPr>
                <w:rFonts w:ascii="宋体" w:hAnsi="宋体" w:cs="宋体" w:eastAsia="宋体" w:hint="default"/>
                <w:sz w:val="18"/>
                <w:szCs w:val="18"/>
              </w:rPr>
            </w:r>
          </w:p>
        </w:tc>
      </w:tr>
      <w:tr>
        <w:trPr>
          <w:trHeight w:val="440" w:hRule="exact"/>
        </w:trPr>
        <w:tc>
          <w:tcPr>
            <w:tcW w:w="311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149" w:type="dxa"/>
            <w:tcBorders>
              <w:top w:val="single" w:sz="17" w:space="0" w:color="D3D3D3"/>
              <w:left w:val="single" w:sz="6" w:space="0" w:color="000000"/>
              <w:bottom w:val="single" w:sz="6" w:space="0" w:color="000000"/>
              <w:right w:val="single" w:sz="6" w:space="0" w:color="000000"/>
            </w:tcBorders>
          </w:tcPr>
          <w:p>
            <w:pPr>
              <w:pStyle w:val="TableParagraph"/>
              <w:spacing w:line="240" w:lineRule="auto" w:before="68"/>
              <w:ind w:right="18"/>
              <w:jc w:val="right"/>
              <w:rPr>
                <w:rFonts w:ascii="宋体" w:hAnsi="宋体" w:cs="宋体" w:eastAsia="宋体" w:hint="default"/>
                <w:sz w:val="18"/>
                <w:szCs w:val="18"/>
              </w:rPr>
            </w:pPr>
            <w:r>
              <w:rPr>
                <w:rFonts w:ascii="宋体"/>
                <w:sz w:val="18"/>
              </w:rPr>
              <w:t>407,225,702.61</w:t>
            </w:r>
          </w:p>
        </w:tc>
        <w:tc>
          <w:tcPr>
            <w:tcW w:w="3299" w:type="dxa"/>
            <w:tcBorders>
              <w:top w:val="single" w:sz="17" w:space="0" w:color="D3D3D3"/>
              <w:left w:val="single" w:sz="6" w:space="0" w:color="000000"/>
              <w:bottom w:val="single" w:sz="6" w:space="0" w:color="000000"/>
              <w:right w:val="single" w:sz="12" w:space="0" w:color="000000"/>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74,604,508.96</w:t>
            </w:r>
          </w:p>
        </w:tc>
      </w:tr>
      <w:tr>
        <w:trPr>
          <w:trHeight w:val="413"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4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减：库存股</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40"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专项储备</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盈余公积</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15,221,838.35</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11,420,696.55</w:t>
            </w:r>
          </w:p>
        </w:tc>
      </w:tr>
      <w:tr>
        <w:trPr>
          <w:trHeight w:val="413"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4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一般风险准备</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38"/>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未分配利润</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148,560,835.31</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79,705,891.40</w:t>
            </w:r>
          </w:p>
        </w:tc>
      </w:tr>
      <w:tr>
        <w:trPr>
          <w:trHeight w:val="412"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外币报表折算差额</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063" w:val="left" w:leader="none"/>
              </w:tabs>
              <w:spacing w:line="240" w:lineRule="auto" w:before="11"/>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归属于母公司所有者权益合计</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657,678,376.27</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230,731,096.91</w:t>
            </w:r>
          </w:p>
        </w:tc>
      </w:tr>
      <w:tr>
        <w:trPr>
          <w:trHeight w:val="412"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38"/>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少数股东权益</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40" w:space="0" w:color="D3D3D3"/>
              <w:left w:val="single" w:sz="12" w:space="0" w:color="000000"/>
              <w:bottom w:val="single" w:sz="40" w:space="0" w:color="D3D3D3"/>
              <w:right w:val="single" w:sz="6" w:space="0" w:color="000000"/>
            </w:tcBorders>
          </w:tcPr>
          <w:p>
            <w:pPr>
              <w:pStyle w:val="TableParagraph"/>
              <w:tabs>
                <w:tab w:pos="3063" w:val="left" w:leader="none"/>
              </w:tabs>
              <w:spacing w:line="240" w:lineRule="auto" w:before="10"/>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所有者权益（或股东权益）合计</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657,678,376.27</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230,731,096.91</w:t>
            </w:r>
          </w:p>
        </w:tc>
      </w:tr>
      <w:tr>
        <w:trPr>
          <w:trHeight w:val="421" w:hRule="exact"/>
        </w:trPr>
        <w:tc>
          <w:tcPr>
            <w:tcW w:w="3119" w:type="dxa"/>
            <w:tcBorders>
              <w:top w:val="single" w:sz="40" w:space="0" w:color="D3D3D3"/>
              <w:left w:val="single" w:sz="12" w:space="0" w:color="000000"/>
              <w:bottom w:val="single" w:sz="29" w:space="0" w:color="D3D3D3"/>
              <w:right w:val="single" w:sz="6"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负债和所有者权益（或股东权益）总计</w:t>
            </w:r>
            <w:r>
              <w:rPr>
                <w:rFonts w:ascii="宋体" w:hAnsi="宋体" w:cs="宋体" w:eastAsia="宋体" w:hint="default"/>
                <w:sz w:val="18"/>
                <w:szCs w:val="18"/>
              </w:rPr>
            </w:r>
          </w:p>
        </w:tc>
        <w:tc>
          <w:tcPr>
            <w:tcW w:w="31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787,143,812.83</w:t>
            </w:r>
          </w:p>
        </w:tc>
        <w:tc>
          <w:tcPr>
            <w:tcW w:w="329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335,373,330.41</w:t>
            </w:r>
          </w:p>
        </w:tc>
      </w:tr>
    </w:tbl>
    <w:p>
      <w:pPr>
        <w:tabs>
          <w:tab w:pos="3573" w:val="left" w:leader="none"/>
          <w:tab w:pos="7713" w:val="left" w:leader="none"/>
        </w:tabs>
        <w:spacing w:line="226" w:lineRule="exact" w:before="0"/>
        <w:ind w:left="154" w:right="132" w:firstLine="0"/>
        <w:jc w:val="left"/>
        <w:rPr>
          <w:rFonts w:ascii="宋体" w:hAnsi="宋体" w:cs="宋体" w:eastAsia="宋体" w:hint="default"/>
          <w:sz w:val="18"/>
          <w:szCs w:val="18"/>
        </w:rPr>
      </w:pPr>
      <w:r>
        <w:rPr>
          <w:rFonts w:ascii="宋体" w:hAnsi="宋体" w:cs="宋体" w:eastAsia="宋体" w:hint="default"/>
          <w:sz w:val="18"/>
          <w:szCs w:val="18"/>
        </w:rPr>
        <w:t>法定代表人：龙昌明</w:t>
        <w:tab/>
        <w:t>主管会计工作负责人：戴晓东</w:t>
        <w:tab/>
        <w:t>会计机构负责人：周振娟</w:t>
      </w:r>
    </w:p>
    <w:p>
      <w:pPr>
        <w:spacing w:line="240" w:lineRule="auto" w:before="13"/>
        <w:rPr>
          <w:rFonts w:ascii="宋体" w:hAnsi="宋体" w:cs="宋体" w:eastAsia="宋体" w:hint="default"/>
          <w:sz w:val="24"/>
          <w:szCs w:val="24"/>
        </w:rPr>
      </w:pPr>
    </w:p>
    <w:p>
      <w:pPr>
        <w:pStyle w:val="Heading2"/>
        <w:spacing w:line="240" w:lineRule="auto" w:before="0"/>
        <w:ind w:right="132"/>
        <w:jc w:val="left"/>
        <w:rPr>
          <w:b w:val="0"/>
          <w:bCs w:val="0"/>
        </w:rPr>
      </w:pPr>
      <w:r>
        <w:rPr/>
        <w:t>2、母公司资产负债表</w:t>
      </w:r>
      <w:r>
        <w:rPr>
          <w:b w:val="0"/>
          <w:bCs w:val="0"/>
        </w:rPr>
      </w:r>
    </w:p>
    <w:p>
      <w:pPr>
        <w:spacing w:line="240" w:lineRule="auto" w:before="2"/>
        <w:rPr>
          <w:rFonts w:ascii="宋体" w:hAnsi="宋体" w:cs="宋体" w:eastAsia="宋体" w:hint="default"/>
          <w:b/>
          <w:bCs/>
          <w:sz w:val="23"/>
          <w:szCs w:val="23"/>
        </w:rPr>
      </w:pPr>
    </w:p>
    <w:p>
      <w:pPr>
        <w:spacing w:before="44"/>
        <w:ind w:left="154" w:right="132" w:firstLine="0"/>
        <w:jc w:val="left"/>
        <w:rPr>
          <w:rFonts w:ascii="宋体" w:hAnsi="宋体" w:cs="宋体" w:eastAsia="宋体" w:hint="default"/>
          <w:sz w:val="18"/>
          <w:szCs w:val="18"/>
        </w:rPr>
      </w:pPr>
      <w:r>
        <w:rPr>
          <w:rFonts w:ascii="宋体" w:hAnsi="宋体" w:cs="宋体" w:eastAsia="宋体" w:hint="default"/>
          <w:sz w:val="18"/>
          <w:szCs w:val="18"/>
        </w:rPr>
        <w:t>编制单位：光一科技股份有限公司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19"/>
        <w:gridCol w:w="3149"/>
        <w:gridCol w:w="3299"/>
      </w:tblGrid>
      <w:tr>
        <w:trPr>
          <w:trHeight w:val="398" w:hRule="exact"/>
        </w:trPr>
        <w:tc>
          <w:tcPr>
            <w:tcW w:w="3119" w:type="dxa"/>
            <w:tcBorders>
              <w:top w:val="single" w:sz="29" w:space="0" w:color="D3D3D3"/>
              <w:left w:val="single" w:sz="12" w:space="0" w:color="000000"/>
              <w:bottom w:val="single" w:sz="17" w:space="0" w:color="D3D3D3"/>
              <w:right w:val="single" w:sz="6" w:space="0" w:color="000000"/>
            </w:tcBorders>
          </w:tcPr>
          <w:p>
            <w:pPr>
              <w:pStyle w:val="TableParagraph"/>
              <w:tabs>
                <w:tab w:pos="1351"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项目</w:t>
              <w:tab/>
            </w:r>
            <w:r>
              <w:rPr>
                <w:rFonts w:ascii="宋体" w:hAnsi="宋体" w:cs="宋体" w:eastAsia="宋体" w:hint="default"/>
                <w:sz w:val="18"/>
                <w:szCs w:val="18"/>
              </w:rPr>
            </w:r>
          </w:p>
        </w:tc>
        <w:tc>
          <w:tcPr>
            <w:tcW w:w="3149" w:type="dxa"/>
            <w:tcBorders>
              <w:top w:val="single" w:sz="29" w:space="0" w:color="D3D3D3"/>
              <w:left w:val="single" w:sz="6" w:space="0" w:color="000000"/>
              <w:bottom w:val="single" w:sz="17" w:space="0" w:color="D3D3D3"/>
              <w:right w:val="single" w:sz="6" w:space="0" w:color="000000"/>
            </w:tcBorders>
          </w:tcPr>
          <w:p>
            <w:pPr>
              <w:pStyle w:val="TableParagraph"/>
              <w:tabs>
                <w:tab w:pos="1185" w:val="left" w:leader="none"/>
                <w:tab w:pos="3091" w:val="left" w:leader="none"/>
              </w:tabs>
              <w:spacing w:line="240" w:lineRule="auto" w:before="10"/>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期末余额</w:t>
              <w:tab/>
            </w:r>
            <w:r>
              <w:rPr>
                <w:rFonts w:ascii="宋体" w:hAnsi="宋体" w:cs="宋体" w:eastAsia="宋体" w:hint="default"/>
                <w:sz w:val="18"/>
                <w:szCs w:val="18"/>
              </w:rPr>
            </w:r>
          </w:p>
        </w:tc>
        <w:tc>
          <w:tcPr>
            <w:tcW w:w="3299" w:type="dxa"/>
            <w:tcBorders>
              <w:top w:val="single" w:sz="29" w:space="0" w:color="D3D3D3"/>
              <w:left w:val="single" w:sz="6" w:space="0" w:color="000000"/>
              <w:bottom w:val="single" w:sz="17" w:space="0" w:color="D3D3D3"/>
              <w:right w:val="single" w:sz="12" w:space="0" w:color="000000"/>
            </w:tcBorders>
          </w:tcPr>
          <w:p>
            <w:pPr>
              <w:pStyle w:val="TableParagraph"/>
              <w:tabs>
                <w:tab w:pos="1262" w:val="left" w:leader="none"/>
                <w:tab w:pos="3244" w:val="left" w:leader="none"/>
              </w:tabs>
              <w:spacing w:line="240" w:lineRule="auto" w:before="10"/>
              <w:ind w:right="11"/>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期初余额</w:t>
              <w:tab/>
            </w:r>
            <w:r>
              <w:rPr>
                <w:rFonts w:ascii="宋体" w:hAnsi="宋体" w:cs="宋体" w:eastAsia="宋体" w:hint="default"/>
                <w:sz w:val="18"/>
                <w:szCs w:val="18"/>
              </w:rPr>
            </w:r>
          </w:p>
        </w:tc>
      </w:tr>
      <w:tr>
        <w:trPr>
          <w:trHeight w:val="383"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063" w:val="left" w:leader="none"/>
              </w:tabs>
              <w:spacing w:line="240" w:lineRule="auto" w:before="39"/>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流动资产：</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shd w:val="clear" w:color="auto" w:fill="D3D3D3"/>
          </w:tcPr>
          <w:p>
            <w:pPr/>
          </w:p>
        </w:tc>
        <w:tc>
          <w:tcPr>
            <w:tcW w:w="3299" w:type="dxa"/>
            <w:tcBorders>
              <w:top w:val="single" w:sz="6" w:space="0" w:color="000000"/>
              <w:left w:val="single" w:sz="6" w:space="0" w:color="000000"/>
              <w:bottom w:val="single" w:sz="6" w:space="0" w:color="000000"/>
              <w:right w:val="single" w:sz="12" w:space="0" w:color="000000"/>
            </w:tcBorders>
            <w:shd w:val="clear" w:color="auto" w:fill="D3D3D3"/>
          </w:tcPr>
          <w:p>
            <w:pPr/>
          </w:p>
        </w:tc>
      </w:tr>
      <w:tr>
        <w:trPr>
          <w:trHeight w:val="441" w:hRule="exact"/>
        </w:trPr>
        <w:tc>
          <w:tcPr>
            <w:tcW w:w="311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49" w:type="dxa"/>
            <w:tcBorders>
              <w:top w:val="single" w:sz="23" w:space="0" w:color="D3D3D3"/>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457,479,247.16</w:t>
            </w:r>
          </w:p>
        </w:tc>
        <w:tc>
          <w:tcPr>
            <w:tcW w:w="3299" w:type="dxa"/>
            <w:tcBorders>
              <w:top w:val="single" w:sz="23" w:space="0" w:color="D3D3D3"/>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89,238,109.97</w:t>
            </w:r>
          </w:p>
        </w:tc>
      </w:tr>
      <w:tr>
        <w:trPr>
          <w:trHeight w:val="412"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交易性金融资产</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4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应收票据</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692,200.00</w:t>
            </w:r>
          </w:p>
        </w:tc>
      </w:tr>
      <w:tr>
        <w:trPr>
          <w:trHeight w:val="413"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4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应收账款</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116,547,603.47</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123,170,907.60</w:t>
            </w:r>
          </w:p>
        </w:tc>
      </w:tr>
      <w:tr>
        <w:trPr>
          <w:trHeight w:val="412"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预付款项</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7,608,355.81</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12,127,495.80</w:t>
            </w:r>
          </w:p>
        </w:tc>
      </w:tr>
      <w:tr>
        <w:trPr>
          <w:trHeight w:val="412"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4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应收利息</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4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应收股利</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其他应收款</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33,158,746.69</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26,615,952.70</w:t>
            </w:r>
          </w:p>
        </w:tc>
      </w:tr>
      <w:tr>
        <w:trPr>
          <w:trHeight w:val="412"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4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存货</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40,901,362.99</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41,001,435.63</w:t>
            </w:r>
          </w:p>
        </w:tc>
      </w:tr>
      <w:tr>
        <w:trPr>
          <w:trHeight w:val="413"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4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一年内到期的非流动资产</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其他流动资产</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33"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063" w:val="left" w:leader="none"/>
              </w:tabs>
              <w:spacing w:line="240" w:lineRule="auto" w:before="11"/>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流动资产合计</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17" w:space="0" w:color="D3D3D3"/>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655,695,316.12</w:t>
            </w:r>
          </w:p>
        </w:tc>
        <w:tc>
          <w:tcPr>
            <w:tcW w:w="3299" w:type="dxa"/>
            <w:tcBorders>
              <w:top w:val="single" w:sz="6" w:space="0" w:color="000000"/>
              <w:left w:val="single" w:sz="6" w:space="0" w:color="000000"/>
              <w:bottom w:val="single" w:sz="17" w:space="0" w:color="D3D3D3"/>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292,846,101.70</w:t>
            </w:r>
          </w:p>
        </w:tc>
      </w:tr>
      <w:tr>
        <w:trPr>
          <w:trHeight w:val="362"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063" w:val="left" w:leader="none"/>
              </w:tabs>
              <w:spacing w:line="240" w:lineRule="auto" w:before="18"/>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非流动资产：</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shd w:val="clear" w:color="auto" w:fill="D3D3D3"/>
          </w:tcPr>
          <w:p>
            <w:pPr/>
          </w:p>
        </w:tc>
        <w:tc>
          <w:tcPr>
            <w:tcW w:w="3299" w:type="dxa"/>
            <w:tcBorders>
              <w:top w:val="single" w:sz="6" w:space="0" w:color="000000"/>
              <w:left w:val="single" w:sz="6" w:space="0" w:color="000000"/>
              <w:bottom w:val="single" w:sz="6" w:space="0" w:color="000000"/>
              <w:right w:val="single" w:sz="12" w:space="0" w:color="000000"/>
            </w:tcBorders>
            <w:shd w:val="clear" w:color="auto" w:fill="D3D3D3"/>
          </w:tcPr>
          <w:p>
            <w:pPr/>
          </w:p>
        </w:tc>
      </w:tr>
      <w:tr>
        <w:trPr>
          <w:trHeight w:val="448"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68"/>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可供出售金融资产</w:t>
              <w:tab/>
            </w:r>
            <w:r>
              <w:rPr>
                <w:rFonts w:ascii="宋体" w:hAnsi="宋体" w:cs="宋体" w:eastAsia="宋体" w:hint="default"/>
                <w:sz w:val="18"/>
                <w:szCs w:val="18"/>
              </w:rPr>
            </w:r>
          </w:p>
        </w:tc>
        <w:tc>
          <w:tcPr>
            <w:tcW w:w="3149" w:type="dxa"/>
            <w:tcBorders>
              <w:top w:val="single" w:sz="23" w:space="0" w:color="D3D3D3"/>
              <w:left w:val="single" w:sz="6" w:space="0" w:color="000000"/>
              <w:bottom w:val="single" w:sz="12" w:space="0" w:color="000000"/>
              <w:right w:val="single" w:sz="6" w:space="0" w:color="000000"/>
            </w:tcBorders>
          </w:tcPr>
          <w:p>
            <w:pPr/>
          </w:p>
        </w:tc>
        <w:tc>
          <w:tcPr>
            <w:tcW w:w="3299" w:type="dxa"/>
            <w:tcBorders>
              <w:top w:val="single" w:sz="23" w:space="0" w:color="D3D3D3"/>
              <w:left w:val="single" w:sz="6" w:space="0" w:color="000000"/>
              <w:bottom w:val="single" w:sz="12" w:space="0" w:color="000000"/>
              <w:right w:val="single" w:sz="12" w:space="0" w:color="000000"/>
            </w:tcBorders>
          </w:tcPr>
          <w:p>
            <w:pPr/>
          </w:p>
        </w:tc>
      </w:tr>
    </w:tbl>
    <w:p>
      <w:pPr>
        <w:spacing w:after="0"/>
        <w:sectPr>
          <w:pgSz w:w="11910" w:h="16840"/>
          <w:pgMar w:header="877" w:footer="1003" w:top="1100" w:bottom="120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3119"/>
        <w:gridCol w:w="3149"/>
        <w:gridCol w:w="3299"/>
      </w:tblGrid>
      <w:tr>
        <w:trPr>
          <w:trHeight w:val="370" w:hRule="exact"/>
        </w:trPr>
        <w:tc>
          <w:tcPr>
            <w:tcW w:w="3119" w:type="dxa"/>
            <w:tcBorders>
              <w:top w:val="single" w:sz="29" w:space="0" w:color="D3D3D3"/>
              <w:left w:val="single" w:sz="12" w:space="0" w:color="000000"/>
              <w:bottom w:val="single" w:sz="40" w:space="0" w:color="D3D3D3"/>
              <w:right w:val="single" w:sz="6" w:space="0" w:color="000000"/>
            </w:tcBorders>
          </w:tcPr>
          <w:p>
            <w:pPr>
              <w:pStyle w:val="TableParagraph"/>
              <w:tabs>
                <w:tab w:pos="1351"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项目</w:t>
              <w:tab/>
            </w:r>
            <w:r>
              <w:rPr>
                <w:rFonts w:ascii="宋体" w:hAnsi="宋体" w:cs="宋体" w:eastAsia="宋体" w:hint="default"/>
                <w:sz w:val="18"/>
                <w:szCs w:val="18"/>
              </w:rPr>
            </w:r>
          </w:p>
        </w:tc>
        <w:tc>
          <w:tcPr>
            <w:tcW w:w="3149" w:type="dxa"/>
            <w:tcBorders>
              <w:top w:val="single" w:sz="29" w:space="0" w:color="D3D3D3"/>
              <w:left w:val="single" w:sz="6" w:space="0" w:color="000000"/>
              <w:bottom w:val="single" w:sz="17" w:space="0" w:color="D3D3D3"/>
              <w:right w:val="single" w:sz="6" w:space="0" w:color="000000"/>
            </w:tcBorders>
          </w:tcPr>
          <w:p>
            <w:pPr>
              <w:pStyle w:val="TableParagraph"/>
              <w:tabs>
                <w:tab w:pos="1185" w:val="left" w:leader="none"/>
                <w:tab w:pos="3091" w:val="left" w:leader="none"/>
              </w:tabs>
              <w:spacing w:line="240" w:lineRule="auto" w:before="10"/>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期末余额</w:t>
              <w:tab/>
            </w:r>
            <w:r>
              <w:rPr>
                <w:rFonts w:ascii="宋体" w:hAnsi="宋体" w:cs="宋体" w:eastAsia="宋体" w:hint="default"/>
                <w:sz w:val="18"/>
                <w:szCs w:val="18"/>
              </w:rPr>
            </w:r>
          </w:p>
        </w:tc>
        <w:tc>
          <w:tcPr>
            <w:tcW w:w="3299" w:type="dxa"/>
            <w:tcBorders>
              <w:top w:val="single" w:sz="29" w:space="0" w:color="D3D3D3"/>
              <w:left w:val="single" w:sz="6" w:space="0" w:color="000000"/>
              <w:bottom w:val="single" w:sz="17" w:space="0" w:color="D3D3D3"/>
              <w:right w:val="single" w:sz="12" w:space="0" w:color="000000"/>
            </w:tcBorders>
          </w:tcPr>
          <w:p>
            <w:pPr>
              <w:pStyle w:val="TableParagraph"/>
              <w:tabs>
                <w:tab w:pos="1262" w:val="left" w:leader="none"/>
                <w:tab w:pos="3244" w:val="left" w:leader="none"/>
              </w:tabs>
              <w:spacing w:line="240" w:lineRule="auto" w:before="10"/>
              <w:ind w:right="11"/>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期初余额</w:t>
              <w:tab/>
            </w:r>
            <w:r>
              <w:rPr>
                <w:rFonts w:ascii="宋体" w:hAnsi="宋体" w:cs="宋体" w:eastAsia="宋体" w:hint="default"/>
                <w:sz w:val="18"/>
                <w:szCs w:val="18"/>
              </w:rPr>
            </w:r>
          </w:p>
        </w:tc>
      </w:tr>
      <w:tr>
        <w:trPr>
          <w:trHeight w:val="440" w:hRule="exact"/>
        </w:trPr>
        <w:tc>
          <w:tcPr>
            <w:tcW w:w="311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149" w:type="dxa"/>
            <w:tcBorders>
              <w:top w:val="single" w:sz="17" w:space="0" w:color="D3D3D3"/>
              <w:left w:val="single" w:sz="6" w:space="0" w:color="000000"/>
              <w:bottom w:val="single" w:sz="6" w:space="0" w:color="000000"/>
              <w:right w:val="single" w:sz="6" w:space="0" w:color="000000"/>
            </w:tcBorders>
          </w:tcPr>
          <w:p>
            <w:pPr/>
          </w:p>
        </w:tc>
        <w:tc>
          <w:tcPr>
            <w:tcW w:w="3299" w:type="dxa"/>
            <w:tcBorders>
              <w:top w:val="single" w:sz="17" w:space="0" w:color="D3D3D3"/>
              <w:left w:val="single" w:sz="6" w:space="0" w:color="000000"/>
              <w:bottom w:val="single" w:sz="6" w:space="0" w:color="000000"/>
              <w:right w:val="single" w:sz="12" w:space="0" w:color="000000"/>
            </w:tcBorders>
          </w:tcPr>
          <w:p>
            <w:pPr/>
          </w:p>
        </w:tc>
      </w:tr>
      <w:tr>
        <w:trPr>
          <w:trHeight w:val="413"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4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长期应收款</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40"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长期股权投资</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36,380,850.93</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31,633,688.40</w:t>
            </w:r>
          </w:p>
        </w:tc>
      </w:tr>
      <w:tr>
        <w:trPr>
          <w:trHeight w:val="412"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投资性房地产</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4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固定资产</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20,547,437.42</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16,423,518.27</w:t>
            </w:r>
          </w:p>
        </w:tc>
      </w:tr>
      <w:tr>
        <w:trPr>
          <w:trHeight w:val="412"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38"/>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在建工程</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9,560,318.33</w:t>
            </w: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工程物资</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11"/>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固定资产清理</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38"/>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生产性生物资产</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40"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油气资产</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119" w:type="dxa"/>
            <w:tcBorders>
              <w:top w:val="single" w:sz="40"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11"/>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无形资产</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27,125,858.87</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270,353.50</w:t>
            </w:r>
          </w:p>
        </w:tc>
      </w:tr>
      <w:tr>
        <w:trPr>
          <w:trHeight w:val="412"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开发支出</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商誉</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4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长期待摊费用</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40"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递延所得税资产</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1,124,298.08</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910,487.65</w:t>
            </w:r>
          </w:p>
        </w:tc>
      </w:tr>
      <w:tr>
        <w:trPr>
          <w:trHeight w:val="412"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其他非流动资产</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063" w:val="left" w:leader="none"/>
              </w:tabs>
              <w:spacing w:line="240" w:lineRule="auto" w:before="40"/>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非流动资产合计</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94,738,763.63</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49,238,047.82</w:t>
            </w:r>
          </w:p>
        </w:tc>
      </w:tr>
      <w:tr>
        <w:trPr>
          <w:trHeight w:val="433"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063" w:val="left" w:leader="none"/>
              </w:tabs>
              <w:spacing w:line="240" w:lineRule="auto" w:before="38"/>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资产总计</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23" w:space="0" w:color="D3D3D3"/>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750,434,079.75</w:t>
            </w:r>
          </w:p>
        </w:tc>
        <w:tc>
          <w:tcPr>
            <w:tcW w:w="3299" w:type="dxa"/>
            <w:tcBorders>
              <w:top w:val="single" w:sz="6" w:space="0" w:color="000000"/>
              <w:left w:val="single" w:sz="6" w:space="0" w:color="000000"/>
              <w:bottom w:val="single" w:sz="23" w:space="0" w:color="D3D3D3"/>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342,084,149.52</w:t>
            </w:r>
          </w:p>
        </w:tc>
      </w:tr>
      <w:tr>
        <w:trPr>
          <w:trHeight w:val="362"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063" w:val="left" w:leader="none"/>
              </w:tabs>
              <w:spacing w:line="225" w:lineRule="exact"/>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流动负债：</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shd w:val="clear" w:color="auto" w:fill="D3D3D3"/>
          </w:tcPr>
          <w:p>
            <w:pPr/>
          </w:p>
        </w:tc>
        <w:tc>
          <w:tcPr>
            <w:tcW w:w="3299" w:type="dxa"/>
            <w:tcBorders>
              <w:top w:val="single" w:sz="6" w:space="0" w:color="000000"/>
              <w:left w:val="single" w:sz="6" w:space="0" w:color="000000"/>
              <w:bottom w:val="single" w:sz="6" w:space="0" w:color="000000"/>
              <w:right w:val="single" w:sz="12" w:space="0" w:color="000000"/>
            </w:tcBorders>
            <w:shd w:val="clear" w:color="auto" w:fill="D3D3D3"/>
          </w:tcPr>
          <w:p>
            <w:pPr/>
          </w:p>
        </w:tc>
      </w:tr>
      <w:tr>
        <w:trPr>
          <w:trHeight w:val="441" w:hRule="exact"/>
        </w:trPr>
        <w:tc>
          <w:tcPr>
            <w:tcW w:w="311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149" w:type="dxa"/>
            <w:tcBorders>
              <w:top w:val="single" w:sz="17" w:space="0" w:color="D3D3D3"/>
              <w:left w:val="single" w:sz="6" w:space="0" w:color="000000"/>
              <w:bottom w:val="single" w:sz="6" w:space="0" w:color="000000"/>
              <w:right w:val="single" w:sz="6" w:space="0" w:color="000000"/>
            </w:tcBorders>
          </w:tcPr>
          <w:p>
            <w:pPr>
              <w:pStyle w:val="TableParagraph"/>
              <w:spacing w:line="240" w:lineRule="auto" w:before="68"/>
              <w:ind w:right="18"/>
              <w:jc w:val="right"/>
              <w:rPr>
                <w:rFonts w:ascii="宋体" w:hAnsi="宋体" w:cs="宋体" w:eastAsia="宋体" w:hint="default"/>
                <w:sz w:val="18"/>
                <w:szCs w:val="18"/>
              </w:rPr>
            </w:pPr>
            <w:r>
              <w:rPr>
                <w:rFonts w:ascii="宋体"/>
                <w:sz w:val="18"/>
              </w:rPr>
              <w:t>13,000,000.00</w:t>
            </w:r>
          </w:p>
        </w:tc>
        <w:tc>
          <w:tcPr>
            <w:tcW w:w="3299" w:type="dxa"/>
            <w:tcBorders>
              <w:top w:val="single" w:sz="17" w:space="0" w:color="D3D3D3"/>
              <w:left w:val="single" w:sz="6" w:space="0" w:color="000000"/>
              <w:bottom w:val="single" w:sz="6" w:space="0" w:color="000000"/>
              <w:right w:val="single" w:sz="12" w:space="0" w:color="000000"/>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15,000,000.00</w:t>
            </w:r>
          </w:p>
        </w:tc>
      </w:tr>
      <w:tr>
        <w:trPr>
          <w:trHeight w:val="412"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交易性金融负债</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应付票据</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31,236,928.32</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3,679,450.01</w:t>
            </w:r>
          </w:p>
        </w:tc>
      </w:tr>
      <w:tr>
        <w:trPr>
          <w:trHeight w:val="413"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4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应付账款</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40,205,597.59</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59,417,482.49</w:t>
            </w:r>
          </w:p>
        </w:tc>
      </w:tr>
      <w:tr>
        <w:trPr>
          <w:trHeight w:val="412"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预收款项</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4,111,571.20</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243,134.57</w:t>
            </w:r>
          </w:p>
        </w:tc>
      </w:tr>
      <w:tr>
        <w:trPr>
          <w:trHeight w:val="412"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应付职工薪酬</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10,775,899.19</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6,556,063.35</w:t>
            </w:r>
          </w:p>
        </w:tc>
      </w:tr>
      <w:tr>
        <w:trPr>
          <w:trHeight w:val="413"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4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应交税费</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8,997,805.22</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14,772,962.81</w:t>
            </w:r>
          </w:p>
        </w:tc>
      </w:tr>
      <w:tr>
        <w:trPr>
          <w:trHeight w:val="412"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应付利息</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应付股利</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4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其他应付款</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3,841,489.24</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352,878.92</w:t>
            </w:r>
          </w:p>
        </w:tc>
      </w:tr>
      <w:tr>
        <w:trPr>
          <w:trHeight w:val="412"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一年内到期的非流动负债</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其他流动负债</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21"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063" w:val="left" w:leader="none"/>
              </w:tabs>
              <w:spacing w:line="240" w:lineRule="auto" w:before="40"/>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流动负债合计</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112,169,290.76</w:t>
            </w:r>
          </w:p>
        </w:tc>
        <w:tc>
          <w:tcPr>
            <w:tcW w:w="329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100,021,972.15</w:t>
            </w:r>
          </w:p>
        </w:tc>
      </w:tr>
    </w:tbl>
    <w:p>
      <w:pPr>
        <w:spacing w:after="0" w:line="240" w:lineRule="auto"/>
        <w:jc w:val="right"/>
        <w:rPr>
          <w:rFonts w:ascii="宋体" w:hAnsi="宋体" w:cs="宋体" w:eastAsia="宋体" w:hint="default"/>
          <w:sz w:val="18"/>
          <w:szCs w:val="18"/>
        </w:rPr>
        <w:sectPr>
          <w:pgSz w:w="11910" w:h="16840"/>
          <w:pgMar w:header="877" w:footer="1003" w:top="1100" w:bottom="120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3119"/>
        <w:gridCol w:w="3149"/>
        <w:gridCol w:w="3299"/>
      </w:tblGrid>
      <w:tr>
        <w:trPr>
          <w:trHeight w:val="398" w:hRule="exact"/>
        </w:trPr>
        <w:tc>
          <w:tcPr>
            <w:tcW w:w="3119" w:type="dxa"/>
            <w:tcBorders>
              <w:top w:val="single" w:sz="29" w:space="0" w:color="D3D3D3"/>
              <w:left w:val="single" w:sz="12" w:space="0" w:color="000000"/>
              <w:bottom w:val="single" w:sz="40" w:space="0" w:color="D3D3D3"/>
              <w:right w:val="single" w:sz="6" w:space="0" w:color="000000"/>
            </w:tcBorders>
          </w:tcPr>
          <w:p>
            <w:pPr>
              <w:pStyle w:val="TableParagraph"/>
              <w:tabs>
                <w:tab w:pos="1351"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项目</w:t>
              <w:tab/>
            </w:r>
            <w:r>
              <w:rPr>
                <w:rFonts w:ascii="宋体" w:hAnsi="宋体" w:cs="宋体" w:eastAsia="宋体" w:hint="default"/>
                <w:sz w:val="18"/>
                <w:szCs w:val="18"/>
              </w:rPr>
            </w:r>
          </w:p>
        </w:tc>
        <w:tc>
          <w:tcPr>
            <w:tcW w:w="3149" w:type="dxa"/>
            <w:tcBorders>
              <w:top w:val="single" w:sz="29" w:space="0" w:color="D3D3D3"/>
              <w:left w:val="single" w:sz="6" w:space="0" w:color="000000"/>
              <w:bottom w:val="single" w:sz="40" w:space="0" w:color="D3D3D3"/>
              <w:right w:val="single" w:sz="6" w:space="0" w:color="000000"/>
            </w:tcBorders>
          </w:tcPr>
          <w:p>
            <w:pPr>
              <w:pStyle w:val="TableParagraph"/>
              <w:tabs>
                <w:tab w:pos="1185" w:val="left" w:leader="none"/>
                <w:tab w:pos="3091" w:val="left" w:leader="none"/>
              </w:tabs>
              <w:spacing w:line="240" w:lineRule="auto" w:before="10"/>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期末余额</w:t>
              <w:tab/>
            </w:r>
            <w:r>
              <w:rPr>
                <w:rFonts w:ascii="宋体" w:hAnsi="宋体" w:cs="宋体" w:eastAsia="宋体" w:hint="default"/>
                <w:sz w:val="18"/>
                <w:szCs w:val="18"/>
              </w:rPr>
            </w:r>
          </w:p>
        </w:tc>
        <w:tc>
          <w:tcPr>
            <w:tcW w:w="3299" w:type="dxa"/>
            <w:tcBorders>
              <w:top w:val="single" w:sz="29" w:space="0" w:color="D3D3D3"/>
              <w:left w:val="single" w:sz="6" w:space="0" w:color="000000"/>
              <w:bottom w:val="single" w:sz="40" w:space="0" w:color="D3D3D3"/>
              <w:right w:val="single" w:sz="12" w:space="0" w:color="000000"/>
            </w:tcBorders>
          </w:tcPr>
          <w:p>
            <w:pPr>
              <w:pStyle w:val="TableParagraph"/>
              <w:tabs>
                <w:tab w:pos="1262" w:val="left" w:leader="none"/>
                <w:tab w:pos="3244" w:val="left" w:leader="none"/>
              </w:tabs>
              <w:spacing w:line="240" w:lineRule="auto" w:before="10"/>
              <w:ind w:right="11"/>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期初余额</w:t>
              <w:tab/>
            </w:r>
            <w:r>
              <w:rPr>
                <w:rFonts w:ascii="宋体" w:hAnsi="宋体" w:cs="宋体" w:eastAsia="宋体" w:hint="default"/>
                <w:sz w:val="18"/>
                <w:szCs w:val="18"/>
              </w:rPr>
            </w:r>
          </w:p>
        </w:tc>
      </w:tr>
      <w:tr>
        <w:trPr>
          <w:trHeight w:val="383"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063" w:val="left" w:leader="none"/>
              </w:tabs>
              <w:spacing w:line="240" w:lineRule="auto" w:before="10"/>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非流动负债：</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shd w:val="clear" w:color="auto" w:fill="D3D3D3"/>
          </w:tcPr>
          <w:p>
            <w:pPr/>
          </w:p>
        </w:tc>
        <w:tc>
          <w:tcPr>
            <w:tcW w:w="3299" w:type="dxa"/>
            <w:tcBorders>
              <w:top w:val="single" w:sz="6" w:space="0" w:color="000000"/>
              <w:left w:val="single" w:sz="6" w:space="0" w:color="000000"/>
              <w:bottom w:val="single" w:sz="6" w:space="0" w:color="000000"/>
              <w:right w:val="single" w:sz="12" w:space="0" w:color="000000"/>
            </w:tcBorders>
            <w:shd w:val="clear" w:color="auto" w:fill="D3D3D3"/>
          </w:tcPr>
          <w:p>
            <w:pPr/>
          </w:p>
        </w:tc>
      </w:tr>
      <w:tr>
        <w:trPr>
          <w:trHeight w:val="441" w:hRule="exact"/>
        </w:trPr>
        <w:tc>
          <w:tcPr>
            <w:tcW w:w="311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149" w:type="dxa"/>
            <w:tcBorders>
              <w:top w:val="single" w:sz="23" w:space="0" w:color="D3D3D3"/>
              <w:left w:val="single" w:sz="6" w:space="0" w:color="000000"/>
              <w:bottom w:val="single" w:sz="6" w:space="0" w:color="000000"/>
              <w:right w:val="single" w:sz="6" w:space="0" w:color="000000"/>
            </w:tcBorders>
          </w:tcPr>
          <w:p>
            <w:pPr/>
          </w:p>
        </w:tc>
        <w:tc>
          <w:tcPr>
            <w:tcW w:w="3299" w:type="dxa"/>
            <w:tcBorders>
              <w:top w:val="single" w:sz="23" w:space="0" w:color="D3D3D3"/>
              <w:left w:val="single" w:sz="6" w:space="0" w:color="000000"/>
              <w:bottom w:val="single" w:sz="6" w:space="0" w:color="000000"/>
              <w:right w:val="single" w:sz="12" w:space="0" w:color="000000"/>
            </w:tcBorders>
          </w:tcPr>
          <w:p>
            <w:pPr/>
          </w:p>
        </w:tc>
      </w:tr>
      <w:tr>
        <w:trPr>
          <w:trHeight w:val="412" w:hRule="exact"/>
        </w:trPr>
        <w:tc>
          <w:tcPr>
            <w:tcW w:w="3119" w:type="dxa"/>
            <w:tcBorders>
              <w:top w:val="single" w:sz="40"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应付债券</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长期应付款</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4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专项应付款</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38"/>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预计负债</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递延所得税负债</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11"/>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其他非流动负债</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5,512,503.00</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1,612,503.00</w:t>
            </w:r>
          </w:p>
        </w:tc>
      </w:tr>
      <w:tr>
        <w:trPr>
          <w:trHeight w:val="412"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063" w:val="left" w:leader="none"/>
              </w:tabs>
              <w:spacing w:line="240" w:lineRule="auto" w:before="38"/>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非流动负债合计</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5,512,503.00</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1,612,503.00</w:t>
            </w:r>
          </w:p>
        </w:tc>
      </w:tr>
      <w:tr>
        <w:trPr>
          <w:trHeight w:val="433" w:hRule="exact"/>
        </w:trPr>
        <w:tc>
          <w:tcPr>
            <w:tcW w:w="3119" w:type="dxa"/>
            <w:tcBorders>
              <w:top w:val="single" w:sz="40" w:space="0" w:color="D3D3D3"/>
              <w:left w:val="single" w:sz="12" w:space="0" w:color="000000"/>
              <w:bottom w:val="single" w:sz="40" w:space="0" w:color="D3D3D3"/>
              <w:right w:val="single" w:sz="6" w:space="0" w:color="000000"/>
            </w:tcBorders>
          </w:tcPr>
          <w:p>
            <w:pPr>
              <w:pStyle w:val="TableParagraph"/>
              <w:tabs>
                <w:tab w:pos="3063" w:val="left" w:leader="none"/>
              </w:tabs>
              <w:spacing w:line="240" w:lineRule="auto" w:before="10"/>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负债合计</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23" w:space="0" w:color="D3D3D3"/>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117,681,793.76</w:t>
            </w:r>
          </w:p>
        </w:tc>
        <w:tc>
          <w:tcPr>
            <w:tcW w:w="3299" w:type="dxa"/>
            <w:tcBorders>
              <w:top w:val="single" w:sz="6" w:space="0" w:color="000000"/>
              <w:left w:val="single" w:sz="6" w:space="0" w:color="000000"/>
              <w:bottom w:val="single" w:sz="23" w:space="0" w:color="D3D3D3"/>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101,634,475.15</w:t>
            </w:r>
          </w:p>
        </w:tc>
      </w:tr>
      <w:tr>
        <w:trPr>
          <w:trHeight w:val="362" w:hRule="exact"/>
        </w:trPr>
        <w:tc>
          <w:tcPr>
            <w:tcW w:w="3119" w:type="dxa"/>
            <w:tcBorders>
              <w:top w:val="single" w:sz="40" w:space="0" w:color="D3D3D3"/>
              <w:left w:val="single" w:sz="12" w:space="0" w:color="000000"/>
              <w:bottom w:val="single" w:sz="40" w:space="0" w:color="D3D3D3"/>
              <w:right w:val="single" w:sz="6" w:space="0" w:color="000000"/>
            </w:tcBorders>
          </w:tcPr>
          <w:p>
            <w:pPr>
              <w:pStyle w:val="TableParagraph"/>
              <w:tabs>
                <w:tab w:pos="3063" w:val="left" w:leader="none"/>
              </w:tabs>
              <w:spacing w:line="225" w:lineRule="exact"/>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所有者权益（或股东权益</w:t>
            </w:r>
            <w:r>
              <w:rPr>
                <w:rFonts w:ascii="宋体" w:hAnsi="宋体" w:cs="宋体" w:eastAsia="宋体" w:hint="default"/>
                <w:spacing w:val="-90"/>
                <w:sz w:val="18"/>
                <w:szCs w:val="18"/>
                <w:shd w:fill="D3D3D3" w:color="auto" w:val="clear"/>
              </w:rPr>
              <w:t>）</w:t>
            </w:r>
            <w:r>
              <w:rPr>
                <w:rFonts w:ascii="宋体" w:hAnsi="宋体" w:cs="宋体" w:eastAsia="宋体" w:hint="default"/>
                <w:sz w:val="18"/>
                <w:szCs w:val="18"/>
                <w:shd w:fill="D3D3D3" w:color="auto" w:val="clear"/>
              </w:rPr>
              <w:t>：</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shd w:val="clear" w:color="auto" w:fill="D3D3D3"/>
          </w:tcPr>
          <w:p>
            <w:pPr/>
          </w:p>
        </w:tc>
        <w:tc>
          <w:tcPr>
            <w:tcW w:w="3299" w:type="dxa"/>
            <w:tcBorders>
              <w:top w:val="single" w:sz="6" w:space="0" w:color="000000"/>
              <w:left w:val="single" w:sz="6" w:space="0" w:color="000000"/>
              <w:bottom w:val="single" w:sz="6" w:space="0" w:color="000000"/>
              <w:right w:val="single" w:sz="12" w:space="0" w:color="000000"/>
            </w:tcBorders>
            <w:shd w:val="clear" w:color="auto" w:fill="D3D3D3"/>
          </w:tcPr>
          <w:p>
            <w:pPr/>
          </w:p>
        </w:tc>
      </w:tr>
      <w:tr>
        <w:trPr>
          <w:trHeight w:val="440" w:hRule="exact"/>
        </w:trPr>
        <w:tc>
          <w:tcPr>
            <w:tcW w:w="311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81"/>
              <w:ind w:left="373"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149" w:type="dxa"/>
            <w:tcBorders>
              <w:top w:val="single" w:sz="17" w:space="0" w:color="D3D3D3"/>
              <w:left w:val="single" w:sz="6" w:space="0" w:color="000000"/>
              <w:bottom w:val="single" w:sz="6" w:space="0" w:color="000000"/>
              <w:right w:val="single" w:sz="6" w:space="0" w:color="000000"/>
            </w:tcBorders>
          </w:tcPr>
          <w:p>
            <w:pPr>
              <w:pStyle w:val="TableParagraph"/>
              <w:spacing w:line="240" w:lineRule="auto" w:before="67"/>
              <w:ind w:right="18"/>
              <w:jc w:val="right"/>
              <w:rPr>
                <w:rFonts w:ascii="宋体" w:hAnsi="宋体" w:cs="宋体" w:eastAsia="宋体" w:hint="default"/>
                <w:sz w:val="18"/>
                <w:szCs w:val="18"/>
              </w:rPr>
            </w:pPr>
            <w:r>
              <w:rPr>
                <w:rFonts w:ascii="宋体"/>
                <w:sz w:val="18"/>
              </w:rPr>
              <w:t>86,670,000.00</w:t>
            </w:r>
          </w:p>
        </w:tc>
        <w:tc>
          <w:tcPr>
            <w:tcW w:w="3299" w:type="dxa"/>
            <w:tcBorders>
              <w:top w:val="single" w:sz="17" w:space="0" w:color="D3D3D3"/>
              <w:left w:val="single" w:sz="6" w:space="0" w:color="000000"/>
              <w:bottom w:val="single" w:sz="6" w:space="0" w:color="000000"/>
              <w:right w:val="single" w:sz="12" w:space="0" w:color="000000"/>
            </w:tcBorders>
          </w:tcPr>
          <w:p>
            <w:pPr>
              <w:pStyle w:val="TableParagraph"/>
              <w:spacing w:line="240" w:lineRule="auto" w:before="67"/>
              <w:ind w:right="11"/>
              <w:jc w:val="right"/>
              <w:rPr>
                <w:rFonts w:ascii="宋体" w:hAnsi="宋体" w:cs="宋体" w:eastAsia="宋体" w:hint="default"/>
                <w:sz w:val="18"/>
                <w:szCs w:val="18"/>
              </w:rPr>
            </w:pPr>
            <w:r>
              <w:rPr>
                <w:rFonts w:ascii="宋体"/>
                <w:sz w:val="18"/>
              </w:rPr>
              <w:t>65,000,000.00</w:t>
            </w:r>
          </w:p>
        </w:tc>
      </w:tr>
      <w:tr>
        <w:trPr>
          <w:trHeight w:val="412"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资本公积</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406,863,902.61</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74,242,708.96</w:t>
            </w:r>
          </w:p>
        </w:tc>
      </w:tr>
      <w:tr>
        <w:trPr>
          <w:trHeight w:val="413"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4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减：库存股</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40"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专项储备</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盈余公积</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15,221,838.35</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11,420,696.55</w:t>
            </w:r>
          </w:p>
        </w:tc>
      </w:tr>
      <w:tr>
        <w:trPr>
          <w:trHeight w:val="413" w:hRule="exact"/>
        </w:trPr>
        <w:tc>
          <w:tcPr>
            <w:tcW w:w="3119"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4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一般风险准备</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3063" w:val="left" w:leader="none"/>
              </w:tabs>
              <w:spacing w:line="240" w:lineRule="auto" w:before="38"/>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未分配利润</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123,996,545.03</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89,786,268.86</w:t>
            </w:r>
          </w:p>
        </w:tc>
      </w:tr>
      <w:tr>
        <w:trPr>
          <w:trHeight w:val="412" w:hRule="exact"/>
        </w:trPr>
        <w:tc>
          <w:tcPr>
            <w:tcW w:w="3119"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306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外币报表折算差额</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
        </w:tc>
        <w:tc>
          <w:tcPr>
            <w:tcW w:w="329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119" w:type="dxa"/>
            <w:tcBorders>
              <w:top w:val="single" w:sz="17" w:space="0" w:color="D3D3D3"/>
              <w:left w:val="single" w:sz="12" w:space="0" w:color="000000"/>
              <w:bottom w:val="single" w:sz="40" w:space="0" w:color="D3D3D3"/>
              <w:right w:val="single" w:sz="6" w:space="0" w:color="000000"/>
            </w:tcBorders>
          </w:tcPr>
          <w:p>
            <w:pPr>
              <w:pStyle w:val="TableParagraph"/>
              <w:tabs>
                <w:tab w:pos="3063" w:val="left" w:leader="none"/>
              </w:tabs>
              <w:spacing w:line="240" w:lineRule="auto" w:before="40"/>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所有者权益（或股东权益）合计</w:t>
              <w:tab/>
            </w:r>
            <w:r>
              <w:rPr>
                <w:rFonts w:ascii="宋体" w:hAnsi="宋体" w:cs="宋体" w:eastAsia="宋体" w:hint="default"/>
                <w:sz w:val="18"/>
                <w:szCs w:val="18"/>
              </w:rPr>
            </w:r>
          </w:p>
        </w:tc>
        <w:tc>
          <w:tcPr>
            <w:tcW w:w="3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632,752,285.99</w:t>
            </w:r>
          </w:p>
        </w:tc>
        <w:tc>
          <w:tcPr>
            <w:tcW w:w="3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240,449,674.37</w:t>
            </w:r>
          </w:p>
        </w:tc>
      </w:tr>
      <w:tr>
        <w:trPr>
          <w:trHeight w:val="419" w:hRule="exact"/>
        </w:trPr>
        <w:tc>
          <w:tcPr>
            <w:tcW w:w="3119" w:type="dxa"/>
            <w:tcBorders>
              <w:top w:val="single" w:sz="40" w:space="0" w:color="D3D3D3"/>
              <w:left w:val="single" w:sz="12" w:space="0" w:color="000000"/>
              <w:bottom w:val="single" w:sz="29" w:space="0" w:color="D3D3D3"/>
              <w:right w:val="single" w:sz="6"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负债和所有者权益（或股东权益）总计</w:t>
            </w:r>
            <w:r>
              <w:rPr>
                <w:rFonts w:ascii="宋体" w:hAnsi="宋体" w:cs="宋体" w:eastAsia="宋体" w:hint="default"/>
                <w:sz w:val="18"/>
                <w:szCs w:val="18"/>
              </w:rPr>
            </w:r>
          </w:p>
        </w:tc>
        <w:tc>
          <w:tcPr>
            <w:tcW w:w="31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750,434,079.75</w:t>
            </w:r>
          </w:p>
        </w:tc>
        <w:tc>
          <w:tcPr>
            <w:tcW w:w="329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342,084,149.52</w:t>
            </w:r>
          </w:p>
        </w:tc>
      </w:tr>
    </w:tbl>
    <w:p>
      <w:pPr>
        <w:tabs>
          <w:tab w:pos="3573" w:val="left" w:leader="none"/>
          <w:tab w:pos="7713" w:val="left" w:leader="none"/>
        </w:tabs>
        <w:spacing w:line="226" w:lineRule="exact" w:before="0"/>
        <w:ind w:left="154" w:right="132" w:firstLine="0"/>
        <w:jc w:val="left"/>
        <w:rPr>
          <w:rFonts w:ascii="宋体" w:hAnsi="宋体" w:cs="宋体" w:eastAsia="宋体" w:hint="default"/>
          <w:sz w:val="18"/>
          <w:szCs w:val="18"/>
        </w:rPr>
      </w:pPr>
      <w:r>
        <w:rPr>
          <w:rFonts w:ascii="宋体" w:hAnsi="宋体" w:cs="宋体" w:eastAsia="宋体" w:hint="default"/>
          <w:sz w:val="18"/>
          <w:szCs w:val="18"/>
        </w:rPr>
        <w:t>法定代表人：龙昌明</w:t>
        <w:tab/>
        <w:t>主管会计工作负责人：戴晓东</w:t>
        <w:tab/>
        <w:t>会计机构负责人：周振娟</w:t>
      </w:r>
    </w:p>
    <w:p>
      <w:pPr>
        <w:spacing w:line="240" w:lineRule="auto" w:before="13"/>
        <w:rPr>
          <w:rFonts w:ascii="宋体" w:hAnsi="宋体" w:cs="宋体" w:eastAsia="宋体" w:hint="default"/>
          <w:sz w:val="24"/>
          <w:szCs w:val="24"/>
        </w:rPr>
      </w:pPr>
    </w:p>
    <w:p>
      <w:pPr>
        <w:pStyle w:val="Heading2"/>
        <w:spacing w:line="240" w:lineRule="auto" w:before="0"/>
        <w:ind w:right="132"/>
        <w:jc w:val="left"/>
        <w:rPr>
          <w:b w:val="0"/>
          <w:bCs w:val="0"/>
        </w:rPr>
      </w:pPr>
      <w:r>
        <w:rPr/>
        <w:t>3、合并利润表</w:t>
      </w:r>
      <w:r>
        <w:rPr>
          <w:b w:val="0"/>
          <w:bCs w:val="0"/>
        </w:rPr>
      </w:r>
    </w:p>
    <w:p>
      <w:pPr>
        <w:spacing w:line="240" w:lineRule="auto" w:before="3"/>
        <w:rPr>
          <w:rFonts w:ascii="宋体" w:hAnsi="宋体" w:cs="宋体" w:eastAsia="宋体" w:hint="default"/>
          <w:b/>
          <w:bCs/>
          <w:sz w:val="23"/>
          <w:szCs w:val="23"/>
        </w:rPr>
      </w:pPr>
    </w:p>
    <w:p>
      <w:pPr>
        <w:spacing w:before="44"/>
        <w:ind w:left="154" w:right="132" w:firstLine="0"/>
        <w:jc w:val="left"/>
        <w:rPr>
          <w:rFonts w:ascii="宋体" w:hAnsi="宋体" w:cs="宋体" w:eastAsia="宋体" w:hint="default"/>
          <w:sz w:val="18"/>
          <w:szCs w:val="18"/>
        </w:rPr>
      </w:pPr>
      <w:r>
        <w:rPr>
          <w:rFonts w:ascii="宋体" w:hAnsi="宋体" w:cs="宋体" w:eastAsia="宋体" w:hint="default"/>
          <w:sz w:val="18"/>
          <w:szCs w:val="18"/>
        </w:rPr>
        <w:t>编制单位：光一科技股份有限公司</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4253"/>
        <w:gridCol w:w="2657"/>
        <w:gridCol w:w="2657"/>
      </w:tblGrid>
      <w:tr>
        <w:trPr>
          <w:trHeight w:val="369" w:hRule="exact"/>
        </w:trPr>
        <w:tc>
          <w:tcPr>
            <w:tcW w:w="4253" w:type="dxa"/>
            <w:tcBorders>
              <w:top w:val="single" w:sz="29" w:space="0" w:color="D3D3D3"/>
              <w:left w:val="single" w:sz="12" w:space="0" w:color="000000"/>
              <w:bottom w:val="single" w:sz="17" w:space="0" w:color="D3D3D3"/>
              <w:right w:val="single" w:sz="6" w:space="0" w:color="000000"/>
            </w:tcBorders>
          </w:tcPr>
          <w:p>
            <w:pPr>
              <w:pStyle w:val="TableParagraph"/>
              <w:tabs>
                <w:tab w:pos="1931" w:val="left" w:leader="none"/>
                <w:tab w:pos="4210" w:val="left" w:leader="none"/>
              </w:tabs>
              <w:spacing w:line="240" w:lineRule="auto" w:before="10"/>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项目</w:t>
              <w:tab/>
            </w:r>
            <w:r>
              <w:rPr>
                <w:rFonts w:ascii="宋体" w:hAnsi="宋体" w:cs="宋体" w:eastAsia="宋体" w:hint="default"/>
                <w:sz w:val="18"/>
                <w:szCs w:val="18"/>
              </w:rPr>
            </w:r>
          </w:p>
        </w:tc>
        <w:tc>
          <w:tcPr>
            <w:tcW w:w="2657" w:type="dxa"/>
            <w:tcBorders>
              <w:top w:val="single" w:sz="29" w:space="0" w:color="D3D3D3"/>
              <w:left w:val="single" w:sz="6" w:space="0" w:color="000000"/>
              <w:bottom w:val="single" w:sz="23" w:space="0" w:color="D3D3D3"/>
              <w:right w:val="single" w:sz="6" w:space="0" w:color="000000"/>
            </w:tcBorders>
          </w:tcPr>
          <w:p>
            <w:pPr>
              <w:pStyle w:val="TableParagraph"/>
              <w:tabs>
                <w:tab w:pos="940" w:val="left" w:leader="none"/>
                <w:tab w:pos="2600"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本期金额</w:t>
              <w:tab/>
            </w:r>
            <w:r>
              <w:rPr>
                <w:rFonts w:ascii="宋体" w:hAnsi="宋体" w:cs="宋体" w:eastAsia="宋体" w:hint="default"/>
                <w:sz w:val="18"/>
                <w:szCs w:val="18"/>
              </w:rPr>
            </w:r>
          </w:p>
        </w:tc>
        <w:tc>
          <w:tcPr>
            <w:tcW w:w="2657" w:type="dxa"/>
            <w:tcBorders>
              <w:top w:val="single" w:sz="29" w:space="0" w:color="D3D3D3"/>
              <w:left w:val="single" w:sz="6" w:space="0" w:color="000000"/>
              <w:bottom w:val="single" w:sz="23" w:space="0" w:color="D3D3D3"/>
              <w:right w:val="single" w:sz="12" w:space="0" w:color="000000"/>
            </w:tcBorders>
          </w:tcPr>
          <w:p>
            <w:pPr>
              <w:pStyle w:val="TableParagraph"/>
              <w:tabs>
                <w:tab w:pos="940" w:val="left" w:leader="none"/>
                <w:tab w:pos="2601" w:val="left" w:leader="none"/>
              </w:tabs>
              <w:spacing w:line="240" w:lineRule="auto" w:before="10"/>
              <w:ind w:right="11"/>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上期金额</w:t>
              <w:tab/>
            </w:r>
            <w:r>
              <w:rPr>
                <w:rFonts w:ascii="宋体" w:hAnsi="宋体" w:cs="宋体" w:eastAsia="宋体" w:hint="default"/>
                <w:sz w:val="18"/>
                <w:szCs w:val="18"/>
              </w:rPr>
            </w:r>
          </w:p>
        </w:tc>
      </w:tr>
      <w:tr>
        <w:trPr>
          <w:trHeight w:val="441"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657" w:type="dxa"/>
            <w:tcBorders>
              <w:top w:val="single" w:sz="23" w:space="0" w:color="D3D3D3"/>
              <w:left w:val="single" w:sz="6" w:space="0" w:color="000000"/>
              <w:bottom w:val="single" w:sz="6" w:space="0" w:color="000000"/>
              <w:right w:val="single" w:sz="6" w:space="0" w:color="000000"/>
            </w:tcBorders>
          </w:tcPr>
          <w:p>
            <w:pPr>
              <w:pStyle w:val="TableParagraph"/>
              <w:spacing w:line="240" w:lineRule="auto" w:before="61"/>
              <w:ind w:right="17"/>
              <w:jc w:val="right"/>
              <w:rPr>
                <w:rFonts w:ascii="宋体" w:hAnsi="宋体" w:cs="宋体" w:eastAsia="宋体" w:hint="default"/>
                <w:sz w:val="18"/>
                <w:szCs w:val="18"/>
              </w:rPr>
            </w:pPr>
            <w:r>
              <w:rPr>
                <w:rFonts w:ascii="宋体"/>
                <w:sz w:val="18"/>
              </w:rPr>
              <w:t>385,898,898.22</w:t>
            </w:r>
          </w:p>
        </w:tc>
        <w:tc>
          <w:tcPr>
            <w:tcW w:w="2657" w:type="dxa"/>
            <w:tcBorders>
              <w:top w:val="single" w:sz="23" w:space="0" w:color="D3D3D3"/>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257,408,204.51</w:t>
            </w:r>
          </w:p>
        </w:tc>
      </w:tr>
      <w:tr>
        <w:trPr>
          <w:trHeight w:val="412" w:hRule="exact"/>
        </w:trPr>
        <w:tc>
          <w:tcPr>
            <w:tcW w:w="4253" w:type="dxa"/>
            <w:tcBorders>
              <w:top w:val="single" w:sz="17" w:space="0" w:color="D3D3D3"/>
              <w:left w:val="single" w:sz="12" w:space="0" w:color="000000"/>
              <w:bottom w:val="single" w:sz="40" w:space="0" w:color="D3D3D3"/>
              <w:right w:val="single" w:sz="6" w:space="0" w:color="000000"/>
            </w:tcBorders>
          </w:tcPr>
          <w:p>
            <w:pPr>
              <w:pStyle w:val="TableParagraph"/>
              <w:tabs>
                <w:tab w:pos="373" w:val="left" w:leader="none"/>
                <w:tab w:pos="4210" w:val="left" w:leader="none"/>
              </w:tabs>
              <w:spacing w:line="240" w:lineRule="auto" w:before="3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其中：营业收入</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385,898,898.22</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257,408,204.51</w:t>
            </w:r>
          </w:p>
        </w:tc>
      </w:tr>
      <w:tr>
        <w:trPr>
          <w:trHeight w:val="412"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9" w:hRule="exact"/>
        </w:trPr>
        <w:tc>
          <w:tcPr>
            <w:tcW w:w="4253"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657" w:type="dxa"/>
            <w:tcBorders>
              <w:top w:val="single" w:sz="6" w:space="0" w:color="000000"/>
              <w:left w:val="single" w:sz="6" w:space="0" w:color="000000"/>
              <w:bottom w:val="single" w:sz="12" w:space="0" w:color="000000"/>
              <w:right w:val="single" w:sz="6" w:space="0" w:color="000000"/>
            </w:tcBorders>
          </w:tcPr>
          <w:p>
            <w:pPr/>
          </w:p>
        </w:tc>
        <w:tc>
          <w:tcPr>
            <w:tcW w:w="2657"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1003" w:top="1100" w:bottom="120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4253"/>
        <w:gridCol w:w="2657"/>
        <w:gridCol w:w="2657"/>
      </w:tblGrid>
      <w:tr>
        <w:trPr>
          <w:trHeight w:val="370" w:hRule="exact"/>
        </w:trPr>
        <w:tc>
          <w:tcPr>
            <w:tcW w:w="4253" w:type="dxa"/>
            <w:tcBorders>
              <w:top w:val="single" w:sz="29" w:space="0" w:color="D3D3D3"/>
              <w:left w:val="single" w:sz="12" w:space="0" w:color="000000"/>
              <w:bottom w:val="single" w:sz="40" w:space="0" w:color="D3D3D3"/>
              <w:right w:val="single" w:sz="6" w:space="0" w:color="000000"/>
            </w:tcBorders>
          </w:tcPr>
          <w:p>
            <w:pPr>
              <w:pStyle w:val="TableParagraph"/>
              <w:tabs>
                <w:tab w:pos="1931" w:val="left" w:leader="none"/>
                <w:tab w:pos="4210" w:val="left" w:leader="none"/>
              </w:tabs>
              <w:spacing w:line="240" w:lineRule="auto" w:before="10"/>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项目</w:t>
              <w:tab/>
            </w:r>
            <w:r>
              <w:rPr>
                <w:rFonts w:ascii="宋体" w:hAnsi="宋体" w:cs="宋体" w:eastAsia="宋体" w:hint="default"/>
                <w:sz w:val="18"/>
                <w:szCs w:val="18"/>
              </w:rPr>
            </w:r>
          </w:p>
        </w:tc>
        <w:tc>
          <w:tcPr>
            <w:tcW w:w="2657" w:type="dxa"/>
            <w:tcBorders>
              <w:top w:val="single" w:sz="29" w:space="0" w:color="D3D3D3"/>
              <w:left w:val="single" w:sz="6" w:space="0" w:color="000000"/>
              <w:bottom w:val="single" w:sz="17" w:space="0" w:color="D3D3D3"/>
              <w:right w:val="single" w:sz="6" w:space="0" w:color="000000"/>
            </w:tcBorders>
          </w:tcPr>
          <w:p>
            <w:pPr>
              <w:pStyle w:val="TableParagraph"/>
              <w:tabs>
                <w:tab w:pos="940" w:val="left" w:leader="none"/>
                <w:tab w:pos="2600"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本期金额</w:t>
              <w:tab/>
            </w:r>
            <w:r>
              <w:rPr>
                <w:rFonts w:ascii="宋体" w:hAnsi="宋体" w:cs="宋体" w:eastAsia="宋体" w:hint="default"/>
                <w:sz w:val="18"/>
                <w:szCs w:val="18"/>
              </w:rPr>
            </w:r>
          </w:p>
        </w:tc>
        <w:tc>
          <w:tcPr>
            <w:tcW w:w="2657" w:type="dxa"/>
            <w:tcBorders>
              <w:top w:val="single" w:sz="29" w:space="0" w:color="D3D3D3"/>
              <w:left w:val="single" w:sz="6" w:space="0" w:color="000000"/>
              <w:bottom w:val="single" w:sz="17" w:space="0" w:color="D3D3D3"/>
              <w:right w:val="single" w:sz="12" w:space="0" w:color="000000"/>
            </w:tcBorders>
          </w:tcPr>
          <w:p>
            <w:pPr>
              <w:pStyle w:val="TableParagraph"/>
              <w:tabs>
                <w:tab w:pos="940" w:val="left" w:leader="none"/>
                <w:tab w:pos="2601" w:val="left" w:leader="none"/>
              </w:tabs>
              <w:spacing w:line="240" w:lineRule="auto" w:before="10"/>
              <w:ind w:right="11"/>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上期金额</w:t>
              <w:tab/>
            </w:r>
            <w:r>
              <w:rPr>
                <w:rFonts w:ascii="宋体" w:hAnsi="宋体" w:cs="宋体" w:eastAsia="宋体" w:hint="default"/>
                <w:sz w:val="18"/>
                <w:szCs w:val="18"/>
              </w:rPr>
            </w:r>
          </w:p>
        </w:tc>
      </w:tr>
      <w:tr>
        <w:trPr>
          <w:trHeight w:val="441"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657" w:type="dxa"/>
            <w:tcBorders>
              <w:top w:val="single" w:sz="17" w:space="0" w:color="D3D3D3"/>
              <w:left w:val="single" w:sz="6" w:space="0" w:color="000000"/>
              <w:bottom w:val="single" w:sz="6" w:space="0" w:color="000000"/>
              <w:right w:val="single" w:sz="6" w:space="0" w:color="000000"/>
            </w:tcBorders>
          </w:tcPr>
          <w:p>
            <w:pPr>
              <w:pStyle w:val="TableParagraph"/>
              <w:spacing w:line="240" w:lineRule="auto" w:before="68"/>
              <w:ind w:right="17"/>
              <w:jc w:val="right"/>
              <w:rPr>
                <w:rFonts w:ascii="宋体" w:hAnsi="宋体" w:cs="宋体" w:eastAsia="宋体" w:hint="default"/>
                <w:sz w:val="18"/>
                <w:szCs w:val="18"/>
              </w:rPr>
            </w:pPr>
            <w:r>
              <w:rPr>
                <w:rFonts w:ascii="宋体"/>
                <w:sz w:val="18"/>
              </w:rPr>
              <w:t>308,020,638.15</w:t>
            </w:r>
          </w:p>
        </w:tc>
        <w:tc>
          <w:tcPr>
            <w:tcW w:w="2657" w:type="dxa"/>
            <w:tcBorders>
              <w:top w:val="single" w:sz="17" w:space="0" w:color="D3D3D3"/>
              <w:left w:val="single" w:sz="6" w:space="0" w:color="000000"/>
              <w:bottom w:val="single" w:sz="6" w:space="0" w:color="000000"/>
              <w:right w:val="single" w:sz="12" w:space="0" w:color="000000"/>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201,734,873.69</w:t>
            </w:r>
          </w:p>
        </w:tc>
      </w:tr>
      <w:tr>
        <w:trPr>
          <w:trHeight w:val="412" w:hRule="exact"/>
        </w:trPr>
        <w:tc>
          <w:tcPr>
            <w:tcW w:w="4253" w:type="dxa"/>
            <w:tcBorders>
              <w:top w:val="single" w:sz="17" w:space="0" w:color="D3D3D3"/>
              <w:left w:val="single" w:sz="12" w:space="0" w:color="000000"/>
              <w:bottom w:val="single" w:sz="40" w:space="0" w:color="D3D3D3"/>
              <w:right w:val="single" w:sz="6" w:space="0" w:color="000000"/>
            </w:tcBorders>
          </w:tcPr>
          <w:p>
            <w:pPr>
              <w:pStyle w:val="TableParagraph"/>
              <w:tabs>
                <w:tab w:pos="373" w:val="left" w:leader="none"/>
                <w:tab w:pos="4210" w:val="left" w:leader="none"/>
              </w:tabs>
              <w:spacing w:line="240" w:lineRule="auto" w:before="3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其中：营业成本</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236,996,904.05</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148,638,185.75</w:t>
            </w:r>
          </w:p>
        </w:tc>
      </w:tr>
      <w:tr>
        <w:trPr>
          <w:trHeight w:val="412"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40" w:space="0" w:color="D3D3D3"/>
              <w:left w:val="single" w:sz="12" w:space="0" w:color="000000"/>
              <w:bottom w:val="single" w:sz="40" w:space="0" w:color="D3D3D3"/>
              <w:right w:val="single" w:sz="6" w:space="0" w:color="000000"/>
            </w:tcBorders>
          </w:tcPr>
          <w:p>
            <w:pPr>
              <w:pStyle w:val="TableParagraph"/>
              <w:tabs>
                <w:tab w:pos="913" w:val="left" w:leader="none"/>
                <w:tab w:pos="4210" w:val="left" w:leader="none"/>
              </w:tabs>
              <w:spacing w:line="240" w:lineRule="auto" w:before="10"/>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营业税金及附加</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3,574,531.68</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3,717,640.82</w:t>
            </w:r>
          </w:p>
        </w:tc>
      </w:tr>
      <w:tr>
        <w:trPr>
          <w:trHeight w:val="412" w:hRule="exact"/>
        </w:trPr>
        <w:tc>
          <w:tcPr>
            <w:tcW w:w="4253" w:type="dxa"/>
            <w:tcBorders>
              <w:top w:val="single" w:sz="40" w:space="0" w:color="D3D3D3"/>
              <w:left w:val="single" w:sz="12" w:space="0" w:color="000000"/>
              <w:bottom w:val="single" w:sz="40" w:space="0" w:color="D3D3D3"/>
              <w:right w:val="single" w:sz="6" w:space="0" w:color="000000"/>
            </w:tcBorders>
          </w:tcPr>
          <w:p>
            <w:pPr>
              <w:pStyle w:val="TableParagraph"/>
              <w:tabs>
                <w:tab w:pos="913" w:val="left" w:leader="none"/>
                <w:tab w:pos="4210" w:val="left" w:leader="none"/>
              </w:tabs>
              <w:spacing w:line="240" w:lineRule="auto" w:before="10"/>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销售费用</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14,449,929.95</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12,198,552.40</w:t>
            </w:r>
          </w:p>
        </w:tc>
      </w:tr>
      <w:tr>
        <w:trPr>
          <w:trHeight w:val="412" w:hRule="exact"/>
        </w:trPr>
        <w:tc>
          <w:tcPr>
            <w:tcW w:w="4253" w:type="dxa"/>
            <w:tcBorders>
              <w:top w:val="single" w:sz="40" w:space="0" w:color="D3D3D3"/>
              <w:left w:val="single" w:sz="12" w:space="0" w:color="000000"/>
              <w:bottom w:val="single" w:sz="17" w:space="0" w:color="D3D3D3"/>
              <w:right w:val="single" w:sz="6" w:space="0" w:color="000000"/>
            </w:tcBorders>
          </w:tcPr>
          <w:p>
            <w:pPr>
              <w:pStyle w:val="TableParagraph"/>
              <w:tabs>
                <w:tab w:pos="913" w:val="left" w:leader="none"/>
                <w:tab w:pos="4210" w:val="left" w:leader="none"/>
              </w:tabs>
              <w:spacing w:line="240" w:lineRule="auto" w:before="10"/>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管理费用</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50,994,991.13</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32,499,987.92</w:t>
            </w:r>
          </w:p>
        </w:tc>
      </w:tr>
      <w:tr>
        <w:trPr>
          <w:trHeight w:val="412" w:hRule="exact"/>
        </w:trPr>
        <w:tc>
          <w:tcPr>
            <w:tcW w:w="4253" w:type="dxa"/>
            <w:tcBorders>
              <w:top w:val="single" w:sz="17" w:space="0" w:color="D3D3D3"/>
              <w:left w:val="single" w:sz="12" w:space="0" w:color="000000"/>
              <w:bottom w:val="single" w:sz="17" w:space="0" w:color="D3D3D3"/>
              <w:right w:val="single" w:sz="6" w:space="0" w:color="000000"/>
            </w:tcBorders>
          </w:tcPr>
          <w:p>
            <w:pPr>
              <w:pStyle w:val="TableParagraph"/>
              <w:tabs>
                <w:tab w:pos="913" w:val="left" w:leader="none"/>
                <w:tab w:pos="4210" w:val="left" w:leader="none"/>
              </w:tabs>
              <w:spacing w:line="240" w:lineRule="auto" w:before="3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财务费用</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930,058.93</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289,294.43</w:t>
            </w:r>
          </w:p>
        </w:tc>
      </w:tr>
      <w:tr>
        <w:trPr>
          <w:trHeight w:val="412" w:hRule="exact"/>
        </w:trPr>
        <w:tc>
          <w:tcPr>
            <w:tcW w:w="4253" w:type="dxa"/>
            <w:tcBorders>
              <w:top w:val="single" w:sz="17" w:space="0" w:color="D3D3D3"/>
              <w:left w:val="single" w:sz="12" w:space="0" w:color="000000"/>
              <w:bottom w:val="single" w:sz="40" w:space="0" w:color="D3D3D3"/>
              <w:right w:val="single" w:sz="6" w:space="0" w:color="000000"/>
            </w:tcBorders>
          </w:tcPr>
          <w:p>
            <w:pPr>
              <w:pStyle w:val="TableParagraph"/>
              <w:tabs>
                <w:tab w:pos="913" w:val="left" w:leader="none"/>
                <w:tab w:pos="4210" w:val="left" w:leader="none"/>
              </w:tabs>
              <w:spacing w:line="240" w:lineRule="auto" w:before="3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资产减值损失</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1,074,222.41</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4,391,212.37</w:t>
            </w:r>
          </w:p>
        </w:tc>
      </w:tr>
      <w:tr>
        <w:trPr>
          <w:trHeight w:val="412" w:hRule="exact"/>
        </w:trPr>
        <w:tc>
          <w:tcPr>
            <w:tcW w:w="4253" w:type="dxa"/>
            <w:tcBorders>
              <w:top w:val="single" w:sz="40" w:space="0" w:color="D3D3D3"/>
              <w:left w:val="single" w:sz="12" w:space="0" w:color="000000"/>
              <w:bottom w:val="single" w:sz="40" w:space="0" w:color="D3D3D3"/>
              <w:right w:val="single" w:sz="6" w:space="0" w:color="000000"/>
            </w:tcBorders>
          </w:tcPr>
          <w:p>
            <w:pPr>
              <w:pStyle w:val="TableParagraph"/>
              <w:tabs>
                <w:tab w:pos="373" w:val="left" w:leader="none"/>
              </w:tabs>
              <w:spacing w:line="240" w:lineRule="auto" w:before="10"/>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加：公允价值变动收益（损失以“－”号填列）</w:t>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40" w:space="0" w:color="D3D3D3"/>
              <w:left w:val="single" w:sz="12" w:space="0" w:color="000000"/>
              <w:bottom w:val="single" w:sz="17" w:space="0" w:color="D3D3D3"/>
              <w:right w:val="single" w:sz="6" w:space="0" w:color="000000"/>
            </w:tcBorders>
          </w:tcPr>
          <w:p>
            <w:pPr>
              <w:pStyle w:val="TableParagraph"/>
              <w:tabs>
                <w:tab w:pos="913" w:val="left" w:leader="none"/>
                <w:tab w:pos="4210" w:val="left" w:leader="none"/>
              </w:tabs>
              <w:spacing w:line="240" w:lineRule="auto" w:before="10"/>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投资收益（损失以“－”号填列）</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27,162.53</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-4,511.60</w:t>
            </w:r>
          </w:p>
        </w:tc>
      </w:tr>
      <w:tr>
        <w:trPr>
          <w:trHeight w:val="412" w:hRule="exact"/>
        </w:trPr>
        <w:tc>
          <w:tcPr>
            <w:tcW w:w="4253" w:type="dxa"/>
            <w:tcBorders>
              <w:top w:val="single" w:sz="17" w:space="0" w:color="D3D3D3"/>
              <w:left w:val="single" w:sz="12" w:space="0" w:color="000000"/>
              <w:bottom w:val="single" w:sz="17" w:space="0" w:color="D3D3D3"/>
              <w:right w:val="single" w:sz="6" w:space="0" w:color="000000"/>
            </w:tcBorders>
          </w:tcPr>
          <w:p>
            <w:pPr>
              <w:pStyle w:val="TableParagraph"/>
              <w:tabs>
                <w:tab w:pos="913" w:val="left" w:leader="none"/>
              </w:tabs>
              <w:spacing w:line="240" w:lineRule="auto" w:before="3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其中：对联营企业和合营企业的投资收益</w:t>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汇兑收益（损失以“-”号填列）</w:t>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40" w:space="0" w:color="D3D3D3"/>
              <w:left w:val="single" w:sz="12" w:space="0" w:color="000000"/>
              <w:bottom w:val="single" w:sz="17" w:space="0" w:color="D3D3D3"/>
              <w:right w:val="single" w:sz="6" w:space="0" w:color="000000"/>
            </w:tcBorders>
          </w:tcPr>
          <w:p>
            <w:pPr>
              <w:pStyle w:val="TableParagraph"/>
              <w:tabs>
                <w:tab w:pos="4210" w:val="left" w:leader="none"/>
              </w:tabs>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三、营业利润（亏损以“－”号填列）</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77,905,422.60</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55,668,819.22</w:t>
            </w:r>
          </w:p>
        </w:tc>
      </w:tr>
      <w:tr>
        <w:trPr>
          <w:trHeight w:val="412" w:hRule="exact"/>
        </w:trPr>
        <w:tc>
          <w:tcPr>
            <w:tcW w:w="4253" w:type="dxa"/>
            <w:tcBorders>
              <w:top w:val="single" w:sz="17" w:space="0" w:color="D3D3D3"/>
              <w:left w:val="single" w:sz="12" w:space="0" w:color="000000"/>
              <w:bottom w:val="single" w:sz="40" w:space="0" w:color="D3D3D3"/>
              <w:right w:val="single" w:sz="6" w:space="0" w:color="000000"/>
            </w:tcBorders>
          </w:tcPr>
          <w:p>
            <w:pPr>
              <w:pStyle w:val="TableParagraph"/>
              <w:tabs>
                <w:tab w:pos="373" w:val="left" w:leader="none"/>
                <w:tab w:pos="4210" w:val="left" w:leader="none"/>
              </w:tabs>
              <w:spacing w:line="240" w:lineRule="auto" w:before="3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加：营业外收入</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8,060,347.51</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7,598,526.44</w:t>
            </w:r>
          </w:p>
        </w:tc>
      </w:tr>
      <w:tr>
        <w:trPr>
          <w:trHeight w:val="412" w:hRule="exact"/>
        </w:trPr>
        <w:tc>
          <w:tcPr>
            <w:tcW w:w="4253" w:type="dxa"/>
            <w:tcBorders>
              <w:top w:val="single" w:sz="40" w:space="0" w:color="D3D3D3"/>
              <w:left w:val="single" w:sz="12" w:space="0" w:color="000000"/>
              <w:bottom w:val="single" w:sz="17" w:space="0" w:color="D3D3D3"/>
              <w:right w:val="single" w:sz="6" w:space="0" w:color="000000"/>
            </w:tcBorders>
          </w:tcPr>
          <w:p>
            <w:pPr>
              <w:pStyle w:val="TableParagraph"/>
              <w:tabs>
                <w:tab w:pos="373" w:val="left" w:leader="none"/>
                <w:tab w:pos="4210" w:val="left" w:leader="none"/>
              </w:tabs>
              <w:spacing w:line="240" w:lineRule="auto" w:before="10"/>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减：营业外支出</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1,648,703.95</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1,343,000.00</w:t>
            </w:r>
          </w:p>
        </w:tc>
      </w:tr>
      <w:tr>
        <w:trPr>
          <w:trHeight w:val="412" w:hRule="exact"/>
        </w:trPr>
        <w:tc>
          <w:tcPr>
            <w:tcW w:w="4253" w:type="dxa"/>
            <w:tcBorders>
              <w:top w:val="single" w:sz="17" w:space="0" w:color="D3D3D3"/>
              <w:left w:val="single" w:sz="12" w:space="0" w:color="000000"/>
              <w:bottom w:val="single" w:sz="17" w:space="0" w:color="D3D3D3"/>
              <w:right w:val="single" w:sz="6" w:space="0" w:color="000000"/>
            </w:tcBorders>
          </w:tcPr>
          <w:p>
            <w:pPr>
              <w:pStyle w:val="TableParagraph"/>
              <w:tabs>
                <w:tab w:pos="913" w:val="left" w:leader="none"/>
                <w:tab w:pos="4210" w:val="left" w:leader="none"/>
              </w:tabs>
              <w:spacing w:line="240" w:lineRule="auto" w:before="3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其中：非流动资产处置损失</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28,703.95</w:t>
            </w: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17" w:space="0" w:color="D3D3D3"/>
              <w:left w:val="single" w:sz="12" w:space="0" w:color="000000"/>
              <w:bottom w:val="single" w:sz="40" w:space="0" w:color="D3D3D3"/>
              <w:right w:val="single" w:sz="6" w:space="0" w:color="000000"/>
            </w:tcBorders>
          </w:tcPr>
          <w:p>
            <w:pPr>
              <w:pStyle w:val="TableParagraph"/>
              <w:tabs>
                <w:tab w:pos="4210" w:val="left" w:leader="none"/>
              </w:tabs>
              <w:spacing w:line="240" w:lineRule="auto" w:before="39"/>
              <w:ind w:left="1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四、利润总额（亏损总额以“－”号填列）</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84,317,066.16</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61,924,345.66</w:t>
            </w:r>
          </w:p>
        </w:tc>
      </w:tr>
      <w:tr>
        <w:trPr>
          <w:trHeight w:val="412" w:hRule="exact"/>
        </w:trPr>
        <w:tc>
          <w:tcPr>
            <w:tcW w:w="4253" w:type="dxa"/>
            <w:tcBorders>
              <w:top w:val="single" w:sz="40" w:space="0" w:color="D3D3D3"/>
              <w:left w:val="single" w:sz="12" w:space="0" w:color="000000"/>
              <w:bottom w:val="single" w:sz="17" w:space="0" w:color="D3D3D3"/>
              <w:right w:val="single" w:sz="6" w:space="0" w:color="000000"/>
            </w:tcBorders>
          </w:tcPr>
          <w:p>
            <w:pPr>
              <w:pStyle w:val="TableParagraph"/>
              <w:tabs>
                <w:tab w:pos="373" w:val="left" w:leader="none"/>
                <w:tab w:pos="4210" w:val="left" w:leader="none"/>
              </w:tabs>
              <w:spacing w:line="240" w:lineRule="auto" w:before="10"/>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减：所得税费用</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11,660,980.45</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9,423,354.10</w:t>
            </w:r>
          </w:p>
        </w:tc>
      </w:tr>
      <w:tr>
        <w:trPr>
          <w:trHeight w:val="412" w:hRule="exact"/>
        </w:trPr>
        <w:tc>
          <w:tcPr>
            <w:tcW w:w="4253" w:type="dxa"/>
            <w:tcBorders>
              <w:top w:val="single" w:sz="17" w:space="0" w:color="D3D3D3"/>
              <w:left w:val="single" w:sz="12" w:space="0" w:color="000000"/>
              <w:bottom w:val="single" w:sz="17" w:space="0" w:color="D3D3D3"/>
              <w:right w:val="single" w:sz="6" w:space="0" w:color="000000"/>
            </w:tcBorders>
          </w:tcPr>
          <w:p>
            <w:pPr>
              <w:pStyle w:val="TableParagraph"/>
              <w:tabs>
                <w:tab w:pos="4210" w:val="left" w:leader="none"/>
              </w:tabs>
              <w:spacing w:line="240" w:lineRule="auto" w:before="39"/>
              <w:ind w:left="1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五、净利润（净亏损以“－”号填列）</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72,656,085.71</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52,500,991.56</w:t>
            </w:r>
          </w:p>
        </w:tc>
      </w:tr>
      <w:tr>
        <w:trPr>
          <w:trHeight w:val="412" w:hRule="exact"/>
        </w:trPr>
        <w:tc>
          <w:tcPr>
            <w:tcW w:w="4253" w:type="dxa"/>
            <w:tcBorders>
              <w:top w:val="single" w:sz="17" w:space="0" w:color="D3D3D3"/>
              <w:left w:val="single" w:sz="12" w:space="0" w:color="000000"/>
              <w:bottom w:val="single" w:sz="40" w:space="0" w:color="D3D3D3"/>
              <w:right w:val="single" w:sz="6" w:space="0" w:color="000000"/>
            </w:tcBorders>
          </w:tcPr>
          <w:p>
            <w:pPr>
              <w:pStyle w:val="TableParagraph"/>
              <w:tabs>
                <w:tab w:pos="373" w:val="left" w:leader="none"/>
                <w:tab w:pos="4210" w:val="left" w:leader="none"/>
              </w:tabs>
              <w:spacing w:line="240" w:lineRule="auto" w:before="3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其中：被合并方在合并前实现的净利润</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0.00</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0.00</w:t>
            </w:r>
          </w:p>
        </w:tc>
      </w:tr>
      <w:tr>
        <w:trPr>
          <w:trHeight w:val="412" w:hRule="exact"/>
        </w:trPr>
        <w:tc>
          <w:tcPr>
            <w:tcW w:w="4253" w:type="dxa"/>
            <w:tcBorders>
              <w:top w:val="single" w:sz="40" w:space="0" w:color="D3D3D3"/>
              <w:left w:val="single" w:sz="12" w:space="0" w:color="000000"/>
              <w:bottom w:val="single" w:sz="17" w:space="0" w:color="D3D3D3"/>
              <w:right w:val="single" w:sz="6" w:space="0" w:color="000000"/>
            </w:tcBorders>
          </w:tcPr>
          <w:p>
            <w:pPr>
              <w:pStyle w:val="TableParagraph"/>
              <w:tabs>
                <w:tab w:pos="373" w:val="left" w:leader="none"/>
                <w:tab w:pos="4210" w:val="left" w:leader="none"/>
              </w:tabs>
              <w:spacing w:line="240" w:lineRule="auto" w:before="10"/>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归属于母公司所有者的净利润</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72,656,085.71</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52,500,991.56</w:t>
            </w:r>
          </w:p>
        </w:tc>
      </w:tr>
      <w:tr>
        <w:trPr>
          <w:trHeight w:val="441" w:hRule="exact"/>
        </w:trPr>
        <w:tc>
          <w:tcPr>
            <w:tcW w:w="4253" w:type="dxa"/>
            <w:tcBorders>
              <w:top w:val="single" w:sz="17" w:space="0" w:color="D3D3D3"/>
              <w:left w:val="single" w:sz="12" w:space="0" w:color="000000"/>
              <w:bottom w:val="single" w:sz="17" w:space="0" w:color="D3D3D3"/>
              <w:right w:val="single" w:sz="6" w:space="0" w:color="000000"/>
            </w:tcBorders>
          </w:tcPr>
          <w:p>
            <w:pPr>
              <w:pStyle w:val="TableParagraph"/>
              <w:tabs>
                <w:tab w:pos="373" w:val="left" w:leader="none"/>
                <w:tab w:pos="4210" w:val="left" w:leader="none"/>
              </w:tabs>
              <w:spacing w:line="240" w:lineRule="auto" w:before="3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少数股东损益</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17" w:space="0" w:color="D3D3D3"/>
              <w:right w:val="single" w:sz="6" w:space="0" w:color="000000"/>
            </w:tcBorders>
          </w:tcPr>
          <w:p>
            <w:pPr/>
          </w:p>
        </w:tc>
        <w:tc>
          <w:tcPr>
            <w:tcW w:w="2657" w:type="dxa"/>
            <w:tcBorders>
              <w:top w:val="single" w:sz="6" w:space="0" w:color="000000"/>
              <w:left w:val="single" w:sz="6" w:space="0" w:color="000000"/>
              <w:bottom w:val="single" w:sz="17" w:space="0" w:color="D3D3D3"/>
              <w:right w:val="single" w:sz="12" w:space="0" w:color="000000"/>
            </w:tcBorders>
          </w:tcPr>
          <w:p>
            <w:pPr/>
          </w:p>
        </w:tc>
      </w:tr>
      <w:tr>
        <w:trPr>
          <w:trHeight w:val="355" w:hRule="exact"/>
        </w:trPr>
        <w:tc>
          <w:tcPr>
            <w:tcW w:w="4253" w:type="dxa"/>
            <w:tcBorders>
              <w:top w:val="single" w:sz="17" w:space="0" w:color="D3D3D3"/>
              <w:left w:val="single" w:sz="12" w:space="0" w:color="000000"/>
              <w:bottom w:val="single" w:sz="40" w:space="0" w:color="D3D3D3"/>
              <w:right w:val="single" w:sz="6" w:space="0" w:color="000000"/>
            </w:tcBorders>
          </w:tcPr>
          <w:p>
            <w:pPr>
              <w:pStyle w:val="TableParagraph"/>
              <w:tabs>
                <w:tab w:pos="4210" w:val="left" w:leader="none"/>
              </w:tabs>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六、每股收益：</w:t>
              <w:tab/>
            </w:r>
            <w:r>
              <w:rPr>
                <w:rFonts w:ascii="宋体" w:hAnsi="宋体" w:cs="宋体" w:eastAsia="宋体" w:hint="default"/>
                <w:sz w:val="18"/>
                <w:szCs w:val="18"/>
              </w:rPr>
            </w:r>
          </w:p>
        </w:tc>
        <w:tc>
          <w:tcPr>
            <w:tcW w:w="2657" w:type="dxa"/>
            <w:tcBorders>
              <w:top w:val="single" w:sz="17" w:space="0" w:color="D3D3D3"/>
              <w:left w:val="single" w:sz="6" w:space="0" w:color="000000"/>
              <w:bottom w:val="single" w:sz="17" w:space="0" w:color="D3D3D3"/>
              <w:right w:val="single" w:sz="6" w:space="0" w:color="000000"/>
            </w:tcBorders>
          </w:tcPr>
          <w:p>
            <w:pPr>
              <w:pStyle w:val="TableParagraph"/>
              <w:tabs>
                <w:tab w:pos="1210" w:val="left" w:leader="none"/>
                <w:tab w:pos="2600" w:val="left" w:leader="none"/>
              </w:tabs>
              <w:spacing w:line="240" w:lineRule="auto" w:before="10"/>
              <w:ind w:right="18"/>
              <w:jc w:val="right"/>
              <w:rPr>
                <w:rFonts w:ascii="宋体" w:hAnsi="宋体" w:cs="宋体" w:eastAsia="宋体" w:hint="default"/>
                <w:sz w:val="18"/>
                <w:szCs w:val="18"/>
              </w:rPr>
            </w:pPr>
            <w:r>
              <w:rPr>
                <w:rFonts w:ascii="Times New Roman"/>
                <w:sz w:val="18"/>
              </w:rPr>
            </w:r>
            <w:r>
              <w:rPr>
                <w:rFonts w:ascii="Times New Roman"/>
                <w:sz w:val="18"/>
                <w:shd w:fill="D3D3D3" w:color="auto" w:val="clear"/>
              </w:rPr>
              <w:t> </w:t>
              <w:tab/>
            </w:r>
            <w:r>
              <w:rPr>
                <w:rFonts w:ascii="宋体"/>
                <w:sz w:val="18"/>
                <w:shd w:fill="D3D3D3" w:color="auto" w:val="clear"/>
              </w:rPr>
              <w:t>--</w:t>
              <w:tab/>
            </w:r>
            <w:r>
              <w:rPr>
                <w:rFonts w:ascii="宋体"/>
                <w:sz w:val="18"/>
              </w:rPr>
            </w:r>
          </w:p>
        </w:tc>
        <w:tc>
          <w:tcPr>
            <w:tcW w:w="2657" w:type="dxa"/>
            <w:tcBorders>
              <w:top w:val="single" w:sz="17" w:space="0" w:color="D3D3D3"/>
              <w:left w:val="single" w:sz="6" w:space="0" w:color="000000"/>
              <w:bottom w:val="single" w:sz="17" w:space="0" w:color="D3D3D3"/>
              <w:right w:val="single" w:sz="12" w:space="0" w:color="000000"/>
            </w:tcBorders>
          </w:tcPr>
          <w:p>
            <w:pPr>
              <w:pStyle w:val="TableParagraph"/>
              <w:tabs>
                <w:tab w:pos="1210" w:val="left" w:leader="none"/>
                <w:tab w:pos="2601" w:val="left" w:leader="none"/>
              </w:tabs>
              <w:spacing w:line="240" w:lineRule="auto" w:before="10"/>
              <w:ind w:right="11"/>
              <w:jc w:val="right"/>
              <w:rPr>
                <w:rFonts w:ascii="宋体" w:hAnsi="宋体" w:cs="宋体" w:eastAsia="宋体" w:hint="default"/>
                <w:sz w:val="18"/>
                <w:szCs w:val="18"/>
              </w:rPr>
            </w:pPr>
            <w:r>
              <w:rPr>
                <w:rFonts w:ascii="Times New Roman"/>
                <w:sz w:val="18"/>
              </w:rPr>
            </w:r>
            <w:r>
              <w:rPr>
                <w:rFonts w:ascii="Times New Roman"/>
                <w:sz w:val="18"/>
                <w:shd w:fill="D3D3D3" w:color="auto" w:val="clear"/>
              </w:rPr>
              <w:t> </w:t>
              <w:tab/>
            </w:r>
            <w:r>
              <w:rPr>
                <w:rFonts w:ascii="宋体"/>
                <w:sz w:val="18"/>
                <w:shd w:fill="D3D3D3" w:color="auto" w:val="clear"/>
              </w:rPr>
              <w:t>--</w:t>
              <w:tab/>
            </w:r>
            <w:r>
              <w:rPr>
                <w:rFonts w:ascii="宋体"/>
                <w:sz w:val="18"/>
              </w:rPr>
            </w:r>
          </w:p>
        </w:tc>
      </w:tr>
      <w:tr>
        <w:trPr>
          <w:trHeight w:val="440"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81"/>
              <w:ind w:left="37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657" w:type="dxa"/>
            <w:tcBorders>
              <w:top w:val="single" w:sz="17" w:space="0" w:color="D3D3D3"/>
              <w:left w:val="single" w:sz="6" w:space="0" w:color="000000"/>
              <w:bottom w:val="single" w:sz="6" w:space="0" w:color="000000"/>
              <w:right w:val="single" w:sz="6" w:space="0" w:color="000000"/>
            </w:tcBorders>
          </w:tcPr>
          <w:p>
            <w:pPr>
              <w:pStyle w:val="TableParagraph"/>
              <w:spacing w:line="240" w:lineRule="auto" w:before="67"/>
              <w:ind w:right="17"/>
              <w:jc w:val="right"/>
              <w:rPr>
                <w:rFonts w:ascii="宋体" w:hAnsi="宋体" w:cs="宋体" w:eastAsia="宋体" w:hint="default"/>
                <w:sz w:val="18"/>
                <w:szCs w:val="18"/>
              </w:rPr>
            </w:pPr>
            <w:r>
              <w:rPr>
                <w:rFonts w:ascii="宋体"/>
                <w:sz w:val="18"/>
              </w:rPr>
              <w:t>1.03</w:t>
            </w:r>
          </w:p>
        </w:tc>
        <w:tc>
          <w:tcPr>
            <w:tcW w:w="2657" w:type="dxa"/>
            <w:tcBorders>
              <w:top w:val="single" w:sz="17" w:space="0" w:color="D3D3D3"/>
              <w:left w:val="single" w:sz="6" w:space="0" w:color="000000"/>
              <w:bottom w:val="single" w:sz="6" w:space="0" w:color="000000"/>
              <w:right w:val="single" w:sz="12" w:space="0" w:color="000000"/>
            </w:tcBorders>
          </w:tcPr>
          <w:p>
            <w:pPr>
              <w:pStyle w:val="TableParagraph"/>
              <w:spacing w:line="240" w:lineRule="auto" w:before="67"/>
              <w:ind w:right="11"/>
              <w:jc w:val="right"/>
              <w:rPr>
                <w:rFonts w:ascii="宋体" w:hAnsi="宋体" w:cs="宋体" w:eastAsia="宋体" w:hint="default"/>
                <w:sz w:val="18"/>
                <w:szCs w:val="18"/>
              </w:rPr>
            </w:pPr>
            <w:r>
              <w:rPr>
                <w:rFonts w:ascii="宋体"/>
                <w:sz w:val="18"/>
              </w:rPr>
              <w:t>0.81</w:t>
            </w:r>
          </w:p>
        </w:tc>
      </w:tr>
      <w:tr>
        <w:trPr>
          <w:trHeight w:val="412" w:hRule="exact"/>
        </w:trPr>
        <w:tc>
          <w:tcPr>
            <w:tcW w:w="4253" w:type="dxa"/>
            <w:tcBorders>
              <w:top w:val="single" w:sz="17" w:space="0" w:color="D3D3D3"/>
              <w:left w:val="single" w:sz="12" w:space="0" w:color="000000"/>
              <w:bottom w:val="single" w:sz="17" w:space="0" w:color="D3D3D3"/>
              <w:right w:val="single" w:sz="6" w:space="0" w:color="000000"/>
            </w:tcBorders>
          </w:tcPr>
          <w:p>
            <w:pPr>
              <w:pStyle w:val="TableParagraph"/>
              <w:tabs>
                <w:tab w:pos="373" w:val="left" w:leader="none"/>
                <w:tab w:pos="4210" w:val="left" w:leader="none"/>
              </w:tabs>
              <w:spacing w:line="240" w:lineRule="auto" w:before="3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（二）稀释每股收益</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1.03</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0.81</w:t>
            </w:r>
          </w:p>
        </w:tc>
      </w:tr>
      <w:tr>
        <w:trPr>
          <w:trHeight w:val="420" w:hRule="exact"/>
        </w:trPr>
        <w:tc>
          <w:tcPr>
            <w:tcW w:w="4253" w:type="dxa"/>
            <w:tcBorders>
              <w:top w:val="single" w:sz="17" w:space="0" w:color="D3D3D3"/>
              <w:left w:val="single" w:sz="12" w:space="0" w:color="000000"/>
              <w:bottom w:val="single" w:sz="17" w:space="0" w:color="D3D3D3"/>
              <w:right w:val="single" w:sz="6" w:space="0" w:color="000000"/>
            </w:tcBorders>
          </w:tcPr>
          <w:p>
            <w:pPr>
              <w:pStyle w:val="TableParagraph"/>
              <w:tabs>
                <w:tab w:pos="4210" w:val="left" w:leader="none"/>
              </w:tabs>
              <w:spacing w:line="240" w:lineRule="auto" w:before="39"/>
              <w:ind w:left="1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七、其他综合收益</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12" w:space="0" w:color="000000"/>
              <w:right w:val="single" w:sz="6" w:space="0" w:color="000000"/>
            </w:tcBorders>
          </w:tcPr>
          <w:p>
            <w:pPr/>
          </w:p>
        </w:tc>
        <w:tc>
          <w:tcPr>
            <w:tcW w:w="2657"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1003" w:top="1100" w:bottom="120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4253"/>
        <w:gridCol w:w="2657"/>
        <w:gridCol w:w="2657"/>
      </w:tblGrid>
      <w:tr>
        <w:trPr>
          <w:trHeight w:val="370" w:hRule="exact"/>
        </w:trPr>
        <w:tc>
          <w:tcPr>
            <w:tcW w:w="4253" w:type="dxa"/>
            <w:tcBorders>
              <w:top w:val="single" w:sz="29" w:space="0" w:color="D3D3D3"/>
              <w:left w:val="single" w:sz="12" w:space="0" w:color="000000"/>
              <w:bottom w:val="single" w:sz="40" w:space="0" w:color="D3D3D3"/>
              <w:right w:val="single" w:sz="6" w:space="0" w:color="000000"/>
            </w:tcBorders>
          </w:tcPr>
          <w:p>
            <w:pPr>
              <w:pStyle w:val="TableParagraph"/>
              <w:tabs>
                <w:tab w:pos="1931" w:val="left" w:leader="none"/>
                <w:tab w:pos="4210" w:val="left" w:leader="none"/>
              </w:tabs>
              <w:spacing w:line="240" w:lineRule="auto" w:before="10"/>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项目</w:t>
              <w:tab/>
            </w:r>
            <w:r>
              <w:rPr>
                <w:rFonts w:ascii="宋体" w:hAnsi="宋体" w:cs="宋体" w:eastAsia="宋体" w:hint="default"/>
                <w:sz w:val="18"/>
                <w:szCs w:val="18"/>
              </w:rPr>
            </w:r>
          </w:p>
        </w:tc>
        <w:tc>
          <w:tcPr>
            <w:tcW w:w="2657" w:type="dxa"/>
            <w:tcBorders>
              <w:top w:val="single" w:sz="29" w:space="0" w:color="D3D3D3"/>
              <w:left w:val="single" w:sz="6" w:space="0" w:color="000000"/>
              <w:bottom w:val="single" w:sz="17" w:space="0" w:color="D3D3D3"/>
              <w:right w:val="single" w:sz="6" w:space="0" w:color="000000"/>
            </w:tcBorders>
          </w:tcPr>
          <w:p>
            <w:pPr>
              <w:pStyle w:val="TableParagraph"/>
              <w:tabs>
                <w:tab w:pos="940" w:val="left" w:leader="none"/>
                <w:tab w:pos="2600"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本期金额</w:t>
              <w:tab/>
            </w:r>
            <w:r>
              <w:rPr>
                <w:rFonts w:ascii="宋体" w:hAnsi="宋体" w:cs="宋体" w:eastAsia="宋体" w:hint="default"/>
                <w:sz w:val="18"/>
                <w:szCs w:val="18"/>
              </w:rPr>
            </w:r>
          </w:p>
        </w:tc>
        <w:tc>
          <w:tcPr>
            <w:tcW w:w="2657" w:type="dxa"/>
            <w:tcBorders>
              <w:top w:val="single" w:sz="29" w:space="0" w:color="D3D3D3"/>
              <w:left w:val="single" w:sz="6" w:space="0" w:color="000000"/>
              <w:bottom w:val="single" w:sz="17" w:space="0" w:color="D3D3D3"/>
              <w:right w:val="single" w:sz="12" w:space="0" w:color="000000"/>
            </w:tcBorders>
          </w:tcPr>
          <w:p>
            <w:pPr>
              <w:pStyle w:val="TableParagraph"/>
              <w:tabs>
                <w:tab w:pos="940" w:val="left" w:leader="none"/>
                <w:tab w:pos="2601" w:val="left" w:leader="none"/>
              </w:tabs>
              <w:spacing w:line="240" w:lineRule="auto" w:before="10"/>
              <w:ind w:right="11"/>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上期金额</w:t>
              <w:tab/>
            </w:r>
            <w:r>
              <w:rPr>
                <w:rFonts w:ascii="宋体" w:hAnsi="宋体" w:cs="宋体" w:eastAsia="宋体" w:hint="default"/>
                <w:sz w:val="18"/>
                <w:szCs w:val="18"/>
              </w:rPr>
            </w:r>
          </w:p>
        </w:tc>
      </w:tr>
      <w:tr>
        <w:trPr>
          <w:trHeight w:val="441"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2657" w:type="dxa"/>
            <w:tcBorders>
              <w:top w:val="single" w:sz="17" w:space="0" w:color="D3D3D3"/>
              <w:left w:val="single" w:sz="6" w:space="0" w:color="000000"/>
              <w:bottom w:val="single" w:sz="6" w:space="0" w:color="000000"/>
              <w:right w:val="single" w:sz="6" w:space="0" w:color="000000"/>
            </w:tcBorders>
          </w:tcPr>
          <w:p>
            <w:pPr>
              <w:pStyle w:val="TableParagraph"/>
              <w:spacing w:line="240" w:lineRule="auto" w:before="68"/>
              <w:ind w:right="17"/>
              <w:jc w:val="right"/>
              <w:rPr>
                <w:rFonts w:ascii="宋体" w:hAnsi="宋体" w:cs="宋体" w:eastAsia="宋体" w:hint="default"/>
                <w:sz w:val="18"/>
                <w:szCs w:val="18"/>
              </w:rPr>
            </w:pPr>
            <w:r>
              <w:rPr>
                <w:rFonts w:ascii="宋体"/>
                <w:sz w:val="18"/>
              </w:rPr>
              <w:t>72,656,085.71</w:t>
            </w:r>
          </w:p>
        </w:tc>
        <w:tc>
          <w:tcPr>
            <w:tcW w:w="2657" w:type="dxa"/>
            <w:tcBorders>
              <w:top w:val="single" w:sz="17" w:space="0" w:color="D3D3D3"/>
              <w:left w:val="single" w:sz="6" w:space="0" w:color="000000"/>
              <w:bottom w:val="single" w:sz="6" w:space="0" w:color="000000"/>
              <w:right w:val="single" w:sz="12" w:space="0" w:color="000000"/>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52,500,991.56</w:t>
            </w:r>
          </w:p>
        </w:tc>
      </w:tr>
      <w:tr>
        <w:trPr>
          <w:trHeight w:val="412" w:hRule="exact"/>
        </w:trPr>
        <w:tc>
          <w:tcPr>
            <w:tcW w:w="4253" w:type="dxa"/>
            <w:tcBorders>
              <w:top w:val="single" w:sz="17" w:space="0" w:color="D3D3D3"/>
              <w:left w:val="single" w:sz="12" w:space="0" w:color="000000"/>
              <w:bottom w:val="single" w:sz="40" w:space="0" w:color="D3D3D3"/>
              <w:right w:val="single" w:sz="6" w:space="0" w:color="000000"/>
            </w:tcBorders>
          </w:tcPr>
          <w:p>
            <w:pPr>
              <w:pStyle w:val="TableParagraph"/>
              <w:tabs>
                <w:tab w:pos="373" w:val="left" w:leader="none"/>
                <w:tab w:pos="4210" w:val="left" w:leader="none"/>
              </w:tabs>
              <w:spacing w:line="240" w:lineRule="auto" w:before="3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归属于母公司所有者的综合收益总额</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72,656,085.71</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52,500,991.56</w:t>
            </w:r>
          </w:p>
        </w:tc>
      </w:tr>
      <w:tr>
        <w:trPr>
          <w:trHeight w:val="420" w:hRule="exact"/>
        </w:trPr>
        <w:tc>
          <w:tcPr>
            <w:tcW w:w="4253" w:type="dxa"/>
            <w:tcBorders>
              <w:top w:val="single" w:sz="40" w:space="0" w:color="D3D3D3"/>
              <w:left w:val="single" w:sz="12" w:space="0" w:color="000000"/>
              <w:bottom w:val="single" w:sz="17" w:space="0" w:color="D3D3D3"/>
              <w:right w:val="single" w:sz="6" w:space="0" w:color="000000"/>
            </w:tcBorders>
          </w:tcPr>
          <w:p>
            <w:pPr>
              <w:pStyle w:val="TableParagraph"/>
              <w:tabs>
                <w:tab w:pos="373" w:val="left" w:leader="none"/>
                <w:tab w:pos="4210" w:val="left" w:leader="none"/>
              </w:tabs>
              <w:spacing w:line="240" w:lineRule="auto" w:before="10"/>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归属于少数股东的综合收益总额</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12" w:space="0" w:color="000000"/>
              <w:right w:val="single" w:sz="6" w:space="0" w:color="000000"/>
            </w:tcBorders>
          </w:tcPr>
          <w:p>
            <w:pPr/>
          </w:p>
        </w:tc>
        <w:tc>
          <w:tcPr>
            <w:tcW w:w="2657" w:type="dxa"/>
            <w:tcBorders>
              <w:top w:val="single" w:sz="6" w:space="0" w:color="000000"/>
              <w:left w:val="single" w:sz="6" w:space="0" w:color="000000"/>
              <w:bottom w:val="single" w:sz="12" w:space="0" w:color="000000"/>
              <w:right w:val="single" w:sz="12" w:space="0" w:color="000000"/>
            </w:tcBorders>
          </w:tcPr>
          <w:p>
            <w:pPr/>
          </w:p>
        </w:tc>
      </w:tr>
    </w:tbl>
    <w:p>
      <w:pPr>
        <w:spacing w:before="44"/>
        <w:ind w:left="154" w:right="132"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tabs>
          <w:tab w:pos="3573" w:val="left" w:leader="none"/>
          <w:tab w:pos="7713" w:val="left" w:leader="none"/>
        </w:tabs>
        <w:spacing w:before="103"/>
        <w:ind w:left="153" w:right="132" w:firstLine="0"/>
        <w:jc w:val="left"/>
        <w:rPr>
          <w:rFonts w:ascii="宋体" w:hAnsi="宋体" w:cs="宋体" w:eastAsia="宋体" w:hint="default"/>
          <w:sz w:val="18"/>
          <w:szCs w:val="18"/>
        </w:rPr>
      </w:pPr>
      <w:r>
        <w:rPr>
          <w:rFonts w:ascii="宋体" w:hAnsi="宋体" w:cs="宋体" w:eastAsia="宋体" w:hint="default"/>
          <w:sz w:val="18"/>
          <w:szCs w:val="18"/>
        </w:rPr>
        <w:t>法定代表人：龙昌明</w:t>
        <w:tab/>
        <w:t>主管会计工作负责人：戴晓东</w:t>
        <w:tab/>
        <w:t>会计机构负责人：周振娟</w:t>
      </w:r>
    </w:p>
    <w:p>
      <w:pPr>
        <w:spacing w:line="240" w:lineRule="auto" w:before="13"/>
        <w:rPr>
          <w:rFonts w:ascii="宋体" w:hAnsi="宋体" w:cs="宋体" w:eastAsia="宋体" w:hint="default"/>
          <w:sz w:val="24"/>
          <w:szCs w:val="24"/>
        </w:rPr>
      </w:pPr>
    </w:p>
    <w:p>
      <w:pPr>
        <w:pStyle w:val="Heading2"/>
        <w:spacing w:line="240" w:lineRule="auto" w:before="0"/>
        <w:ind w:right="132"/>
        <w:jc w:val="left"/>
        <w:rPr>
          <w:b w:val="0"/>
          <w:bCs w:val="0"/>
        </w:rPr>
      </w:pPr>
      <w:r>
        <w:rPr/>
        <w:t>4、母公司利润表</w:t>
      </w:r>
      <w:r>
        <w:rPr>
          <w:b w:val="0"/>
          <w:bCs w:val="0"/>
        </w:rPr>
      </w:r>
    </w:p>
    <w:p>
      <w:pPr>
        <w:spacing w:line="240" w:lineRule="auto" w:before="2"/>
        <w:rPr>
          <w:rFonts w:ascii="宋体" w:hAnsi="宋体" w:cs="宋体" w:eastAsia="宋体" w:hint="default"/>
          <w:b/>
          <w:bCs/>
          <w:sz w:val="23"/>
          <w:szCs w:val="23"/>
        </w:rPr>
      </w:pPr>
    </w:p>
    <w:p>
      <w:pPr>
        <w:spacing w:before="44"/>
        <w:ind w:left="154" w:right="132" w:firstLine="0"/>
        <w:jc w:val="left"/>
        <w:rPr>
          <w:rFonts w:ascii="宋体" w:hAnsi="宋体" w:cs="宋体" w:eastAsia="宋体" w:hint="default"/>
          <w:sz w:val="18"/>
          <w:szCs w:val="18"/>
        </w:rPr>
      </w:pPr>
      <w:r>
        <w:rPr>
          <w:rFonts w:ascii="宋体" w:hAnsi="宋体" w:cs="宋体" w:eastAsia="宋体" w:hint="default"/>
          <w:sz w:val="18"/>
          <w:szCs w:val="18"/>
        </w:rPr>
        <w:t>编制单位：光一科技股份有限公司</w:t>
      </w:r>
    </w:p>
    <w:p>
      <w:pPr>
        <w:spacing w:before="7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4253"/>
        <w:gridCol w:w="2657"/>
        <w:gridCol w:w="2657"/>
      </w:tblGrid>
      <w:tr>
        <w:trPr>
          <w:trHeight w:val="414" w:hRule="exact"/>
        </w:trPr>
        <w:tc>
          <w:tcPr>
            <w:tcW w:w="4253"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657"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7"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419,628,120.22</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311,001,089.64</w:t>
            </w:r>
          </w:p>
        </w:tc>
      </w:tr>
      <w:tr>
        <w:trPr>
          <w:trHeight w:val="407"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314,738,563.91</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200,436,312.47</w:t>
            </w:r>
          </w:p>
        </w:tc>
      </w:tr>
      <w:tr>
        <w:trPr>
          <w:trHeight w:val="407"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2,651,038.55</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3,558,938.71</w:t>
            </w:r>
          </w:p>
        </w:tc>
      </w:tr>
      <w:tr>
        <w:trPr>
          <w:trHeight w:val="407"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13,259,921.67</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9,320,741.38</w:t>
            </w:r>
          </w:p>
        </w:tc>
      </w:tr>
      <w:tr>
        <w:trPr>
          <w:trHeight w:val="407"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44,220,611.61</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27,548,916.73</w:t>
            </w:r>
          </w:p>
        </w:tc>
      </w:tr>
      <w:tr>
        <w:trPr>
          <w:trHeight w:val="407"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73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924,967.76</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323,691.19</w:t>
            </w:r>
          </w:p>
        </w:tc>
      </w:tr>
      <w:tr>
        <w:trPr>
          <w:trHeight w:val="407"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73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1,639,151.27</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3,775,648.92</w:t>
            </w:r>
          </w:p>
        </w:tc>
      </w:tr>
      <w:tr>
        <w:trPr>
          <w:trHeight w:val="407"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27,162.53</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-4,511.60</w:t>
            </w:r>
          </w:p>
        </w:tc>
      </w:tr>
      <w:tr>
        <w:trPr>
          <w:trHeight w:val="407"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42,221,027.98</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66,032,328.64</w:t>
            </w:r>
          </w:p>
        </w:tc>
      </w:tr>
      <w:tr>
        <w:trPr>
          <w:trHeight w:val="407"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3,590,377.04</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7,598,526.44</w:t>
            </w:r>
          </w:p>
        </w:tc>
      </w:tr>
      <w:tr>
        <w:trPr>
          <w:trHeight w:val="407"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1,648,176.20</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1,313,000.00</w:t>
            </w:r>
          </w:p>
        </w:tc>
      </w:tr>
      <w:tr>
        <w:trPr>
          <w:trHeight w:val="407"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73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28,176.20</w:t>
            </w: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44,163,228.82</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72,317,855.08</w:t>
            </w:r>
          </w:p>
        </w:tc>
      </w:tr>
      <w:tr>
        <w:trPr>
          <w:trHeight w:val="407"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6,151,810.85</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10,019,320.31</w:t>
            </w:r>
          </w:p>
        </w:tc>
      </w:tr>
      <w:tr>
        <w:trPr>
          <w:trHeight w:val="415"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38,011,417.97</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62,298,534.77</w:t>
            </w:r>
          </w:p>
        </w:tc>
      </w:tr>
      <w:tr>
        <w:trPr>
          <w:trHeight w:val="399"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44"/>
              <w:ind w:left="13"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265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44"/>
              <w:ind w:left="2" w:right="0"/>
              <w:jc w:val="center"/>
              <w:rPr>
                <w:rFonts w:ascii="宋体" w:hAnsi="宋体" w:cs="宋体" w:eastAsia="宋体" w:hint="default"/>
                <w:sz w:val="18"/>
                <w:szCs w:val="18"/>
              </w:rPr>
            </w:pPr>
            <w:r>
              <w:rPr>
                <w:rFonts w:ascii="宋体"/>
                <w:sz w:val="18"/>
              </w:rPr>
              <w:t>--</w:t>
            </w:r>
          </w:p>
        </w:tc>
        <w:tc>
          <w:tcPr>
            <w:tcW w:w="2657"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44"/>
              <w:ind w:left="9" w:right="0"/>
              <w:jc w:val="center"/>
              <w:rPr>
                <w:rFonts w:ascii="宋体" w:hAnsi="宋体" w:cs="宋体" w:eastAsia="宋体" w:hint="default"/>
                <w:sz w:val="18"/>
                <w:szCs w:val="18"/>
              </w:rPr>
            </w:pPr>
            <w:r>
              <w:rPr>
                <w:rFonts w:ascii="宋体"/>
                <w:sz w:val="18"/>
              </w:rPr>
              <w:t>--</w:t>
            </w:r>
          </w:p>
        </w:tc>
      </w:tr>
      <w:tr>
        <w:trPr>
          <w:trHeight w:val="407"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0.54</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0.96</w:t>
            </w:r>
          </w:p>
        </w:tc>
      </w:tr>
      <w:tr>
        <w:trPr>
          <w:trHeight w:val="407"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0.54</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0.96</w:t>
            </w:r>
          </w:p>
        </w:tc>
      </w:tr>
      <w:tr>
        <w:trPr>
          <w:trHeight w:val="407"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4253"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6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38,011,417.97</w:t>
            </w:r>
          </w:p>
        </w:tc>
        <w:tc>
          <w:tcPr>
            <w:tcW w:w="265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62,298,534.77</w:t>
            </w:r>
          </w:p>
        </w:tc>
      </w:tr>
    </w:tbl>
    <w:p>
      <w:pPr>
        <w:tabs>
          <w:tab w:pos="3573" w:val="left" w:leader="none"/>
          <w:tab w:pos="7713" w:val="left" w:leader="none"/>
        </w:tabs>
        <w:spacing w:before="11"/>
        <w:ind w:left="154" w:right="132" w:firstLine="0"/>
        <w:jc w:val="left"/>
        <w:rPr>
          <w:rFonts w:ascii="宋体" w:hAnsi="宋体" w:cs="宋体" w:eastAsia="宋体" w:hint="default"/>
          <w:sz w:val="18"/>
          <w:szCs w:val="18"/>
        </w:rPr>
      </w:pPr>
      <w:r>
        <w:rPr>
          <w:rFonts w:ascii="宋体" w:hAnsi="宋体" w:cs="宋体" w:eastAsia="宋体" w:hint="default"/>
          <w:sz w:val="18"/>
          <w:szCs w:val="18"/>
        </w:rPr>
        <w:t>法定代表人：龙昌明</w:t>
        <w:tab/>
        <w:t>主管会计工作负责人：戴晓东</w:t>
        <w:tab/>
        <w:t>会计机构负责人：周振娟</w:t>
      </w:r>
    </w:p>
    <w:p>
      <w:pPr>
        <w:spacing w:after="0"/>
        <w:jc w:val="left"/>
        <w:rPr>
          <w:rFonts w:ascii="宋体" w:hAnsi="宋体" w:cs="宋体" w:eastAsia="宋体" w:hint="default"/>
          <w:sz w:val="18"/>
          <w:szCs w:val="18"/>
        </w:rPr>
        <w:sectPr>
          <w:pgSz w:w="11910" w:h="16840"/>
          <w:pgMar w:header="877" w:footer="1003" w:top="1100" w:bottom="1200" w:left="980" w:right="980"/>
        </w:sectPr>
      </w:pPr>
    </w:p>
    <w:p>
      <w:pPr>
        <w:spacing w:line="240" w:lineRule="auto" w:before="8"/>
        <w:rPr>
          <w:rFonts w:ascii="宋体" w:hAnsi="宋体" w:cs="宋体" w:eastAsia="宋体" w:hint="default"/>
          <w:sz w:val="19"/>
          <w:szCs w:val="19"/>
        </w:rPr>
      </w:pPr>
    </w:p>
    <w:p>
      <w:pPr>
        <w:pStyle w:val="Heading2"/>
        <w:spacing w:line="240" w:lineRule="auto"/>
        <w:ind w:right="132"/>
        <w:jc w:val="left"/>
        <w:rPr>
          <w:b w:val="0"/>
          <w:bCs w:val="0"/>
        </w:rPr>
      </w:pPr>
      <w:r>
        <w:rPr/>
        <w:t>5、合并现金流量表</w:t>
      </w:r>
      <w:r>
        <w:rPr>
          <w:b w:val="0"/>
          <w:bCs w:val="0"/>
        </w:rPr>
      </w:r>
    </w:p>
    <w:p>
      <w:pPr>
        <w:spacing w:line="240" w:lineRule="auto" w:before="3"/>
        <w:rPr>
          <w:rFonts w:ascii="宋体" w:hAnsi="宋体" w:cs="宋体" w:eastAsia="宋体" w:hint="default"/>
          <w:b/>
          <w:bCs/>
          <w:sz w:val="23"/>
          <w:szCs w:val="23"/>
        </w:rPr>
      </w:pPr>
    </w:p>
    <w:p>
      <w:pPr>
        <w:spacing w:before="44"/>
        <w:ind w:left="154" w:right="132" w:firstLine="0"/>
        <w:jc w:val="left"/>
        <w:rPr>
          <w:rFonts w:ascii="宋体" w:hAnsi="宋体" w:cs="宋体" w:eastAsia="宋体" w:hint="default"/>
          <w:sz w:val="18"/>
          <w:szCs w:val="18"/>
        </w:rPr>
      </w:pPr>
      <w:r>
        <w:rPr>
          <w:rFonts w:ascii="宋体" w:hAnsi="宋体" w:cs="宋体" w:eastAsia="宋体" w:hint="default"/>
          <w:sz w:val="18"/>
          <w:szCs w:val="18"/>
        </w:rPr>
        <w:t>编制单位：光一科技股份有限公司</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4253"/>
        <w:gridCol w:w="2657"/>
        <w:gridCol w:w="2657"/>
      </w:tblGrid>
      <w:tr>
        <w:trPr>
          <w:trHeight w:val="398" w:hRule="exact"/>
        </w:trPr>
        <w:tc>
          <w:tcPr>
            <w:tcW w:w="4253" w:type="dxa"/>
            <w:tcBorders>
              <w:top w:val="single" w:sz="17" w:space="0" w:color="D3D3D3"/>
              <w:left w:val="single" w:sz="12" w:space="0" w:color="000000"/>
              <w:bottom w:val="single" w:sz="40" w:space="0" w:color="D3D3D3"/>
              <w:right w:val="single" w:sz="6" w:space="0" w:color="000000"/>
            </w:tcBorders>
          </w:tcPr>
          <w:p>
            <w:pPr>
              <w:pStyle w:val="TableParagraph"/>
              <w:tabs>
                <w:tab w:pos="1918" w:val="left" w:leader="none"/>
                <w:tab w:pos="4197" w:val="left" w:leader="none"/>
              </w:tabs>
              <w:spacing w:line="240" w:lineRule="auto" w:before="25"/>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项目</w:t>
              <w:tab/>
            </w:r>
            <w:r>
              <w:rPr>
                <w:rFonts w:ascii="宋体" w:hAnsi="宋体" w:cs="宋体" w:eastAsia="宋体" w:hint="default"/>
                <w:sz w:val="18"/>
                <w:szCs w:val="18"/>
              </w:rPr>
            </w:r>
          </w:p>
        </w:tc>
        <w:tc>
          <w:tcPr>
            <w:tcW w:w="2657" w:type="dxa"/>
            <w:tcBorders>
              <w:top w:val="single" w:sz="17" w:space="0" w:color="D3D3D3"/>
              <w:left w:val="single" w:sz="6" w:space="0" w:color="000000"/>
              <w:bottom w:val="single" w:sz="40" w:space="0" w:color="D3D3D3"/>
              <w:right w:val="single" w:sz="6" w:space="0" w:color="000000"/>
            </w:tcBorders>
          </w:tcPr>
          <w:p>
            <w:pPr>
              <w:pStyle w:val="TableParagraph"/>
              <w:tabs>
                <w:tab w:pos="940" w:val="left" w:leader="none"/>
                <w:tab w:pos="2600" w:val="left" w:leader="none"/>
              </w:tabs>
              <w:spacing w:line="240" w:lineRule="auto" w:before="25"/>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本期金额</w:t>
              <w:tab/>
            </w:r>
            <w:r>
              <w:rPr>
                <w:rFonts w:ascii="宋体" w:hAnsi="宋体" w:cs="宋体" w:eastAsia="宋体" w:hint="default"/>
                <w:sz w:val="18"/>
                <w:szCs w:val="18"/>
              </w:rPr>
            </w:r>
          </w:p>
        </w:tc>
        <w:tc>
          <w:tcPr>
            <w:tcW w:w="2657" w:type="dxa"/>
            <w:tcBorders>
              <w:top w:val="single" w:sz="17" w:space="0" w:color="D3D3D3"/>
              <w:left w:val="single" w:sz="6" w:space="0" w:color="000000"/>
              <w:bottom w:val="single" w:sz="40" w:space="0" w:color="D3D3D3"/>
              <w:right w:val="single" w:sz="12" w:space="0" w:color="000000"/>
            </w:tcBorders>
          </w:tcPr>
          <w:p>
            <w:pPr>
              <w:pStyle w:val="TableParagraph"/>
              <w:tabs>
                <w:tab w:pos="940" w:val="left" w:leader="none"/>
                <w:tab w:pos="2601" w:val="left" w:leader="none"/>
              </w:tabs>
              <w:spacing w:line="240" w:lineRule="auto" w:before="25"/>
              <w:ind w:right="11"/>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上期金额</w:t>
              <w:tab/>
            </w:r>
            <w:r>
              <w:rPr>
                <w:rFonts w:ascii="宋体" w:hAnsi="宋体" w:cs="宋体" w:eastAsia="宋体" w:hint="default"/>
                <w:sz w:val="18"/>
                <w:szCs w:val="18"/>
              </w:rPr>
            </w:r>
          </w:p>
        </w:tc>
      </w:tr>
      <w:tr>
        <w:trPr>
          <w:trHeight w:val="383" w:hRule="exact"/>
        </w:trPr>
        <w:tc>
          <w:tcPr>
            <w:tcW w:w="4253" w:type="dxa"/>
            <w:tcBorders>
              <w:top w:val="single" w:sz="40" w:space="0" w:color="D3D3D3"/>
              <w:left w:val="single" w:sz="12" w:space="0" w:color="000000"/>
              <w:bottom w:val="single" w:sz="17" w:space="0" w:color="D3D3D3"/>
              <w:right w:val="single" w:sz="6" w:space="0" w:color="000000"/>
            </w:tcBorders>
          </w:tcPr>
          <w:p>
            <w:pPr>
              <w:pStyle w:val="TableParagraph"/>
              <w:tabs>
                <w:tab w:pos="4197" w:val="left" w:leader="none"/>
              </w:tabs>
              <w:spacing w:line="240" w:lineRule="auto" w:before="10"/>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一、经营活动产生的现金流量：</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shd w:val="clear" w:color="auto" w:fill="D3D3D3"/>
          </w:tcPr>
          <w:p>
            <w:pPr/>
          </w:p>
        </w:tc>
        <w:tc>
          <w:tcPr>
            <w:tcW w:w="2657" w:type="dxa"/>
            <w:tcBorders>
              <w:top w:val="single" w:sz="6" w:space="0" w:color="000000"/>
              <w:left w:val="single" w:sz="6" w:space="0" w:color="000000"/>
              <w:bottom w:val="single" w:sz="6" w:space="0" w:color="000000"/>
              <w:right w:val="single" w:sz="12" w:space="0" w:color="000000"/>
            </w:tcBorders>
            <w:shd w:val="clear" w:color="auto" w:fill="D3D3D3"/>
          </w:tcPr>
          <w:p>
            <w:pPr/>
          </w:p>
        </w:tc>
      </w:tr>
      <w:tr>
        <w:trPr>
          <w:trHeight w:val="441"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657" w:type="dxa"/>
            <w:tcBorders>
              <w:top w:val="single" w:sz="23" w:space="0" w:color="D3D3D3"/>
              <w:left w:val="single" w:sz="6" w:space="0" w:color="000000"/>
              <w:bottom w:val="single" w:sz="6" w:space="0" w:color="000000"/>
              <w:right w:val="single" w:sz="6" w:space="0" w:color="000000"/>
            </w:tcBorders>
          </w:tcPr>
          <w:p>
            <w:pPr>
              <w:pStyle w:val="TableParagraph"/>
              <w:spacing w:line="240" w:lineRule="auto" w:before="61"/>
              <w:ind w:right="17"/>
              <w:jc w:val="right"/>
              <w:rPr>
                <w:rFonts w:ascii="宋体" w:hAnsi="宋体" w:cs="宋体" w:eastAsia="宋体" w:hint="default"/>
                <w:sz w:val="18"/>
                <w:szCs w:val="18"/>
              </w:rPr>
            </w:pPr>
            <w:r>
              <w:rPr>
                <w:rFonts w:ascii="宋体"/>
                <w:sz w:val="18"/>
              </w:rPr>
              <w:t>435,636,474.22</w:t>
            </w:r>
          </w:p>
        </w:tc>
        <w:tc>
          <w:tcPr>
            <w:tcW w:w="2657" w:type="dxa"/>
            <w:tcBorders>
              <w:top w:val="single" w:sz="23" w:space="0" w:color="D3D3D3"/>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239,403,016.58</w:t>
            </w:r>
          </w:p>
        </w:tc>
      </w:tr>
      <w:tr>
        <w:trPr>
          <w:trHeight w:val="412" w:hRule="exact"/>
        </w:trPr>
        <w:tc>
          <w:tcPr>
            <w:tcW w:w="4253" w:type="dxa"/>
            <w:tcBorders>
              <w:top w:val="single" w:sz="40" w:space="0" w:color="D3D3D3"/>
              <w:left w:val="single" w:sz="12" w:space="0" w:color="000000"/>
              <w:bottom w:val="single" w:sz="40" w:space="0" w:color="D3D3D3"/>
              <w:right w:val="single" w:sz="6" w:space="0" w:color="000000"/>
            </w:tcBorders>
          </w:tcPr>
          <w:p>
            <w:pPr>
              <w:pStyle w:val="TableParagraph"/>
              <w:tabs>
                <w:tab w:pos="359" w:val="left" w:leader="none"/>
                <w:tab w:pos="4197"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客户存款和同业存放款项净增加额</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40" w:space="0" w:color="D3D3D3"/>
              <w:left w:val="single" w:sz="12" w:space="0" w:color="000000"/>
              <w:bottom w:val="single" w:sz="40" w:space="0" w:color="D3D3D3"/>
              <w:right w:val="single" w:sz="6" w:space="0" w:color="000000"/>
            </w:tcBorders>
          </w:tcPr>
          <w:p>
            <w:pPr>
              <w:pStyle w:val="TableParagraph"/>
              <w:tabs>
                <w:tab w:pos="359" w:val="left" w:leader="none"/>
                <w:tab w:pos="4197"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向中央银行借款净增加额</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4197"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向其他金融机构拆入资金净增加额</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4197"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收到原保险合同保费取得的现金</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40" w:space="0" w:color="D3D3D3"/>
              <w:left w:val="single" w:sz="12" w:space="0" w:color="000000"/>
              <w:bottom w:val="single" w:sz="40" w:space="0" w:color="D3D3D3"/>
              <w:right w:val="single" w:sz="6" w:space="0" w:color="000000"/>
            </w:tcBorders>
          </w:tcPr>
          <w:p>
            <w:pPr>
              <w:pStyle w:val="TableParagraph"/>
              <w:tabs>
                <w:tab w:pos="359" w:val="left" w:leader="none"/>
                <w:tab w:pos="4197"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收到再保险业务现金净额</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4197"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保户储金及投资款净增加额</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4197"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处置交易性金融资产净增加额</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4197"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收取利息、手续费及佣金的现金</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4197"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拆入资金净增加额</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4197"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回购业务资金净增加额</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4197"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w w:val="95"/>
                <w:sz w:val="18"/>
                <w:szCs w:val="18"/>
                <w:shd w:fill="D3D3D3" w:color="auto" w:val="clear"/>
              </w:rPr>
              <w:t>收到的税费返还</w:t>
              <w:tab/>
            </w:r>
            <w:r>
              <w:rPr>
                <w:rFonts w:ascii="宋体" w:hAnsi="宋体" w:cs="宋体" w:eastAsia="宋体" w:hint="default"/>
                <w:w w:val="95"/>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7,777,619.75</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4,769,780.12</w:t>
            </w:r>
          </w:p>
        </w:tc>
      </w:tr>
      <w:tr>
        <w:trPr>
          <w:trHeight w:val="412" w:hRule="exact"/>
        </w:trPr>
        <w:tc>
          <w:tcPr>
            <w:tcW w:w="4253"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4197" w:val="left" w:leader="none"/>
              </w:tabs>
              <w:spacing w:line="240" w:lineRule="auto" w:before="38"/>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收到其他与经营活动有关的现金</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41,043,322.71</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15,410,245.38</w:t>
            </w:r>
          </w:p>
        </w:tc>
      </w:tr>
      <w:tr>
        <w:trPr>
          <w:trHeight w:val="412" w:hRule="exact"/>
        </w:trPr>
        <w:tc>
          <w:tcPr>
            <w:tcW w:w="4253" w:type="dxa"/>
            <w:tcBorders>
              <w:top w:val="single" w:sz="17" w:space="0" w:color="D3D3D3"/>
              <w:left w:val="single" w:sz="12" w:space="0" w:color="000000"/>
              <w:bottom w:val="single" w:sz="40" w:space="0" w:color="D3D3D3"/>
              <w:right w:val="single" w:sz="6" w:space="0" w:color="000000"/>
            </w:tcBorders>
          </w:tcPr>
          <w:p>
            <w:pPr>
              <w:pStyle w:val="TableParagraph"/>
              <w:tabs>
                <w:tab w:pos="4197" w:val="left" w:leader="none"/>
              </w:tabs>
              <w:spacing w:line="240" w:lineRule="auto" w:before="39"/>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经营活动现金流入小计</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484,457,416.68</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259,583,042.08</w:t>
            </w:r>
          </w:p>
        </w:tc>
      </w:tr>
      <w:tr>
        <w:trPr>
          <w:trHeight w:val="412" w:hRule="exact"/>
        </w:trPr>
        <w:tc>
          <w:tcPr>
            <w:tcW w:w="4253"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4197"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购买商品、接受劳务支付的现金</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263,446,350.57</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139,229,238.31</w:t>
            </w:r>
          </w:p>
        </w:tc>
      </w:tr>
      <w:tr>
        <w:trPr>
          <w:trHeight w:val="412" w:hRule="exact"/>
        </w:trPr>
        <w:tc>
          <w:tcPr>
            <w:tcW w:w="4253"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4197" w:val="left" w:leader="none"/>
              </w:tabs>
              <w:spacing w:line="240" w:lineRule="auto" w:before="38"/>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客户贷款及垫款净增加额</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4197"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存放中央银行和同业款项净增加额</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40" w:space="0" w:color="D3D3D3"/>
              <w:left w:val="single" w:sz="12" w:space="0" w:color="000000"/>
              <w:bottom w:val="single" w:sz="40" w:space="0" w:color="D3D3D3"/>
              <w:right w:val="single" w:sz="6" w:space="0" w:color="000000"/>
            </w:tcBorders>
          </w:tcPr>
          <w:p>
            <w:pPr>
              <w:pStyle w:val="TableParagraph"/>
              <w:tabs>
                <w:tab w:pos="359" w:val="left" w:leader="none"/>
                <w:tab w:pos="4197"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支付原保险合同赔付款项的现金</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4197"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支付利息、手续费及佣金的现金</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4197"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支付保单红利的现金</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40" w:space="0" w:color="D3D3D3"/>
              <w:left w:val="single" w:sz="12" w:space="0" w:color="000000"/>
              <w:bottom w:val="single" w:sz="40" w:space="0" w:color="D3D3D3"/>
              <w:right w:val="single" w:sz="6" w:space="0" w:color="000000"/>
            </w:tcBorders>
          </w:tcPr>
          <w:p>
            <w:pPr>
              <w:pStyle w:val="TableParagraph"/>
              <w:tabs>
                <w:tab w:pos="359" w:val="left" w:leader="none"/>
                <w:tab w:pos="4197"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支付给职工以及为职工支付的现金</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28,576,151.54</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17,245,227.72</w:t>
            </w:r>
          </w:p>
        </w:tc>
      </w:tr>
      <w:tr>
        <w:trPr>
          <w:trHeight w:val="412" w:hRule="exact"/>
        </w:trPr>
        <w:tc>
          <w:tcPr>
            <w:tcW w:w="4253" w:type="dxa"/>
            <w:tcBorders>
              <w:top w:val="single" w:sz="40" w:space="0" w:color="D3D3D3"/>
              <w:left w:val="single" w:sz="12" w:space="0" w:color="000000"/>
              <w:bottom w:val="single" w:sz="40" w:space="0" w:color="D3D3D3"/>
              <w:right w:val="single" w:sz="6" w:space="0" w:color="000000"/>
            </w:tcBorders>
          </w:tcPr>
          <w:p>
            <w:pPr>
              <w:pStyle w:val="TableParagraph"/>
              <w:tabs>
                <w:tab w:pos="359" w:val="left" w:leader="none"/>
                <w:tab w:pos="4197"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w w:val="95"/>
                <w:sz w:val="18"/>
                <w:szCs w:val="18"/>
                <w:shd w:fill="D3D3D3" w:color="auto" w:val="clear"/>
              </w:rPr>
              <w:t>支付的各项税费</w:t>
              <w:tab/>
            </w:r>
            <w:r>
              <w:rPr>
                <w:rFonts w:ascii="宋体" w:hAnsi="宋体" w:cs="宋体" w:eastAsia="宋体" w:hint="default"/>
                <w:w w:val="95"/>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42,478,559.52</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29,834,114.03</w:t>
            </w:r>
          </w:p>
        </w:tc>
      </w:tr>
      <w:tr>
        <w:trPr>
          <w:trHeight w:val="412" w:hRule="exact"/>
        </w:trPr>
        <w:tc>
          <w:tcPr>
            <w:tcW w:w="4253"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4197"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支付其他与经营活动有关的现金</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77,381,336.01</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49,636,143.32</w:t>
            </w:r>
          </w:p>
        </w:tc>
      </w:tr>
      <w:tr>
        <w:trPr>
          <w:trHeight w:val="412" w:hRule="exact"/>
        </w:trPr>
        <w:tc>
          <w:tcPr>
            <w:tcW w:w="4253" w:type="dxa"/>
            <w:tcBorders>
              <w:top w:val="single" w:sz="17" w:space="0" w:color="D3D3D3"/>
              <w:left w:val="single" w:sz="12" w:space="0" w:color="000000"/>
              <w:bottom w:val="single" w:sz="40" w:space="0" w:color="D3D3D3"/>
              <w:right w:val="single" w:sz="6" w:space="0" w:color="000000"/>
            </w:tcBorders>
          </w:tcPr>
          <w:p>
            <w:pPr>
              <w:pStyle w:val="TableParagraph"/>
              <w:tabs>
                <w:tab w:pos="4197" w:val="left" w:leader="none"/>
              </w:tabs>
              <w:spacing w:line="240" w:lineRule="auto" w:before="39"/>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经营活动现金流出小计</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411,882,397.64</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235,944,723.38</w:t>
            </w:r>
          </w:p>
        </w:tc>
      </w:tr>
      <w:tr>
        <w:trPr>
          <w:trHeight w:val="440" w:hRule="exact"/>
        </w:trPr>
        <w:tc>
          <w:tcPr>
            <w:tcW w:w="4253" w:type="dxa"/>
            <w:tcBorders>
              <w:top w:val="single" w:sz="40" w:space="0" w:color="D3D3D3"/>
              <w:left w:val="single" w:sz="12" w:space="0" w:color="000000"/>
              <w:bottom w:val="single" w:sz="17" w:space="0" w:color="D3D3D3"/>
              <w:right w:val="single" w:sz="6" w:space="0" w:color="000000"/>
            </w:tcBorders>
          </w:tcPr>
          <w:p>
            <w:pPr>
              <w:pStyle w:val="TableParagraph"/>
              <w:tabs>
                <w:tab w:pos="4197" w:val="left" w:leader="none"/>
              </w:tabs>
              <w:spacing w:line="240" w:lineRule="auto" w:before="10"/>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经营活动产生的现金流量净额</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23" w:space="0" w:color="D3D3D3"/>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72,575,019.04</w:t>
            </w:r>
          </w:p>
        </w:tc>
        <w:tc>
          <w:tcPr>
            <w:tcW w:w="2657" w:type="dxa"/>
            <w:tcBorders>
              <w:top w:val="single" w:sz="6" w:space="0" w:color="000000"/>
              <w:left w:val="single" w:sz="6" w:space="0" w:color="000000"/>
              <w:bottom w:val="single" w:sz="23" w:space="0" w:color="D3D3D3"/>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23,638,318.70</w:t>
            </w:r>
          </w:p>
        </w:tc>
      </w:tr>
      <w:tr>
        <w:trPr>
          <w:trHeight w:val="355" w:hRule="exact"/>
        </w:trPr>
        <w:tc>
          <w:tcPr>
            <w:tcW w:w="4253" w:type="dxa"/>
            <w:tcBorders>
              <w:top w:val="single" w:sz="17" w:space="0" w:color="D3D3D3"/>
              <w:left w:val="single" w:sz="12" w:space="0" w:color="000000"/>
              <w:bottom w:val="single" w:sz="17" w:space="0" w:color="D3D3D3"/>
              <w:right w:val="single" w:sz="6" w:space="0" w:color="000000"/>
            </w:tcBorders>
          </w:tcPr>
          <w:p>
            <w:pPr>
              <w:pStyle w:val="TableParagraph"/>
              <w:tabs>
                <w:tab w:pos="4197" w:val="left" w:leader="none"/>
              </w:tabs>
              <w:spacing w:line="240" w:lineRule="auto" w:before="10"/>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二、投资活动产生的现金流量：</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shd w:val="clear" w:color="auto" w:fill="D3D3D3"/>
          </w:tcPr>
          <w:p>
            <w:pPr/>
          </w:p>
        </w:tc>
        <w:tc>
          <w:tcPr>
            <w:tcW w:w="2657" w:type="dxa"/>
            <w:tcBorders>
              <w:top w:val="single" w:sz="6" w:space="0" w:color="000000"/>
              <w:left w:val="single" w:sz="6" w:space="0" w:color="000000"/>
              <w:bottom w:val="single" w:sz="6" w:space="0" w:color="000000"/>
              <w:right w:val="single" w:sz="12" w:space="0" w:color="000000"/>
            </w:tcBorders>
            <w:shd w:val="clear" w:color="auto" w:fill="D3D3D3"/>
          </w:tcPr>
          <w:p>
            <w:pPr/>
          </w:p>
        </w:tc>
      </w:tr>
      <w:tr>
        <w:trPr>
          <w:trHeight w:val="441"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657" w:type="dxa"/>
            <w:tcBorders>
              <w:top w:val="single" w:sz="23" w:space="0" w:color="D3D3D3"/>
              <w:left w:val="single" w:sz="6" w:space="0" w:color="000000"/>
              <w:bottom w:val="single" w:sz="6" w:space="0" w:color="000000"/>
              <w:right w:val="single" w:sz="6" w:space="0" w:color="000000"/>
            </w:tcBorders>
          </w:tcPr>
          <w:p>
            <w:pPr/>
          </w:p>
        </w:tc>
        <w:tc>
          <w:tcPr>
            <w:tcW w:w="2657" w:type="dxa"/>
            <w:tcBorders>
              <w:top w:val="single" w:sz="23" w:space="0" w:color="D3D3D3"/>
              <w:left w:val="single" w:sz="6" w:space="0" w:color="000000"/>
              <w:bottom w:val="single" w:sz="6" w:space="0" w:color="000000"/>
              <w:right w:val="single" w:sz="12" w:space="0" w:color="000000"/>
            </w:tcBorders>
          </w:tcPr>
          <w:p>
            <w:pPr/>
          </w:p>
        </w:tc>
      </w:tr>
      <w:tr>
        <w:trPr>
          <w:trHeight w:val="419" w:hRule="exact"/>
        </w:trPr>
        <w:tc>
          <w:tcPr>
            <w:tcW w:w="4253" w:type="dxa"/>
            <w:tcBorders>
              <w:top w:val="single" w:sz="40" w:space="0" w:color="D3D3D3"/>
              <w:left w:val="single" w:sz="12" w:space="0" w:color="000000"/>
              <w:bottom w:val="single" w:sz="29" w:space="0" w:color="D3D3D3"/>
              <w:right w:val="single" w:sz="6" w:space="0" w:color="000000"/>
            </w:tcBorders>
          </w:tcPr>
          <w:p>
            <w:pPr>
              <w:pStyle w:val="TableParagraph"/>
              <w:tabs>
                <w:tab w:pos="359" w:val="left" w:leader="none"/>
                <w:tab w:pos="4197"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取得投资收益所收到的现金</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12" w:space="0" w:color="000000"/>
              <w:right w:val="single" w:sz="6" w:space="0" w:color="000000"/>
            </w:tcBorders>
          </w:tcPr>
          <w:p>
            <w:pPr/>
          </w:p>
        </w:tc>
        <w:tc>
          <w:tcPr>
            <w:tcW w:w="2657"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1003" w:top="1100" w:bottom="1200" w:left="980" w:right="98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4253"/>
        <w:gridCol w:w="2657"/>
        <w:gridCol w:w="2657"/>
      </w:tblGrid>
      <w:tr>
        <w:trPr>
          <w:trHeight w:val="370" w:hRule="exact"/>
        </w:trPr>
        <w:tc>
          <w:tcPr>
            <w:tcW w:w="4253" w:type="dxa"/>
            <w:tcBorders>
              <w:top w:val="single" w:sz="29" w:space="0" w:color="D3D3D3"/>
              <w:left w:val="single" w:sz="12" w:space="0" w:color="000000"/>
              <w:bottom w:val="single" w:sz="24" w:space="0" w:color="D3D3D3"/>
              <w:right w:val="single" w:sz="6" w:space="0" w:color="000000"/>
            </w:tcBorders>
          </w:tcPr>
          <w:p>
            <w:pPr>
              <w:pStyle w:val="TableParagraph"/>
              <w:tabs>
                <w:tab w:pos="1918" w:val="left" w:leader="none"/>
                <w:tab w:pos="4197"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项目</w:t>
              <w:tab/>
            </w:r>
            <w:r>
              <w:rPr>
                <w:rFonts w:ascii="宋体" w:hAnsi="宋体" w:cs="宋体" w:eastAsia="宋体" w:hint="default"/>
                <w:sz w:val="18"/>
                <w:szCs w:val="18"/>
              </w:rPr>
            </w:r>
          </w:p>
        </w:tc>
        <w:tc>
          <w:tcPr>
            <w:tcW w:w="2657" w:type="dxa"/>
            <w:tcBorders>
              <w:top w:val="single" w:sz="29" w:space="0" w:color="D3D3D3"/>
              <w:left w:val="single" w:sz="6" w:space="0" w:color="000000"/>
              <w:bottom w:val="single" w:sz="17" w:space="0" w:color="D3D3D3"/>
              <w:right w:val="single" w:sz="6" w:space="0" w:color="000000"/>
            </w:tcBorders>
          </w:tcPr>
          <w:p>
            <w:pPr>
              <w:pStyle w:val="TableParagraph"/>
              <w:tabs>
                <w:tab w:pos="940" w:val="left" w:leader="none"/>
                <w:tab w:pos="2600"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本期金额</w:t>
              <w:tab/>
            </w:r>
            <w:r>
              <w:rPr>
                <w:rFonts w:ascii="宋体" w:hAnsi="宋体" w:cs="宋体" w:eastAsia="宋体" w:hint="default"/>
                <w:sz w:val="18"/>
                <w:szCs w:val="18"/>
              </w:rPr>
            </w:r>
          </w:p>
        </w:tc>
        <w:tc>
          <w:tcPr>
            <w:tcW w:w="2657" w:type="dxa"/>
            <w:tcBorders>
              <w:top w:val="single" w:sz="29" w:space="0" w:color="D3D3D3"/>
              <w:left w:val="single" w:sz="6" w:space="0" w:color="000000"/>
              <w:bottom w:val="single" w:sz="17" w:space="0" w:color="D3D3D3"/>
              <w:right w:val="single" w:sz="12" w:space="0" w:color="000000"/>
            </w:tcBorders>
          </w:tcPr>
          <w:p>
            <w:pPr>
              <w:pStyle w:val="TableParagraph"/>
              <w:tabs>
                <w:tab w:pos="940" w:val="left" w:leader="none"/>
                <w:tab w:pos="2601" w:val="left" w:leader="none"/>
              </w:tabs>
              <w:spacing w:line="240" w:lineRule="auto" w:before="10"/>
              <w:ind w:right="11"/>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上期金额</w:t>
              <w:tab/>
            </w:r>
            <w:r>
              <w:rPr>
                <w:rFonts w:ascii="宋体" w:hAnsi="宋体" w:cs="宋体" w:eastAsia="宋体" w:hint="default"/>
                <w:sz w:val="18"/>
                <w:szCs w:val="18"/>
              </w:rPr>
            </w:r>
          </w:p>
        </w:tc>
      </w:tr>
      <w:tr>
        <w:trPr>
          <w:trHeight w:val="689"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6" w:lineRule="auto" w:before="39"/>
              <w:ind w:left="13" w:right="77"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 现金净额</w:t>
            </w:r>
          </w:p>
        </w:tc>
        <w:tc>
          <w:tcPr>
            <w:tcW w:w="2657" w:type="dxa"/>
            <w:tcBorders>
              <w:top w:val="single" w:sz="17" w:space="0" w:color="D3D3D3"/>
              <w:left w:val="single" w:sz="14" w:space="0" w:color="D3D3D3"/>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18"/>
                <w:szCs w:val="18"/>
              </w:rPr>
            </w:pPr>
            <w:r>
              <w:rPr>
                <w:rFonts w:ascii="宋体"/>
                <w:sz w:val="18"/>
              </w:rPr>
              <w:t>1,650.00</w:t>
            </w:r>
          </w:p>
        </w:tc>
        <w:tc>
          <w:tcPr>
            <w:tcW w:w="2657" w:type="dxa"/>
            <w:tcBorders>
              <w:top w:val="single" w:sz="17" w:space="0" w:color="D3D3D3"/>
              <w:left w:val="single" w:sz="6" w:space="0" w:color="000000"/>
              <w:bottom w:val="single" w:sz="6" w:space="0" w:color="000000"/>
              <w:right w:val="single" w:sz="12" w:space="0" w:color="000000"/>
            </w:tcBorders>
          </w:tcPr>
          <w:p>
            <w:pPr/>
          </w:p>
        </w:tc>
      </w:tr>
      <w:tr>
        <w:trPr>
          <w:trHeight w:val="391" w:hRule="exact"/>
        </w:trPr>
        <w:tc>
          <w:tcPr>
            <w:tcW w:w="4253"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4197" w:val="left" w:leader="none"/>
              </w:tabs>
              <w:spacing w:line="240" w:lineRule="auto" w:before="18"/>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处置子公司及其他营业单位收到的现金净额</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4197"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收到其他与投资活动有关的现金</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391" w:hRule="exact"/>
        </w:trPr>
        <w:tc>
          <w:tcPr>
            <w:tcW w:w="4253" w:type="dxa"/>
            <w:tcBorders>
              <w:top w:val="single" w:sz="17" w:space="0" w:color="D3D3D3"/>
              <w:left w:val="single" w:sz="12" w:space="0" w:color="000000"/>
              <w:bottom w:val="single" w:sz="17" w:space="0" w:color="D3D3D3"/>
              <w:right w:val="single" w:sz="6" w:space="0" w:color="000000"/>
            </w:tcBorders>
          </w:tcPr>
          <w:p>
            <w:pPr>
              <w:pStyle w:val="TableParagraph"/>
              <w:tabs>
                <w:tab w:pos="4197" w:val="left" w:leader="none"/>
              </w:tabs>
              <w:spacing w:line="240" w:lineRule="auto" w:before="39"/>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投资活动现金流入小计</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1,650.00</w:t>
            </w: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682"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6" w:lineRule="auto" w:before="32"/>
              <w:ind w:left="13" w:right="77"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 现金</w:t>
            </w:r>
          </w:p>
        </w:tc>
        <w:tc>
          <w:tcPr>
            <w:tcW w:w="2657" w:type="dxa"/>
            <w:tcBorders>
              <w:top w:val="single" w:sz="6" w:space="0" w:color="000000"/>
              <w:left w:val="single" w:sz="14" w:space="0" w:color="D3D3D3"/>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18"/>
                <w:szCs w:val="18"/>
              </w:rPr>
            </w:pPr>
            <w:r>
              <w:rPr>
                <w:rFonts w:ascii="宋体"/>
                <w:sz w:val="18"/>
              </w:rPr>
              <w:t>53,423,419.22</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33,189,193.39</w:t>
            </w:r>
          </w:p>
        </w:tc>
      </w:tr>
      <w:tr>
        <w:trPr>
          <w:trHeight w:val="391" w:hRule="exact"/>
        </w:trPr>
        <w:tc>
          <w:tcPr>
            <w:tcW w:w="4253"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4197" w:val="left" w:leader="none"/>
              </w:tabs>
              <w:spacing w:line="240" w:lineRule="auto" w:before="17"/>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w w:val="95"/>
                <w:sz w:val="18"/>
                <w:szCs w:val="18"/>
                <w:shd w:fill="D3D3D3" w:color="auto" w:val="clear"/>
              </w:rPr>
              <w:t>投资支付的现金</w:t>
              <w:tab/>
            </w:r>
            <w:r>
              <w:rPr>
                <w:rFonts w:ascii="宋体" w:hAnsi="宋体" w:cs="宋体" w:eastAsia="宋体" w:hint="default"/>
                <w:w w:val="95"/>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17"/>
              <w:jc w:val="right"/>
              <w:rPr>
                <w:rFonts w:ascii="宋体" w:hAnsi="宋体" w:cs="宋体" w:eastAsia="宋体" w:hint="default"/>
                <w:sz w:val="18"/>
                <w:szCs w:val="18"/>
              </w:rPr>
            </w:pPr>
            <w:r>
              <w:rPr>
                <w:rFonts w:ascii="宋体"/>
                <w:sz w:val="18"/>
              </w:rPr>
              <w:t>4,720,000.00</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2"/>
              <w:ind w:right="11"/>
              <w:jc w:val="right"/>
              <w:rPr>
                <w:rFonts w:ascii="宋体" w:hAnsi="宋体" w:cs="宋体" w:eastAsia="宋体" w:hint="default"/>
                <w:sz w:val="18"/>
                <w:szCs w:val="18"/>
              </w:rPr>
            </w:pPr>
            <w:r>
              <w:rPr>
                <w:rFonts w:ascii="宋体"/>
                <w:sz w:val="18"/>
              </w:rPr>
              <w:t>2,000,000.00</w:t>
            </w:r>
          </w:p>
        </w:tc>
      </w:tr>
      <w:tr>
        <w:trPr>
          <w:trHeight w:val="412" w:hRule="exact"/>
        </w:trPr>
        <w:tc>
          <w:tcPr>
            <w:tcW w:w="4253" w:type="dxa"/>
            <w:tcBorders>
              <w:top w:val="single" w:sz="40" w:space="0" w:color="D3D3D3"/>
              <w:left w:val="single" w:sz="12" w:space="0" w:color="000000"/>
              <w:bottom w:val="single" w:sz="40" w:space="0" w:color="D3D3D3"/>
              <w:right w:val="single" w:sz="6" w:space="0" w:color="000000"/>
            </w:tcBorders>
          </w:tcPr>
          <w:p>
            <w:pPr>
              <w:pStyle w:val="TableParagraph"/>
              <w:tabs>
                <w:tab w:pos="359" w:val="left" w:leader="none"/>
                <w:tab w:pos="4197"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质押贷款净增加额</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4197"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取得子公司及其他营业单位支付的现金净额</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4197"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支付其他与投资活动有关的现金</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17" w:space="0" w:color="D3D3D3"/>
              <w:left w:val="single" w:sz="12" w:space="0" w:color="000000"/>
              <w:bottom w:val="single" w:sz="40" w:space="0" w:color="D3D3D3"/>
              <w:right w:val="single" w:sz="6" w:space="0" w:color="000000"/>
            </w:tcBorders>
          </w:tcPr>
          <w:p>
            <w:pPr>
              <w:pStyle w:val="TableParagraph"/>
              <w:tabs>
                <w:tab w:pos="4197" w:val="left" w:leader="none"/>
              </w:tabs>
              <w:spacing w:line="240" w:lineRule="auto" w:before="39"/>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投资活动现金流出小计</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58,143,419.22</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35,189,193.39</w:t>
            </w:r>
          </w:p>
        </w:tc>
      </w:tr>
      <w:tr>
        <w:trPr>
          <w:trHeight w:val="441" w:hRule="exact"/>
        </w:trPr>
        <w:tc>
          <w:tcPr>
            <w:tcW w:w="4253" w:type="dxa"/>
            <w:tcBorders>
              <w:top w:val="single" w:sz="40" w:space="0" w:color="D3D3D3"/>
              <w:left w:val="single" w:sz="12" w:space="0" w:color="000000"/>
              <w:bottom w:val="single" w:sz="17" w:space="0" w:color="D3D3D3"/>
              <w:right w:val="single" w:sz="6" w:space="0" w:color="000000"/>
            </w:tcBorders>
          </w:tcPr>
          <w:p>
            <w:pPr>
              <w:pStyle w:val="TableParagraph"/>
              <w:tabs>
                <w:tab w:pos="4197" w:val="left" w:leader="none"/>
              </w:tabs>
              <w:spacing w:line="240" w:lineRule="auto" w:before="10"/>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投资活动产生的现金流量净额</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23" w:space="0" w:color="D3D3D3"/>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-58,141,769.22</w:t>
            </w:r>
          </w:p>
        </w:tc>
        <w:tc>
          <w:tcPr>
            <w:tcW w:w="2657" w:type="dxa"/>
            <w:tcBorders>
              <w:top w:val="single" w:sz="6" w:space="0" w:color="000000"/>
              <w:left w:val="single" w:sz="6" w:space="0" w:color="000000"/>
              <w:bottom w:val="single" w:sz="23" w:space="0" w:color="D3D3D3"/>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-35,189,193.39</w:t>
            </w:r>
          </w:p>
        </w:tc>
      </w:tr>
      <w:tr>
        <w:trPr>
          <w:trHeight w:val="355" w:hRule="exact"/>
        </w:trPr>
        <w:tc>
          <w:tcPr>
            <w:tcW w:w="4253" w:type="dxa"/>
            <w:tcBorders>
              <w:top w:val="single" w:sz="17" w:space="0" w:color="D3D3D3"/>
              <w:left w:val="single" w:sz="12" w:space="0" w:color="000000"/>
              <w:bottom w:val="single" w:sz="17" w:space="0" w:color="D3D3D3"/>
              <w:right w:val="single" w:sz="6" w:space="0" w:color="000000"/>
            </w:tcBorders>
          </w:tcPr>
          <w:p>
            <w:pPr>
              <w:pStyle w:val="TableParagraph"/>
              <w:tabs>
                <w:tab w:pos="4197" w:val="left" w:leader="none"/>
              </w:tabs>
              <w:spacing w:line="240" w:lineRule="auto" w:before="10"/>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三、筹资活动产生的现金流量：</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shd w:val="clear" w:color="auto" w:fill="D3D3D3"/>
          </w:tcPr>
          <w:p>
            <w:pPr/>
          </w:p>
        </w:tc>
        <w:tc>
          <w:tcPr>
            <w:tcW w:w="2657" w:type="dxa"/>
            <w:tcBorders>
              <w:top w:val="single" w:sz="6" w:space="0" w:color="000000"/>
              <w:left w:val="single" w:sz="6" w:space="0" w:color="000000"/>
              <w:bottom w:val="single" w:sz="6" w:space="0" w:color="000000"/>
              <w:right w:val="single" w:sz="12" w:space="0" w:color="000000"/>
            </w:tcBorders>
            <w:shd w:val="clear" w:color="auto" w:fill="D3D3D3"/>
          </w:tcPr>
          <w:p>
            <w:pPr/>
          </w:p>
        </w:tc>
      </w:tr>
      <w:tr>
        <w:trPr>
          <w:trHeight w:val="440" w:hRule="exact"/>
        </w:trPr>
        <w:tc>
          <w:tcPr>
            <w:tcW w:w="42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657" w:type="dxa"/>
            <w:tcBorders>
              <w:top w:val="single" w:sz="17" w:space="0" w:color="D3D3D3"/>
              <w:left w:val="single" w:sz="6" w:space="0" w:color="000000"/>
              <w:bottom w:val="single" w:sz="6" w:space="0" w:color="000000"/>
              <w:right w:val="single" w:sz="6" w:space="0" w:color="000000"/>
            </w:tcBorders>
          </w:tcPr>
          <w:p>
            <w:pPr>
              <w:pStyle w:val="TableParagraph"/>
              <w:spacing w:line="240" w:lineRule="auto" w:before="68"/>
              <w:ind w:right="17"/>
              <w:jc w:val="right"/>
              <w:rPr>
                <w:rFonts w:ascii="宋体" w:hAnsi="宋体" w:cs="宋体" w:eastAsia="宋体" w:hint="default"/>
                <w:sz w:val="18"/>
                <w:szCs w:val="18"/>
              </w:rPr>
            </w:pPr>
            <w:r>
              <w:rPr>
                <w:rFonts w:ascii="宋体"/>
                <w:sz w:val="18"/>
              </w:rPr>
              <w:t>363,443,358.00</w:t>
            </w:r>
          </w:p>
        </w:tc>
        <w:tc>
          <w:tcPr>
            <w:tcW w:w="2657" w:type="dxa"/>
            <w:tcBorders>
              <w:top w:val="single" w:sz="17" w:space="0" w:color="D3D3D3"/>
              <w:left w:val="single" w:sz="6" w:space="0" w:color="000000"/>
              <w:bottom w:val="single" w:sz="6" w:space="0" w:color="000000"/>
              <w:right w:val="single" w:sz="12" w:space="0" w:color="000000"/>
            </w:tcBorders>
          </w:tcPr>
          <w:p>
            <w:pPr/>
          </w:p>
        </w:tc>
      </w:tr>
      <w:tr>
        <w:trPr>
          <w:trHeight w:val="412" w:hRule="exact"/>
        </w:trPr>
        <w:tc>
          <w:tcPr>
            <w:tcW w:w="4253"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4197"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其中：子公司吸收少数股东投资收到的现金</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17" w:space="0" w:color="D3D3D3"/>
              <w:left w:val="single" w:sz="12" w:space="0" w:color="000000"/>
              <w:bottom w:val="single" w:sz="17" w:space="0" w:color="D3D3D3"/>
              <w:right w:val="single" w:sz="6" w:space="0" w:color="000000"/>
            </w:tcBorders>
          </w:tcPr>
          <w:p>
            <w:pPr>
              <w:pStyle w:val="TableParagraph"/>
              <w:tabs>
                <w:tab w:pos="359" w:val="left" w:leader="none"/>
                <w:tab w:pos="4197"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取得借款收到的现金</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46,568,378.02</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15,000,000.00</w:t>
            </w:r>
          </w:p>
        </w:tc>
      </w:tr>
      <w:tr>
        <w:trPr>
          <w:trHeight w:val="412" w:hRule="exact"/>
        </w:trPr>
        <w:tc>
          <w:tcPr>
            <w:tcW w:w="4253"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4197"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发行债券收到的现金</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4197"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收到其他与筹资活动有关的现金</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17" w:space="0" w:color="D3D3D3"/>
              <w:left w:val="single" w:sz="12" w:space="0" w:color="000000"/>
              <w:bottom w:val="single" w:sz="17" w:space="0" w:color="D3D3D3"/>
              <w:right w:val="single" w:sz="6" w:space="0" w:color="000000"/>
            </w:tcBorders>
          </w:tcPr>
          <w:p>
            <w:pPr>
              <w:pStyle w:val="TableParagraph"/>
              <w:tabs>
                <w:tab w:pos="4197" w:val="left" w:leader="none"/>
              </w:tabs>
              <w:spacing w:line="240" w:lineRule="auto" w:before="39"/>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筹资活动现金流入小计</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410,011,736.02</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15,000,000.00</w:t>
            </w:r>
          </w:p>
        </w:tc>
      </w:tr>
      <w:tr>
        <w:trPr>
          <w:trHeight w:val="412" w:hRule="exact"/>
        </w:trPr>
        <w:tc>
          <w:tcPr>
            <w:tcW w:w="4253"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4197"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偿还债务支付的现金</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49,000,000.00</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14,000,000.00</w:t>
            </w:r>
          </w:p>
        </w:tc>
      </w:tr>
      <w:tr>
        <w:trPr>
          <w:trHeight w:val="412" w:hRule="exact"/>
        </w:trPr>
        <w:tc>
          <w:tcPr>
            <w:tcW w:w="4253" w:type="dxa"/>
            <w:tcBorders>
              <w:top w:val="single" w:sz="40" w:space="0" w:color="D3D3D3"/>
              <w:left w:val="single" w:sz="12" w:space="0" w:color="000000"/>
              <w:bottom w:val="single" w:sz="40" w:space="0" w:color="D3D3D3"/>
              <w:right w:val="single" w:sz="6" w:space="0" w:color="000000"/>
            </w:tcBorders>
          </w:tcPr>
          <w:p>
            <w:pPr>
              <w:pStyle w:val="TableParagraph"/>
              <w:tabs>
                <w:tab w:pos="359" w:val="left" w:leader="none"/>
                <w:tab w:pos="4197"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分配股利、利润或偿付利息支付的现金</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1,515,340.78</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13,615,606.69</w:t>
            </w:r>
          </w:p>
        </w:tc>
      </w:tr>
      <w:tr>
        <w:trPr>
          <w:trHeight w:val="412" w:hRule="exact"/>
        </w:trPr>
        <w:tc>
          <w:tcPr>
            <w:tcW w:w="4253"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4197"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其中：子公司支付给少数股东的股利、利润</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17" w:space="0" w:color="D3D3D3"/>
              <w:left w:val="single" w:sz="12" w:space="0" w:color="000000"/>
              <w:bottom w:val="single" w:sz="40" w:space="0" w:color="D3D3D3"/>
              <w:right w:val="single" w:sz="6" w:space="0" w:color="000000"/>
            </w:tcBorders>
          </w:tcPr>
          <w:p>
            <w:pPr>
              <w:pStyle w:val="TableParagraph"/>
              <w:tabs>
                <w:tab w:pos="359" w:val="left" w:leader="none"/>
                <w:tab w:pos="4197" w:val="left" w:leader="none"/>
              </w:tabs>
              <w:spacing w:line="240" w:lineRule="auto" w:before="39"/>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支付其他与筹资活动有关的现金</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2,158,335.00</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8,144,935.00</w:t>
            </w:r>
          </w:p>
        </w:tc>
      </w:tr>
      <w:tr>
        <w:trPr>
          <w:trHeight w:val="412" w:hRule="exact"/>
        </w:trPr>
        <w:tc>
          <w:tcPr>
            <w:tcW w:w="4253" w:type="dxa"/>
            <w:tcBorders>
              <w:top w:val="single" w:sz="40" w:space="0" w:color="D3D3D3"/>
              <w:left w:val="single" w:sz="12" w:space="0" w:color="000000"/>
              <w:bottom w:val="single" w:sz="17" w:space="0" w:color="D3D3D3"/>
              <w:right w:val="single" w:sz="6" w:space="0" w:color="000000"/>
            </w:tcBorders>
          </w:tcPr>
          <w:p>
            <w:pPr>
              <w:pStyle w:val="TableParagraph"/>
              <w:tabs>
                <w:tab w:pos="4197" w:val="left" w:leader="none"/>
              </w:tabs>
              <w:spacing w:line="240" w:lineRule="auto" w:before="10"/>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筹资活动现金流出小计</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52,673,675.78</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35,760,541.69</w:t>
            </w:r>
          </w:p>
        </w:tc>
      </w:tr>
      <w:tr>
        <w:trPr>
          <w:trHeight w:val="412" w:hRule="exact"/>
        </w:trPr>
        <w:tc>
          <w:tcPr>
            <w:tcW w:w="4253" w:type="dxa"/>
            <w:tcBorders>
              <w:top w:val="single" w:sz="17" w:space="0" w:color="D3D3D3"/>
              <w:left w:val="single" w:sz="12" w:space="0" w:color="000000"/>
              <w:bottom w:val="single" w:sz="17" w:space="0" w:color="D3D3D3"/>
              <w:right w:val="single" w:sz="6" w:space="0" w:color="000000"/>
            </w:tcBorders>
          </w:tcPr>
          <w:p>
            <w:pPr>
              <w:pStyle w:val="TableParagraph"/>
              <w:tabs>
                <w:tab w:pos="4197" w:val="left" w:leader="none"/>
              </w:tabs>
              <w:spacing w:line="240" w:lineRule="auto" w:before="39"/>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筹资活动产生的现金流量净额</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357,338,060.24</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-20,760,541.69</w:t>
            </w:r>
          </w:p>
        </w:tc>
      </w:tr>
      <w:tr>
        <w:trPr>
          <w:trHeight w:val="412" w:hRule="exact"/>
        </w:trPr>
        <w:tc>
          <w:tcPr>
            <w:tcW w:w="4253" w:type="dxa"/>
            <w:tcBorders>
              <w:top w:val="single" w:sz="17" w:space="0" w:color="D3D3D3"/>
              <w:left w:val="single" w:sz="12" w:space="0" w:color="000000"/>
              <w:bottom w:val="single" w:sz="40" w:space="0" w:color="D3D3D3"/>
              <w:right w:val="single" w:sz="6" w:space="0" w:color="000000"/>
            </w:tcBorders>
          </w:tcPr>
          <w:p>
            <w:pPr>
              <w:pStyle w:val="TableParagraph"/>
              <w:tabs>
                <w:tab w:pos="4197" w:val="left" w:leader="none"/>
              </w:tabs>
              <w:spacing w:line="240" w:lineRule="auto" w:before="39"/>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四、汇率变动对现金及现金等价物的影响</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
        </w:tc>
        <w:tc>
          <w:tcPr>
            <w:tcW w:w="26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253" w:type="dxa"/>
            <w:tcBorders>
              <w:top w:val="single" w:sz="40" w:space="0" w:color="D3D3D3"/>
              <w:left w:val="single" w:sz="12" w:space="0" w:color="000000"/>
              <w:bottom w:val="single" w:sz="40" w:space="0" w:color="D3D3D3"/>
              <w:right w:val="single" w:sz="6" w:space="0" w:color="000000"/>
            </w:tcBorders>
          </w:tcPr>
          <w:p>
            <w:pPr>
              <w:pStyle w:val="TableParagraph"/>
              <w:tabs>
                <w:tab w:pos="4197" w:val="left" w:leader="none"/>
              </w:tabs>
              <w:spacing w:line="240" w:lineRule="auto" w:before="10"/>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五、现金及现金等价物净增加额</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371,771,310.06</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-32,311,416.38</w:t>
            </w:r>
          </w:p>
        </w:tc>
      </w:tr>
      <w:tr>
        <w:trPr>
          <w:trHeight w:val="412" w:hRule="exact"/>
        </w:trPr>
        <w:tc>
          <w:tcPr>
            <w:tcW w:w="4253" w:type="dxa"/>
            <w:tcBorders>
              <w:top w:val="single" w:sz="40" w:space="0" w:color="D3D3D3"/>
              <w:left w:val="single" w:sz="12" w:space="0" w:color="000000"/>
              <w:bottom w:val="single" w:sz="17" w:space="0" w:color="D3D3D3"/>
              <w:right w:val="single" w:sz="6" w:space="0" w:color="000000"/>
            </w:tcBorders>
          </w:tcPr>
          <w:p>
            <w:pPr>
              <w:pStyle w:val="TableParagraph"/>
              <w:tabs>
                <w:tab w:pos="359" w:val="left" w:leader="none"/>
                <w:tab w:pos="4197"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加：期初现金及现金等价物余额</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83,735,046.69</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116,046,463.07</w:t>
            </w:r>
          </w:p>
        </w:tc>
      </w:tr>
      <w:tr>
        <w:trPr>
          <w:trHeight w:val="420" w:hRule="exact"/>
        </w:trPr>
        <w:tc>
          <w:tcPr>
            <w:tcW w:w="4253" w:type="dxa"/>
            <w:tcBorders>
              <w:top w:val="single" w:sz="17" w:space="0" w:color="D3D3D3"/>
              <w:left w:val="single" w:sz="12" w:space="0" w:color="000000"/>
              <w:bottom w:val="single" w:sz="29" w:space="0" w:color="D3D3D3"/>
              <w:right w:val="single" w:sz="6" w:space="0" w:color="000000"/>
            </w:tcBorders>
          </w:tcPr>
          <w:p>
            <w:pPr>
              <w:pStyle w:val="TableParagraph"/>
              <w:tabs>
                <w:tab w:pos="4197" w:val="left" w:leader="none"/>
              </w:tabs>
              <w:spacing w:line="240" w:lineRule="auto" w:before="39"/>
              <w:ind w:right="1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六、期末现金及现金等价物余额</w:t>
              <w:tab/>
            </w:r>
            <w:r>
              <w:rPr>
                <w:rFonts w:ascii="宋体" w:hAnsi="宋体" w:cs="宋体" w:eastAsia="宋体" w:hint="default"/>
                <w:sz w:val="18"/>
                <w:szCs w:val="18"/>
              </w:rPr>
            </w:r>
          </w:p>
        </w:tc>
        <w:tc>
          <w:tcPr>
            <w:tcW w:w="26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455,506,356.75</w:t>
            </w:r>
          </w:p>
        </w:tc>
        <w:tc>
          <w:tcPr>
            <w:tcW w:w="265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83,735,046.69</w:t>
            </w:r>
          </w:p>
        </w:tc>
      </w:tr>
    </w:tbl>
    <w:p>
      <w:pPr>
        <w:spacing w:line="240" w:lineRule="auto" w:before="10"/>
        <w:rPr>
          <w:rFonts w:ascii="宋体" w:hAnsi="宋体" w:cs="宋体" w:eastAsia="宋体" w:hint="default"/>
          <w:sz w:val="18"/>
          <w:szCs w:val="18"/>
        </w:rPr>
      </w:pPr>
    </w:p>
    <w:p>
      <w:pPr>
        <w:tabs>
          <w:tab w:pos="3573" w:val="left" w:leader="none"/>
          <w:tab w:pos="7713" w:val="left" w:leader="none"/>
        </w:tabs>
        <w:spacing w:before="44"/>
        <w:ind w:left="154" w:right="132" w:firstLine="0"/>
        <w:jc w:val="left"/>
        <w:rPr>
          <w:rFonts w:ascii="宋体" w:hAnsi="宋体" w:cs="宋体" w:eastAsia="宋体" w:hint="default"/>
          <w:sz w:val="18"/>
          <w:szCs w:val="18"/>
        </w:rPr>
      </w:pPr>
      <w:r>
        <w:rPr>
          <w:rFonts w:ascii="宋体" w:hAnsi="宋体" w:cs="宋体" w:eastAsia="宋体" w:hint="default"/>
          <w:sz w:val="18"/>
          <w:szCs w:val="18"/>
        </w:rPr>
        <w:t>法定代表人：龙昌明</w:t>
        <w:tab/>
        <w:t>主管会计工作负责人：戴晓东</w:t>
        <w:tab/>
        <w:t>会计机构负责人：周振娟</w:t>
      </w:r>
    </w:p>
    <w:p>
      <w:pPr>
        <w:spacing w:after="0"/>
        <w:jc w:val="left"/>
        <w:rPr>
          <w:rFonts w:ascii="宋体" w:hAnsi="宋体" w:cs="宋体" w:eastAsia="宋体" w:hint="default"/>
          <w:sz w:val="18"/>
          <w:szCs w:val="18"/>
        </w:rPr>
        <w:sectPr>
          <w:pgSz w:w="11910" w:h="16840"/>
          <w:pgMar w:header="877" w:footer="1003" w:top="1100" w:bottom="1200" w:left="980" w:right="980"/>
        </w:sectPr>
      </w:pPr>
    </w:p>
    <w:p>
      <w:pPr>
        <w:spacing w:line="240" w:lineRule="auto" w:before="8"/>
        <w:rPr>
          <w:rFonts w:ascii="宋体" w:hAnsi="宋体" w:cs="宋体" w:eastAsia="宋体" w:hint="default"/>
          <w:sz w:val="19"/>
          <w:szCs w:val="19"/>
        </w:rPr>
      </w:pPr>
    </w:p>
    <w:p>
      <w:pPr>
        <w:pStyle w:val="Heading2"/>
        <w:spacing w:line="240" w:lineRule="auto"/>
        <w:ind w:right="132"/>
        <w:jc w:val="left"/>
        <w:rPr>
          <w:b w:val="0"/>
          <w:bCs w:val="0"/>
        </w:rPr>
      </w:pPr>
      <w:r>
        <w:rPr/>
        <w:t>6、母公司现金流量表</w:t>
      </w:r>
      <w:r>
        <w:rPr>
          <w:b w:val="0"/>
          <w:bCs w:val="0"/>
        </w:rPr>
      </w:r>
    </w:p>
    <w:p>
      <w:pPr>
        <w:spacing w:line="240" w:lineRule="auto" w:before="3"/>
        <w:rPr>
          <w:rFonts w:ascii="宋体" w:hAnsi="宋体" w:cs="宋体" w:eastAsia="宋体" w:hint="default"/>
          <w:b/>
          <w:bCs/>
          <w:sz w:val="23"/>
          <w:szCs w:val="23"/>
        </w:rPr>
      </w:pPr>
    </w:p>
    <w:p>
      <w:pPr>
        <w:spacing w:before="44"/>
        <w:ind w:left="154" w:right="132" w:firstLine="0"/>
        <w:jc w:val="left"/>
        <w:rPr>
          <w:rFonts w:ascii="宋体" w:hAnsi="宋体" w:cs="宋体" w:eastAsia="宋体" w:hint="default"/>
          <w:sz w:val="18"/>
          <w:szCs w:val="18"/>
        </w:rPr>
      </w:pPr>
      <w:r>
        <w:rPr>
          <w:rFonts w:ascii="宋体" w:hAnsi="宋体" w:cs="宋体" w:eastAsia="宋体" w:hint="default"/>
          <w:sz w:val="18"/>
          <w:szCs w:val="18"/>
        </w:rPr>
        <w:t>编制单位：光一科技股份有限公司</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970"/>
        <w:gridCol w:w="2798"/>
        <w:gridCol w:w="2799"/>
      </w:tblGrid>
      <w:tr>
        <w:trPr>
          <w:trHeight w:val="398" w:hRule="exact"/>
        </w:trPr>
        <w:tc>
          <w:tcPr>
            <w:tcW w:w="3970" w:type="dxa"/>
            <w:tcBorders>
              <w:top w:val="single" w:sz="17" w:space="0" w:color="D3D3D3"/>
              <w:left w:val="single" w:sz="12" w:space="0" w:color="000000"/>
              <w:bottom w:val="single" w:sz="40" w:space="0" w:color="D3D3D3"/>
              <w:right w:val="single" w:sz="6" w:space="0" w:color="000000"/>
            </w:tcBorders>
          </w:tcPr>
          <w:p>
            <w:pPr>
              <w:pStyle w:val="TableParagraph"/>
              <w:tabs>
                <w:tab w:pos="1789" w:val="left" w:leader="none"/>
                <w:tab w:pos="3926" w:val="left" w:leader="none"/>
              </w:tabs>
              <w:spacing w:line="240" w:lineRule="auto" w:before="25"/>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项目</w:t>
              <w:tab/>
            </w:r>
            <w:r>
              <w:rPr>
                <w:rFonts w:ascii="宋体" w:hAnsi="宋体" w:cs="宋体" w:eastAsia="宋体" w:hint="default"/>
                <w:sz w:val="18"/>
                <w:szCs w:val="18"/>
              </w:rPr>
            </w:r>
          </w:p>
        </w:tc>
        <w:tc>
          <w:tcPr>
            <w:tcW w:w="2798" w:type="dxa"/>
            <w:tcBorders>
              <w:top w:val="single" w:sz="17" w:space="0" w:color="D3D3D3"/>
              <w:left w:val="single" w:sz="6" w:space="0" w:color="000000"/>
              <w:bottom w:val="single" w:sz="40" w:space="0" w:color="D3D3D3"/>
              <w:right w:val="single" w:sz="6" w:space="0" w:color="000000"/>
            </w:tcBorders>
          </w:tcPr>
          <w:p>
            <w:pPr>
              <w:pStyle w:val="TableParagraph"/>
              <w:tabs>
                <w:tab w:pos="1011" w:val="left" w:leader="none"/>
                <w:tab w:pos="2743" w:val="left" w:leader="none"/>
              </w:tabs>
              <w:spacing w:line="240" w:lineRule="auto" w:before="25"/>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本期金额</w:t>
              <w:tab/>
            </w:r>
            <w:r>
              <w:rPr>
                <w:rFonts w:ascii="宋体" w:hAnsi="宋体" w:cs="宋体" w:eastAsia="宋体" w:hint="default"/>
                <w:sz w:val="18"/>
                <w:szCs w:val="18"/>
              </w:rPr>
            </w:r>
          </w:p>
        </w:tc>
        <w:tc>
          <w:tcPr>
            <w:tcW w:w="2799" w:type="dxa"/>
            <w:tcBorders>
              <w:top w:val="single" w:sz="17" w:space="0" w:color="D3D3D3"/>
              <w:left w:val="single" w:sz="6" w:space="0" w:color="000000"/>
              <w:bottom w:val="single" w:sz="40" w:space="0" w:color="D3D3D3"/>
              <w:right w:val="single" w:sz="12" w:space="0" w:color="000000"/>
            </w:tcBorders>
          </w:tcPr>
          <w:p>
            <w:pPr>
              <w:pStyle w:val="TableParagraph"/>
              <w:tabs>
                <w:tab w:pos="1011" w:val="left" w:leader="none"/>
                <w:tab w:pos="2744" w:val="left" w:leader="none"/>
              </w:tabs>
              <w:spacing w:line="240" w:lineRule="auto" w:before="25"/>
              <w:ind w:right="11"/>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上期金额</w:t>
              <w:tab/>
            </w:r>
            <w:r>
              <w:rPr>
                <w:rFonts w:ascii="宋体" w:hAnsi="宋体" w:cs="宋体" w:eastAsia="宋体" w:hint="default"/>
                <w:sz w:val="18"/>
                <w:szCs w:val="18"/>
              </w:rPr>
            </w:r>
          </w:p>
        </w:tc>
      </w:tr>
      <w:tr>
        <w:trPr>
          <w:trHeight w:val="383" w:hRule="exact"/>
        </w:trPr>
        <w:tc>
          <w:tcPr>
            <w:tcW w:w="3970" w:type="dxa"/>
            <w:tcBorders>
              <w:top w:val="single" w:sz="40" w:space="0" w:color="D3D3D3"/>
              <w:left w:val="single" w:sz="12" w:space="0" w:color="000000"/>
              <w:bottom w:val="single" w:sz="17" w:space="0" w:color="D3D3D3"/>
              <w:right w:val="single" w:sz="6" w:space="0" w:color="000000"/>
            </w:tcBorders>
          </w:tcPr>
          <w:p>
            <w:pPr>
              <w:pStyle w:val="TableParagraph"/>
              <w:tabs>
                <w:tab w:pos="3926" w:val="left" w:leader="none"/>
              </w:tabs>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一、经营活动产生的现金流量：</w:t>
              <w:tab/>
            </w:r>
            <w:r>
              <w:rPr>
                <w:rFonts w:ascii="宋体" w:hAnsi="宋体" w:cs="宋体" w:eastAsia="宋体" w:hint="default"/>
                <w:sz w:val="18"/>
                <w:szCs w:val="18"/>
              </w:rPr>
            </w:r>
          </w:p>
        </w:tc>
        <w:tc>
          <w:tcPr>
            <w:tcW w:w="2798" w:type="dxa"/>
            <w:tcBorders>
              <w:top w:val="single" w:sz="6" w:space="0" w:color="000000"/>
              <w:left w:val="single" w:sz="6" w:space="0" w:color="000000"/>
              <w:bottom w:val="single" w:sz="6" w:space="0" w:color="000000"/>
              <w:right w:val="single" w:sz="6" w:space="0" w:color="000000"/>
            </w:tcBorders>
            <w:shd w:val="clear" w:color="auto" w:fill="D3D3D3"/>
          </w:tcPr>
          <w:p>
            <w:pPr/>
          </w:p>
        </w:tc>
        <w:tc>
          <w:tcPr>
            <w:tcW w:w="2799" w:type="dxa"/>
            <w:tcBorders>
              <w:top w:val="single" w:sz="6" w:space="0" w:color="000000"/>
              <w:left w:val="single" w:sz="6" w:space="0" w:color="000000"/>
              <w:bottom w:val="single" w:sz="6" w:space="0" w:color="000000"/>
              <w:right w:val="single" w:sz="12" w:space="0" w:color="000000"/>
            </w:tcBorders>
            <w:shd w:val="clear" w:color="auto" w:fill="D3D3D3"/>
          </w:tcPr>
          <w:p>
            <w:pPr/>
          </w:p>
        </w:tc>
      </w:tr>
      <w:tr>
        <w:trPr>
          <w:trHeight w:val="441" w:hRule="exact"/>
        </w:trPr>
        <w:tc>
          <w:tcPr>
            <w:tcW w:w="3970"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798" w:type="dxa"/>
            <w:tcBorders>
              <w:top w:val="single" w:sz="23" w:space="0" w:color="D3D3D3"/>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491,136,321.76</w:t>
            </w:r>
          </w:p>
        </w:tc>
        <w:tc>
          <w:tcPr>
            <w:tcW w:w="2799" w:type="dxa"/>
            <w:tcBorders>
              <w:top w:val="single" w:sz="23" w:space="0" w:color="D3D3D3"/>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303,473,102.08</w:t>
            </w:r>
          </w:p>
        </w:tc>
      </w:tr>
      <w:tr>
        <w:trPr>
          <w:trHeight w:val="412" w:hRule="exact"/>
        </w:trPr>
        <w:tc>
          <w:tcPr>
            <w:tcW w:w="3970" w:type="dxa"/>
            <w:tcBorders>
              <w:top w:val="single" w:sz="40" w:space="0" w:color="D3D3D3"/>
              <w:left w:val="single" w:sz="12" w:space="0" w:color="000000"/>
              <w:bottom w:val="single" w:sz="40" w:space="0" w:color="D3D3D3"/>
              <w:right w:val="single" w:sz="6" w:space="0" w:color="000000"/>
            </w:tcBorders>
          </w:tcPr>
          <w:p>
            <w:pPr>
              <w:pStyle w:val="TableParagraph"/>
              <w:tabs>
                <w:tab w:pos="373" w:val="left" w:leader="none"/>
                <w:tab w:pos="3926" w:val="left" w:leader="none"/>
              </w:tabs>
              <w:spacing w:line="240" w:lineRule="auto" w:before="10"/>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收到的税费返还</w:t>
              <w:tab/>
            </w:r>
            <w:r>
              <w:rPr>
                <w:rFonts w:ascii="宋体" w:hAnsi="宋体" w:cs="宋体" w:eastAsia="宋体" w:hint="default"/>
                <w:sz w:val="18"/>
                <w:szCs w:val="18"/>
              </w:rPr>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3,308,962.43</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4,769,780.12</w:t>
            </w:r>
          </w:p>
        </w:tc>
      </w:tr>
      <w:tr>
        <w:trPr>
          <w:trHeight w:val="412" w:hRule="exact"/>
        </w:trPr>
        <w:tc>
          <w:tcPr>
            <w:tcW w:w="3970" w:type="dxa"/>
            <w:tcBorders>
              <w:top w:val="single" w:sz="40" w:space="0" w:color="D3D3D3"/>
              <w:left w:val="single" w:sz="12" w:space="0" w:color="000000"/>
              <w:bottom w:val="single" w:sz="40" w:space="0" w:color="D3D3D3"/>
              <w:right w:val="single" w:sz="6" w:space="0" w:color="000000"/>
            </w:tcBorders>
          </w:tcPr>
          <w:p>
            <w:pPr>
              <w:pStyle w:val="TableParagraph"/>
              <w:tabs>
                <w:tab w:pos="373" w:val="left" w:leader="none"/>
                <w:tab w:pos="3926" w:val="left" w:leader="none"/>
              </w:tabs>
              <w:spacing w:line="240" w:lineRule="auto" w:before="10"/>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收到其他与经营活动有关的现金</w:t>
              <w:tab/>
            </w:r>
            <w:r>
              <w:rPr>
                <w:rFonts w:ascii="宋体" w:hAnsi="宋体" w:cs="宋体" w:eastAsia="宋体" w:hint="default"/>
                <w:sz w:val="18"/>
                <w:szCs w:val="18"/>
              </w:rPr>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59,708,827.76</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19,324,522.33</w:t>
            </w:r>
          </w:p>
        </w:tc>
      </w:tr>
      <w:tr>
        <w:trPr>
          <w:trHeight w:val="412" w:hRule="exact"/>
        </w:trPr>
        <w:tc>
          <w:tcPr>
            <w:tcW w:w="3970" w:type="dxa"/>
            <w:tcBorders>
              <w:top w:val="single" w:sz="40" w:space="0" w:color="D3D3D3"/>
              <w:left w:val="single" w:sz="12" w:space="0" w:color="000000"/>
              <w:bottom w:val="single" w:sz="17" w:space="0" w:color="D3D3D3"/>
              <w:right w:val="single" w:sz="6" w:space="0" w:color="000000"/>
            </w:tcBorders>
          </w:tcPr>
          <w:p>
            <w:pPr>
              <w:pStyle w:val="TableParagraph"/>
              <w:tabs>
                <w:tab w:pos="3926" w:val="left" w:leader="none"/>
              </w:tabs>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经营活动现金流入小计</w:t>
              <w:tab/>
            </w:r>
            <w:r>
              <w:rPr>
                <w:rFonts w:ascii="宋体" w:hAnsi="宋体" w:cs="宋体" w:eastAsia="宋体" w:hint="default"/>
                <w:sz w:val="18"/>
                <w:szCs w:val="18"/>
              </w:rPr>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554,154,111.95</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327,567,404.53</w:t>
            </w:r>
          </w:p>
        </w:tc>
      </w:tr>
      <w:tr>
        <w:trPr>
          <w:trHeight w:val="412" w:hRule="exact"/>
        </w:trPr>
        <w:tc>
          <w:tcPr>
            <w:tcW w:w="3970" w:type="dxa"/>
            <w:tcBorders>
              <w:top w:val="single" w:sz="17" w:space="0" w:color="D3D3D3"/>
              <w:left w:val="single" w:sz="12" w:space="0" w:color="000000"/>
              <w:bottom w:val="single" w:sz="40" w:space="0" w:color="D3D3D3"/>
              <w:right w:val="single" w:sz="6" w:space="0" w:color="000000"/>
            </w:tcBorders>
          </w:tcPr>
          <w:p>
            <w:pPr>
              <w:pStyle w:val="TableParagraph"/>
              <w:tabs>
                <w:tab w:pos="373" w:val="left" w:leader="none"/>
                <w:tab w:pos="3926" w:val="left" w:leader="none"/>
              </w:tabs>
              <w:spacing w:line="240" w:lineRule="auto" w:before="3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购买商品、接受劳务支付的现金</w:t>
              <w:tab/>
            </w:r>
            <w:r>
              <w:rPr>
                <w:rFonts w:ascii="宋体" w:hAnsi="宋体" w:cs="宋体" w:eastAsia="宋体" w:hint="default"/>
                <w:sz w:val="18"/>
                <w:szCs w:val="18"/>
              </w:rPr>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351,776,950.57</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208,688,498.57</w:t>
            </w:r>
          </w:p>
        </w:tc>
      </w:tr>
      <w:tr>
        <w:trPr>
          <w:trHeight w:val="412" w:hRule="exact"/>
        </w:trPr>
        <w:tc>
          <w:tcPr>
            <w:tcW w:w="3970" w:type="dxa"/>
            <w:tcBorders>
              <w:top w:val="single" w:sz="40" w:space="0" w:color="D3D3D3"/>
              <w:left w:val="single" w:sz="12" w:space="0" w:color="000000"/>
              <w:bottom w:val="single" w:sz="40" w:space="0" w:color="D3D3D3"/>
              <w:right w:val="single" w:sz="6" w:space="0" w:color="000000"/>
            </w:tcBorders>
          </w:tcPr>
          <w:p>
            <w:pPr>
              <w:pStyle w:val="TableParagraph"/>
              <w:tabs>
                <w:tab w:pos="373" w:val="left" w:leader="none"/>
                <w:tab w:pos="3926" w:val="left" w:leader="none"/>
              </w:tabs>
              <w:spacing w:line="240" w:lineRule="auto" w:before="10"/>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支付给职工以及为职工支付的现金</w:t>
              <w:tab/>
            </w:r>
            <w:r>
              <w:rPr>
                <w:rFonts w:ascii="宋体" w:hAnsi="宋体" w:cs="宋体" w:eastAsia="宋体" w:hint="default"/>
                <w:sz w:val="18"/>
                <w:szCs w:val="18"/>
              </w:rPr>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26,017,827.46</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15,307,679.02</w:t>
            </w:r>
          </w:p>
        </w:tc>
      </w:tr>
      <w:tr>
        <w:trPr>
          <w:trHeight w:val="412" w:hRule="exact"/>
        </w:trPr>
        <w:tc>
          <w:tcPr>
            <w:tcW w:w="3970" w:type="dxa"/>
            <w:tcBorders>
              <w:top w:val="single" w:sz="40" w:space="0" w:color="D3D3D3"/>
              <w:left w:val="single" w:sz="12" w:space="0" w:color="000000"/>
              <w:bottom w:val="single" w:sz="17" w:space="0" w:color="D3D3D3"/>
              <w:right w:val="single" w:sz="6" w:space="0" w:color="000000"/>
            </w:tcBorders>
          </w:tcPr>
          <w:p>
            <w:pPr>
              <w:pStyle w:val="TableParagraph"/>
              <w:tabs>
                <w:tab w:pos="373" w:val="left" w:leader="none"/>
                <w:tab w:pos="3926" w:val="left" w:leader="none"/>
              </w:tabs>
              <w:spacing w:line="240" w:lineRule="auto" w:before="10"/>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支付的各项税费</w:t>
              <w:tab/>
            </w:r>
            <w:r>
              <w:rPr>
                <w:rFonts w:ascii="宋体" w:hAnsi="宋体" w:cs="宋体" w:eastAsia="宋体" w:hint="default"/>
                <w:sz w:val="18"/>
                <w:szCs w:val="18"/>
              </w:rPr>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29,576,178.60</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29,290,784.07</w:t>
            </w:r>
          </w:p>
        </w:tc>
      </w:tr>
      <w:tr>
        <w:trPr>
          <w:trHeight w:val="412" w:hRule="exact"/>
        </w:trPr>
        <w:tc>
          <w:tcPr>
            <w:tcW w:w="3970" w:type="dxa"/>
            <w:tcBorders>
              <w:top w:val="single" w:sz="17" w:space="0" w:color="D3D3D3"/>
              <w:left w:val="single" w:sz="12" w:space="0" w:color="000000"/>
              <w:bottom w:val="single" w:sz="17" w:space="0" w:color="D3D3D3"/>
              <w:right w:val="single" w:sz="6" w:space="0" w:color="000000"/>
            </w:tcBorders>
          </w:tcPr>
          <w:p>
            <w:pPr>
              <w:pStyle w:val="TableParagraph"/>
              <w:tabs>
                <w:tab w:pos="373" w:val="left" w:leader="none"/>
                <w:tab w:pos="3926" w:val="left" w:leader="none"/>
              </w:tabs>
              <w:spacing w:line="240" w:lineRule="auto" w:before="3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支付其他与经营活动有关的现金</w:t>
              <w:tab/>
            </w:r>
            <w:r>
              <w:rPr>
                <w:rFonts w:ascii="宋体" w:hAnsi="宋体" w:cs="宋体" w:eastAsia="宋体" w:hint="default"/>
                <w:sz w:val="18"/>
                <w:szCs w:val="18"/>
              </w:rPr>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102,566,414.92</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67,018,512.36</w:t>
            </w:r>
          </w:p>
        </w:tc>
      </w:tr>
      <w:tr>
        <w:trPr>
          <w:trHeight w:val="412" w:hRule="exact"/>
        </w:trPr>
        <w:tc>
          <w:tcPr>
            <w:tcW w:w="3970" w:type="dxa"/>
            <w:tcBorders>
              <w:top w:val="single" w:sz="17" w:space="0" w:color="D3D3D3"/>
              <w:left w:val="single" w:sz="12" w:space="0" w:color="000000"/>
              <w:bottom w:val="single" w:sz="40" w:space="0" w:color="D3D3D3"/>
              <w:right w:val="single" w:sz="6" w:space="0" w:color="000000"/>
            </w:tcBorders>
          </w:tcPr>
          <w:p>
            <w:pPr>
              <w:pStyle w:val="TableParagraph"/>
              <w:tabs>
                <w:tab w:pos="3926" w:val="left" w:leader="none"/>
              </w:tabs>
              <w:spacing w:line="240" w:lineRule="auto" w:before="39"/>
              <w:ind w:left="1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经营活动现金流出小计</w:t>
              <w:tab/>
            </w:r>
            <w:r>
              <w:rPr>
                <w:rFonts w:ascii="宋体" w:hAnsi="宋体" w:cs="宋体" w:eastAsia="宋体" w:hint="default"/>
                <w:sz w:val="18"/>
                <w:szCs w:val="18"/>
              </w:rPr>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509,937,371.55</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320,305,474.02</w:t>
            </w:r>
          </w:p>
        </w:tc>
      </w:tr>
      <w:tr>
        <w:trPr>
          <w:trHeight w:val="440" w:hRule="exact"/>
        </w:trPr>
        <w:tc>
          <w:tcPr>
            <w:tcW w:w="3970" w:type="dxa"/>
            <w:tcBorders>
              <w:top w:val="single" w:sz="40" w:space="0" w:color="D3D3D3"/>
              <w:left w:val="single" w:sz="12" w:space="0" w:color="000000"/>
              <w:bottom w:val="single" w:sz="17" w:space="0" w:color="D3D3D3"/>
              <w:right w:val="single" w:sz="6" w:space="0" w:color="000000"/>
            </w:tcBorders>
          </w:tcPr>
          <w:p>
            <w:pPr>
              <w:pStyle w:val="TableParagraph"/>
              <w:tabs>
                <w:tab w:pos="3926" w:val="left" w:leader="none"/>
              </w:tabs>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经营活动产生的现金流量净额</w:t>
              <w:tab/>
            </w:r>
            <w:r>
              <w:rPr>
                <w:rFonts w:ascii="宋体" w:hAnsi="宋体" w:cs="宋体" w:eastAsia="宋体" w:hint="default"/>
                <w:sz w:val="18"/>
                <w:szCs w:val="18"/>
              </w:rPr>
            </w:r>
          </w:p>
        </w:tc>
        <w:tc>
          <w:tcPr>
            <w:tcW w:w="2798" w:type="dxa"/>
            <w:tcBorders>
              <w:top w:val="single" w:sz="6" w:space="0" w:color="000000"/>
              <w:left w:val="single" w:sz="6" w:space="0" w:color="000000"/>
              <w:bottom w:val="single" w:sz="17" w:space="0" w:color="D3D3D3"/>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44,216,740.40</w:t>
            </w:r>
          </w:p>
        </w:tc>
        <w:tc>
          <w:tcPr>
            <w:tcW w:w="2799" w:type="dxa"/>
            <w:tcBorders>
              <w:top w:val="single" w:sz="6" w:space="0" w:color="000000"/>
              <w:left w:val="single" w:sz="6" w:space="0" w:color="000000"/>
              <w:bottom w:val="single" w:sz="17" w:space="0" w:color="D3D3D3"/>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7,261,930.51</w:t>
            </w:r>
          </w:p>
        </w:tc>
      </w:tr>
      <w:tr>
        <w:trPr>
          <w:trHeight w:val="355" w:hRule="exact"/>
        </w:trPr>
        <w:tc>
          <w:tcPr>
            <w:tcW w:w="3970" w:type="dxa"/>
            <w:tcBorders>
              <w:top w:val="single" w:sz="17" w:space="0" w:color="D3D3D3"/>
              <w:left w:val="single" w:sz="12" w:space="0" w:color="000000"/>
              <w:bottom w:val="single" w:sz="17" w:space="0" w:color="D3D3D3"/>
              <w:right w:val="single" w:sz="6" w:space="0" w:color="000000"/>
            </w:tcBorders>
          </w:tcPr>
          <w:p>
            <w:pPr>
              <w:pStyle w:val="TableParagraph"/>
              <w:tabs>
                <w:tab w:pos="3926" w:val="left" w:leader="none"/>
              </w:tabs>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二、投资活动产生的现金流量：</w:t>
              <w:tab/>
            </w:r>
            <w:r>
              <w:rPr>
                <w:rFonts w:ascii="宋体" w:hAnsi="宋体" w:cs="宋体" w:eastAsia="宋体" w:hint="default"/>
                <w:sz w:val="18"/>
                <w:szCs w:val="18"/>
              </w:rPr>
            </w:r>
          </w:p>
        </w:tc>
        <w:tc>
          <w:tcPr>
            <w:tcW w:w="2798" w:type="dxa"/>
            <w:tcBorders>
              <w:top w:val="single" w:sz="6" w:space="0" w:color="000000"/>
              <w:left w:val="single" w:sz="6" w:space="0" w:color="000000"/>
              <w:bottom w:val="single" w:sz="6" w:space="0" w:color="000000"/>
              <w:right w:val="single" w:sz="6" w:space="0" w:color="000000"/>
            </w:tcBorders>
            <w:shd w:val="clear" w:color="auto" w:fill="D3D3D3"/>
          </w:tcPr>
          <w:p>
            <w:pPr/>
          </w:p>
        </w:tc>
        <w:tc>
          <w:tcPr>
            <w:tcW w:w="2799" w:type="dxa"/>
            <w:tcBorders>
              <w:top w:val="single" w:sz="6" w:space="0" w:color="000000"/>
              <w:left w:val="single" w:sz="6" w:space="0" w:color="000000"/>
              <w:bottom w:val="single" w:sz="6" w:space="0" w:color="000000"/>
              <w:right w:val="single" w:sz="12" w:space="0" w:color="000000"/>
            </w:tcBorders>
            <w:shd w:val="clear" w:color="auto" w:fill="D3D3D3"/>
          </w:tcPr>
          <w:p>
            <w:pPr/>
          </w:p>
        </w:tc>
      </w:tr>
      <w:tr>
        <w:trPr>
          <w:trHeight w:val="441" w:hRule="exact"/>
        </w:trPr>
        <w:tc>
          <w:tcPr>
            <w:tcW w:w="3970"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798" w:type="dxa"/>
            <w:tcBorders>
              <w:top w:val="single" w:sz="23" w:space="0" w:color="D3D3D3"/>
              <w:left w:val="single" w:sz="6" w:space="0" w:color="000000"/>
              <w:bottom w:val="single" w:sz="6" w:space="0" w:color="000000"/>
              <w:right w:val="single" w:sz="6" w:space="0" w:color="000000"/>
            </w:tcBorders>
          </w:tcPr>
          <w:p>
            <w:pPr/>
          </w:p>
        </w:tc>
        <w:tc>
          <w:tcPr>
            <w:tcW w:w="2799" w:type="dxa"/>
            <w:tcBorders>
              <w:top w:val="single" w:sz="23" w:space="0" w:color="D3D3D3"/>
              <w:left w:val="single" w:sz="6" w:space="0" w:color="000000"/>
              <w:bottom w:val="single" w:sz="6" w:space="0" w:color="000000"/>
              <w:right w:val="single" w:sz="12" w:space="0" w:color="000000"/>
            </w:tcBorders>
          </w:tcPr>
          <w:p>
            <w:pPr/>
          </w:p>
        </w:tc>
      </w:tr>
      <w:tr>
        <w:trPr>
          <w:trHeight w:val="391" w:hRule="exact"/>
        </w:trPr>
        <w:tc>
          <w:tcPr>
            <w:tcW w:w="3970" w:type="dxa"/>
            <w:tcBorders>
              <w:top w:val="single" w:sz="17" w:space="0" w:color="D3D3D3"/>
              <w:left w:val="single" w:sz="12" w:space="0" w:color="000000"/>
              <w:bottom w:val="single" w:sz="23" w:space="0" w:color="D3D3D3"/>
              <w:right w:val="single" w:sz="6" w:space="0" w:color="000000"/>
            </w:tcBorders>
          </w:tcPr>
          <w:p>
            <w:pPr>
              <w:pStyle w:val="TableParagraph"/>
              <w:tabs>
                <w:tab w:pos="373" w:val="left" w:leader="none"/>
                <w:tab w:pos="3926" w:val="left" w:leader="none"/>
              </w:tabs>
              <w:spacing w:line="240" w:lineRule="auto" w:before="38"/>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取得投资收益所收到的现金</w:t>
              <w:tab/>
            </w:r>
            <w:r>
              <w:rPr>
                <w:rFonts w:ascii="宋体" w:hAnsi="宋体" w:cs="宋体" w:eastAsia="宋体" w:hint="default"/>
                <w:sz w:val="18"/>
                <w:szCs w:val="18"/>
              </w:rPr>
            </w:r>
          </w:p>
        </w:tc>
        <w:tc>
          <w:tcPr>
            <w:tcW w:w="2798" w:type="dxa"/>
            <w:tcBorders>
              <w:top w:val="single" w:sz="6" w:space="0" w:color="000000"/>
              <w:left w:val="single" w:sz="6" w:space="0" w:color="000000"/>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682" w:hRule="exact"/>
        </w:trPr>
        <w:tc>
          <w:tcPr>
            <w:tcW w:w="3970"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6" w:lineRule="auto" w:before="32"/>
              <w:ind w:left="13" w:right="19"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w:t>
            </w:r>
            <w:r>
              <w:rPr>
                <w:rFonts w:ascii="宋体" w:hAnsi="宋体" w:cs="宋体" w:eastAsia="宋体" w:hint="default"/>
                <w:sz w:val="18"/>
                <w:szCs w:val="18"/>
              </w:rPr>
              <w:t> 的现金净额</w:t>
            </w:r>
          </w:p>
        </w:tc>
        <w:tc>
          <w:tcPr>
            <w:tcW w:w="2798" w:type="dxa"/>
            <w:tcBorders>
              <w:top w:val="single" w:sz="6" w:space="0" w:color="000000"/>
              <w:left w:val="single" w:sz="14" w:space="0" w:color="D3D3D3"/>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1,650.00</w:t>
            </w: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391" w:hRule="exact"/>
        </w:trPr>
        <w:tc>
          <w:tcPr>
            <w:tcW w:w="3970" w:type="dxa"/>
            <w:tcBorders>
              <w:top w:val="single" w:sz="23" w:space="0" w:color="D3D3D3"/>
              <w:left w:val="single" w:sz="12" w:space="0" w:color="000000"/>
              <w:bottom w:val="single" w:sz="17" w:space="0" w:color="D3D3D3"/>
              <w:right w:val="single" w:sz="6" w:space="0" w:color="000000"/>
            </w:tcBorders>
          </w:tcPr>
          <w:p>
            <w:pPr>
              <w:pStyle w:val="TableParagraph"/>
              <w:tabs>
                <w:tab w:pos="373" w:val="left" w:leader="none"/>
                <w:tab w:pos="3926" w:val="left" w:leader="none"/>
              </w:tabs>
              <w:spacing w:line="240" w:lineRule="auto" w:before="10"/>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处置子公司及其他营业单位收到的现金净额</w:t>
              <w:tab/>
            </w:r>
            <w:r>
              <w:rPr>
                <w:rFonts w:ascii="宋体" w:hAnsi="宋体" w:cs="宋体" w:eastAsia="宋体" w:hint="default"/>
                <w:sz w:val="18"/>
                <w:szCs w:val="18"/>
              </w:rPr>
            </w:r>
          </w:p>
        </w:tc>
        <w:tc>
          <w:tcPr>
            <w:tcW w:w="2798" w:type="dxa"/>
            <w:tcBorders>
              <w:top w:val="single" w:sz="6" w:space="0" w:color="000000"/>
              <w:left w:val="single" w:sz="6" w:space="0" w:color="000000"/>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970" w:type="dxa"/>
            <w:tcBorders>
              <w:top w:val="single" w:sz="17" w:space="0" w:color="D3D3D3"/>
              <w:left w:val="single" w:sz="12" w:space="0" w:color="000000"/>
              <w:bottom w:val="single" w:sz="17" w:space="0" w:color="D3D3D3"/>
              <w:right w:val="single" w:sz="6" w:space="0" w:color="000000"/>
            </w:tcBorders>
          </w:tcPr>
          <w:p>
            <w:pPr>
              <w:pStyle w:val="TableParagraph"/>
              <w:tabs>
                <w:tab w:pos="373" w:val="left" w:leader="none"/>
                <w:tab w:pos="3926" w:val="left" w:leader="none"/>
              </w:tabs>
              <w:spacing w:line="240" w:lineRule="auto" w:before="3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收到其他与投资活动有关的现金</w:t>
              <w:tab/>
            </w:r>
            <w:r>
              <w:rPr>
                <w:rFonts w:ascii="宋体" w:hAnsi="宋体" w:cs="宋体" w:eastAsia="宋体" w:hint="default"/>
                <w:sz w:val="18"/>
                <w:szCs w:val="18"/>
              </w:rPr>
            </w:r>
          </w:p>
        </w:tc>
        <w:tc>
          <w:tcPr>
            <w:tcW w:w="2798" w:type="dxa"/>
            <w:tcBorders>
              <w:top w:val="single" w:sz="6" w:space="0" w:color="000000"/>
              <w:left w:val="single" w:sz="6" w:space="0" w:color="000000"/>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391" w:hRule="exact"/>
        </w:trPr>
        <w:tc>
          <w:tcPr>
            <w:tcW w:w="3970" w:type="dxa"/>
            <w:tcBorders>
              <w:top w:val="single" w:sz="17" w:space="0" w:color="D3D3D3"/>
              <w:left w:val="single" w:sz="12" w:space="0" w:color="000000"/>
              <w:bottom w:val="single" w:sz="24" w:space="0" w:color="D3D3D3"/>
              <w:right w:val="single" w:sz="6" w:space="0" w:color="000000"/>
            </w:tcBorders>
          </w:tcPr>
          <w:p>
            <w:pPr>
              <w:pStyle w:val="TableParagraph"/>
              <w:tabs>
                <w:tab w:pos="3926" w:val="left" w:leader="none"/>
              </w:tabs>
              <w:spacing w:line="240" w:lineRule="auto" w:before="39"/>
              <w:ind w:left="1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投资活动现金流入小计</w:t>
              <w:tab/>
            </w:r>
            <w:r>
              <w:rPr>
                <w:rFonts w:ascii="宋体" w:hAnsi="宋体" w:cs="宋体" w:eastAsia="宋体" w:hint="default"/>
                <w:sz w:val="18"/>
                <w:szCs w:val="18"/>
              </w:rPr>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1,650.00</w:t>
            </w: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681" w:hRule="exact"/>
        </w:trPr>
        <w:tc>
          <w:tcPr>
            <w:tcW w:w="3970"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6" w:lineRule="auto" w:before="31"/>
              <w:ind w:left="13" w:right="19"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购建固定资产、无形资产和其他长期资产支付</w:t>
            </w:r>
            <w:r>
              <w:rPr>
                <w:rFonts w:ascii="宋体" w:hAnsi="宋体" w:cs="宋体" w:eastAsia="宋体" w:hint="default"/>
                <w:sz w:val="18"/>
                <w:szCs w:val="18"/>
              </w:rPr>
              <w:t> 的现金</w:t>
            </w:r>
          </w:p>
        </w:tc>
        <w:tc>
          <w:tcPr>
            <w:tcW w:w="2798" w:type="dxa"/>
            <w:tcBorders>
              <w:top w:val="single" w:sz="6" w:space="0" w:color="000000"/>
              <w:left w:val="single" w:sz="14" w:space="0" w:color="D3D3D3"/>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36,534,361.82</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11,721,310.20</w:t>
            </w:r>
          </w:p>
        </w:tc>
      </w:tr>
      <w:tr>
        <w:trPr>
          <w:trHeight w:val="391" w:hRule="exact"/>
        </w:trPr>
        <w:tc>
          <w:tcPr>
            <w:tcW w:w="3970" w:type="dxa"/>
            <w:tcBorders>
              <w:top w:val="single" w:sz="17" w:space="0" w:color="D3D3D3"/>
              <w:left w:val="single" w:sz="12" w:space="0" w:color="000000"/>
              <w:bottom w:val="single" w:sz="17" w:space="0" w:color="D3D3D3"/>
              <w:right w:val="single" w:sz="6" w:space="0" w:color="000000"/>
            </w:tcBorders>
          </w:tcPr>
          <w:p>
            <w:pPr>
              <w:pStyle w:val="TableParagraph"/>
              <w:tabs>
                <w:tab w:pos="373" w:val="left" w:leader="none"/>
                <w:tab w:pos="3926" w:val="left" w:leader="none"/>
              </w:tabs>
              <w:spacing w:line="240" w:lineRule="auto" w:before="18"/>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投资支付的现金</w:t>
              <w:tab/>
            </w:r>
            <w:r>
              <w:rPr>
                <w:rFonts w:ascii="宋体" w:hAnsi="宋体" w:cs="宋体" w:eastAsia="宋体" w:hint="default"/>
                <w:sz w:val="18"/>
                <w:szCs w:val="18"/>
              </w:rPr>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18"/>
              <w:jc w:val="right"/>
              <w:rPr>
                <w:rFonts w:ascii="宋体" w:hAnsi="宋体" w:cs="宋体" w:eastAsia="宋体" w:hint="default"/>
                <w:sz w:val="18"/>
                <w:szCs w:val="18"/>
              </w:rPr>
            </w:pPr>
            <w:r>
              <w:rPr>
                <w:rFonts w:ascii="宋体"/>
                <w:sz w:val="18"/>
              </w:rPr>
              <w:t>4,720,000.00</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2"/>
              <w:ind w:right="11"/>
              <w:jc w:val="right"/>
              <w:rPr>
                <w:rFonts w:ascii="宋体" w:hAnsi="宋体" w:cs="宋体" w:eastAsia="宋体" w:hint="default"/>
                <w:sz w:val="18"/>
                <w:szCs w:val="18"/>
              </w:rPr>
            </w:pPr>
            <w:r>
              <w:rPr>
                <w:rFonts w:ascii="宋体"/>
                <w:sz w:val="18"/>
              </w:rPr>
              <w:t>2,000,000.00</w:t>
            </w:r>
          </w:p>
        </w:tc>
      </w:tr>
      <w:tr>
        <w:trPr>
          <w:trHeight w:val="412" w:hRule="exact"/>
        </w:trPr>
        <w:tc>
          <w:tcPr>
            <w:tcW w:w="3970" w:type="dxa"/>
            <w:tcBorders>
              <w:top w:val="single" w:sz="17" w:space="0" w:color="D3D3D3"/>
              <w:left w:val="single" w:sz="12" w:space="0" w:color="000000"/>
              <w:bottom w:val="single" w:sz="40" w:space="0" w:color="D3D3D3"/>
              <w:right w:val="single" w:sz="6" w:space="0" w:color="000000"/>
            </w:tcBorders>
          </w:tcPr>
          <w:p>
            <w:pPr>
              <w:pStyle w:val="TableParagraph"/>
              <w:tabs>
                <w:tab w:pos="373" w:val="left" w:leader="none"/>
                <w:tab w:pos="3926" w:val="left" w:leader="none"/>
              </w:tabs>
              <w:spacing w:line="240" w:lineRule="auto" w:before="3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取得子公司及其他营业单位支付的现金净额</w:t>
              <w:tab/>
            </w:r>
            <w:r>
              <w:rPr>
                <w:rFonts w:ascii="宋体" w:hAnsi="宋体" w:cs="宋体" w:eastAsia="宋体" w:hint="default"/>
                <w:sz w:val="18"/>
                <w:szCs w:val="18"/>
              </w:rPr>
            </w:r>
          </w:p>
        </w:tc>
        <w:tc>
          <w:tcPr>
            <w:tcW w:w="2798" w:type="dxa"/>
            <w:tcBorders>
              <w:top w:val="single" w:sz="6" w:space="0" w:color="000000"/>
              <w:left w:val="single" w:sz="6" w:space="0" w:color="000000"/>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970" w:type="dxa"/>
            <w:tcBorders>
              <w:top w:val="single" w:sz="40" w:space="0" w:color="D3D3D3"/>
              <w:left w:val="single" w:sz="12" w:space="0" w:color="000000"/>
              <w:bottom w:val="single" w:sz="17" w:space="0" w:color="D3D3D3"/>
              <w:right w:val="single" w:sz="6" w:space="0" w:color="000000"/>
            </w:tcBorders>
          </w:tcPr>
          <w:p>
            <w:pPr>
              <w:pStyle w:val="TableParagraph"/>
              <w:tabs>
                <w:tab w:pos="373" w:val="left" w:leader="none"/>
                <w:tab w:pos="3926" w:val="left" w:leader="none"/>
              </w:tabs>
              <w:spacing w:line="240" w:lineRule="auto" w:before="10"/>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支付其他与投资活动有关的现金</w:t>
              <w:tab/>
            </w:r>
            <w:r>
              <w:rPr>
                <w:rFonts w:ascii="宋体" w:hAnsi="宋体" w:cs="宋体" w:eastAsia="宋体" w:hint="default"/>
                <w:sz w:val="18"/>
                <w:szCs w:val="18"/>
              </w:rPr>
            </w:r>
          </w:p>
        </w:tc>
        <w:tc>
          <w:tcPr>
            <w:tcW w:w="2798" w:type="dxa"/>
            <w:tcBorders>
              <w:top w:val="single" w:sz="6" w:space="0" w:color="000000"/>
              <w:left w:val="single" w:sz="6" w:space="0" w:color="000000"/>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970" w:type="dxa"/>
            <w:tcBorders>
              <w:top w:val="single" w:sz="17" w:space="0" w:color="D3D3D3"/>
              <w:left w:val="single" w:sz="12" w:space="0" w:color="000000"/>
              <w:bottom w:val="single" w:sz="17" w:space="0" w:color="D3D3D3"/>
              <w:right w:val="single" w:sz="6" w:space="0" w:color="000000"/>
            </w:tcBorders>
          </w:tcPr>
          <w:p>
            <w:pPr>
              <w:pStyle w:val="TableParagraph"/>
              <w:tabs>
                <w:tab w:pos="3926" w:val="left" w:leader="none"/>
              </w:tabs>
              <w:spacing w:line="240" w:lineRule="auto" w:before="39"/>
              <w:ind w:left="1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投资活动现金流出小计</w:t>
              <w:tab/>
            </w:r>
            <w:r>
              <w:rPr>
                <w:rFonts w:ascii="宋体" w:hAnsi="宋体" w:cs="宋体" w:eastAsia="宋体" w:hint="default"/>
                <w:sz w:val="18"/>
                <w:szCs w:val="18"/>
              </w:rPr>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41,254,361.82</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13,721,310.20</w:t>
            </w:r>
          </w:p>
        </w:tc>
      </w:tr>
      <w:tr>
        <w:trPr>
          <w:trHeight w:val="440" w:hRule="exact"/>
        </w:trPr>
        <w:tc>
          <w:tcPr>
            <w:tcW w:w="3970" w:type="dxa"/>
            <w:tcBorders>
              <w:top w:val="single" w:sz="17" w:space="0" w:color="D3D3D3"/>
              <w:left w:val="single" w:sz="12" w:space="0" w:color="000000"/>
              <w:bottom w:val="single" w:sz="40" w:space="0" w:color="D3D3D3"/>
              <w:right w:val="single" w:sz="6" w:space="0" w:color="000000"/>
            </w:tcBorders>
          </w:tcPr>
          <w:p>
            <w:pPr>
              <w:pStyle w:val="TableParagraph"/>
              <w:tabs>
                <w:tab w:pos="3926" w:val="left" w:leader="none"/>
              </w:tabs>
              <w:spacing w:line="240" w:lineRule="auto" w:before="39"/>
              <w:ind w:left="1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投资活动产生的现金流量净额</w:t>
              <w:tab/>
            </w:r>
            <w:r>
              <w:rPr>
                <w:rFonts w:ascii="宋体" w:hAnsi="宋体" w:cs="宋体" w:eastAsia="宋体" w:hint="default"/>
                <w:sz w:val="18"/>
                <w:szCs w:val="18"/>
              </w:rPr>
            </w:r>
          </w:p>
        </w:tc>
        <w:tc>
          <w:tcPr>
            <w:tcW w:w="2798" w:type="dxa"/>
            <w:tcBorders>
              <w:top w:val="single" w:sz="6" w:space="0" w:color="000000"/>
              <w:left w:val="single" w:sz="6" w:space="0" w:color="000000"/>
              <w:bottom w:val="single" w:sz="23" w:space="0" w:color="D3D3D3"/>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-41,252,711.82</w:t>
            </w:r>
          </w:p>
        </w:tc>
        <w:tc>
          <w:tcPr>
            <w:tcW w:w="2799" w:type="dxa"/>
            <w:tcBorders>
              <w:top w:val="single" w:sz="6" w:space="0" w:color="000000"/>
              <w:left w:val="single" w:sz="6" w:space="0" w:color="000000"/>
              <w:bottom w:val="single" w:sz="23" w:space="0" w:color="D3D3D3"/>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-13,721,310.20</w:t>
            </w:r>
          </w:p>
        </w:tc>
      </w:tr>
      <w:tr>
        <w:trPr>
          <w:trHeight w:val="355" w:hRule="exact"/>
        </w:trPr>
        <w:tc>
          <w:tcPr>
            <w:tcW w:w="3970" w:type="dxa"/>
            <w:tcBorders>
              <w:top w:val="single" w:sz="40" w:space="0" w:color="D3D3D3"/>
              <w:left w:val="single" w:sz="12" w:space="0" w:color="000000"/>
              <w:bottom w:val="single" w:sz="17" w:space="0" w:color="D3D3D3"/>
              <w:right w:val="single" w:sz="6" w:space="0" w:color="000000"/>
            </w:tcBorders>
          </w:tcPr>
          <w:p>
            <w:pPr>
              <w:pStyle w:val="TableParagraph"/>
              <w:tabs>
                <w:tab w:pos="3926" w:val="left" w:leader="none"/>
              </w:tabs>
              <w:spacing w:line="218" w:lineRule="exact"/>
              <w:ind w:left="1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三、筹资活动产生的现金流量：</w:t>
              <w:tab/>
            </w:r>
            <w:r>
              <w:rPr>
                <w:rFonts w:ascii="宋体" w:hAnsi="宋体" w:cs="宋体" w:eastAsia="宋体" w:hint="default"/>
                <w:sz w:val="18"/>
                <w:szCs w:val="18"/>
              </w:rPr>
            </w:r>
          </w:p>
        </w:tc>
        <w:tc>
          <w:tcPr>
            <w:tcW w:w="2798" w:type="dxa"/>
            <w:tcBorders>
              <w:top w:val="single" w:sz="6" w:space="0" w:color="000000"/>
              <w:left w:val="single" w:sz="6" w:space="0" w:color="000000"/>
              <w:bottom w:val="single" w:sz="6" w:space="0" w:color="000000"/>
              <w:right w:val="single" w:sz="6" w:space="0" w:color="000000"/>
            </w:tcBorders>
            <w:shd w:val="clear" w:color="auto" w:fill="D3D3D3"/>
          </w:tcPr>
          <w:p>
            <w:pPr/>
          </w:p>
        </w:tc>
        <w:tc>
          <w:tcPr>
            <w:tcW w:w="2799" w:type="dxa"/>
            <w:tcBorders>
              <w:top w:val="single" w:sz="6" w:space="0" w:color="000000"/>
              <w:left w:val="single" w:sz="6" w:space="0" w:color="000000"/>
              <w:bottom w:val="single" w:sz="6" w:space="0" w:color="000000"/>
              <w:right w:val="single" w:sz="12" w:space="0" w:color="000000"/>
            </w:tcBorders>
            <w:shd w:val="clear" w:color="auto" w:fill="D3D3D3"/>
          </w:tcPr>
          <w:p>
            <w:pPr/>
          </w:p>
        </w:tc>
      </w:tr>
      <w:tr>
        <w:trPr>
          <w:trHeight w:val="441" w:hRule="exact"/>
        </w:trPr>
        <w:tc>
          <w:tcPr>
            <w:tcW w:w="3970"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798" w:type="dxa"/>
            <w:tcBorders>
              <w:top w:val="single" w:sz="17" w:space="0" w:color="D3D3D3"/>
              <w:left w:val="single" w:sz="6" w:space="0" w:color="000000"/>
              <w:bottom w:val="single" w:sz="6" w:space="0" w:color="000000"/>
              <w:right w:val="single" w:sz="6" w:space="0" w:color="000000"/>
            </w:tcBorders>
          </w:tcPr>
          <w:p>
            <w:pPr>
              <w:pStyle w:val="TableParagraph"/>
              <w:spacing w:line="240" w:lineRule="auto" w:before="68"/>
              <w:ind w:right="18"/>
              <w:jc w:val="right"/>
              <w:rPr>
                <w:rFonts w:ascii="宋体" w:hAnsi="宋体" w:cs="宋体" w:eastAsia="宋体" w:hint="default"/>
                <w:sz w:val="18"/>
                <w:szCs w:val="18"/>
              </w:rPr>
            </w:pPr>
            <w:r>
              <w:rPr>
                <w:rFonts w:ascii="宋体"/>
                <w:sz w:val="18"/>
              </w:rPr>
              <w:t>363,443,358.00</w:t>
            </w:r>
          </w:p>
        </w:tc>
        <w:tc>
          <w:tcPr>
            <w:tcW w:w="2799" w:type="dxa"/>
            <w:tcBorders>
              <w:top w:val="single" w:sz="17" w:space="0" w:color="D3D3D3"/>
              <w:left w:val="single" w:sz="6" w:space="0" w:color="000000"/>
              <w:bottom w:val="single" w:sz="6" w:space="0" w:color="000000"/>
              <w:right w:val="single" w:sz="12" w:space="0" w:color="000000"/>
            </w:tcBorders>
          </w:tcPr>
          <w:p>
            <w:pPr/>
          </w:p>
        </w:tc>
      </w:tr>
      <w:tr>
        <w:trPr>
          <w:trHeight w:val="412" w:hRule="exact"/>
        </w:trPr>
        <w:tc>
          <w:tcPr>
            <w:tcW w:w="3970" w:type="dxa"/>
            <w:tcBorders>
              <w:top w:val="single" w:sz="40" w:space="0" w:color="D3D3D3"/>
              <w:left w:val="single" w:sz="12" w:space="0" w:color="000000"/>
              <w:bottom w:val="single" w:sz="17" w:space="0" w:color="D3D3D3"/>
              <w:right w:val="single" w:sz="6" w:space="0" w:color="000000"/>
            </w:tcBorders>
          </w:tcPr>
          <w:p>
            <w:pPr>
              <w:pStyle w:val="TableParagraph"/>
              <w:tabs>
                <w:tab w:pos="373" w:val="left" w:leader="none"/>
                <w:tab w:pos="3926" w:val="left" w:leader="none"/>
              </w:tabs>
              <w:spacing w:line="240" w:lineRule="auto" w:before="10"/>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取得借款收到的现金</w:t>
              <w:tab/>
            </w:r>
            <w:r>
              <w:rPr>
                <w:rFonts w:ascii="宋体" w:hAnsi="宋体" w:cs="宋体" w:eastAsia="宋体" w:hint="default"/>
                <w:sz w:val="18"/>
                <w:szCs w:val="18"/>
              </w:rPr>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45,568,378.02</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15,000,000.00</w:t>
            </w:r>
          </w:p>
        </w:tc>
      </w:tr>
      <w:tr>
        <w:trPr>
          <w:trHeight w:val="419" w:hRule="exact"/>
        </w:trPr>
        <w:tc>
          <w:tcPr>
            <w:tcW w:w="3970" w:type="dxa"/>
            <w:tcBorders>
              <w:top w:val="single" w:sz="17" w:space="0" w:color="D3D3D3"/>
              <w:left w:val="single" w:sz="12" w:space="0" w:color="000000"/>
              <w:bottom w:val="single" w:sz="17" w:space="0" w:color="D3D3D3"/>
              <w:right w:val="single" w:sz="6" w:space="0" w:color="000000"/>
            </w:tcBorders>
          </w:tcPr>
          <w:p>
            <w:pPr>
              <w:pStyle w:val="TableParagraph"/>
              <w:tabs>
                <w:tab w:pos="373" w:val="left" w:leader="none"/>
                <w:tab w:pos="3926" w:val="left" w:leader="none"/>
              </w:tabs>
              <w:spacing w:line="240" w:lineRule="auto" w:before="38"/>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发行债券收到的现金</w:t>
              <w:tab/>
            </w:r>
            <w:r>
              <w:rPr>
                <w:rFonts w:ascii="宋体" w:hAnsi="宋体" w:cs="宋体" w:eastAsia="宋体" w:hint="default"/>
                <w:sz w:val="18"/>
                <w:szCs w:val="18"/>
              </w:rPr>
            </w:r>
          </w:p>
        </w:tc>
        <w:tc>
          <w:tcPr>
            <w:tcW w:w="2798" w:type="dxa"/>
            <w:tcBorders>
              <w:top w:val="single" w:sz="6" w:space="0" w:color="000000"/>
              <w:left w:val="single" w:sz="6" w:space="0" w:color="000000"/>
              <w:bottom w:val="single" w:sz="12" w:space="0" w:color="000000"/>
              <w:right w:val="single" w:sz="6" w:space="0" w:color="000000"/>
            </w:tcBorders>
          </w:tcPr>
          <w:p>
            <w:pPr/>
          </w:p>
        </w:tc>
        <w:tc>
          <w:tcPr>
            <w:tcW w:w="2799"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1003" w:top="1100" w:bottom="1200" w:left="980" w:right="980"/>
        </w:sectPr>
      </w:pPr>
    </w:p>
    <w:p>
      <w:pPr>
        <w:spacing w:line="240" w:lineRule="auto" w:before="6"/>
        <w:rPr>
          <w:rFonts w:ascii="宋体" w:hAnsi="宋体" w:cs="宋体" w:eastAsia="宋体" w:hint="default"/>
          <w:sz w:val="24"/>
          <w:szCs w:val="24"/>
        </w:rPr>
      </w:pPr>
    </w:p>
    <w:tbl>
      <w:tblPr>
        <w:tblW w:w="0" w:type="auto"/>
        <w:jc w:val="left"/>
        <w:tblInd w:w="538" w:type="dxa"/>
        <w:tblLayout w:type="fixed"/>
        <w:tblCellMar>
          <w:top w:w="0" w:type="dxa"/>
          <w:left w:w="0" w:type="dxa"/>
          <w:bottom w:w="0" w:type="dxa"/>
          <w:right w:w="0" w:type="dxa"/>
        </w:tblCellMar>
        <w:tblLook w:val="01E0"/>
      </w:tblPr>
      <w:tblGrid>
        <w:gridCol w:w="3970"/>
        <w:gridCol w:w="2798"/>
        <w:gridCol w:w="2799"/>
      </w:tblGrid>
      <w:tr>
        <w:trPr>
          <w:trHeight w:val="370" w:hRule="exact"/>
        </w:trPr>
        <w:tc>
          <w:tcPr>
            <w:tcW w:w="3970" w:type="dxa"/>
            <w:tcBorders>
              <w:top w:val="single" w:sz="29" w:space="0" w:color="D3D3D3"/>
              <w:left w:val="single" w:sz="12" w:space="0" w:color="000000"/>
              <w:bottom w:val="single" w:sz="40" w:space="0" w:color="D3D3D3"/>
              <w:right w:val="single" w:sz="6" w:space="0" w:color="000000"/>
            </w:tcBorders>
          </w:tcPr>
          <w:p>
            <w:pPr>
              <w:pStyle w:val="TableParagraph"/>
              <w:tabs>
                <w:tab w:pos="1789" w:val="left" w:leader="none"/>
                <w:tab w:pos="3926" w:val="left" w:leader="none"/>
              </w:tabs>
              <w:spacing w:line="240" w:lineRule="auto" w:before="10"/>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项目</w:t>
              <w:tab/>
            </w:r>
            <w:r>
              <w:rPr>
                <w:rFonts w:ascii="宋体" w:hAnsi="宋体" w:cs="宋体" w:eastAsia="宋体" w:hint="default"/>
                <w:sz w:val="18"/>
                <w:szCs w:val="18"/>
              </w:rPr>
            </w:r>
          </w:p>
        </w:tc>
        <w:tc>
          <w:tcPr>
            <w:tcW w:w="2798" w:type="dxa"/>
            <w:tcBorders>
              <w:top w:val="single" w:sz="29" w:space="0" w:color="D3D3D3"/>
              <w:left w:val="single" w:sz="6" w:space="0" w:color="000000"/>
              <w:bottom w:val="single" w:sz="17" w:space="0" w:color="D3D3D3"/>
              <w:right w:val="single" w:sz="6" w:space="0" w:color="000000"/>
            </w:tcBorders>
          </w:tcPr>
          <w:p>
            <w:pPr>
              <w:pStyle w:val="TableParagraph"/>
              <w:tabs>
                <w:tab w:pos="1011" w:val="left" w:leader="none"/>
                <w:tab w:pos="2743" w:val="left" w:leader="none"/>
              </w:tabs>
              <w:spacing w:line="240" w:lineRule="auto" w:before="10"/>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本期金额</w:t>
              <w:tab/>
            </w:r>
            <w:r>
              <w:rPr>
                <w:rFonts w:ascii="宋体" w:hAnsi="宋体" w:cs="宋体" w:eastAsia="宋体" w:hint="default"/>
                <w:sz w:val="18"/>
                <w:szCs w:val="18"/>
              </w:rPr>
            </w:r>
          </w:p>
        </w:tc>
        <w:tc>
          <w:tcPr>
            <w:tcW w:w="2799" w:type="dxa"/>
            <w:tcBorders>
              <w:top w:val="single" w:sz="29" w:space="0" w:color="D3D3D3"/>
              <w:left w:val="single" w:sz="6" w:space="0" w:color="000000"/>
              <w:bottom w:val="single" w:sz="17" w:space="0" w:color="D3D3D3"/>
              <w:right w:val="single" w:sz="12" w:space="0" w:color="000000"/>
            </w:tcBorders>
          </w:tcPr>
          <w:p>
            <w:pPr>
              <w:pStyle w:val="TableParagraph"/>
              <w:tabs>
                <w:tab w:pos="1011" w:val="left" w:leader="none"/>
                <w:tab w:pos="2744" w:val="left" w:leader="none"/>
              </w:tabs>
              <w:spacing w:line="240" w:lineRule="auto" w:before="10"/>
              <w:ind w:right="11"/>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上期金额</w:t>
              <w:tab/>
            </w:r>
            <w:r>
              <w:rPr>
                <w:rFonts w:ascii="宋体" w:hAnsi="宋体" w:cs="宋体" w:eastAsia="宋体" w:hint="default"/>
                <w:sz w:val="18"/>
                <w:szCs w:val="18"/>
              </w:rPr>
            </w:r>
          </w:p>
        </w:tc>
      </w:tr>
      <w:tr>
        <w:trPr>
          <w:trHeight w:val="441" w:hRule="exact"/>
        </w:trPr>
        <w:tc>
          <w:tcPr>
            <w:tcW w:w="3970"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798" w:type="dxa"/>
            <w:tcBorders>
              <w:top w:val="single" w:sz="17" w:space="0" w:color="D3D3D3"/>
              <w:left w:val="single" w:sz="6" w:space="0" w:color="000000"/>
              <w:bottom w:val="single" w:sz="6" w:space="0" w:color="000000"/>
              <w:right w:val="single" w:sz="6" w:space="0" w:color="000000"/>
            </w:tcBorders>
          </w:tcPr>
          <w:p>
            <w:pPr/>
          </w:p>
        </w:tc>
        <w:tc>
          <w:tcPr>
            <w:tcW w:w="2799" w:type="dxa"/>
            <w:tcBorders>
              <w:top w:val="single" w:sz="17" w:space="0" w:color="D3D3D3"/>
              <w:left w:val="single" w:sz="6" w:space="0" w:color="000000"/>
              <w:bottom w:val="single" w:sz="6" w:space="0" w:color="000000"/>
              <w:right w:val="single" w:sz="12" w:space="0" w:color="000000"/>
            </w:tcBorders>
          </w:tcPr>
          <w:p>
            <w:pPr/>
          </w:p>
        </w:tc>
      </w:tr>
      <w:tr>
        <w:trPr>
          <w:trHeight w:val="412" w:hRule="exact"/>
        </w:trPr>
        <w:tc>
          <w:tcPr>
            <w:tcW w:w="3970" w:type="dxa"/>
            <w:tcBorders>
              <w:top w:val="single" w:sz="17" w:space="0" w:color="D3D3D3"/>
              <w:left w:val="single" w:sz="12" w:space="0" w:color="000000"/>
              <w:bottom w:val="single" w:sz="40" w:space="0" w:color="D3D3D3"/>
              <w:right w:val="single" w:sz="6" w:space="0" w:color="000000"/>
            </w:tcBorders>
          </w:tcPr>
          <w:p>
            <w:pPr>
              <w:pStyle w:val="TableParagraph"/>
              <w:tabs>
                <w:tab w:pos="3926" w:val="left" w:leader="none"/>
              </w:tabs>
              <w:spacing w:line="240" w:lineRule="auto" w:before="39"/>
              <w:ind w:left="1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筹资活动现金流入小计</w:t>
              <w:tab/>
            </w:r>
            <w:r>
              <w:rPr>
                <w:rFonts w:ascii="宋体" w:hAnsi="宋体" w:cs="宋体" w:eastAsia="宋体" w:hint="default"/>
                <w:sz w:val="18"/>
                <w:szCs w:val="18"/>
              </w:rPr>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409,011,736.02</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15,000,000.00</w:t>
            </w:r>
          </w:p>
        </w:tc>
      </w:tr>
      <w:tr>
        <w:trPr>
          <w:trHeight w:val="412" w:hRule="exact"/>
        </w:trPr>
        <w:tc>
          <w:tcPr>
            <w:tcW w:w="3970" w:type="dxa"/>
            <w:tcBorders>
              <w:top w:val="single" w:sz="40" w:space="0" w:color="D3D3D3"/>
              <w:left w:val="single" w:sz="12" w:space="0" w:color="000000"/>
              <w:bottom w:val="single" w:sz="40" w:space="0" w:color="D3D3D3"/>
              <w:right w:val="single" w:sz="6" w:space="0" w:color="000000"/>
            </w:tcBorders>
          </w:tcPr>
          <w:p>
            <w:pPr>
              <w:pStyle w:val="TableParagraph"/>
              <w:tabs>
                <w:tab w:pos="373" w:val="left" w:leader="none"/>
                <w:tab w:pos="3926" w:val="left" w:leader="none"/>
              </w:tabs>
              <w:spacing w:line="240" w:lineRule="auto" w:before="10"/>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偿还债务支付的现金</w:t>
              <w:tab/>
            </w:r>
            <w:r>
              <w:rPr>
                <w:rFonts w:ascii="宋体" w:hAnsi="宋体" w:cs="宋体" w:eastAsia="宋体" w:hint="default"/>
                <w:sz w:val="18"/>
                <w:szCs w:val="18"/>
              </w:rPr>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48,000,000.00</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14,000,000.00</w:t>
            </w:r>
          </w:p>
        </w:tc>
      </w:tr>
      <w:tr>
        <w:trPr>
          <w:trHeight w:val="412" w:hRule="exact"/>
        </w:trPr>
        <w:tc>
          <w:tcPr>
            <w:tcW w:w="3970" w:type="dxa"/>
            <w:tcBorders>
              <w:top w:val="single" w:sz="40" w:space="0" w:color="D3D3D3"/>
              <w:left w:val="single" w:sz="12" w:space="0" w:color="000000"/>
              <w:bottom w:val="single" w:sz="17" w:space="0" w:color="D3D3D3"/>
              <w:right w:val="single" w:sz="6" w:space="0" w:color="000000"/>
            </w:tcBorders>
          </w:tcPr>
          <w:p>
            <w:pPr>
              <w:pStyle w:val="TableParagraph"/>
              <w:tabs>
                <w:tab w:pos="373" w:val="left" w:leader="none"/>
                <w:tab w:pos="3926" w:val="left" w:leader="none"/>
              </w:tabs>
              <w:spacing w:line="240" w:lineRule="auto" w:before="10"/>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分配股利、利润或偿付利息支付的现金</w:t>
              <w:tab/>
            </w:r>
            <w:r>
              <w:rPr>
                <w:rFonts w:ascii="宋体" w:hAnsi="宋体" w:cs="宋体" w:eastAsia="宋体" w:hint="default"/>
                <w:sz w:val="18"/>
                <w:szCs w:val="18"/>
              </w:rPr>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1,484,842.44</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13,615,606.69</w:t>
            </w:r>
          </w:p>
        </w:tc>
      </w:tr>
      <w:tr>
        <w:trPr>
          <w:trHeight w:val="412" w:hRule="exact"/>
        </w:trPr>
        <w:tc>
          <w:tcPr>
            <w:tcW w:w="3970" w:type="dxa"/>
            <w:tcBorders>
              <w:top w:val="single" w:sz="17" w:space="0" w:color="D3D3D3"/>
              <w:left w:val="single" w:sz="12" w:space="0" w:color="000000"/>
              <w:bottom w:val="single" w:sz="17" w:space="0" w:color="D3D3D3"/>
              <w:right w:val="single" w:sz="6" w:space="0" w:color="000000"/>
            </w:tcBorders>
          </w:tcPr>
          <w:p>
            <w:pPr>
              <w:pStyle w:val="TableParagraph"/>
              <w:tabs>
                <w:tab w:pos="373" w:val="left" w:leader="none"/>
                <w:tab w:pos="3926" w:val="left" w:leader="none"/>
              </w:tabs>
              <w:spacing w:line="240" w:lineRule="auto" w:before="3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支付其他与筹资活动有关的现金</w:t>
              <w:tab/>
            </w:r>
            <w:r>
              <w:rPr>
                <w:rFonts w:ascii="宋体" w:hAnsi="宋体" w:cs="宋体" w:eastAsia="宋体" w:hint="default"/>
                <w:sz w:val="18"/>
                <w:szCs w:val="18"/>
              </w:rPr>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2,158,335.00</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8,144,935.00</w:t>
            </w:r>
          </w:p>
        </w:tc>
      </w:tr>
      <w:tr>
        <w:trPr>
          <w:trHeight w:val="412" w:hRule="exact"/>
        </w:trPr>
        <w:tc>
          <w:tcPr>
            <w:tcW w:w="3970" w:type="dxa"/>
            <w:tcBorders>
              <w:top w:val="single" w:sz="17" w:space="0" w:color="D3D3D3"/>
              <w:left w:val="single" w:sz="12" w:space="0" w:color="000000"/>
              <w:bottom w:val="single" w:sz="17" w:space="0" w:color="D3D3D3"/>
              <w:right w:val="single" w:sz="6" w:space="0" w:color="000000"/>
            </w:tcBorders>
          </w:tcPr>
          <w:p>
            <w:pPr>
              <w:pStyle w:val="TableParagraph"/>
              <w:tabs>
                <w:tab w:pos="3926" w:val="left" w:leader="none"/>
              </w:tabs>
              <w:spacing w:line="240" w:lineRule="auto" w:before="39"/>
              <w:ind w:left="1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筹资活动现金流出小计</w:t>
              <w:tab/>
            </w:r>
            <w:r>
              <w:rPr>
                <w:rFonts w:ascii="宋体" w:hAnsi="宋体" w:cs="宋体" w:eastAsia="宋体" w:hint="default"/>
                <w:sz w:val="18"/>
                <w:szCs w:val="18"/>
              </w:rPr>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51,643,177.44</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35,760,541.69</w:t>
            </w:r>
          </w:p>
        </w:tc>
      </w:tr>
      <w:tr>
        <w:trPr>
          <w:trHeight w:val="412" w:hRule="exact"/>
        </w:trPr>
        <w:tc>
          <w:tcPr>
            <w:tcW w:w="3970" w:type="dxa"/>
            <w:tcBorders>
              <w:top w:val="single" w:sz="17" w:space="0" w:color="D3D3D3"/>
              <w:left w:val="single" w:sz="12" w:space="0" w:color="000000"/>
              <w:bottom w:val="single" w:sz="40" w:space="0" w:color="D3D3D3"/>
              <w:right w:val="single" w:sz="6" w:space="0" w:color="000000"/>
            </w:tcBorders>
          </w:tcPr>
          <w:p>
            <w:pPr>
              <w:pStyle w:val="TableParagraph"/>
              <w:tabs>
                <w:tab w:pos="3926" w:val="left" w:leader="none"/>
              </w:tabs>
              <w:spacing w:line="240" w:lineRule="auto" w:before="39"/>
              <w:ind w:left="1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筹资活动产生的现金流量净额</w:t>
              <w:tab/>
            </w:r>
            <w:r>
              <w:rPr>
                <w:rFonts w:ascii="宋体" w:hAnsi="宋体" w:cs="宋体" w:eastAsia="宋体" w:hint="default"/>
                <w:sz w:val="18"/>
                <w:szCs w:val="18"/>
              </w:rPr>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357,368,558.58</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-20,760,541.69</w:t>
            </w:r>
          </w:p>
        </w:tc>
      </w:tr>
      <w:tr>
        <w:trPr>
          <w:trHeight w:val="412" w:hRule="exact"/>
        </w:trPr>
        <w:tc>
          <w:tcPr>
            <w:tcW w:w="3970" w:type="dxa"/>
            <w:tcBorders>
              <w:top w:val="single" w:sz="40" w:space="0" w:color="D3D3D3"/>
              <w:left w:val="single" w:sz="12" w:space="0" w:color="000000"/>
              <w:bottom w:val="single" w:sz="17" w:space="0" w:color="D3D3D3"/>
              <w:right w:val="single" w:sz="6" w:space="0" w:color="000000"/>
            </w:tcBorders>
          </w:tcPr>
          <w:p>
            <w:pPr>
              <w:pStyle w:val="TableParagraph"/>
              <w:tabs>
                <w:tab w:pos="3926" w:val="left" w:leader="none"/>
              </w:tabs>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四、汇率变动对现金及现金等价物的影响</w:t>
              <w:tab/>
            </w:r>
            <w:r>
              <w:rPr>
                <w:rFonts w:ascii="宋体" w:hAnsi="宋体" w:cs="宋体" w:eastAsia="宋体" w:hint="default"/>
                <w:sz w:val="18"/>
                <w:szCs w:val="18"/>
              </w:rPr>
            </w:r>
          </w:p>
        </w:tc>
        <w:tc>
          <w:tcPr>
            <w:tcW w:w="2798" w:type="dxa"/>
            <w:tcBorders>
              <w:top w:val="single" w:sz="6" w:space="0" w:color="000000"/>
              <w:left w:val="single" w:sz="6" w:space="0" w:color="000000"/>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970" w:type="dxa"/>
            <w:tcBorders>
              <w:top w:val="single" w:sz="17" w:space="0" w:color="D3D3D3"/>
              <w:left w:val="single" w:sz="12" w:space="0" w:color="000000"/>
              <w:bottom w:val="single" w:sz="40" w:space="0" w:color="D3D3D3"/>
              <w:right w:val="single" w:sz="6" w:space="0" w:color="000000"/>
            </w:tcBorders>
          </w:tcPr>
          <w:p>
            <w:pPr>
              <w:pStyle w:val="TableParagraph"/>
              <w:tabs>
                <w:tab w:pos="3926" w:val="left" w:leader="none"/>
              </w:tabs>
              <w:spacing w:line="240" w:lineRule="auto" w:before="39"/>
              <w:ind w:left="1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五、现金及现金等价物净增加额</w:t>
              <w:tab/>
            </w:r>
            <w:r>
              <w:rPr>
                <w:rFonts w:ascii="宋体" w:hAnsi="宋体" w:cs="宋体" w:eastAsia="宋体" w:hint="default"/>
                <w:sz w:val="18"/>
                <w:szCs w:val="18"/>
              </w:rPr>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360,332,587.16</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-27,219,921.38</w:t>
            </w:r>
          </w:p>
        </w:tc>
      </w:tr>
      <w:tr>
        <w:trPr>
          <w:trHeight w:val="412" w:hRule="exact"/>
        </w:trPr>
        <w:tc>
          <w:tcPr>
            <w:tcW w:w="3970" w:type="dxa"/>
            <w:tcBorders>
              <w:top w:val="single" w:sz="40" w:space="0" w:color="D3D3D3"/>
              <w:left w:val="single" w:sz="12" w:space="0" w:color="000000"/>
              <w:bottom w:val="single" w:sz="40" w:space="0" w:color="D3D3D3"/>
              <w:right w:val="single" w:sz="6" w:space="0" w:color="000000"/>
            </w:tcBorders>
          </w:tcPr>
          <w:p>
            <w:pPr>
              <w:pStyle w:val="TableParagraph"/>
              <w:tabs>
                <w:tab w:pos="373" w:val="left" w:leader="none"/>
                <w:tab w:pos="3926" w:val="left" w:leader="none"/>
              </w:tabs>
              <w:spacing w:line="240" w:lineRule="auto" w:before="10"/>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加：期初现金及现金等价物余额</w:t>
              <w:tab/>
            </w:r>
            <w:r>
              <w:rPr>
                <w:rFonts w:ascii="宋体" w:hAnsi="宋体" w:cs="宋体" w:eastAsia="宋体" w:hint="default"/>
                <w:sz w:val="18"/>
                <w:szCs w:val="18"/>
              </w:rPr>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81,139,325.93</w:t>
            </w:r>
          </w:p>
        </w:tc>
        <w:tc>
          <w:tcPr>
            <w:tcW w:w="2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108,359,247.31</w:t>
            </w:r>
          </w:p>
        </w:tc>
      </w:tr>
      <w:tr>
        <w:trPr>
          <w:trHeight w:val="420" w:hRule="exact"/>
        </w:trPr>
        <w:tc>
          <w:tcPr>
            <w:tcW w:w="3970" w:type="dxa"/>
            <w:tcBorders>
              <w:top w:val="single" w:sz="40" w:space="0" w:color="D3D3D3"/>
              <w:left w:val="single" w:sz="12" w:space="0" w:color="000000"/>
              <w:bottom w:val="single" w:sz="29" w:space="0" w:color="D3D3D3"/>
              <w:right w:val="single" w:sz="6" w:space="0" w:color="000000"/>
            </w:tcBorders>
          </w:tcPr>
          <w:p>
            <w:pPr>
              <w:pStyle w:val="TableParagraph"/>
              <w:tabs>
                <w:tab w:pos="3926" w:val="left" w:leader="none"/>
              </w:tabs>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六、期末现金及现金等价物余额</w:t>
              <w:tab/>
            </w:r>
            <w:r>
              <w:rPr>
                <w:rFonts w:ascii="宋体" w:hAnsi="宋体" w:cs="宋体" w:eastAsia="宋体" w:hint="default"/>
                <w:sz w:val="18"/>
                <w:szCs w:val="18"/>
              </w:rPr>
            </w:r>
          </w:p>
        </w:tc>
        <w:tc>
          <w:tcPr>
            <w:tcW w:w="27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441,471,913.09</w:t>
            </w:r>
          </w:p>
        </w:tc>
        <w:tc>
          <w:tcPr>
            <w:tcW w:w="279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81,139,325.93</w:t>
            </w:r>
          </w:p>
        </w:tc>
      </w:tr>
    </w:tbl>
    <w:p>
      <w:pPr>
        <w:tabs>
          <w:tab w:pos="3973" w:val="left" w:leader="none"/>
          <w:tab w:pos="8113" w:val="left" w:leader="none"/>
        </w:tabs>
        <w:spacing w:line="226" w:lineRule="exact" w:before="0"/>
        <w:ind w:left="554" w:right="0" w:firstLine="0"/>
        <w:jc w:val="left"/>
        <w:rPr>
          <w:rFonts w:ascii="宋体" w:hAnsi="宋体" w:cs="宋体" w:eastAsia="宋体" w:hint="default"/>
          <w:sz w:val="18"/>
          <w:szCs w:val="18"/>
        </w:rPr>
      </w:pPr>
      <w:r>
        <w:rPr>
          <w:rFonts w:ascii="宋体" w:hAnsi="宋体" w:cs="宋体" w:eastAsia="宋体" w:hint="default"/>
          <w:sz w:val="18"/>
          <w:szCs w:val="18"/>
        </w:rPr>
        <w:t>法定代表人：龙昌明</w:t>
        <w:tab/>
        <w:t>主管会计工作负责人：戴晓东</w:t>
        <w:tab/>
        <w:t>会计机构负责人：周振娟</w:t>
      </w:r>
    </w:p>
    <w:p>
      <w:pPr>
        <w:spacing w:line="240" w:lineRule="auto" w:before="13"/>
        <w:rPr>
          <w:rFonts w:ascii="宋体" w:hAnsi="宋体" w:cs="宋体" w:eastAsia="宋体" w:hint="default"/>
          <w:sz w:val="24"/>
          <w:szCs w:val="24"/>
        </w:rPr>
      </w:pPr>
    </w:p>
    <w:p>
      <w:pPr>
        <w:pStyle w:val="Heading2"/>
        <w:spacing w:line="240" w:lineRule="auto" w:before="0"/>
        <w:ind w:left="554" w:right="0"/>
        <w:jc w:val="left"/>
        <w:rPr>
          <w:b w:val="0"/>
          <w:bCs w:val="0"/>
        </w:rPr>
      </w:pPr>
      <w:r>
        <w:rPr/>
        <w:t>7、合并所有者权益变动表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1003" w:top="1100" w:bottom="1200" w:left="580" w:right="560"/>
        </w:sectPr>
      </w:pPr>
    </w:p>
    <w:p>
      <w:pPr>
        <w:spacing w:before="44"/>
        <w:ind w:left="554" w:right="-20" w:firstLine="0"/>
        <w:jc w:val="left"/>
        <w:rPr>
          <w:rFonts w:ascii="宋体" w:hAnsi="宋体" w:cs="宋体" w:eastAsia="宋体" w:hint="default"/>
          <w:sz w:val="18"/>
          <w:szCs w:val="18"/>
        </w:rPr>
      </w:pPr>
      <w:r>
        <w:rPr>
          <w:rFonts w:ascii="宋体" w:hAnsi="宋体" w:cs="宋体" w:eastAsia="宋体" w:hint="default"/>
          <w:sz w:val="18"/>
          <w:szCs w:val="18"/>
        </w:rPr>
        <w:t>编制单位：光一科技股份有限公司</w:t>
      </w:r>
    </w:p>
    <w:p>
      <w:pPr>
        <w:pStyle w:val="Heading3"/>
        <w:spacing w:line="240" w:lineRule="auto" w:before="66"/>
        <w:ind w:left="554" w:right="-20"/>
        <w:jc w:val="left"/>
      </w:pPr>
      <w:r>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5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40" w:bottom="1200" w:left="580" w:right="560"/>
          <w:cols w:num="2" w:equalWidth="0">
            <w:col w:w="3255" w:space="5664"/>
            <w:col w:w="1851"/>
          </w:cols>
        </w:sectPr>
      </w:pPr>
    </w:p>
    <w:p>
      <w:pPr>
        <w:spacing w:line="240" w:lineRule="auto" w:before="1"/>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1702"/>
        <w:gridCol w:w="1276"/>
        <w:gridCol w:w="1417"/>
        <w:gridCol w:w="425"/>
        <w:gridCol w:w="426"/>
        <w:gridCol w:w="1274"/>
        <w:gridCol w:w="426"/>
        <w:gridCol w:w="1417"/>
        <w:gridCol w:w="284"/>
        <w:gridCol w:w="425"/>
        <w:gridCol w:w="1417"/>
      </w:tblGrid>
      <w:tr>
        <w:trPr>
          <w:trHeight w:val="414" w:hRule="exact"/>
        </w:trPr>
        <w:tc>
          <w:tcPr>
            <w:tcW w:w="1702" w:type="dxa"/>
            <w:vMerge w:val="restart"/>
            <w:tcBorders>
              <w:top w:val="single" w:sz="12" w:space="0" w:color="000000"/>
              <w:left w:val="single" w:sz="12"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8787" w:type="dxa"/>
            <w:gridSpan w:val="10"/>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07" w:hRule="exact"/>
        </w:trPr>
        <w:tc>
          <w:tcPr>
            <w:tcW w:w="1702" w:type="dxa"/>
            <w:vMerge/>
            <w:tcBorders>
              <w:left w:val="single" w:sz="12" w:space="0" w:color="000000"/>
              <w:right w:val="single" w:sz="6" w:space="0" w:color="000000"/>
            </w:tcBorders>
            <w:shd w:val="clear" w:color="auto" w:fill="D3D3D3"/>
          </w:tcPr>
          <w:p>
            <w:pPr/>
          </w:p>
        </w:tc>
        <w:tc>
          <w:tcPr>
            <w:tcW w:w="6946" w:type="dxa"/>
            <w:gridSpan w:val="8"/>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425" w:type="dxa"/>
            <w:vMerge w:val="restart"/>
            <w:tcBorders>
              <w:top w:val="single" w:sz="6" w:space="0" w:color="000000"/>
              <w:left w:val="single" w:sz="6" w:space="0" w:color="000000"/>
              <w:right w:val="single" w:sz="6" w:space="0" w:color="000000"/>
            </w:tcBorders>
            <w:shd w:val="clear" w:color="auto" w:fill="D3D3D3"/>
          </w:tcPr>
          <w:p>
            <w:pPr>
              <w:pStyle w:val="TableParagraph"/>
              <w:spacing w:line="240" w:lineRule="auto" w:before="6"/>
              <w:ind w:right="0"/>
              <w:jc w:val="left"/>
              <w:rPr>
                <w:rFonts w:ascii="宋体" w:hAnsi="宋体" w:cs="宋体" w:eastAsia="宋体" w:hint="default"/>
                <w:sz w:val="19"/>
                <w:szCs w:val="19"/>
              </w:rPr>
            </w:pPr>
          </w:p>
          <w:p>
            <w:pPr>
              <w:pStyle w:val="TableParagraph"/>
              <w:spacing w:line="319" w:lineRule="auto"/>
              <w:ind w:left="23" w:right="24"/>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1417" w:type="dxa"/>
            <w:vMerge w:val="restart"/>
            <w:tcBorders>
              <w:top w:val="single" w:sz="6" w:space="0" w:color="000000"/>
              <w:left w:val="single" w:sz="6" w:space="0" w:color="000000"/>
              <w:right w:val="single" w:sz="12"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031" w:hRule="exact"/>
        </w:trPr>
        <w:tc>
          <w:tcPr>
            <w:tcW w:w="1702" w:type="dxa"/>
            <w:vMerge/>
            <w:tcBorders>
              <w:left w:val="single" w:sz="12" w:space="0" w:color="000000"/>
              <w:bottom w:val="single" w:sz="6" w:space="0" w:color="000000"/>
              <w:right w:val="single" w:sz="6" w:space="0" w:color="000000"/>
            </w:tcBorders>
            <w:shd w:val="clear" w:color="auto" w:fill="D3D3D3"/>
          </w:tcPr>
          <w:p>
            <w:pPr/>
          </w:p>
        </w:tc>
        <w:tc>
          <w:tcPr>
            <w:tcW w:w="127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117"/>
              <w:ind w:left="18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1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52"/>
              <w:ind w:left="23" w:right="24"/>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42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52"/>
              <w:ind w:left="26" w:right="2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41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5" w:right="42"/>
              <w:jc w:val="left"/>
              <w:rPr>
                <w:rFonts w:ascii="宋体" w:hAnsi="宋体" w:cs="宋体" w:eastAsia="宋体" w:hint="default"/>
                <w:sz w:val="18"/>
                <w:szCs w:val="18"/>
              </w:rPr>
            </w:pPr>
            <w:r>
              <w:rPr>
                <w:rFonts w:ascii="宋体" w:hAnsi="宋体" w:cs="宋体" w:eastAsia="宋体" w:hint="default"/>
                <w:sz w:val="18"/>
                <w:szCs w:val="18"/>
              </w:rPr>
              <w:t>其 他</w:t>
            </w:r>
          </w:p>
        </w:tc>
        <w:tc>
          <w:tcPr>
            <w:tcW w:w="425" w:type="dxa"/>
            <w:vMerge/>
            <w:tcBorders>
              <w:left w:val="single" w:sz="6" w:space="0" w:color="000000"/>
              <w:bottom w:val="single" w:sz="6" w:space="0" w:color="000000"/>
              <w:right w:val="single" w:sz="6" w:space="0" w:color="000000"/>
            </w:tcBorders>
            <w:shd w:val="clear" w:color="auto" w:fill="D3D3D3"/>
          </w:tcPr>
          <w:p>
            <w:pPr/>
          </w:p>
        </w:tc>
        <w:tc>
          <w:tcPr>
            <w:tcW w:w="1417" w:type="dxa"/>
            <w:vMerge/>
            <w:tcBorders>
              <w:left w:val="single" w:sz="6" w:space="0" w:color="000000"/>
              <w:bottom w:val="single" w:sz="6" w:space="0" w:color="000000"/>
              <w:right w:val="single" w:sz="12" w:space="0" w:color="000000"/>
            </w:tcBorders>
            <w:shd w:val="clear" w:color="auto" w:fill="D3D3D3"/>
          </w:tcPr>
          <w:p>
            <w:pP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65,000,000.00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74,604,508.96</w:t>
            </w: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11,420,696.55</w:t>
            </w: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2" w:right="0"/>
              <w:jc w:val="left"/>
              <w:rPr>
                <w:rFonts w:ascii="宋体" w:hAnsi="宋体" w:cs="宋体" w:eastAsia="宋体" w:hint="default"/>
                <w:sz w:val="18"/>
                <w:szCs w:val="18"/>
              </w:rPr>
            </w:pPr>
            <w:r>
              <w:rPr>
                <w:rFonts w:ascii="宋体"/>
                <w:sz w:val="18"/>
              </w:rPr>
              <w:t>79,705,891.40</w:t>
            </w:r>
          </w:p>
        </w:tc>
        <w:tc>
          <w:tcPr>
            <w:tcW w:w="28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230,731,096.91</w:t>
            </w:r>
          </w:p>
        </w:tc>
      </w:tr>
      <w:tr>
        <w:trPr>
          <w:trHeight w:val="719"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加：会计政策变</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46"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65,000,000.00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74,604,508.96</w:t>
            </w: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11,420,696.55</w:t>
            </w: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2" w:right="0"/>
              <w:jc w:val="left"/>
              <w:rPr>
                <w:rFonts w:ascii="宋体" w:hAnsi="宋体" w:cs="宋体" w:eastAsia="宋体" w:hint="default"/>
                <w:sz w:val="18"/>
                <w:szCs w:val="18"/>
              </w:rPr>
            </w:pPr>
            <w:r>
              <w:rPr>
                <w:rFonts w:ascii="宋体"/>
                <w:sz w:val="18"/>
              </w:rPr>
              <w:t>79,705,891.40</w:t>
            </w:r>
          </w:p>
        </w:tc>
        <w:tc>
          <w:tcPr>
            <w:tcW w:w="28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230,731,096.91</w:t>
            </w:r>
          </w:p>
        </w:tc>
      </w:tr>
      <w:tr>
        <w:trPr>
          <w:trHeight w:val="1032"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6" w:lineRule="auto" w:before="52"/>
              <w:ind w:left="13" w:right="44"/>
              <w:jc w:val="both"/>
              <w:rPr>
                <w:rFonts w:ascii="宋体" w:hAnsi="宋体" w:cs="宋体" w:eastAsia="宋体" w:hint="default"/>
                <w:sz w:val="18"/>
                <w:szCs w:val="18"/>
              </w:rPr>
            </w:pPr>
            <w:r>
              <w:rPr>
                <w:rFonts w:ascii="宋体" w:hAnsi="宋体" w:cs="宋体" w:eastAsia="宋体" w:hint="default"/>
                <w:sz w:val="18"/>
                <w:szCs w:val="18"/>
              </w:rPr>
              <w:t>三、本期增减变动金 额（减少以“－”号 填列）</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21,670,000.00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宋体" w:hAnsi="宋体" w:cs="宋体" w:eastAsia="宋体" w:hint="default"/>
                <w:sz w:val="18"/>
                <w:szCs w:val="18"/>
              </w:rPr>
            </w:pPr>
            <w:r>
              <w:rPr>
                <w:rFonts w:ascii="宋体"/>
                <w:sz w:val="18"/>
              </w:rPr>
              <w:t>332,621,193.65</w:t>
            </w: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3,801,141.80</w:t>
            </w: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12" w:right="0"/>
              <w:jc w:val="left"/>
              <w:rPr>
                <w:rFonts w:ascii="宋体" w:hAnsi="宋体" w:cs="宋体" w:eastAsia="宋体" w:hint="default"/>
                <w:sz w:val="18"/>
                <w:szCs w:val="18"/>
              </w:rPr>
            </w:pPr>
            <w:r>
              <w:rPr>
                <w:rFonts w:ascii="宋体"/>
                <w:sz w:val="18"/>
              </w:rPr>
              <w:t>68,854,943.91</w:t>
            </w:r>
          </w:p>
        </w:tc>
        <w:tc>
          <w:tcPr>
            <w:tcW w:w="28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1"/>
              <w:jc w:val="right"/>
              <w:rPr>
                <w:rFonts w:ascii="宋体" w:hAnsi="宋体" w:cs="宋体" w:eastAsia="宋体" w:hint="default"/>
                <w:sz w:val="18"/>
                <w:szCs w:val="18"/>
              </w:rPr>
            </w:pPr>
            <w:r>
              <w:rPr>
                <w:rFonts w:ascii="宋体"/>
                <w:sz w:val="18"/>
              </w:rPr>
              <w:t>426,947,279.36</w:t>
            </w: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2" w:right="0"/>
              <w:jc w:val="left"/>
              <w:rPr>
                <w:rFonts w:ascii="宋体" w:hAnsi="宋体" w:cs="宋体" w:eastAsia="宋体" w:hint="default"/>
                <w:sz w:val="18"/>
                <w:szCs w:val="18"/>
              </w:rPr>
            </w:pPr>
            <w:r>
              <w:rPr>
                <w:rFonts w:ascii="宋体"/>
                <w:sz w:val="18"/>
              </w:rPr>
              <w:t>72,656,085.71</w:t>
            </w:r>
          </w:p>
        </w:tc>
        <w:tc>
          <w:tcPr>
            <w:tcW w:w="28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72,656,085.71</w:t>
            </w:r>
          </w:p>
        </w:tc>
      </w:tr>
      <w:tr>
        <w:trPr>
          <w:trHeight w:val="415" w:hRule="exact"/>
        </w:trPr>
        <w:tc>
          <w:tcPr>
            <w:tcW w:w="1702"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76"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426" w:type="dxa"/>
            <w:tcBorders>
              <w:top w:val="single" w:sz="6" w:space="0" w:color="000000"/>
              <w:left w:val="single" w:sz="6" w:space="0" w:color="000000"/>
              <w:bottom w:val="single" w:sz="12" w:space="0" w:color="000000"/>
              <w:right w:val="single" w:sz="6" w:space="0" w:color="000000"/>
            </w:tcBorders>
          </w:tcPr>
          <w:p>
            <w:pPr/>
          </w:p>
        </w:tc>
        <w:tc>
          <w:tcPr>
            <w:tcW w:w="1274" w:type="dxa"/>
            <w:tcBorders>
              <w:top w:val="single" w:sz="6" w:space="0" w:color="000000"/>
              <w:left w:val="single" w:sz="6" w:space="0" w:color="000000"/>
              <w:bottom w:val="single" w:sz="12" w:space="0" w:color="000000"/>
              <w:right w:val="single" w:sz="6" w:space="0" w:color="000000"/>
            </w:tcBorders>
          </w:tcPr>
          <w:p>
            <w:pPr/>
          </w:p>
        </w:tc>
        <w:tc>
          <w:tcPr>
            <w:tcW w:w="426"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6" w:space="0" w:color="000000"/>
            </w:tcBorders>
          </w:tcPr>
          <w:p>
            <w:pPr/>
          </w:p>
        </w:tc>
        <w:tc>
          <w:tcPr>
            <w:tcW w:w="284"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040" w:bottom="1200" w:left="580" w:right="560"/>
        </w:sectPr>
      </w:pPr>
    </w:p>
    <w:p>
      <w:pPr>
        <w:spacing w:line="240" w:lineRule="auto" w:before="6"/>
        <w:rPr>
          <w:rFonts w:ascii="宋体" w:hAnsi="宋体" w:cs="宋体" w:eastAsia="宋体" w:hint="default"/>
          <w:sz w:val="24"/>
          <w:szCs w:val="24"/>
        </w:rPr>
      </w:pPr>
      <w:r>
        <w:rPr/>
        <w:pict>
          <v:shape style="position:absolute;margin-left:96.540901pt;margin-top:283.079987pt;width:87.4pt;height:35.25pt;mso-position-horizontal-relative:page;mso-position-vertical-relative:page;z-index:-65584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股东）</w:t>
                  </w:r>
                </w:p>
              </w:txbxContent>
            </v:textbox>
            <w10:wrap type="none"/>
          </v:shape>
        </w:pict>
      </w:r>
    </w:p>
    <w:tbl>
      <w:tblPr>
        <w:tblW w:w="0" w:type="auto"/>
        <w:jc w:val="left"/>
        <w:tblInd w:w="132" w:type="dxa"/>
        <w:tblLayout w:type="fixed"/>
        <w:tblCellMar>
          <w:top w:w="0" w:type="dxa"/>
          <w:left w:w="0" w:type="dxa"/>
          <w:bottom w:w="0" w:type="dxa"/>
          <w:right w:w="0" w:type="dxa"/>
        </w:tblCellMar>
        <w:tblLook w:val="01E0"/>
      </w:tblPr>
      <w:tblGrid>
        <w:gridCol w:w="1702"/>
        <w:gridCol w:w="1276"/>
        <w:gridCol w:w="1417"/>
        <w:gridCol w:w="425"/>
        <w:gridCol w:w="426"/>
        <w:gridCol w:w="1274"/>
        <w:gridCol w:w="426"/>
        <w:gridCol w:w="1417"/>
        <w:gridCol w:w="284"/>
        <w:gridCol w:w="425"/>
        <w:gridCol w:w="1417"/>
      </w:tblGrid>
      <w:tr>
        <w:trPr>
          <w:trHeight w:val="727" w:hRule="exact"/>
        </w:trPr>
        <w:tc>
          <w:tcPr>
            <w:tcW w:w="1702"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316" w:lineRule="auto" w:before="51"/>
              <w:ind w:left="13" w:right="44"/>
              <w:jc w:val="left"/>
              <w:rPr>
                <w:rFonts w:ascii="宋体" w:hAnsi="宋体" w:cs="宋体" w:eastAsia="宋体" w:hint="default"/>
                <w:sz w:val="18"/>
                <w:szCs w:val="18"/>
              </w:rPr>
            </w:pPr>
            <w:r>
              <w:rPr>
                <w:rFonts w:ascii="宋体" w:hAnsi="宋体" w:cs="宋体" w:eastAsia="宋体" w:hint="default"/>
                <w:sz w:val="18"/>
                <w:szCs w:val="18"/>
              </w:rPr>
              <w:t>上述（一）和（二） 小计</w:t>
            </w:r>
          </w:p>
        </w:tc>
        <w:tc>
          <w:tcPr>
            <w:tcW w:w="1276" w:type="dxa"/>
            <w:tcBorders>
              <w:top w:val="single" w:sz="12" w:space="0" w:color="000000"/>
              <w:left w:val="single" w:sz="6" w:space="0" w:color="000000"/>
              <w:bottom w:val="single" w:sz="6" w:space="0" w:color="000000"/>
              <w:right w:val="single" w:sz="6" w:space="0" w:color="000000"/>
            </w:tcBorders>
          </w:tcPr>
          <w:p>
            <w:pPr/>
          </w:p>
        </w:tc>
        <w:tc>
          <w:tcPr>
            <w:tcW w:w="1417" w:type="dxa"/>
            <w:tcBorders>
              <w:top w:val="single" w:sz="12" w:space="0" w:color="000000"/>
              <w:left w:val="single" w:sz="6" w:space="0" w:color="000000"/>
              <w:bottom w:val="single" w:sz="6" w:space="0" w:color="000000"/>
              <w:right w:val="single" w:sz="6" w:space="0" w:color="000000"/>
            </w:tcBorders>
          </w:tcPr>
          <w:p>
            <w:pPr/>
          </w:p>
        </w:tc>
        <w:tc>
          <w:tcPr>
            <w:tcW w:w="425" w:type="dxa"/>
            <w:tcBorders>
              <w:top w:val="single" w:sz="12" w:space="0" w:color="000000"/>
              <w:left w:val="single" w:sz="6" w:space="0" w:color="000000"/>
              <w:bottom w:val="single" w:sz="6" w:space="0" w:color="000000"/>
              <w:right w:val="single" w:sz="6" w:space="0" w:color="000000"/>
            </w:tcBorders>
          </w:tcPr>
          <w:p>
            <w:pPr/>
          </w:p>
        </w:tc>
        <w:tc>
          <w:tcPr>
            <w:tcW w:w="426" w:type="dxa"/>
            <w:tcBorders>
              <w:top w:val="single" w:sz="12" w:space="0" w:color="000000"/>
              <w:left w:val="single" w:sz="6" w:space="0" w:color="000000"/>
              <w:bottom w:val="single" w:sz="6" w:space="0" w:color="000000"/>
              <w:right w:val="single" w:sz="6" w:space="0" w:color="000000"/>
            </w:tcBorders>
          </w:tcPr>
          <w:p>
            <w:pPr/>
          </w:p>
        </w:tc>
        <w:tc>
          <w:tcPr>
            <w:tcW w:w="1274" w:type="dxa"/>
            <w:tcBorders>
              <w:top w:val="single" w:sz="12" w:space="0" w:color="000000"/>
              <w:left w:val="single" w:sz="6" w:space="0" w:color="000000"/>
              <w:bottom w:val="single" w:sz="6" w:space="0" w:color="000000"/>
              <w:right w:val="single" w:sz="6" w:space="0" w:color="000000"/>
            </w:tcBorders>
          </w:tcPr>
          <w:p>
            <w:pPr/>
          </w:p>
        </w:tc>
        <w:tc>
          <w:tcPr>
            <w:tcW w:w="426" w:type="dxa"/>
            <w:tcBorders>
              <w:top w:val="single" w:sz="12" w:space="0" w:color="000000"/>
              <w:left w:val="single" w:sz="6" w:space="0" w:color="000000"/>
              <w:bottom w:val="single" w:sz="6" w:space="0" w:color="000000"/>
              <w:right w:val="single" w:sz="6" w:space="0" w:color="000000"/>
            </w:tcBorders>
          </w:tcPr>
          <w:p>
            <w:pPr/>
          </w:p>
        </w:tc>
        <w:tc>
          <w:tcPr>
            <w:tcW w:w="14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72,656,085.71</w:t>
            </w:r>
          </w:p>
        </w:tc>
        <w:tc>
          <w:tcPr>
            <w:tcW w:w="284" w:type="dxa"/>
            <w:tcBorders>
              <w:top w:val="single" w:sz="12" w:space="0" w:color="000000"/>
              <w:left w:val="single" w:sz="6" w:space="0" w:color="000000"/>
              <w:bottom w:val="single" w:sz="6" w:space="0" w:color="000000"/>
              <w:right w:val="single" w:sz="6" w:space="0" w:color="000000"/>
            </w:tcBorders>
          </w:tcPr>
          <w:p>
            <w:pPr/>
          </w:p>
        </w:tc>
        <w:tc>
          <w:tcPr>
            <w:tcW w:w="425" w:type="dxa"/>
            <w:tcBorders>
              <w:top w:val="single" w:sz="12" w:space="0" w:color="000000"/>
              <w:left w:val="single" w:sz="6" w:space="0" w:color="000000"/>
              <w:bottom w:val="single" w:sz="6" w:space="0" w:color="000000"/>
              <w:right w:val="single" w:sz="6" w:space="0" w:color="000000"/>
            </w:tcBorders>
          </w:tcPr>
          <w:p>
            <w:pPr/>
          </w:p>
        </w:tc>
        <w:tc>
          <w:tcPr>
            <w:tcW w:w="141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72,656,085.71</w:t>
            </w:r>
          </w:p>
        </w:tc>
      </w:tr>
      <w:tr>
        <w:trPr>
          <w:trHeight w:val="719"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6" w:lineRule="auto" w:before="51"/>
              <w:ind w:left="13" w:right="44"/>
              <w:jc w:val="left"/>
              <w:rPr>
                <w:rFonts w:ascii="宋体" w:hAnsi="宋体" w:cs="宋体" w:eastAsia="宋体" w:hint="default"/>
                <w:sz w:val="18"/>
                <w:szCs w:val="18"/>
              </w:rPr>
            </w:pPr>
            <w:r>
              <w:rPr>
                <w:rFonts w:ascii="宋体" w:hAnsi="宋体" w:cs="宋体" w:eastAsia="宋体" w:hint="default"/>
                <w:sz w:val="18"/>
                <w:szCs w:val="18"/>
              </w:rPr>
              <w:t>（三）所有者投入和 减少资本</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21,670,000.00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332,621,193.65</w:t>
            </w: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354,291,193.65</w:t>
            </w: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21,670,000.00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332,621,193.65</w:t>
            </w: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354,291,193.65</w:t>
            </w:r>
          </w:p>
        </w:tc>
      </w:tr>
      <w:tr>
        <w:trPr>
          <w:trHeight w:val="719"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9" w:lineRule="auto" w:before="51"/>
              <w:ind w:left="13" w:right="19"/>
              <w:jc w:val="left"/>
              <w:rPr>
                <w:rFonts w:ascii="宋体" w:hAnsi="宋体" w:cs="宋体" w:eastAsia="宋体" w:hint="default"/>
                <w:sz w:val="18"/>
                <w:szCs w:val="18"/>
              </w:rPr>
            </w:pPr>
            <w:r>
              <w:rPr>
                <w:rFonts w:ascii="宋体" w:hAnsi="宋体" w:cs="宋体" w:eastAsia="宋体" w:hint="default"/>
                <w:spacing w:val="-7"/>
                <w:sz w:val="18"/>
                <w:szCs w:val="18"/>
              </w:rPr>
              <w:t>2．股份支付计入所有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者权益的金额</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3,801,141.80</w:t>
            </w: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-3,801,141.80</w:t>
            </w:r>
          </w:p>
        </w:tc>
        <w:tc>
          <w:tcPr>
            <w:tcW w:w="28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3,801,141.80</w:t>
            </w: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-3,801,141.80</w:t>
            </w:r>
          </w:p>
        </w:tc>
        <w:tc>
          <w:tcPr>
            <w:tcW w:w="28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pacing w:val="-7"/>
                <w:sz w:val="18"/>
                <w:szCs w:val="18"/>
              </w:rPr>
              <w:t>2．提取一般风险准备</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9" w:lineRule="auto" w:before="51"/>
              <w:ind w:left="13" w:right="470"/>
              <w:jc w:val="left"/>
              <w:rPr>
                <w:rFonts w:ascii="宋体" w:hAnsi="宋体" w:cs="宋体" w:eastAsia="宋体" w:hint="default"/>
                <w:sz w:val="18"/>
                <w:szCs w:val="18"/>
              </w:rPr>
            </w:pPr>
            <w:r>
              <w:rPr>
                <w:rFonts w:ascii="宋体" w:hAnsi="宋体" w:cs="宋体" w:eastAsia="宋体" w:hint="default"/>
                <w:spacing w:val="-20"/>
                <w:sz w:val="18"/>
                <w:szCs w:val="18"/>
              </w:rPr>
              <w:t>3．对所有者（或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的分配</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704" w:lineRule="exact"/>
              <w:ind w:left="-2" w:right="-51"/>
              <w:jc w:val="left"/>
              <w:rPr>
                <w:rFonts w:ascii="宋体" w:hAnsi="宋体" w:cs="宋体" w:eastAsia="宋体" w:hint="default"/>
                <w:sz w:val="20"/>
                <w:szCs w:val="20"/>
              </w:rPr>
            </w:pPr>
            <w:r>
              <w:rPr>
                <w:rFonts w:ascii="宋体" w:hAnsi="宋体" w:cs="宋体" w:eastAsia="宋体" w:hint="default"/>
                <w:position w:val="-13"/>
                <w:sz w:val="20"/>
                <w:szCs w:val="20"/>
              </w:rPr>
              <w:pict>
                <v:group style="width:63.15pt;height:35.25pt;mso-position-horizontal-relative:char;mso-position-vertical-relative:line" coordorigin="0,0" coordsize="1263,705">
                  <v:group style="position:absolute;left:0;top:0;width:1263;height:705" coordorigin="0,0" coordsize="1263,705">
                    <v:shape style="position:absolute;left:0;top:0;width:1263;height:705" coordorigin="0,0" coordsize="1263,705" path="m0,704l1262,704,1262,0,0,0,0,704xe" filled="true" fillcolor="#ffffff" stroked="false">
                      <v:path arrowok="t"/>
                      <v:fill type="solid"/>
                    </v:shape>
                  </v:group>
                  <v:group style="position:absolute;left:22;top:156;width:1221;height:393" coordorigin="22,156" coordsize="1221,393">
                    <v:shape style="position:absolute;left:22;top:156;width:1221;height:393" coordorigin="22,156" coordsize="1221,393" path="m22,548l1242,548,1242,156,22,156,22,548xe" filled="true" fillcolor="#ffffff" stroked="false">
                      <v:path arrowok="t"/>
                      <v:fill type="solid"/>
                    </v:shape>
                  </v:group>
                </v:group>
              </w:pict>
            </w:r>
            <w:r>
              <w:rPr>
                <w:rFonts w:ascii="宋体" w:hAnsi="宋体" w:cs="宋体" w:eastAsia="宋体" w:hint="default"/>
                <w:position w:val="-13"/>
                <w:sz w:val="20"/>
                <w:szCs w:val="20"/>
              </w:rPr>
            </w: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6" w:lineRule="auto" w:before="52"/>
              <w:ind w:left="13" w:right="44"/>
              <w:jc w:val="left"/>
              <w:rPr>
                <w:rFonts w:ascii="宋体" w:hAnsi="宋体" w:cs="宋体" w:eastAsia="宋体" w:hint="default"/>
                <w:sz w:val="18"/>
                <w:szCs w:val="18"/>
              </w:rPr>
            </w:pPr>
            <w:r>
              <w:rPr>
                <w:rFonts w:ascii="宋体" w:hAnsi="宋体" w:cs="宋体" w:eastAsia="宋体" w:hint="default"/>
                <w:sz w:val="18"/>
                <w:szCs w:val="18"/>
              </w:rPr>
              <w:t>（五）所有者权益内 部结转</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pacing w:val="-7"/>
                <w:sz w:val="18"/>
                <w:szCs w:val="18"/>
              </w:rPr>
              <w:t>1．资本公积转增资本</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pacing w:val="-7"/>
                <w:sz w:val="18"/>
                <w:szCs w:val="18"/>
              </w:rPr>
              <w:t>2．盈余公积转增资本</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pacing w:val="-7"/>
                <w:sz w:val="18"/>
                <w:szCs w:val="18"/>
              </w:rPr>
              <w:t>3．盈余公积弥补亏损</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702"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86,670,000.00</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407,225,702.61</w:t>
            </w:r>
          </w:p>
        </w:tc>
        <w:tc>
          <w:tcPr>
            <w:tcW w:w="425" w:type="dxa"/>
            <w:tcBorders>
              <w:top w:val="single" w:sz="6" w:space="0" w:color="000000"/>
              <w:left w:val="single" w:sz="6" w:space="0" w:color="000000"/>
              <w:bottom w:val="single" w:sz="12" w:space="0" w:color="000000"/>
              <w:right w:val="single" w:sz="6" w:space="0" w:color="000000"/>
            </w:tcBorders>
          </w:tcPr>
          <w:p>
            <w:pPr/>
          </w:p>
        </w:tc>
        <w:tc>
          <w:tcPr>
            <w:tcW w:w="426" w:type="dxa"/>
            <w:tcBorders>
              <w:top w:val="single" w:sz="6" w:space="0" w:color="000000"/>
              <w:left w:val="single" w:sz="6" w:space="0" w:color="000000"/>
              <w:bottom w:val="single" w:sz="12" w:space="0" w:color="000000"/>
              <w:right w:val="single" w:sz="6" w:space="0" w:color="000000"/>
            </w:tcBorders>
          </w:tcPr>
          <w:p>
            <w:pP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15,221,838.35</w:t>
            </w:r>
          </w:p>
        </w:tc>
        <w:tc>
          <w:tcPr>
            <w:tcW w:w="426"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148,560,835.31</w:t>
            </w:r>
          </w:p>
        </w:tc>
        <w:tc>
          <w:tcPr>
            <w:tcW w:w="284"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657,678,376.27</w:t>
            </w:r>
          </w:p>
        </w:tc>
      </w:tr>
    </w:tbl>
    <w:p>
      <w:pPr>
        <w:pStyle w:val="Heading3"/>
        <w:spacing w:line="240" w:lineRule="auto" w:before="40"/>
        <w:ind w:left="574" w:right="0"/>
        <w:jc w:val="left"/>
      </w:pPr>
      <w:r>
        <w:rPr/>
        <w:t>上年金额</w:t>
      </w:r>
    </w:p>
    <w:p>
      <w:pPr>
        <w:spacing w:line="240" w:lineRule="auto" w:before="3"/>
        <w:rPr>
          <w:rFonts w:ascii="宋体" w:hAnsi="宋体" w:cs="宋体" w:eastAsia="宋体" w:hint="default"/>
          <w:sz w:val="9"/>
          <w:szCs w:val="9"/>
        </w:rPr>
      </w:pPr>
    </w:p>
    <w:p>
      <w:pPr>
        <w:spacing w:before="44"/>
        <w:ind w:left="0" w:right="59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702"/>
        <w:gridCol w:w="1277"/>
        <w:gridCol w:w="1434"/>
        <w:gridCol w:w="426"/>
        <w:gridCol w:w="425"/>
        <w:gridCol w:w="1276"/>
        <w:gridCol w:w="425"/>
        <w:gridCol w:w="1417"/>
        <w:gridCol w:w="284"/>
        <w:gridCol w:w="431"/>
        <w:gridCol w:w="1427"/>
      </w:tblGrid>
      <w:tr>
        <w:trPr>
          <w:trHeight w:val="415" w:hRule="exact"/>
        </w:trPr>
        <w:tc>
          <w:tcPr>
            <w:tcW w:w="1702" w:type="dxa"/>
            <w:vMerge w:val="restart"/>
            <w:tcBorders>
              <w:top w:val="single" w:sz="12" w:space="0" w:color="000000"/>
              <w:left w:val="single" w:sz="12"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8822" w:type="dxa"/>
            <w:gridSpan w:val="10"/>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7" w:hRule="exact"/>
        </w:trPr>
        <w:tc>
          <w:tcPr>
            <w:tcW w:w="1702" w:type="dxa"/>
            <w:vMerge/>
            <w:tcBorders>
              <w:left w:val="single" w:sz="12" w:space="0" w:color="000000"/>
              <w:right w:val="single" w:sz="6" w:space="0" w:color="000000"/>
            </w:tcBorders>
            <w:shd w:val="clear" w:color="auto" w:fill="D3D3D3"/>
          </w:tcPr>
          <w:p>
            <w:pPr/>
          </w:p>
        </w:tc>
        <w:tc>
          <w:tcPr>
            <w:tcW w:w="6964" w:type="dxa"/>
            <w:gridSpan w:val="8"/>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431" w:type="dxa"/>
            <w:vMerge w:val="restart"/>
            <w:tcBorders>
              <w:top w:val="single" w:sz="6" w:space="0" w:color="000000"/>
              <w:left w:val="single" w:sz="6" w:space="0" w:color="000000"/>
              <w:right w:val="single" w:sz="6" w:space="0" w:color="000000"/>
            </w:tcBorders>
            <w:shd w:val="clear" w:color="auto" w:fill="D3D3D3"/>
          </w:tcPr>
          <w:p>
            <w:pPr>
              <w:pStyle w:val="TableParagraph"/>
              <w:spacing w:line="240" w:lineRule="auto" w:before="6"/>
              <w:ind w:right="0"/>
              <w:jc w:val="left"/>
              <w:rPr>
                <w:rFonts w:ascii="宋体" w:hAnsi="宋体" w:cs="宋体" w:eastAsia="宋体" w:hint="default"/>
                <w:sz w:val="19"/>
                <w:szCs w:val="19"/>
              </w:rPr>
            </w:pPr>
          </w:p>
          <w:p>
            <w:pPr>
              <w:pStyle w:val="TableParagraph"/>
              <w:spacing w:line="316" w:lineRule="auto"/>
              <w:ind w:left="27" w:right="26"/>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1427" w:type="dxa"/>
            <w:vMerge w:val="restart"/>
            <w:tcBorders>
              <w:top w:val="single" w:sz="6" w:space="0" w:color="000000"/>
              <w:left w:val="single" w:sz="6" w:space="0" w:color="000000"/>
              <w:right w:val="single" w:sz="12"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030" w:hRule="exact"/>
        </w:trPr>
        <w:tc>
          <w:tcPr>
            <w:tcW w:w="1702" w:type="dxa"/>
            <w:vMerge/>
            <w:tcBorders>
              <w:left w:val="single" w:sz="12" w:space="0" w:color="000000"/>
              <w:bottom w:val="single" w:sz="6" w:space="0" w:color="000000"/>
              <w:right w:val="single" w:sz="6" w:space="0" w:color="000000"/>
            </w:tcBorders>
            <w:shd w:val="clear" w:color="auto" w:fill="D3D3D3"/>
          </w:tcPr>
          <w:p>
            <w:pPr/>
          </w:p>
        </w:tc>
        <w:tc>
          <w:tcPr>
            <w:tcW w:w="127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117"/>
              <w:ind w:left="181"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3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52"/>
              <w:ind w:left="25" w:right="24"/>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425"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52"/>
              <w:ind w:left="23" w:right="2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41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4" w:right="43"/>
              <w:jc w:val="left"/>
              <w:rPr>
                <w:rFonts w:ascii="宋体" w:hAnsi="宋体" w:cs="宋体" w:eastAsia="宋体" w:hint="default"/>
                <w:sz w:val="18"/>
                <w:szCs w:val="18"/>
              </w:rPr>
            </w:pPr>
            <w:r>
              <w:rPr>
                <w:rFonts w:ascii="宋体" w:hAnsi="宋体" w:cs="宋体" w:eastAsia="宋体" w:hint="default"/>
                <w:sz w:val="18"/>
                <w:szCs w:val="18"/>
              </w:rPr>
              <w:t>其 他</w:t>
            </w:r>
          </w:p>
        </w:tc>
        <w:tc>
          <w:tcPr>
            <w:tcW w:w="431" w:type="dxa"/>
            <w:vMerge/>
            <w:tcBorders>
              <w:left w:val="single" w:sz="6" w:space="0" w:color="000000"/>
              <w:bottom w:val="single" w:sz="6" w:space="0" w:color="000000"/>
              <w:right w:val="single" w:sz="6" w:space="0" w:color="000000"/>
            </w:tcBorders>
            <w:shd w:val="clear" w:color="auto" w:fill="D3D3D3"/>
          </w:tcPr>
          <w:p>
            <w:pPr/>
          </w:p>
        </w:tc>
        <w:tc>
          <w:tcPr>
            <w:tcW w:w="1427" w:type="dxa"/>
            <w:vMerge/>
            <w:tcBorders>
              <w:left w:val="single" w:sz="6" w:space="0" w:color="000000"/>
              <w:bottom w:val="single" w:sz="6" w:space="0" w:color="000000"/>
              <w:right w:val="single" w:sz="12" w:space="0" w:color="000000"/>
            </w:tcBorders>
            <w:shd w:val="clear" w:color="auto" w:fill="D3D3D3"/>
          </w:tcPr>
          <w:p>
            <w:pPr/>
          </w:p>
        </w:tc>
      </w:tr>
      <w:tr>
        <w:trPr>
          <w:trHeight w:val="408"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71" w:right="0"/>
              <w:jc w:val="left"/>
              <w:rPr>
                <w:rFonts w:ascii="宋体" w:hAnsi="宋体" w:cs="宋体" w:eastAsia="宋体" w:hint="default"/>
                <w:sz w:val="18"/>
                <w:szCs w:val="18"/>
              </w:rPr>
            </w:pPr>
            <w:r>
              <w:rPr>
                <w:rFonts w:ascii="宋体"/>
                <w:sz w:val="18"/>
              </w:rPr>
              <w:t>65,000,000.00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27" w:right="0"/>
              <w:jc w:val="left"/>
              <w:rPr>
                <w:rFonts w:ascii="宋体" w:hAnsi="宋体" w:cs="宋体" w:eastAsia="宋体" w:hint="default"/>
                <w:sz w:val="18"/>
                <w:szCs w:val="18"/>
              </w:rPr>
            </w:pPr>
            <w:r>
              <w:rPr>
                <w:rFonts w:ascii="宋体"/>
                <w:sz w:val="18"/>
              </w:rPr>
              <w:t>74,604,508.96</w:t>
            </w: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60" w:right="0"/>
              <w:jc w:val="left"/>
              <w:rPr>
                <w:rFonts w:ascii="宋体" w:hAnsi="宋体" w:cs="宋体" w:eastAsia="宋体" w:hint="default"/>
                <w:sz w:val="18"/>
                <w:szCs w:val="18"/>
              </w:rPr>
            </w:pPr>
            <w:r>
              <w:rPr>
                <w:rFonts w:ascii="宋体"/>
                <w:sz w:val="18"/>
              </w:rPr>
              <w:t>5,190,843.07</w:t>
            </w: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2" w:right="0"/>
              <w:jc w:val="left"/>
              <w:rPr>
                <w:rFonts w:ascii="宋体" w:hAnsi="宋体" w:cs="宋体" w:eastAsia="宋体" w:hint="default"/>
                <w:sz w:val="18"/>
                <w:szCs w:val="18"/>
              </w:rPr>
            </w:pPr>
            <w:r>
              <w:rPr>
                <w:rFonts w:ascii="宋体"/>
                <w:sz w:val="18"/>
              </w:rPr>
              <w:t>46,434,753.32</w:t>
            </w:r>
          </w:p>
        </w:tc>
        <w:tc>
          <w:tcPr>
            <w:tcW w:w="284"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131" w:right="0"/>
              <w:jc w:val="left"/>
              <w:rPr>
                <w:rFonts w:ascii="宋体" w:hAnsi="宋体" w:cs="宋体" w:eastAsia="宋体" w:hint="default"/>
                <w:sz w:val="18"/>
                <w:szCs w:val="18"/>
              </w:rPr>
            </w:pPr>
            <w:r>
              <w:rPr>
                <w:rFonts w:ascii="宋体"/>
                <w:sz w:val="18"/>
              </w:rPr>
              <w:t>191,230,105.35</w:t>
            </w:r>
          </w:p>
        </w:tc>
      </w:tr>
      <w:tr>
        <w:trPr>
          <w:trHeight w:val="415" w:hRule="exact"/>
        </w:trPr>
        <w:tc>
          <w:tcPr>
            <w:tcW w:w="1702"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71"/>
              <w:ind w:left="373" w:right="0"/>
              <w:jc w:val="left"/>
              <w:rPr>
                <w:rFonts w:ascii="宋体" w:hAnsi="宋体" w:cs="宋体" w:eastAsia="宋体" w:hint="default"/>
                <w:sz w:val="18"/>
                <w:szCs w:val="18"/>
              </w:rPr>
            </w:pPr>
            <w:r>
              <w:rPr>
                <w:rFonts w:ascii="宋体" w:hAnsi="宋体" w:cs="宋体" w:eastAsia="宋体" w:hint="default"/>
                <w:sz w:val="18"/>
                <w:szCs w:val="18"/>
              </w:rPr>
              <w:t>加：同一控制下</w:t>
            </w:r>
          </w:p>
        </w:tc>
        <w:tc>
          <w:tcPr>
            <w:tcW w:w="1277" w:type="dxa"/>
            <w:tcBorders>
              <w:top w:val="single" w:sz="6" w:space="0" w:color="000000"/>
              <w:left w:val="single" w:sz="6" w:space="0" w:color="000000"/>
              <w:bottom w:val="single" w:sz="12" w:space="0" w:color="000000"/>
              <w:right w:val="single" w:sz="6" w:space="0" w:color="000000"/>
            </w:tcBorders>
          </w:tcPr>
          <w:p>
            <w:pPr/>
          </w:p>
        </w:tc>
        <w:tc>
          <w:tcPr>
            <w:tcW w:w="1434" w:type="dxa"/>
            <w:tcBorders>
              <w:top w:val="single" w:sz="6" w:space="0" w:color="000000"/>
              <w:left w:val="single" w:sz="6" w:space="0" w:color="000000"/>
              <w:bottom w:val="single" w:sz="12" w:space="0" w:color="000000"/>
              <w:right w:val="single" w:sz="6" w:space="0" w:color="000000"/>
            </w:tcBorders>
          </w:tcPr>
          <w:p>
            <w:pPr/>
          </w:p>
        </w:tc>
        <w:tc>
          <w:tcPr>
            <w:tcW w:w="426"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6" w:space="0" w:color="000000"/>
            </w:tcBorders>
          </w:tcPr>
          <w:p>
            <w:pPr/>
          </w:p>
        </w:tc>
        <w:tc>
          <w:tcPr>
            <w:tcW w:w="284" w:type="dxa"/>
            <w:tcBorders>
              <w:top w:val="single" w:sz="6" w:space="0" w:color="000000"/>
              <w:left w:val="single" w:sz="6" w:space="0" w:color="000000"/>
              <w:bottom w:val="single" w:sz="12" w:space="0" w:color="000000"/>
              <w:right w:val="single" w:sz="6" w:space="0" w:color="000000"/>
            </w:tcBorders>
          </w:tcPr>
          <w:p>
            <w:pPr/>
          </w:p>
        </w:tc>
        <w:tc>
          <w:tcPr>
            <w:tcW w:w="431" w:type="dxa"/>
            <w:tcBorders>
              <w:top w:val="single" w:sz="6" w:space="0" w:color="000000"/>
              <w:left w:val="single" w:sz="6" w:space="0" w:color="000000"/>
              <w:bottom w:val="single" w:sz="12" w:space="0" w:color="000000"/>
              <w:right w:val="single" w:sz="6" w:space="0" w:color="000000"/>
            </w:tcBorders>
          </w:tcPr>
          <w:p>
            <w:pPr/>
          </w:p>
        </w:tc>
        <w:tc>
          <w:tcPr>
            <w:tcW w:w="1427"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1003" w:top="1100" w:bottom="1200" w:left="560" w:right="540"/>
        </w:sectPr>
      </w:pPr>
    </w:p>
    <w:p>
      <w:pPr>
        <w:spacing w:line="240" w:lineRule="auto" w:before="10"/>
        <w:rPr>
          <w:rFonts w:ascii="Times New Roman" w:hAnsi="Times New Roman" w:cs="Times New Roman" w:eastAsia="Times New Roman" w:hint="default"/>
          <w:sz w:val="27"/>
          <w:szCs w:val="27"/>
        </w:rPr>
      </w:pPr>
      <w:r>
        <w:rPr/>
        <w:pict>
          <v:shape style="position:absolute;margin-left:77.759399pt;margin-top:521.880005pt;width:105.4pt;height:35.25pt;mso-position-horizontal-relative:page;mso-position-vertical-relative:page;z-index:-655792"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（或股东）</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1702"/>
        <w:gridCol w:w="1277"/>
        <w:gridCol w:w="1434"/>
        <w:gridCol w:w="426"/>
        <w:gridCol w:w="425"/>
        <w:gridCol w:w="1276"/>
        <w:gridCol w:w="425"/>
        <w:gridCol w:w="1417"/>
        <w:gridCol w:w="284"/>
        <w:gridCol w:w="431"/>
        <w:gridCol w:w="1427"/>
      </w:tblGrid>
      <w:tr>
        <w:trPr>
          <w:trHeight w:val="686" w:hRule="exact"/>
        </w:trPr>
        <w:tc>
          <w:tcPr>
            <w:tcW w:w="1702"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319" w:lineRule="auto" w:before="10"/>
              <w:ind w:left="13" w:right="44"/>
              <w:jc w:val="left"/>
              <w:rPr>
                <w:rFonts w:ascii="宋体" w:hAnsi="宋体" w:cs="宋体" w:eastAsia="宋体" w:hint="default"/>
                <w:sz w:val="18"/>
                <w:szCs w:val="18"/>
              </w:rPr>
            </w:pPr>
            <w:r>
              <w:rPr>
                <w:rFonts w:ascii="宋体" w:hAnsi="宋体" w:cs="宋体" w:eastAsia="宋体" w:hint="default"/>
                <w:sz w:val="18"/>
                <w:szCs w:val="18"/>
              </w:rPr>
              <w:t>企业合并产生的追溯 调整</w:t>
            </w:r>
          </w:p>
        </w:tc>
        <w:tc>
          <w:tcPr>
            <w:tcW w:w="1277" w:type="dxa"/>
            <w:tcBorders>
              <w:top w:val="single" w:sz="12" w:space="0" w:color="000000"/>
              <w:left w:val="single" w:sz="6" w:space="0" w:color="000000"/>
              <w:bottom w:val="single" w:sz="6" w:space="0" w:color="000000"/>
              <w:right w:val="single" w:sz="6" w:space="0" w:color="000000"/>
            </w:tcBorders>
          </w:tcPr>
          <w:p>
            <w:pPr/>
          </w:p>
        </w:tc>
        <w:tc>
          <w:tcPr>
            <w:tcW w:w="1434" w:type="dxa"/>
            <w:tcBorders>
              <w:top w:val="single" w:sz="12" w:space="0" w:color="000000"/>
              <w:left w:val="single" w:sz="6" w:space="0" w:color="000000"/>
              <w:bottom w:val="single" w:sz="6" w:space="0" w:color="000000"/>
              <w:right w:val="single" w:sz="6" w:space="0" w:color="000000"/>
            </w:tcBorders>
          </w:tcPr>
          <w:p>
            <w:pPr/>
          </w:p>
        </w:tc>
        <w:tc>
          <w:tcPr>
            <w:tcW w:w="426" w:type="dxa"/>
            <w:tcBorders>
              <w:top w:val="single" w:sz="12" w:space="0" w:color="000000"/>
              <w:left w:val="single" w:sz="6" w:space="0" w:color="000000"/>
              <w:bottom w:val="single" w:sz="6" w:space="0" w:color="000000"/>
              <w:right w:val="single" w:sz="6" w:space="0" w:color="000000"/>
            </w:tcBorders>
          </w:tcPr>
          <w:p>
            <w:pPr/>
          </w:p>
        </w:tc>
        <w:tc>
          <w:tcPr>
            <w:tcW w:w="425" w:type="dxa"/>
            <w:tcBorders>
              <w:top w:val="single" w:sz="12" w:space="0" w:color="000000"/>
              <w:left w:val="single" w:sz="6" w:space="0" w:color="000000"/>
              <w:bottom w:val="single" w:sz="6" w:space="0" w:color="000000"/>
              <w:right w:val="single" w:sz="6" w:space="0" w:color="000000"/>
            </w:tcBorders>
          </w:tcPr>
          <w:p>
            <w:pPr/>
          </w:p>
        </w:tc>
        <w:tc>
          <w:tcPr>
            <w:tcW w:w="1276" w:type="dxa"/>
            <w:tcBorders>
              <w:top w:val="single" w:sz="12" w:space="0" w:color="000000"/>
              <w:left w:val="single" w:sz="6" w:space="0" w:color="000000"/>
              <w:bottom w:val="single" w:sz="6" w:space="0" w:color="000000"/>
              <w:right w:val="single" w:sz="6" w:space="0" w:color="000000"/>
            </w:tcBorders>
          </w:tcPr>
          <w:p>
            <w:pPr/>
          </w:p>
        </w:tc>
        <w:tc>
          <w:tcPr>
            <w:tcW w:w="425" w:type="dxa"/>
            <w:tcBorders>
              <w:top w:val="single" w:sz="12" w:space="0" w:color="000000"/>
              <w:left w:val="single" w:sz="6" w:space="0" w:color="000000"/>
              <w:bottom w:val="single" w:sz="6" w:space="0" w:color="000000"/>
              <w:right w:val="single" w:sz="6" w:space="0" w:color="000000"/>
            </w:tcBorders>
          </w:tcPr>
          <w:p>
            <w:pPr/>
          </w:p>
        </w:tc>
        <w:tc>
          <w:tcPr>
            <w:tcW w:w="1417" w:type="dxa"/>
            <w:tcBorders>
              <w:top w:val="single" w:sz="12" w:space="0" w:color="000000"/>
              <w:left w:val="single" w:sz="6" w:space="0" w:color="000000"/>
              <w:bottom w:val="single" w:sz="6" w:space="0" w:color="000000"/>
              <w:right w:val="single" w:sz="6" w:space="0" w:color="000000"/>
            </w:tcBorders>
          </w:tcPr>
          <w:p>
            <w:pPr/>
          </w:p>
        </w:tc>
        <w:tc>
          <w:tcPr>
            <w:tcW w:w="284" w:type="dxa"/>
            <w:tcBorders>
              <w:top w:val="single" w:sz="12" w:space="0" w:color="000000"/>
              <w:left w:val="single" w:sz="6" w:space="0" w:color="000000"/>
              <w:bottom w:val="single" w:sz="6" w:space="0" w:color="000000"/>
              <w:right w:val="single" w:sz="6" w:space="0" w:color="000000"/>
            </w:tcBorders>
          </w:tcPr>
          <w:p>
            <w:pPr/>
          </w:p>
        </w:tc>
        <w:tc>
          <w:tcPr>
            <w:tcW w:w="431" w:type="dxa"/>
            <w:tcBorders>
              <w:top w:val="single" w:sz="12" w:space="0" w:color="000000"/>
              <w:left w:val="single" w:sz="6" w:space="0" w:color="000000"/>
              <w:bottom w:val="single" w:sz="6" w:space="0" w:color="000000"/>
              <w:right w:val="single" w:sz="6" w:space="0" w:color="000000"/>
            </w:tcBorders>
          </w:tcPr>
          <w:p>
            <w:pPr/>
          </w:p>
        </w:tc>
        <w:tc>
          <w:tcPr>
            <w:tcW w:w="1427" w:type="dxa"/>
            <w:tcBorders>
              <w:top w:val="single" w:sz="12" w:space="0" w:color="000000"/>
              <w:left w:val="single" w:sz="6" w:space="0" w:color="000000"/>
              <w:bottom w:val="single" w:sz="6" w:space="0" w:color="000000"/>
              <w:right w:val="single" w:sz="12" w:space="0" w:color="000000"/>
            </w:tcBorders>
          </w:tcPr>
          <w:p>
            <w:pPr/>
          </w:p>
        </w:tc>
      </w:tr>
      <w:tr>
        <w:trPr>
          <w:trHeight w:val="719"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加：会计政策变</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277"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733"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277"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46"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1" w:right="0"/>
              <w:jc w:val="left"/>
              <w:rPr>
                <w:rFonts w:ascii="宋体" w:hAnsi="宋体" w:cs="宋体" w:eastAsia="宋体" w:hint="default"/>
                <w:sz w:val="18"/>
                <w:szCs w:val="18"/>
              </w:rPr>
            </w:pPr>
            <w:r>
              <w:rPr>
                <w:rFonts w:ascii="宋体"/>
                <w:sz w:val="18"/>
              </w:rPr>
              <w:t>65,000,000.00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27" w:right="0"/>
              <w:jc w:val="left"/>
              <w:rPr>
                <w:rFonts w:ascii="宋体" w:hAnsi="宋体" w:cs="宋体" w:eastAsia="宋体" w:hint="default"/>
                <w:sz w:val="18"/>
                <w:szCs w:val="18"/>
              </w:rPr>
            </w:pPr>
            <w:r>
              <w:rPr>
                <w:rFonts w:ascii="宋体"/>
                <w:sz w:val="18"/>
              </w:rPr>
              <w:t>74,604,508.96</w:t>
            </w: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5,190,843.07</w:t>
            </w: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46,434,753.32</w:t>
            </w:r>
          </w:p>
        </w:tc>
        <w:tc>
          <w:tcPr>
            <w:tcW w:w="284"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191,230,105.35</w:t>
            </w:r>
          </w:p>
        </w:tc>
      </w:tr>
      <w:tr>
        <w:trPr>
          <w:trHeight w:val="1031"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9" w:lineRule="auto" w:before="51"/>
              <w:ind w:left="13" w:right="44"/>
              <w:jc w:val="both"/>
              <w:rPr>
                <w:rFonts w:ascii="宋体" w:hAnsi="宋体" w:cs="宋体" w:eastAsia="宋体" w:hint="default"/>
                <w:sz w:val="18"/>
                <w:szCs w:val="18"/>
              </w:rPr>
            </w:pPr>
            <w:r>
              <w:rPr>
                <w:rFonts w:ascii="宋体" w:hAnsi="宋体" w:cs="宋体" w:eastAsia="宋体" w:hint="default"/>
                <w:sz w:val="18"/>
                <w:szCs w:val="18"/>
              </w:rPr>
              <w:t>三、本期增减变动金 额（减少以“－”号 填列）</w:t>
            </w:r>
          </w:p>
        </w:tc>
        <w:tc>
          <w:tcPr>
            <w:tcW w:w="1277"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6,229,853.48</w:t>
            </w: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33,271,138.08</w:t>
            </w:r>
          </w:p>
        </w:tc>
        <w:tc>
          <w:tcPr>
            <w:tcW w:w="284"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1"/>
              <w:jc w:val="right"/>
              <w:rPr>
                <w:rFonts w:ascii="宋体" w:hAnsi="宋体" w:cs="宋体" w:eastAsia="宋体" w:hint="default"/>
                <w:sz w:val="18"/>
                <w:szCs w:val="18"/>
              </w:rPr>
            </w:pPr>
            <w:r>
              <w:rPr>
                <w:rFonts w:ascii="宋体"/>
                <w:sz w:val="18"/>
              </w:rPr>
              <w:t>39,500,991.56</w:t>
            </w: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77"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52,500,991.56</w:t>
            </w:r>
          </w:p>
        </w:tc>
        <w:tc>
          <w:tcPr>
            <w:tcW w:w="284"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52,500,991.56</w:t>
            </w: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77"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6" w:lineRule="auto" w:before="52"/>
              <w:ind w:left="13" w:right="44"/>
              <w:jc w:val="left"/>
              <w:rPr>
                <w:rFonts w:ascii="宋体" w:hAnsi="宋体" w:cs="宋体" w:eastAsia="宋体" w:hint="default"/>
                <w:sz w:val="18"/>
                <w:szCs w:val="18"/>
              </w:rPr>
            </w:pPr>
            <w:r>
              <w:rPr>
                <w:rFonts w:ascii="宋体" w:hAnsi="宋体" w:cs="宋体" w:eastAsia="宋体" w:hint="default"/>
                <w:sz w:val="18"/>
                <w:szCs w:val="18"/>
              </w:rPr>
              <w:t>上述（一）和（二） 小计</w:t>
            </w:r>
          </w:p>
        </w:tc>
        <w:tc>
          <w:tcPr>
            <w:tcW w:w="1277"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52,500,991.56</w:t>
            </w:r>
          </w:p>
        </w:tc>
        <w:tc>
          <w:tcPr>
            <w:tcW w:w="284"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52,500,991.56</w:t>
            </w:r>
          </w:p>
        </w:tc>
      </w:tr>
      <w:tr>
        <w:trPr>
          <w:trHeight w:val="719"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6" w:lineRule="auto" w:before="51"/>
              <w:ind w:left="13" w:right="44"/>
              <w:jc w:val="left"/>
              <w:rPr>
                <w:rFonts w:ascii="宋体" w:hAnsi="宋体" w:cs="宋体" w:eastAsia="宋体" w:hint="default"/>
                <w:sz w:val="18"/>
                <w:szCs w:val="18"/>
              </w:rPr>
            </w:pPr>
            <w:r>
              <w:rPr>
                <w:rFonts w:ascii="宋体" w:hAnsi="宋体" w:cs="宋体" w:eastAsia="宋体" w:hint="default"/>
                <w:sz w:val="18"/>
                <w:szCs w:val="18"/>
              </w:rPr>
              <w:t>（三）所有者投入和 减少资本</w:t>
            </w:r>
          </w:p>
        </w:tc>
        <w:tc>
          <w:tcPr>
            <w:tcW w:w="1277"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277"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9" w:lineRule="auto" w:before="51"/>
              <w:ind w:left="13" w:right="18"/>
              <w:jc w:val="left"/>
              <w:rPr>
                <w:rFonts w:ascii="宋体" w:hAnsi="宋体" w:cs="宋体" w:eastAsia="宋体" w:hint="default"/>
                <w:sz w:val="18"/>
                <w:szCs w:val="18"/>
              </w:rPr>
            </w:pPr>
            <w:r>
              <w:rPr>
                <w:rFonts w:ascii="宋体" w:hAnsi="宋体" w:cs="宋体" w:eastAsia="宋体" w:hint="default"/>
                <w:spacing w:val="-7"/>
                <w:sz w:val="18"/>
                <w:szCs w:val="18"/>
              </w:rPr>
              <w:t>2．股份支付计入所有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者权益的金额</w:t>
            </w:r>
          </w:p>
        </w:tc>
        <w:tc>
          <w:tcPr>
            <w:tcW w:w="1277"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277"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77"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6,229,853.48</w:t>
            </w: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-19,229,853.48</w:t>
            </w:r>
          </w:p>
        </w:tc>
        <w:tc>
          <w:tcPr>
            <w:tcW w:w="284"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-13,000,000.00</w:t>
            </w:r>
          </w:p>
        </w:tc>
      </w:tr>
      <w:tr>
        <w:trPr>
          <w:trHeight w:val="408"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277"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6,229,853.48</w:t>
            </w: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-6,229,853.48</w:t>
            </w:r>
          </w:p>
        </w:tc>
        <w:tc>
          <w:tcPr>
            <w:tcW w:w="284"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pacing w:val="-7"/>
                <w:sz w:val="18"/>
                <w:szCs w:val="18"/>
              </w:rPr>
              <w:t>2．提取一般风险准备</w:t>
            </w:r>
          </w:p>
        </w:tc>
        <w:tc>
          <w:tcPr>
            <w:tcW w:w="1277"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9" w:lineRule="auto" w:before="51"/>
              <w:ind w:left="13" w:right="751"/>
              <w:jc w:val="left"/>
              <w:rPr>
                <w:rFonts w:ascii="宋体" w:hAnsi="宋体" w:cs="宋体" w:eastAsia="宋体" w:hint="default"/>
                <w:sz w:val="18"/>
                <w:szCs w:val="18"/>
              </w:rPr>
            </w:pPr>
            <w:r>
              <w:rPr>
                <w:rFonts w:ascii="宋体" w:hAnsi="宋体" w:cs="宋体" w:eastAsia="宋体" w:hint="default"/>
                <w:spacing w:val="-13"/>
                <w:sz w:val="18"/>
                <w:szCs w:val="18"/>
              </w:rPr>
              <w:t>3．对所有者</w:t>
            </w:r>
            <w:r>
              <w:rPr>
                <w:rFonts w:ascii="宋体" w:hAnsi="宋体" w:cs="宋体" w:eastAsia="宋体" w:hint="default"/>
                <w:sz w:val="18"/>
                <w:szCs w:val="18"/>
              </w:rPr>
              <w:t> 的分配</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70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63.15pt;height:35.25pt;mso-position-horizontal-relative:char;mso-position-vertical-relative:line" coordorigin="0,0" coordsize="1263,705">
                  <v:group style="position:absolute;left:0;top:0;width:1263;height:705" coordorigin="0,0" coordsize="1263,705">
                    <v:shape style="position:absolute;left:0;top:0;width:1263;height:705" coordorigin="0,0" coordsize="1263,705" path="m0,704l1262,704,1262,0,0,0,0,704xe" filled="true" fillcolor="#ffffff" stroked="false">
                      <v:path arrowok="t"/>
                      <v:fill type="solid"/>
                    </v:shape>
                  </v:group>
                  <v:group style="position:absolute;left:22;top:156;width:1220;height:393" coordorigin="22,156" coordsize="1220,393">
                    <v:shape style="position:absolute;left:22;top:156;width:1220;height:393" coordorigin="22,156" coordsize="1220,393" path="m22,548l1241,548,1241,156,22,156,22,548xe" filled="true" fillcolor="#ffffff" stroked="false">
                      <v:path arrowok="t"/>
                      <v:fill type="solid"/>
                    </v:shape>
                  </v:group>
                </v:group>
              </w:pict>
            </w:r>
            <w:r>
              <w:rPr>
                <w:rFonts w:ascii="Times New Roman" w:hAnsi="Times New Roman" w:cs="Times New Roman" w:eastAsia="Times New Roman" w:hint="default"/>
                <w:position w:val="-13"/>
                <w:sz w:val="20"/>
                <w:szCs w:val="20"/>
              </w:rPr>
            </w:r>
          </w:p>
        </w:tc>
        <w:tc>
          <w:tcPr>
            <w:tcW w:w="14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-13,000,000.00</w:t>
            </w:r>
          </w:p>
        </w:tc>
        <w:tc>
          <w:tcPr>
            <w:tcW w:w="284"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-13,000,000.00</w:t>
            </w: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277"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6" w:lineRule="auto" w:before="52"/>
              <w:ind w:left="13" w:right="44"/>
              <w:jc w:val="left"/>
              <w:rPr>
                <w:rFonts w:ascii="宋体" w:hAnsi="宋体" w:cs="宋体" w:eastAsia="宋体" w:hint="default"/>
                <w:sz w:val="18"/>
                <w:szCs w:val="18"/>
              </w:rPr>
            </w:pPr>
            <w:r>
              <w:rPr>
                <w:rFonts w:ascii="宋体" w:hAnsi="宋体" w:cs="宋体" w:eastAsia="宋体" w:hint="default"/>
                <w:sz w:val="18"/>
                <w:szCs w:val="18"/>
              </w:rPr>
              <w:t>（五）所有者权益内 部结转</w:t>
            </w:r>
          </w:p>
        </w:tc>
        <w:tc>
          <w:tcPr>
            <w:tcW w:w="1277"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pacing w:val="-7"/>
                <w:sz w:val="18"/>
                <w:szCs w:val="18"/>
              </w:rPr>
              <w:t>1．资本公积转增资本</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77"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pacing w:val="-7"/>
                <w:sz w:val="18"/>
                <w:szCs w:val="18"/>
              </w:rPr>
              <w:t>2．盈余公积转增资本</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77"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pacing w:val="-7"/>
                <w:sz w:val="18"/>
                <w:szCs w:val="18"/>
              </w:rPr>
              <w:t>3．盈余公积弥补亏损</w:t>
            </w:r>
          </w:p>
        </w:tc>
        <w:tc>
          <w:tcPr>
            <w:tcW w:w="1277"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277"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77"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702"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277" w:type="dxa"/>
            <w:tcBorders>
              <w:top w:val="single" w:sz="6" w:space="0" w:color="000000"/>
              <w:left w:val="single" w:sz="6" w:space="0" w:color="000000"/>
              <w:bottom w:val="single" w:sz="12" w:space="0" w:color="000000"/>
              <w:right w:val="single" w:sz="6" w:space="0" w:color="000000"/>
            </w:tcBorders>
          </w:tcPr>
          <w:p>
            <w:pPr/>
          </w:p>
        </w:tc>
        <w:tc>
          <w:tcPr>
            <w:tcW w:w="1434" w:type="dxa"/>
            <w:tcBorders>
              <w:top w:val="single" w:sz="6" w:space="0" w:color="000000"/>
              <w:left w:val="single" w:sz="6" w:space="0" w:color="000000"/>
              <w:bottom w:val="single" w:sz="12" w:space="0" w:color="000000"/>
              <w:right w:val="single" w:sz="6" w:space="0" w:color="000000"/>
            </w:tcBorders>
          </w:tcPr>
          <w:p>
            <w:pPr/>
          </w:p>
        </w:tc>
        <w:tc>
          <w:tcPr>
            <w:tcW w:w="426"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6" w:space="0" w:color="000000"/>
            </w:tcBorders>
          </w:tcPr>
          <w:p>
            <w:pPr/>
          </w:p>
        </w:tc>
        <w:tc>
          <w:tcPr>
            <w:tcW w:w="284" w:type="dxa"/>
            <w:tcBorders>
              <w:top w:val="single" w:sz="6" w:space="0" w:color="000000"/>
              <w:left w:val="single" w:sz="6" w:space="0" w:color="000000"/>
              <w:bottom w:val="single" w:sz="12" w:space="0" w:color="000000"/>
              <w:right w:val="single" w:sz="6" w:space="0" w:color="000000"/>
            </w:tcBorders>
          </w:tcPr>
          <w:p>
            <w:pPr/>
          </w:p>
        </w:tc>
        <w:tc>
          <w:tcPr>
            <w:tcW w:w="431" w:type="dxa"/>
            <w:tcBorders>
              <w:top w:val="single" w:sz="6" w:space="0" w:color="000000"/>
              <w:left w:val="single" w:sz="6" w:space="0" w:color="000000"/>
              <w:bottom w:val="single" w:sz="12" w:space="0" w:color="000000"/>
              <w:right w:val="single" w:sz="6" w:space="0" w:color="000000"/>
            </w:tcBorders>
          </w:tcPr>
          <w:p>
            <w:pPr/>
          </w:p>
        </w:tc>
        <w:tc>
          <w:tcPr>
            <w:tcW w:w="1427"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1003" w:top="1100" w:bottom="1200" w:left="560" w:right="540"/>
        </w:sectPr>
      </w:pPr>
    </w:p>
    <w:p>
      <w:pPr>
        <w:spacing w:line="240" w:lineRule="auto" w:before="10"/>
        <w:rPr>
          <w:rFonts w:ascii="Times New Roman" w:hAnsi="Times New Roman" w:cs="Times New Roman" w:eastAsia="Times New Roman"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1702"/>
        <w:gridCol w:w="1277"/>
        <w:gridCol w:w="1434"/>
        <w:gridCol w:w="426"/>
        <w:gridCol w:w="425"/>
        <w:gridCol w:w="1276"/>
        <w:gridCol w:w="425"/>
        <w:gridCol w:w="1417"/>
        <w:gridCol w:w="284"/>
        <w:gridCol w:w="431"/>
        <w:gridCol w:w="1427"/>
      </w:tblGrid>
      <w:tr>
        <w:trPr>
          <w:trHeight w:val="415" w:hRule="exact"/>
        </w:trPr>
        <w:tc>
          <w:tcPr>
            <w:tcW w:w="1702"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277" w:type="dxa"/>
            <w:tcBorders>
              <w:top w:val="single" w:sz="12" w:space="0" w:color="000000"/>
              <w:left w:val="single" w:sz="6" w:space="0" w:color="000000"/>
              <w:bottom w:val="single" w:sz="6" w:space="0" w:color="000000"/>
              <w:right w:val="single" w:sz="6" w:space="0" w:color="000000"/>
            </w:tcBorders>
          </w:tcPr>
          <w:p>
            <w:pPr/>
          </w:p>
        </w:tc>
        <w:tc>
          <w:tcPr>
            <w:tcW w:w="1434" w:type="dxa"/>
            <w:tcBorders>
              <w:top w:val="single" w:sz="12" w:space="0" w:color="000000"/>
              <w:left w:val="single" w:sz="6" w:space="0" w:color="000000"/>
              <w:bottom w:val="single" w:sz="6" w:space="0" w:color="000000"/>
              <w:right w:val="single" w:sz="6" w:space="0" w:color="000000"/>
            </w:tcBorders>
          </w:tcPr>
          <w:p>
            <w:pPr/>
          </w:p>
        </w:tc>
        <w:tc>
          <w:tcPr>
            <w:tcW w:w="426" w:type="dxa"/>
            <w:tcBorders>
              <w:top w:val="single" w:sz="12" w:space="0" w:color="000000"/>
              <w:left w:val="single" w:sz="6" w:space="0" w:color="000000"/>
              <w:bottom w:val="single" w:sz="6" w:space="0" w:color="000000"/>
              <w:right w:val="single" w:sz="6" w:space="0" w:color="000000"/>
            </w:tcBorders>
          </w:tcPr>
          <w:p>
            <w:pPr/>
          </w:p>
        </w:tc>
        <w:tc>
          <w:tcPr>
            <w:tcW w:w="425" w:type="dxa"/>
            <w:tcBorders>
              <w:top w:val="single" w:sz="12" w:space="0" w:color="000000"/>
              <w:left w:val="single" w:sz="6" w:space="0" w:color="000000"/>
              <w:bottom w:val="single" w:sz="6" w:space="0" w:color="000000"/>
              <w:right w:val="single" w:sz="6" w:space="0" w:color="000000"/>
            </w:tcBorders>
          </w:tcPr>
          <w:p>
            <w:pPr/>
          </w:p>
        </w:tc>
        <w:tc>
          <w:tcPr>
            <w:tcW w:w="1276" w:type="dxa"/>
            <w:tcBorders>
              <w:top w:val="single" w:sz="12" w:space="0" w:color="000000"/>
              <w:left w:val="single" w:sz="6" w:space="0" w:color="000000"/>
              <w:bottom w:val="single" w:sz="6" w:space="0" w:color="000000"/>
              <w:right w:val="single" w:sz="6" w:space="0" w:color="000000"/>
            </w:tcBorders>
          </w:tcPr>
          <w:p>
            <w:pPr/>
          </w:p>
        </w:tc>
        <w:tc>
          <w:tcPr>
            <w:tcW w:w="425" w:type="dxa"/>
            <w:tcBorders>
              <w:top w:val="single" w:sz="12" w:space="0" w:color="000000"/>
              <w:left w:val="single" w:sz="6" w:space="0" w:color="000000"/>
              <w:bottom w:val="single" w:sz="6" w:space="0" w:color="000000"/>
              <w:right w:val="single" w:sz="6" w:space="0" w:color="000000"/>
            </w:tcBorders>
          </w:tcPr>
          <w:p>
            <w:pPr/>
          </w:p>
        </w:tc>
        <w:tc>
          <w:tcPr>
            <w:tcW w:w="1417" w:type="dxa"/>
            <w:tcBorders>
              <w:top w:val="single" w:sz="12" w:space="0" w:color="000000"/>
              <w:left w:val="single" w:sz="6" w:space="0" w:color="000000"/>
              <w:bottom w:val="single" w:sz="6" w:space="0" w:color="000000"/>
              <w:right w:val="single" w:sz="6" w:space="0" w:color="000000"/>
            </w:tcBorders>
          </w:tcPr>
          <w:p>
            <w:pPr/>
          </w:p>
        </w:tc>
        <w:tc>
          <w:tcPr>
            <w:tcW w:w="284" w:type="dxa"/>
            <w:tcBorders>
              <w:top w:val="single" w:sz="12" w:space="0" w:color="000000"/>
              <w:left w:val="single" w:sz="6" w:space="0" w:color="000000"/>
              <w:bottom w:val="single" w:sz="6" w:space="0" w:color="000000"/>
              <w:right w:val="single" w:sz="6" w:space="0" w:color="000000"/>
            </w:tcBorders>
          </w:tcPr>
          <w:p>
            <w:pPr/>
          </w:p>
        </w:tc>
        <w:tc>
          <w:tcPr>
            <w:tcW w:w="431" w:type="dxa"/>
            <w:tcBorders>
              <w:top w:val="single" w:sz="12" w:space="0" w:color="000000"/>
              <w:left w:val="single" w:sz="6" w:space="0" w:color="000000"/>
              <w:bottom w:val="single" w:sz="6" w:space="0" w:color="000000"/>
              <w:right w:val="single" w:sz="6" w:space="0" w:color="000000"/>
            </w:tcBorders>
          </w:tcPr>
          <w:p>
            <w:pPr/>
          </w:p>
        </w:tc>
        <w:tc>
          <w:tcPr>
            <w:tcW w:w="1427" w:type="dxa"/>
            <w:tcBorders>
              <w:top w:val="single" w:sz="12" w:space="0" w:color="000000"/>
              <w:left w:val="single" w:sz="6" w:space="0" w:color="000000"/>
              <w:bottom w:val="single" w:sz="6" w:space="0" w:color="000000"/>
              <w:right w:val="single" w:sz="12" w:space="0" w:color="000000"/>
            </w:tcBorders>
          </w:tcPr>
          <w:p>
            <w:pP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277"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702"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71" w:right="0"/>
              <w:jc w:val="left"/>
              <w:rPr>
                <w:rFonts w:ascii="宋体" w:hAnsi="宋体" w:cs="宋体" w:eastAsia="宋体" w:hint="default"/>
                <w:sz w:val="18"/>
                <w:szCs w:val="18"/>
              </w:rPr>
            </w:pPr>
            <w:r>
              <w:rPr>
                <w:rFonts w:ascii="宋体"/>
                <w:sz w:val="18"/>
              </w:rPr>
              <w:t>65,000,000.00</w:t>
            </w:r>
          </w:p>
        </w:tc>
        <w:tc>
          <w:tcPr>
            <w:tcW w:w="14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27" w:right="0"/>
              <w:jc w:val="left"/>
              <w:rPr>
                <w:rFonts w:ascii="宋体" w:hAnsi="宋体" w:cs="宋体" w:eastAsia="宋体" w:hint="default"/>
                <w:sz w:val="18"/>
                <w:szCs w:val="18"/>
              </w:rPr>
            </w:pPr>
            <w:r>
              <w:rPr>
                <w:rFonts w:ascii="宋体"/>
                <w:sz w:val="18"/>
              </w:rPr>
              <w:t>74,604,508.96</w:t>
            </w:r>
          </w:p>
        </w:tc>
        <w:tc>
          <w:tcPr>
            <w:tcW w:w="426"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70" w:right="0"/>
              <w:jc w:val="left"/>
              <w:rPr>
                <w:rFonts w:ascii="宋体" w:hAnsi="宋体" w:cs="宋体" w:eastAsia="宋体" w:hint="default"/>
                <w:sz w:val="18"/>
                <w:szCs w:val="18"/>
              </w:rPr>
            </w:pPr>
            <w:r>
              <w:rPr>
                <w:rFonts w:ascii="宋体"/>
                <w:sz w:val="18"/>
              </w:rPr>
              <w:t>11,420,696.55</w:t>
            </w:r>
          </w:p>
        </w:tc>
        <w:tc>
          <w:tcPr>
            <w:tcW w:w="425"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12" w:right="0"/>
              <w:jc w:val="left"/>
              <w:rPr>
                <w:rFonts w:ascii="宋体" w:hAnsi="宋体" w:cs="宋体" w:eastAsia="宋体" w:hint="default"/>
                <w:sz w:val="18"/>
                <w:szCs w:val="18"/>
              </w:rPr>
            </w:pPr>
            <w:r>
              <w:rPr>
                <w:rFonts w:ascii="宋体"/>
                <w:sz w:val="18"/>
              </w:rPr>
              <w:t>79,705,891.40</w:t>
            </w:r>
          </w:p>
        </w:tc>
        <w:tc>
          <w:tcPr>
            <w:tcW w:w="284" w:type="dxa"/>
            <w:tcBorders>
              <w:top w:val="single" w:sz="6" w:space="0" w:color="000000"/>
              <w:left w:val="single" w:sz="6" w:space="0" w:color="000000"/>
              <w:bottom w:val="single" w:sz="12" w:space="0" w:color="000000"/>
              <w:right w:val="single" w:sz="6" w:space="0" w:color="000000"/>
            </w:tcBorders>
          </w:tcPr>
          <w:p>
            <w:pPr/>
          </w:p>
        </w:tc>
        <w:tc>
          <w:tcPr>
            <w:tcW w:w="431" w:type="dxa"/>
            <w:tcBorders>
              <w:top w:val="single" w:sz="6" w:space="0" w:color="000000"/>
              <w:left w:val="single" w:sz="6" w:space="0" w:color="000000"/>
              <w:bottom w:val="single" w:sz="12" w:space="0" w:color="000000"/>
              <w:right w:val="single" w:sz="6" w:space="0" w:color="000000"/>
            </w:tcBorders>
          </w:tcPr>
          <w:p>
            <w:pPr/>
          </w:p>
        </w:tc>
        <w:tc>
          <w:tcPr>
            <w:tcW w:w="142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131" w:right="0"/>
              <w:jc w:val="left"/>
              <w:rPr>
                <w:rFonts w:ascii="宋体" w:hAnsi="宋体" w:cs="宋体" w:eastAsia="宋体" w:hint="default"/>
                <w:sz w:val="18"/>
                <w:szCs w:val="18"/>
              </w:rPr>
            </w:pPr>
            <w:r>
              <w:rPr>
                <w:rFonts w:ascii="宋体"/>
                <w:sz w:val="18"/>
              </w:rPr>
              <w:t>230,731,096.91</w:t>
            </w:r>
          </w:p>
        </w:tc>
      </w:tr>
    </w:tbl>
    <w:p>
      <w:pPr>
        <w:tabs>
          <w:tab w:pos="3993" w:val="left" w:leader="none"/>
          <w:tab w:pos="8133" w:val="left" w:leader="none"/>
        </w:tabs>
        <w:spacing w:before="11"/>
        <w:ind w:left="574" w:right="0" w:firstLine="0"/>
        <w:jc w:val="left"/>
        <w:rPr>
          <w:rFonts w:ascii="宋体" w:hAnsi="宋体" w:cs="宋体" w:eastAsia="宋体" w:hint="default"/>
          <w:sz w:val="18"/>
          <w:szCs w:val="18"/>
        </w:rPr>
      </w:pPr>
      <w:r>
        <w:rPr>
          <w:rFonts w:ascii="宋体" w:hAnsi="宋体" w:cs="宋体" w:eastAsia="宋体" w:hint="default"/>
          <w:sz w:val="18"/>
          <w:szCs w:val="18"/>
        </w:rPr>
        <w:t>法定代表人：龙昌明</w:t>
        <w:tab/>
        <w:t>主管会计工作负责人：戴晓东</w:t>
        <w:tab/>
        <w:t>会计机构负责人：周振娟</w:t>
      </w:r>
    </w:p>
    <w:p>
      <w:pPr>
        <w:spacing w:line="240" w:lineRule="auto" w:before="13"/>
        <w:rPr>
          <w:rFonts w:ascii="宋体" w:hAnsi="宋体" w:cs="宋体" w:eastAsia="宋体" w:hint="default"/>
          <w:sz w:val="24"/>
          <w:szCs w:val="24"/>
        </w:rPr>
      </w:pPr>
    </w:p>
    <w:p>
      <w:pPr>
        <w:pStyle w:val="Heading2"/>
        <w:spacing w:line="240" w:lineRule="auto" w:before="0"/>
        <w:ind w:left="574" w:right="0"/>
        <w:jc w:val="left"/>
        <w:rPr>
          <w:b w:val="0"/>
          <w:bCs w:val="0"/>
        </w:rPr>
      </w:pPr>
      <w:r>
        <w:rPr/>
        <w:t>8、母公司所有者权益变动表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1003" w:top="1100" w:bottom="1200" w:left="560" w:right="540"/>
        </w:sectPr>
      </w:pPr>
    </w:p>
    <w:p>
      <w:pPr>
        <w:spacing w:before="44"/>
        <w:ind w:left="574" w:right="-20" w:firstLine="0"/>
        <w:jc w:val="left"/>
        <w:rPr>
          <w:rFonts w:ascii="宋体" w:hAnsi="宋体" w:cs="宋体" w:eastAsia="宋体" w:hint="default"/>
          <w:sz w:val="18"/>
          <w:szCs w:val="18"/>
        </w:rPr>
      </w:pPr>
      <w:r>
        <w:rPr>
          <w:rFonts w:ascii="宋体" w:hAnsi="宋体" w:cs="宋体" w:eastAsia="宋体" w:hint="default"/>
          <w:sz w:val="18"/>
          <w:szCs w:val="18"/>
        </w:rPr>
        <w:t>编制单位：光一科技股份有限公司</w:t>
      </w:r>
    </w:p>
    <w:p>
      <w:pPr>
        <w:pStyle w:val="Heading3"/>
        <w:spacing w:line="240" w:lineRule="auto" w:before="66"/>
        <w:ind w:left="574" w:right="-20"/>
        <w:jc w:val="left"/>
      </w:pPr>
      <w:r>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40" w:bottom="1200" w:left="560" w:right="540"/>
          <w:cols w:num="2" w:equalWidth="0">
            <w:col w:w="3275" w:space="5644"/>
            <w:col w:w="1891"/>
          </w:cols>
        </w:sectPr>
      </w:pPr>
    </w:p>
    <w:p>
      <w:pPr>
        <w:spacing w:line="240" w:lineRule="auto" w:before="13"/>
        <w:rPr>
          <w:rFonts w:ascii="宋体" w:hAnsi="宋体" w:cs="宋体" w:eastAsia="宋体" w:hint="default"/>
          <w:sz w:val="7"/>
          <w:szCs w:val="7"/>
        </w:rPr>
      </w:pPr>
    </w:p>
    <w:tbl>
      <w:tblPr>
        <w:tblW w:w="0" w:type="auto"/>
        <w:jc w:val="left"/>
        <w:tblInd w:w="240" w:type="dxa"/>
        <w:tblLayout w:type="fixed"/>
        <w:tblCellMar>
          <w:top w:w="0" w:type="dxa"/>
          <w:left w:w="0" w:type="dxa"/>
          <w:bottom w:w="0" w:type="dxa"/>
          <w:right w:w="0" w:type="dxa"/>
        </w:tblCellMar>
        <w:tblLook w:val="01E0"/>
      </w:tblPr>
      <w:tblGrid>
        <w:gridCol w:w="1918"/>
        <w:gridCol w:w="1268"/>
        <w:gridCol w:w="1417"/>
        <w:gridCol w:w="566"/>
        <w:gridCol w:w="568"/>
        <w:gridCol w:w="1276"/>
        <w:gridCol w:w="425"/>
        <w:gridCol w:w="1418"/>
        <w:gridCol w:w="1417"/>
      </w:tblGrid>
      <w:tr>
        <w:trPr>
          <w:trHeight w:val="415" w:hRule="exact"/>
        </w:trPr>
        <w:tc>
          <w:tcPr>
            <w:tcW w:w="1918" w:type="dxa"/>
            <w:vMerge w:val="restart"/>
            <w:tcBorders>
              <w:top w:val="single" w:sz="12" w:space="0" w:color="000000"/>
              <w:left w:val="single" w:sz="12"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8355" w:type="dxa"/>
            <w:gridSpan w:val="8"/>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031" w:hRule="exact"/>
        </w:trPr>
        <w:tc>
          <w:tcPr>
            <w:tcW w:w="1918" w:type="dxa"/>
            <w:vMerge/>
            <w:tcBorders>
              <w:left w:val="single" w:sz="12" w:space="0" w:color="000000"/>
              <w:bottom w:val="single" w:sz="6" w:space="0" w:color="000000"/>
              <w:right w:val="single" w:sz="6" w:space="0" w:color="000000"/>
            </w:tcBorders>
            <w:shd w:val="clear" w:color="auto" w:fill="D3D3D3"/>
          </w:tcPr>
          <w:p>
            <w:pPr/>
          </w:p>
        </w:tc>
        <w:tc>
          <w:tcPr>
            <w:tcW w:w="126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116"/>
              <w:ind w:left="177"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1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5" w:right="18" w:hanging="76"/>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56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7" w:right="9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9" w:lineRule="auto" w:before="51"/>
              <w:ind w:left="25" w:right="2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41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7"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 w:right="0"/>
              <w:jc w:val="center"/>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7" w:hRule="exact"/>
        </w:trPr>
        <w:tc>
          <w:tcPr>
            <w:tcW w:w="191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65,000,000.00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74,242,708.96</w:t>
            </w: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11,420,696.55</w:t>
            </w: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3" w:right="0"/>
              <w:jc w:val="left"/>
              <w:rPr>
                <w:rFonts w:ascii="宋体" w:hAnsi="宋体" w:cs="宋体" w:eastAsia="宋体" w:hint="default"/>
                <w:sz w:val="18"/>
                <w:szCs w:val="18"/>
              </w:rPr>
            </w:pPr>
            <w:r>
              <w:rPr>
                <w:rFonts w:ascii="宋体"/>
                <w:sz w:val="18"/>
              </w:rPr>
              <w:t>89,786,268.86</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08" w:right="0"/>
              <w:jc w:val="center"/>
              <w:rPr>
                <w:rFonts w:ascii="宋体" w:hAnsi="宋体" w:cs="宋体" w:eastAsia="宋体" w:hint="default"/>
                <w:sz w:val="18"/>
                <w:szCs w:val="18"/>
              </w:rPr>
            </w:pPr>
            <w:r>
              <w:rPr>
                <w:rFonts w:ascii="宋体"/>
                <w:sz w:val="18"/>
              </w:rPr>
              <w:t>240,449,674.37</w:t>
            </w:r>
          </w:p>
        </w:tc>
      </w:tr>
      <w:tr>
        <w:trPr>
          <w:trHeight w:val="407" w:hRule="exact"/>
        </w:trPr>
        <w:tc>
          <w:tcPr>
            <w:tcW w:w="191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right="80"/>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26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91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right="80"/>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26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91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right="67"/>
              <w:jc w:val="center"/>
              <w:rPr>
                <w:rFonts w:ascii="宋体" w:hAnsi="宋体" w:cs="宋体" w:eastAsia="宋体" w:hint="default"/>
                <w:sz w:val="18"/>
                <w:szCs w:val="18"/>
              </w:rPr>
            </w:pPr>
            <w:r>
              <w:rPr>
                <w:rFonts w:ascii="宋体" w:hAnsi="宋体" w:cs="宋体" w:eastAsia="宋体" w:hint="default"/>
                <w:sz w:val="18"/>
                <w:szCs w:val="18"/>
              </w:rPr>
              <w:t>其他</w:t>
            </w:r>
          </w:p>
        </w:tc>
        <w:tc>
          <w:tcPr>
            <w:tcW w:w="126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91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65,000,000.00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74,242,708.96</w:t>
            </w: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11,420,696.55</w:t>
            </w: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3" w:right="0"/>
              <w:jc w:val="left"/>
              <w:rPr>
                <w:rFonts w:ascii="宋体" w:hAnsi="宋体" w:cs="宋体" w:eastAsia="宋体" w:hint="default"/>
                <w:sz w:val="18"/>
                <w:szCs w:val="18"/>
              </w:rPr>
            </w:pPr>
            <w:r>
              <w:rPr>
                <w:rFonts w:ascii="宋体"/>
                <w:sz w:val="18"/>
              </w:rPr>
              <w:t>89,786,268.86</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08" w:right="0"/>
              <w:jc w:val="center"/>
              <w:rPr>
                <w:rFonts w:ascii="宋体" w:hAnsi="宋体" w:cs="宋体" w:eastAsia="宋体" w:hint="default"/>
                <w:sz w:val="18"/>
                <w:szCs w:val="18"/>
              </w:rPr>
            </w:pPr>
            <w:r>
              <w:rPr>
                <w:rFonts w:ascii="宋体"/>
                <w:sz w:val="18"/>
              </w:rPr>
              <w:t>240,449,674.37</w:t>
            </w:r>
          </w:p>
        </w:tc>
      </w:tr>
      <w:tr>
        <w:trPr>
          <w:trHeight w:val="1031" w:hRule="exact"/>
        </w:trPr>
        <w:tc>
          <w:tcPr>
            <w:tcW w:w="191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319" w:lineRule="auto" w:before="76"/>
              <w:ind w:left="13" w:right="260"/>
              <w:jc w:val="left"/>
              <w:rPr>
                <w:rFonts w:ascii="宋体" w:hAnsi="宋体" w:cs="宋体" w:eastAsia="宋体" w:hint="default"/>
                <w:sz w:val="18"/>
                <w:szCs w:val="18"/>
              </w:rPr>
            </w:pPr>
            <w:r>
              <w:rPr>
                <w:rFonts w:ascii="宋体" w:hAnsi="宋体" w:cs="宋体" w:eastAsia="宋体" w:hint="default"/>
                <w:sz w:val="18"/>
                <w:szCs w:val="18"/>
              </w:rPr>
              <w:t>（减少以“－”号填 列）</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21,670,000.00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332,621,193.65</w:t>
            </w: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3,801,141.80</w:t>
            </w: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sz w:val="18"/>
              </w:rPr>
              <w:t>34,210,276.17</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8" w:right="0"/>
              <w:jc w:val="center"/>
              <w:rPr>
                <w:rFonts w:ascii="宋体" w:hAnsi="宋体" w:cs="宋体" w:eastAsia="宋体" w:hint="default"/>
                <w:sz w:val="18"/>
                <w:szCs w:val="18"/>
              </w:rPr>
            </w:pPr>
            <w:r>
              <w:rPr>
                <w:rFonts w:ascii="宋体"/>
                <w:sz w:val="18"/>
              </w:rPr>
              <w:t>392,302,611.62</w:t>
            </w:r>
          </w:p>
        </w:tc>
      </w:tr>
      <w:tr>
        <w:trPr>
          <w:trHeight w:val="407" w:hRule="exact"/>
        </w:trPr>
        <w:tc>
          <w:tcPr>
            <w:tcW w:w="191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6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3" w:right="0"/>
              <w:jc w:val="left"/>
              <w:rPr>
                <w:rFonts w:ascii="宋体" w:hAnsi="宋体" w:cs="宋体" w:eastAsia="宋体" w:hint="default"/>
                <w:sz w:val="18"/>
                <w:szCs w:val="18"/>
              </w:rPr>
            </w:pPr>
            <w:r>
              <w:rPr>
                <w:rFonts w:ascii="宋体"/>
                <w:sz w:val="18"/>
              </w:rPr>
              <w:t>38,011,417.97</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98" w:right="0"/>
              <w:jc w:val="center"/>
              <w:rPr>
                <w:rFonts w:ascii="宋体" w:hAnsi="宋体" w:cs="宋体" w:eastAsia="宋体" w:hint="default"/>
                <w:sz w:val="18"/>
                <w:szCs w:val="18"/>
              </w:rPr>
            </w:pPr>
            <w:r>
              <w:rPr>
                <w:rFonts w:ascii="宋体"/>
                <w:sz w:val="18"/>
              </w:rPr>
              <w:t>38,011,417.97</w:t>
            </w:r>
          </w:p>
        </w:tc>
      </w:tr>
      <w:tr>
        <w:trPr>
          <w:trHeight w:val="407" w:hRule="exact"/>
        </w:trPr>
        <w:tc>
          <w:tcPr>
            <w:tcW w:w="191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6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91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6" w:lineRule="auto" w:before="52"/>
              <w:ind w:left="13" w:right="80"/>
              <w:jc w:val="left"/>
              <w:rPr>
                <w:rFonts w:ascii="宋体" w:hAnsi="宋体" w:cs="宋体" w:eastAsia="宋体" w:hint="default"/>
                <w:sz w:val="18"/>
                <w:szCs w:val="18"/>
              </w:rPr>
            </w:pPr>
            <w:r>
              <w:rPr>
                <w:rFonts w:ascii="宋体" w:hAnsi="宋体" w:cs="宋体" w:eastAsia="宋体" w:hint="default"/>
                <w:sz w:val="18"/>
                <w:szCs w:val="18"/>
              </w:rPr>
              <w:t>上述（一）和（二）小 计</w:t>
            </w:r>
          </w:p>
        </w:tc>
        <w:tc>
          <w:tcPr>
            <w:tcW w:w="126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sz w:val="18"/>
              </w:rPr>
              <w:t>38,011,417.97</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8" w:right="0"/>
              <w:jc w:val="center"/>
              <w:rPr>
                <w:rFonts w:ascii="宋体" w:hAnsi="宋体" w:cs="宋体" w:eastAsia="宋体" w:hint="default"/>
                <w:sz w:val="18"/>
                <w:szCs w:val="18"/>
              </w:rPr>
            </w:pPr>
            <w:r>
              <w:rPr>
                <w:rFonts w:ascii="宋体"/>
                <w:sz w:val="18"/>
              </w:rPr>
              <w:t>38,011,417.97</w:t>
            </w:r>
          </w:p>
        </w:tc>
      </w:tr>
      <w:tr>
        <w:trPr>
          <w:trHeight w:val="720" w:hRule="exact"/>
        </w:trPr>
        <w:tc>
          <w:tcPr>
            <w:tcW w:w="191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6" w:lineRule="auto" w:before="52"/>
              <w:ind w:left="13" w:right="80"/>
              <w:jc w:val="left"/>
              <w:rPr>
                <w:rFonts w:ascii="宋体" w:hAnsi="宋体" w:cs="宋体" w:eastAsia="宋体" w:hint="default"/>
                <w:sz w:val="18"/>
                <w:szCs w:val="18"/>
              </w:rPr>
            </w:pPr>
            <w:r>
              <w:rPr>
                <w:rFonts w:ascii="宋体" w:hAnsi="宋体" w:cs="宋体" w:eastAsia="宋体" w:hint="default"/>
                <w:sz w:val="18"/>
                <w:szCs w:val="18"/>
              </w:rPr>
              <w:t>（三）所有者投入和减 少资本</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21,670,000.00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332,621,193.65</w:t>
            </w: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8" w:right="0"/>
              <w:jc w:val="center"/>
              <w:rPr>
                <w:rFonts w:ascii="宋体" w:hAnsi="宋体" w:cs="宋体" w:eastAsia="宋体" w:hint="default"/>
                <w:sz w:val="18"/>
                <w:szCs w:val="18"/>
              </w:rPr>
            </w:pPr>
            <w:r>
              <w:rPr>
                <w:rFonts w:ascii="宋体"/>
                <w:sz w:val="18"/>
              </w:rPr>
              <w:t>354,291,193.65</w:t>
            </w:r>
          </w:p>
        </w:tc>
      </w:tr>
      <w:tr>
        <w:trPr>
          <w:trHeight w:val="407" w:hRule="exact"/>
        </w:trPr>
        <w:tc>
          <w:tcPr>
            <w:tcW w:w="191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21,670,000.00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332,621,193.65</w:t>
            </w: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08" w:right="0"/>
              <w:jc w:val="center"/>
              <w:rPr>
                <w:rFonts w:ascii="宋体" w:hAnsi="宋体" w:cs="宋体" w:eastAsia="宋体" w:hint="default"/>
                <w:sz w:val="18"/>
                <w:szCs w:val="18"/>
              </w:rPr>
            </w:pPr>
            <w:r>
              <w:rPr>
                <w:rFonts w:ascii="宋体"/>
                <w:sz w:val="18"/>
              </w:rPr>
              <w:t>354,291,193.65</w:t>
            </w:r>
          </w:p>
        </w:tc>
      </w:tr>
      <w:tr>
        <w:trPr>
          <w:trHeight w:val="719" w:hRule="exact"/>
        </w:trPr>
        <w:tc>
          <w:tcPr>
            <w:tcW w:w="191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9" w:lineRule="auto" w:before="51"/>
              <w:ind w:left="13" w:right="18"/>
              <w:jc w:val="left"/>
              <w:rPr>
                <w:rFonts w:ascii="宋体" w:hAnsi="宋体" w:cs="宋体" w:eastAsia="宋体" w:hint="default"/>
                <w:sz w:val="18"/>
                <w:szCs w:val="18"/>
              </w:rPr>
            </w:pPr>
            <w:r>
              <w:rPr>
                <w:rFonts w:ascii="宋体" w:hAnsi="宋体" w:cs="宋体" w:eastAsia="宋体" w:hint="default"/>
                <w:spacing w:val="-3"/>
                <w:sz w:val="18"/>
                <w:szCs w:val="18"/>
              </w:rPr>
              <w:t>2．股份支付计入所有者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权益的金额</w:t>
            </w:r>
          </w:p>
        </w:tc>
        <w:tc>
          <w:tcPr>
            <w:tcW w:w="126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91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26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91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6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3,801,141.80</w:t>
            </w: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3" w:right="0"/>
              <w:jc w:val="left"/>
              <w:rPr>
                <w:rFonts w:ascii="宋体" w:hAnsi="宋体" w:cs="宋体" w:eastAsia="宋体" w:hint="default"/>
                <w:sz w:val="18"/>
                <w:szCs w:val="18"/>
              </w:rPr>
            </w:pPr>
            <w:r>
              <w:rPr>
                <w:rFonts w:ascii="宋体"/>
                <w:sz w:val="18"/>
              </w:rPr>
              <w:t>-3,801,141.80</w:t>
            </w: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91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26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3,801,141.80</w:t>
            </w: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3" w:right="0"/>
              <w:jc w:val="left"/>
              <w:rPr>
                <w:rFonts w:ascii="宋体" w:hAnsi="宋体" w:cs="宋体" w:eastAsia="宋体" w:hint="default"/>
                <w:sz w:val="18"/>
                <w:szCs w:val="18"/>
              </w:rPr>
            </w:pPr>
            <w:r>
              <w:rPr>
                <w:rFonts w:ascii="宋体"/>
                <w:sz w:val="18"/>
              </w:rPr>
              <w:t>-3,801,141.80</w:t>
            </w: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91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26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727" w:hRule="exact"/>
        </w:trPr>
        <w:tc>
          <w:tcPr>
            <w:tcW w:w="1918"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316" w:lineRule="auto" w:before="51"/>
              <w:ind w:left="13" w:right="-8"/>
              <w:jc w:val="left"/>
              <w:rPr>
                <w:rFonts w:ascii="宋体" w:hAnsi="宋体" w:cs="宋体" w:eastAsia="宋体" w:hint="default"/>
                <w:sz w:val="18"/>
                <w:szCs w:val="18"/>
              </w:rPr>
            </w:pPr>
            <w:r>
              <w:rPr>
                <w:rFonts w:ascii="宋体" w:hAnsi="宋体" w:cs="宋体" w:eastAsia="宋体" w:hint="default"/>
                <w:sz w:val="18"/>
                <w:szCs w:val="18"/>
              </w:rPr>
              <w:t>3．对所有者（或股东） 的分配</w:t>
            </w:r>
          </w:p>
        </w:tc>
        <w:tc>
          <w:tcPr>
            <w:tcW w:w="1268"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6" w:space="0" w:color="000000"/>
            </w:tcBorders>
          </w:tcPr>
          <w:p>
            <w:pPr/>
          </w:p>
        </w:tc>
        <w:tc>
          <w:tcPr>
            <w:tcW w:w="566" w:type="dxa"/>
            <w:tcBorders>
              <w:top w:val="single" w:sz="6" w:space="0" w:color="000000"/>
              <w:left w:val="single" w:sz="6" w:space="0" w:color="000000"/>
              <w:bottom w:val="single" w:sz="12" w:space="0" w:color="000000"/>
              <w:right w:val="single" w:sz="6" w:space="0" w:color="000000"/>
            </w:tcBorders>
          </w:tcPr>
          <w:p>
            <w:pPr/>
          </w:p>
        </w:tc>
        <w:tc>
          <w:tcPr>
            <w:tcW w:w="568"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040" w:bottom="1200" w:left="560" w:right="54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918"/>
        <w:gridCol w:w="1268"/>
        <w:gridCol w:w="1417"/>
        <w:gridCol w:w="566"/>
        <w:gridCol w:w="568"/>
        <w:gridCol w:w="1276"/>
        <w:gridCol w:w="425"/>
        <w:gridCol w:w="1418"/>
        <w:gridCol w:w="1417"/>
      </w:tblGrid>
      <w:tr>
        <w:trPr>
          <w:trHeight w:val="415" w:hRule="exact"/>
        </w:trPr>
        <w:tc>
          <w:tcPr>
            <w:tcW w:w="1918"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268" w:type="dxa"/>
            <w:tcBorders>
              <w:top w:val="single" w:sz="12" w:space="0" w:color="000000"/>
              <w:left w:val="single" w:sz="6" w:space="0" w:color="000000"/>
              <w:bottom w:val="single" w:sz="6" w:space="0" w:color="000000"/>
              <w:right w:val="single" w:sz="6" w:space="0" w:color="000000"/>
            </w:tcBorders>
          </w:tcPr>
          <w:p>
            <w:pPr/>
          </w:p>
        </w:tc>
        <w:tc>
          <w:tcPr>
            <w:tcW w:w="1417" w:type="dxa"/>
            <w:tcBorders>
              <w:top w:val="single" w:sz="12" w:space="0" w:color="000000"/>
              <w:left w:val="single" w:sz="6" w:space="0" w:color="000000"/>
              <w:bottom w:val="single" w:sz="6" w:space="0" w:color="000000"/>
              <w:right w:val="single" w:sz="6" w:space="0" w:color="000000"/>
            </w:tcBorders>
          </w:tcPr>
          <w:p>
            <w:pPr/>
          </w:p>
        </w:tc>
        <w:tc>
          <w:tcPr>
            <w:tcW w:w="566" w:type="dxa"/>
            <w:tcBorders>
              <w:top w:val="single" w:sz="12" w:space="0" w:color="000000"/>
              <w:left w:val="single" w:sz="6" w:space="0" w:color="000000"/>
              <w:bottom w:val="single" w:sz="6" w:space="0" w:color="000000"/>
              <w:right w:val="single" w:sz="6" w:space="0" w:color="000000"/>
            </w:tcBorders>
          </w:tcPr>
          <w:p>
            <w:pPr/>
          </w:p>
        </w:tc>
        <w:tc>
          <w:tcPr>
            <w:tcW w:w="568" w:type="dxa"/>
            <w:tcBorders>
              <w:top w:val="single" w:sz="12" w:space="0" w:color="000000"/>
              <w:left w:val="single" w:sz="6" w:space="0" w:color="000000"/>
              <w:bottom w:val="single" w:sz="6" w:space="0" w:color="000000"/>
              <w:right w:val="single" w:sz="6" w:space="0" w:color="000000"/>
            </w:tcBorders>
          </w:tcPr>
          <w:p>
            <w:pPr/>
          </w:p>
        </w:tc>
        <w:tc>
          <w:tcPr>
            <w:tcW w:w="1276" w:type="dxa"/>
            <w:tcBorders>
              <w:top w:val="single" w:sz="12" w:space="0" w:color="000000"/>
              <w:left w:val="single" w:sz="6" w:space="0" w:color="000000"/>
              <w:bottom w:val="single" w:sz="6" w:space="0" w:color="000000"/>
              <w:right w:val="single" w:sz="6" w:space="0" w:color="000000"/>
            </w:tcBorders>
          </w:tcPr>
          <w:p>
            <w:pPr/>
          </w:p>
        </w:tc>
        <w:tc>
          <w:tcPr>
            <w:tcW w:w="425" w:type="dxa"/>
            <w:tcBorders>
              <w:top w:val="single" w:sz="12" w:space="0" w:color="000000"/>
              <w:left w:val="single" w:sz="6" w:space="0" w:color="000000"/>
              <w:bottom w:val="single" w:sz="6" w:space="0" w:color="000000"/>
              <w:right w:val="single" w:sz="6" w:space="0" w:color="000000"/>
            </w:tcBorders>
          </w:tcPr>
          <w:p>
            <w:pPr/>
          </w:p>
        </w:tc>
        <w:tc>
          <w:tcPr>
            <w:tcW w:w="1418" w:type="dxa"/>
            <w:tcBorders>
              <w:top w:val="single" w:sz="12" w:space="0" w:color="000000"/>
              <w:left w:val="single" w:sz="6" w:space="0" w:color="000000"/>
              <w:bottom w:val="single" w:sz="6" w:space="0" w:color="000000"/>
              <w:right w:val="single" w:sz="6" w:space="0" w:color="000000"/>
            </w:tcBorders>
          </w:tcPr>
          <w:p>
            <w:pPr/>
          </w:p>
        </w:tc>
        <w:tc>
          <w:tcPr>
            <w:tcW w:w="1417" w:type="dxa"/>
            <w:tcBorders>
              <w:top w:val="single" w:sz="12" w:space="0" w:color="000000"/>
              <w:left w:val="single" w:sz="6" w:space="0" w:color="000000"/>
              <w:bottom w:val="single" w:sz="6" w:space="0" w:color="000000"/>
              <w:right w:val="single" w:sz="12" w:space="0" w:color="000000"/>
            </w:tcBorders>
          </w:tcPr>
          <w:p>
            <w:pPr/>
          </w:p>
        </w:tc>
      </w:tr>
      <w:tr>
        <w:trPr>
          <w:trHeight w:val="719" w:hRule="exact"/>
        </w:trPr>
        <w:tc>
          <w:tcPr>
            <w:tcW w:w="191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6" w:lineRule="auto" w:before="51"/>
              <w:ind w:left="12" w:right="80"/>
              <w:jc w:val="left"/>
              <w:rPr>
                <w:rFonts w:ascii="宋体" w:hAnsi="宋体" w:cs="宋体" w:eastAsia="宋体" w:hint="default"/>
                <w:sz w:val="18"/>
                <w:szCs w:val="18"/>
              </w:rPr>
            </w:pPr>
            <w:r>
              <w:rPr>
                <w:rFonts w:ascii="宋体" w:hAnsi="宋体" w:cs="宋体" w:eastAsia="宋体" w:hint="default"/>
                <w:sz w:val="18"/>
                <w:szCs w:val="18"/>
              </w:rPr>
              <w:t>（五）所有者权益内部 结转</w:t>
            </w:r>
          </w:p>
        </w:tc>
        <w:tc>
          <w:tcPr>
            <w:tcW w:w="126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91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1．资本公积转增资本</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6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91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2．盈余公积转增资本</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6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91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26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91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26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91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6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91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26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91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26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91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26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918"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63" w:right="0"/>
              <w:jc w:val="left"/>
              <w:rPr>
                <w:rFonts w:ascii="宋体" w:hAnsi="宋体" w:cs="宋体" w:eastAsia="宋体" w:hint="default"/>
                <w:sz w:val="18"/>
                <w:szCs w:val="18"/>
              </w:rPr>
            </w:pPr>
            <w:r>
              <w:rPr>
                <w:rFonts w:ascii="宋体"/>
                <w:sz w:val="18"/>
              </w:rPr>
              <w:t>86,670,000.00</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121" w:right="0"/>
              <w:jc w:val="left"/>
              <w:rPr>
                <w:rFonts w:ascii="宋体" w:hAnsi="宋体" w:cs="宋体" w:eastAsia="宋体" w:hint="default"/>
                <w:sz w:val="18"/>
                <w:szCs w:val="18"/>
              </w:rPr>
            </w:pPr>
            <w:r>
              <w:rPr>
                <w:rFonts w:ascii="宋体"/>
                <w:sz w:val="18"/>
              </w:rPr>
              <w:t>406,863,902.61</w:t>
            </w:r>
          </w:p>
        </w:tc>
        <w:tc>
          <w:tcPr>
            <w:tcW w:w="566" w:type="dxa"/>
            <w:tcBorders>
              <w:top w:val="single" w:sz="6" w:space="0" w:color="000000"/>
              <w:left w:val="single" w:sz="6" w:space="0" w:color="000000"/>
              <w:bottom w:val="single" w:sz="12" w:space="0" w:color="000000"/>
              <w:right w:val="single" w:sz="6" w:space="0" w:color="000000"/>
            </w:tcBorders>
          </w:tcPr>
          <w:p>
            <w:pPr/>
          </w:p>
        </w:tc>
        <w:tc>
          <w:tcPr>
            <w:tcW w:w="568"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70" w:right="0"/>
              <w:jc w:val="left"/>
              <w:rPr>
                <w:rFonts w:ascii="宋体" w:hAnsi="宋体" w:cs="宋体" w:eastAsia="宋体" w:hint="default"/>
                <w:sz w:val="18"/>
                <w:szCs w:val="18"/>
              </w:rPr>
            </w:pPr>
            <w:r>
              <w:rPr>
                <w:rFonts w:ascii="宋体"/>
                <w:sz w:val="18"/>
              </w:rPr>
              <w:t>15,221,838.35</w:t>
            </w:r>
          </w:p>
        </w:tc>
        <w:tc>
          <w:tcPr>
            <w:tcW w:w="425"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123" w:right="0"/>
              <w:jc w:val="left"/>
              <w:rPr>
                <w:rFonts w:ascii="宋体" w:hAnsi="宋体" w:cs="宋体" w:eastAsia="宋体" w:hint="default"/>
                <w:sz w:val="18"/>
                <w:szCs w:val="18"/>
              </w:rPr>
            </w:pPr>
            <w:r>
              <w:rPr>
                <w:rFonts w:ascii="宋体"/>
                <w:sz w:val="18"/>
              </w:rPr>
              <w:t>123,996,545.03</w:t>
            </w:r>
          </w:p>
        </w:tc>
        <w:tc>
          <w:tcPr>
            <w:tcW w:w="141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121" w:right="0"/>
              <w:jc w:val="left"/>
              <w:rPr>
                <w:rFonts w:ascii="宋体" w:hAnsi="宋体" w:cs="宋体" w:eastAsia="宋体" w:hint="default"/>
                <w:sz w:val="18"/>
                <w:szCs w:val="18"/>
              </w:rPr>
            </w:pPr>
            <w:r>
              <w:rPr>
                <w:rFonts w:ascii="宋体"/>
                <w:sz w:val="18"/>
              </w:rPr>
              <w:t>632,752,285.99</w:t>
            </w:r>
          </w:p>
        </w:tc>
      </w:tr>
    </w:tbl>
    <w:p>
      <w:pPr>
        <w:pStyle w:val="Heading3"/>
        <w:spacing w:line="240" w:lineRule="auto" w:before="40"/>
        <w:ind w:left="434" w:right="0"/>
        <w:jc w:val="left"/>
      </w:pPr>
      <w:r>
        <w:rPr/>
        <w:t>上年金额</w:t>
      </w:r>
    </w:p>
    <w:p>
      <w:pPr>
        <w:spacing w:line="240" w:lineRule="auto" w:before="3"/>
        <w:rPr>
          <w:rFonts w:ascii="宋体" w:hAnsi="宋体" w:cs="宋体" w:eastAsia="宋体" w:hint="default"/>
          <w:sz w:val="9"/>
          <w:szCs w:val="9"/>
        </w:rPr>
      </w:pPr>
    </w:p>
    <w:p>
      <w:pPr>
        <w:spacing w:before="44"/>
        <w:ind w:left="0" w:right="4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45"/>
        <w:gridCol w:w="1276"/>
        <w:gridCol w:w="1429"/>
        <w:gridCol w:w="556"/>
        <w:gridCol w:w="566"/>
        <w:gridCol w:w="1277"/>
        <w:gridCol w:w="425"/>
        <w:gridCol w:w="1417"/>
        <w:gridCol w:w="1417"/>
      </w:tblGrid>
      <w:tr>
        <w:trPr>
          <w:trHeight w:val="415" w:hRule="exact"/>
        </w:trPr>
        <w:tc>
          <w:tcPr>
            <w:tcW w:w="1845" w:type="dxa"/>
            <w:vMerge w:val="restart"/>
            <w:tcBorders>
              <w:top w:val="single" w:sz="12" w:space="0" w:color="000000"/>
              <w:left w:val="single" w:sz="12"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8362" w:type="dxa"/>
            <w:gridSpan w:val="8"/>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031" w:hRule="exact"/>
        </w:trPr>
        <w:tc>
          <w:tcPr>
            <w:tcW w:w="1845" w:type="dxa"/>
            <w:vMerge/>
            <w:tcBorders>
              <w:left w:val="single" w:sz="12" w:space="0" w:color="000000"/>
              <w:bottom w:val="single" w:sz="6" w:space="0" w:color="000000"/>
              <w:right w:val="single" w:sz="6" w:space="0" w:color="000000"/>
            </w:tcBorders>
            <w:shd w:val="clear" w:color="auto" w:fill="D3D3D3"/>
          </w:tcPr>
          <w:p>
            <w:pPr/>
          </w:p>
        </w:tc>
        <w:tc>
          <w:tcPr>
            <w:tcW w:w="127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117"/>
              <w:ind w:left="18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29"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5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1" w:right="18" w:hanging="70"/>
              <w:jc w:val="left"/>
              <w:rPr>
                <w:rFonts w:ascii="宋体" w:hAnsi="宋体" w:cs="宋体" w:eastAsia="宋体" w:hint="default"/>
                <w:sz w:val="18"/>
                <w:szCs w:val="18"/>
              </w:rPr>
            </w:pPr>
            <w:r>
              <w:rPr>
                <w:rFonts w:ascii="宋体" w:hAnsi="宋体" w:cs="宋体" w:eastAsia="宋体" w:hint="default"/>
                <w:spacing w:val="-14"/>
                <w:sz w:val="18"/>
                <w:szCs w:val="18"/>
              </w:rPr>
              <w:t>减：库</w:t>
            </w:r>
            <w:r>
              <w:rPr>
                <w:rFonts w:ascii="宋体" w:hAnsi="宋体" w:cs="宋体" w:eastAsia="宋体" w:hint="default"/>
                <w:sz w:val="18"/>
                <w:szCs w:val="18"/>
              </w:rPr>
              <w:t> 存股</w:t>
            </w:r>
          </w:p>
        </w:tc>
        <w:tc>
          <w:tcPr>
            <w:tcW w:w="56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5" w:right="9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51"/>
              <w:ind w:left="23" w:right="2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41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7"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1"/>
              <w:jc w:val="righ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7" w:hRule="exact"/>
        </w:trPr>
        <w:tc>
          <w:tcPr>
            <w:tcW w:w="1845"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8" w:right="0"/>
              <w:jc w:val="center"/>
              <w:rPr>
                <w:rFonts w:ascii="宋体" w:hAnsi="宋体" w:cs="宋体" w:eastAsia="宋体" w:hint="default"/>
                <w:sz w:val="18"/>
                <w:szCs w:val="18"/>
              </w:rPr>
            </w:pPr>
            <w:r>
              <w:rPr>
                <w:rFonts w:ascii="宋体"/>
                <w:sz w:val="18"/>
              </w:rPr>
              <w:t>65,000,000.00</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74,242,708.96</w:t>
            </w:r>
          </w:p>
        </w:tc>
        <w:tc>
          <w:tcPr>
            <w:tcW w:w="55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5,190,843.07</w:t>
            </w: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1" w:right="0"/>
              <w:jc w:val="left"/>
              <w:rPr>
                <w:rFonts w:ascii="宋体" w:hAnsi="宋体" w:cs="宋体" w:eastAsia="宋体" w:hint="default"/>
                <w:sz w:val="18"/>
                <w:szCs w:val="18"/>
              </w:rPr>
            </w:pPr>
            <w:r>
              <w:rPr>
                <w:rFonts w:ascii="宋体"/>
                <w:sz w:val="18"/>
              </w:rPr>
              <w:t>46,717,587.57</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191,151,139.60</w:t>
            </w:r>
          </w:p>
        </w:tc>
      </w:tr>
      <w:tr>
        <w:trPr>
          <w:trHeight w:val="407" w:hRule="exact"/>
        </w:trPr>
        <w:tc>
          <w:tcPr>
            <w:tcW w:w="1845"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845"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734"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45"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845"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8" w:right="0"/>
              <w:jc w:val="center"/>
              <w:rPr>
                <w:rFonts w:ascii="宋体" w:hAnsi="宋体" w:cs="宋体" w:eastAsia="宋体" w:hint="default"/>
                <w:sz w:val="18"/>
                <w:szCs w:val="18"/>
              </w:rPr>
            </w:pPr>
            <w:r>
              <w:rPr>
                <w:rFonts w:ascii="宋体"/>
                <w:sz w:val="18"/>
              </w:rPr>
              <w:t>65,000,000.00</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74,242,708.96</w:t>
            </w:r>
          </w:p>
        </w:tc>
        <w:tc>
          <w:tcPr>
            <w:tcW w:w="55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5,190,843.07</w:t>
            </w: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1" w:right="0"/>
              <w:jc w:val="left"/>
              <w:rPr>
                <w:rFonts w:ascii="宋体" w:hAnsi="宋体" w:cs="宋体" w:eastAsia="宋体" w:hint="default"/>
                <w:sz w:val="18"/>
                <w:szCs w:val="18"/>
              </w:rPr>
            </w:pPr>
            <w:r>
              <w:rPr>
                <w:rFonts w:ascii="宋体"/>
                <w:sz w:val="18"/>
              </w:rPr>
              <w:t>46,717,587.57</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191,151,139.60</w:t>
            </w:r>
          </w:p>
        </w:tc>
      </w:tr>
      <w:tr>
        <w:trPr>
          <w:trHeight w:val="1031" w:hRule="exact"/>
        </w:trPr>
        <w:tc>
          <w:tcPr>
            <w:tcW w:w="1845"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319" w:lineRule="auto" w:before="75"/>
              <w:ind w:left="14" w:right="186"/>
              <w:jc w:val="left"/>
              <w:rPr>
                <w:rFonts w:ascii="宋体" w:hAnsi="宋体" w:cs="宋体" w:eastAsia="宋体" w:hint="default"/>
                <w:sz w:val="18"/>
                <w:szCs w:val="18"/>
              </w:rPr>
            </w:pPr>
            <w:r>
              <w:rPr>
                <w:rFonts w:ascii="宋体" w:hAnsi="宋体" w:cs="宋体" w:eastAsia="宋体" w:hint="default"/>
                <w:sz w:val="18"/>
                <w:szCs w:val="18"/>
              </w:rPr>
              <w:t>（减少以“－”号填 列）</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6,229,853.48</w:t>
            </w: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1" w:right="0"/>
              <w:jc w:val="left"/>
              <w:rPr>
                <w:rFonts w:ascii="宋体" w:hAnsi="宋体" w:cs="宋体" w:eastAsia="宋体" w:hint="default"/>
                <w:sz w:val="18"/>
                <w:szCs w:val="18"/>
              </w:rPr>
            </w:pPr>
            <w:r>
              <w:rPr>
                <w:rFonts w:ascii="宋体"/>
                <w:sz w:val="18"/>
              </w:rPr>
              <w:t>43,068,681.29</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1"/>
              <w:jc w:val="right"/>
              <w:rPr>
                <w:rFonts w:ascii="宋体" w:hAnsi="宋体" w:cs="宋体" w:eastAsia="宋体" w:hint="default"/>
                <w:sz w:val="18"/>
                <w:szCs w:val="18"/>
              </w:rPr>
            </w:pPr>
            <w:r>
              <w:rPr>
                <w:rFonts w:ascii="宋体"/>
                <w:sz w:val="18"/>
              </w:rPr>
              <w:t>49,298,534.77</w:t>
            </w:r>
          </w:p>
        </w:tc>
      </w:tr>
      <w:tr>
        <w:trPr>
          <w:trHeight w:val="407" w:hRule="exact"/>
        </w:trPr>
        <w:tc>
          <w:tcPr>
            <w:tcW w:w="1845"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1" w:right="0"/>
              <w:jc w:val="left"/>
              <w:rPr>
                <w:rFonts w:ascii="宋体" w:hAnsi="宋体" w:cs="宋体" w:eastAsia="宋体" w:hint="default"/>
                <w:sz w:val="18"/>
                <w:szCs w:val="18"/>
              </w:rPr>
            </w:pPr>
            <w:r>
              <w:rPr>
                <w:rFonts w:ascii="宋体"/>
                <w:sz w:val="18"/>
              </w:rPr>
              <w:t>62,298,534.77</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62,298,534.77</w:t>
            </w:r>
          </w:p>
        </w:tc>
      </w:tr>
      <w:tr>
        <w:trPr>
          <w:trHeight w:val="407" w:hRule="exact"/>
        </w:trPr>
        <w:tc>
          <w:tcPr>
            <w:tcW w:w="1845"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845"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6" w:lineRule="auto" w:before="52"/>
              <w:ind w:left="14" w:right="17"/>
              <w:jc w:val="left"/>
              <w:rPr>
                <w:rFonts w:ascii="宋体" w:hAnsi="宋体" w:cs="宋体" w:eastAsia="宋体" w:hint="default"/>
                <w:sz w:val="18"/>
                <w:szCs w:val="18"/>
              </w:rPr>
            </w:pPr>
            <w:r>
              <w:rPr>
                <w:rFonts w:ascii="宋体" w:hAnsi="宋体" w:cs="宋体" w:eastAsia="宋体" w:hint="default"/>
                <w:sz w:val="18"/>
                <w:szCs w:val="18"/>
              </w:rPr>
              <w:t>上述（一）和（二）小 计</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sz w:val="18"/>
              </w:rPr>
              <w:t>62,298,534.77</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62,298,534.77</w:t>
            </w:r>
          </w:p>
        </w:tc>
      </w:tr>
      <w:tr>
        <w:trPr>
          <w:trHeight w:val="719" w:hRule="exact"/>
        </w:trPr>
        <w:tc>
          <w:tcPr>
            <w:tcW w:w="1845"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6" w:lineRule="auto" w:before="52"/>
              <w:ind w:left="14" w:right="18"/>
              <w:jc w:val="left"/>
              <w:rPr>
                <w:rFonts w:ascii="宋体" w:hAnsi="宋体" w:cs="宋体" w:eastAsia="宋体" w:hint="default"/>
                <w:sz w:val="18"/>
                <w:szCs w:val="18"/>
              </w:rPr>
            </w:pPr>
            <w:r>
              <w:rPr>
                <w:rFonts w:ascii="宋体" w:hAnsi="宋体" w:cs="宋体" w:eastAsia="宋体" w:hint="default"/>
                <w:sz w:val="18"/>
                <w:szCs w:val="18"/>
              </w:rPr>
              <w:t>（三）所有者投入和减 少资本</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16" w:hRule="exact"/>
        </w:trPr>
        <w:tc>
          <w:tcPr>
            <w:tcW w:w="1845"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276" w:type="dxa"/>
            <w:tcBorders>
              <w:top w:val="single" w:sz="6" w:space="0" w:color="000000"/>
              <w:left w:val="single" w:sz="6" w:space="0" w:color="000000"/>
              <w:bottom w:val="single" w:sz="12" w:space="0" w:color="000000"/>
              <w:right w:val="single" w:sz="6" w:space="0" w:color="000000"/>
            </w:tcBorders>
          </w:tcPr>
          <w:p>
            <w:pPr/>
          </w:p>
        </w:tc>
        <w:tc>
          <w:tcPr>
            <w:tcW w:w="1429" w:type="dxa"/>
            <w:tcBorders>
              <w:top w:val="single" w:sz="6" w:space="0" w:color="000000"/>
              <w:left w:val="single" w:sz="6" w:space="0" w:color="000000"/>
              <w:bottom w:val="single" w:sz="12" w:space="0" w:color="000000"/>
              <w:right w:val="single" w:sz="6" w:space="0" w:color="000000"/>
            </w:tcBorders>
          </w:tcPr>
          <w:p>
            <w:pPr/>
          </w:p>
        </w:tc>
        <w:tc>
          <w:tcPr>
            <w:tcW w:w="556" w:type="dxa"/>
            <w:tcBorders>
              <w:top w:val="single" w:sz="6" w:space="0" w:color="000000"/>
              <w:left w:val="single" w:sz="6" w:space="0" w:color="000000"/>
              <w:bottom w:val="single" w:sz="12" w:space="0" w:color="000000"/>
              <w:right w:val="single" w:sz="6" w:space="0" w:color="000000"/>
            </w:tcBorders>
          </w:tcPr>
          <w:p>
            <w:pPr/>
          </w:p>
        </w:tc>
        <w:tc>
          <w:tcPr>
            <w:tcW w:w="566"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1003" w:top="1100" w:bottom="1200" w:left="700" w:right="680"/>
        </w:sectPr>
      </w:pPr>
    </w:p>
    <w:p>
      <w:pPr>
        <w:spacing w:line="240" w:lineRule="auto" w:before="6"/>
        <w:rPr>
          <w:rFonts w:ascii="宋体" w:hAnsi="宋体" w:cs="宋体" w:eastAsia="宋体" w:hint="default"/>
          <w:sz w:val="24"/>
          <w:szCs w:val="24"/>
        </w:rPr>
      </w:pPr>
      <w:r>
        <w:rPr/>
        <w:pict>
          <v:shape style="position:absolute;margin-left:92.820602pt;margin-top:190.860001pt;width:105.3pt;height:35.2pt;mso-position-horizontal-relative:page;mso-position-vertical-relative:page;z-index:-65574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（或股东）</w:t>
                  </w:r>
                </w:p>
              </w:txbxContent>
            </v:textbox>
            <w10:wrap type="none"/>
          </v:shape>
        </w:pict>
      </w:r>
    </w:p>
    <w:tbl>
      <w:tblPr>
        <w:tblW w:w="0" w:type="auto"/>
        <w:jc w:val="left"/>
        <w:tblInd w:w="114" w:type="dxa"/>
        <w:tblLayout w:type="fixed"/>
        <w:tblCellMar>
          <w:top w:w="0" w:type="dxa"/>
          <w:left w:w="0" w:type="dxa"/>
          <w:bottom w:w="0" w:type="dxa"/>
          <w:right w:w="0" w:type="dxa"/>
        </w:tblCellMar>
        <w:tblLook w:val="01E0"/>
      </w:tblPr>
      <w:tblGrid>
        <w:gridCol w:w="1844"/>
        <w:gridCol w:w="1276"/>
        <w:gridCol w:w="1429"/>
        <w:gridCol w:w="556"/>
        <w:gridCol w:w="566"/>
        <w:gridCol w:w="1277"/>
        <w:gridCol w:w="425"/>
        <w:gridCol w:w="1417"/>
        <w:gridCol w:w="1417"/>
      </w:tblGrid>
      <w:tr>
        <w:trPr>
          <w:trHeight w:val="727" w:hRule="exact"/>
        </w:trPr>
        <w:tc>
          <w:tcPr>
            <w:tcW w:w="1844"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316" w:lineRule="auto" w:before="51"/>
              <w:ind w:left="13" w:right="96"/>
              <w:jc w:val="left"/>
              <w:rPr>
                <w:rFonts w:ascii="宋体" w:hAnsi="宋体" w:cs="宋体" w:eastAsia="宋体" w:hint="default"/>
                <w:sz w:val="18"/>
                <w:szCs w:val="18"/>
              </w:rPr>
            </w:pPr>
            <w:r>
              <w:rPr>
                <w:rFonts w:ascii="宋体" w:hAnsi="宋体" w:cs="宋体" w:eastAsia="宋体" w:hint="default"/>
                <w:sz w:val="18"/>
                <w:szCs w:val="18"/>
              </w:rPr>
              <w:t>2．股份支付计入所有 者权益的金额</w:t>
            </w:r>
          </w:p>
        </w:tc>
        <w:tc>
          <w:tcPr>
            <w:tcW w:w="1276" w:type="dxa"/>
            <w:tcBorders>
              <w:top w:val="single" w:sz="12" w:space="0" w:color="000000"/>
              <w:left w:val="single" w:sz="6" w:space="0" w:color="000000"/>
              <w:bottom w:val="single" w:sz="6" w:space="0" w:color="000000"/>
              <w:right w:val="single" w:sz="6" w:space="0" w:color="000000"/>
            </w:tcBorders>
          </w:tcPr>
          <w:p>
            <w:pPr/>
          </w:p>
        </w:tc>
        <w:tc>
          <w:tcPr>
            <w:tcW w:w="1429" w:type="dxa"/>
            <w:tcBorders>
              <w:top w:val="single" w:sz="12" w:space="0" w:color="000000"/>
              <w:left w:val="single" w:sz="6" w:space="0" w:color="000000"/>
              <w:bottom w:val="single" w:sz="6" w:space="0" w:color="000000"/>
              <w:right w:val="single" w:sz="6" w:space="0" w:color="000000"/>
            </w:tcBorders>
          </w:tcPr>
          <w:p>
            <w:pPr/>
          </w:p>
        </w:tc>
        <w:tc>
          <w:tcPr>
            <w:tcW w:w="556" w:type="dxa"/>
            <w:tcBorders>
              <w:top w:val="single" w:sz="12" w:space="0" w:color="000000"/>
              <w:left w:val="single" w:sz="6" w:space="0" w:color="000000"/>
              <w:bottom w:val="single" w:sz="6" w:space="0" w:color="000000"/>
              <w:right w:val="single" w:sz="6" w:space="0" w:color="000000"/>
            </w:tcBorders>
          </w:tcPr>
          <w:p>
            <w:pPr/>
          </w:p>
        </w:tc>
        <w:tc>
          <w:tcPr>
            <w:tcW w:w="566" w:type="dxa"/>
            <w:tcBorders>
              <w:top w:val="single" w:sz="12" w:space="0" w:color="000000"/>
              <w:left w:val="single" w:sz="6" w:space="0" w:color="000000"/>
              <w:bottom w:val="single" w:sz="6" w:space="0" w:color="000000"/>
              <w:right w:val="single" w:sz="6" w:space="0" w:color="000000"/>
            </w:tcBorders>
          </w:tcPr>
          <w:p>
            <w:pPr/>
          </w:p>
        </w:tc>
        <w:tc>
          <w:tcPr>
            <w:tcW w:w="1277" w:type="dxa"/>
            <w:tcBorders>
              <w:top w:val="single" w:sz="12" w:space="0" w:color="000000"/>
              <w:left w:val="single" w:sz="6" w:space="0" w:color="000000"/>
              <w:bottom w:val="single" w:sz="6" w:space="0" w:color="000000"/>
              <w:right w:val="single" w:sz="6" w:space="0" w:color="000000"/>
            </w:tcBorders>
          </w:tcPr>
          <w:p>
            <w:pPr/>
          </w:p>
        </w:tc>
        <w:tc>
          <w:tcPr>
            <w:tcW w:w="425" w:type="dxa"/>
            <w:tcBorders>
              <w:top w:val="single" w:sz="12" w:space="0" w:color="000000"/>
              <w:left w:val="single" w:sz="6" w:space="0" w:color="000000"/>
              <w:bottom w:val="single" w:sz="6" w:space="0" w:color="000000"/>
              <w:right w:val="single" w:sz="6" w:space="0" w:color="000000"/>
            </w:tcBorders>
          </w:tcPr>
          <w:p>
            <w:pPr/>
          </w:p>
        </w:tc>
        <w:tc>
          <w:tcPr>
            <w:tcW w:w="1417" w:type="dxa"/>
            <w:tcBorders>
              <w:top w:val="single" w:sz="12" w:space="0" w:color="000000"/>
              <w:left w:val="single" w:sz="6" w:space="0" w:color="000000"/>
              <w:bottom w:val="single" w:sz="6" w:space="0" w:color="000000"/>
              <w:right w:val="single" w:sz="6" w:space="0" w:color="000000"/>
            </w:tcBorders>
          </w:tcPr>
          <w:p>
            <w:pPr/>
          </w:p>
        </w:tc>
        <w:tc>
          <w:tcPr>
            <w:tcW w:w="1417" w:type="dxa"/>
            <w:tcBorders>
              <w:top w:val="single" w:sz="12" w:space="0" w:color="000000"/>
              <w:left w:val="single" w:sz="6" w:space="0" w:color="000000"/>
              <w:bottom w:val="single" w:sz="6" w:space="0" w:color="000000"/>
              <w:right w:val="single" w:sz="12" w:space="0" w:color="000000"/>
            </w:tcBorders>
          </w:tcPr>
          <w:p>
            <w:pP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6,229,853.48</w:t>
            </w: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-19,229,853.48</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-13,000,000.00</w:t>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6,229,853.48</w:t>
            </w: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-6,229,853.48</w:t>
            </w: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844"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6" w:lineRule="auto" w:before="52"/>
              <w:ind w:left="13" w:right="822"/>
              <w:jc w:val="left"/>
              <w:rPr>
                <w:rFonts w:ascii="宋体" w:hAnsi="宋体" w:cs="宋体" w:eastAsia="宋体" w:hint="default"/>
                <w:sz w:val="18"/>
                <w:szCs w:val="18"/>
              </w:rPr>
            </w:pPr>
            <w:r>
              <w:rPr>
                <w:rFonts w:ascii="宋体" w:hAnsi="宋体" w:cs="宋体" w:eastAsia="宋体" w:hint="default"/>
                <w:sz w:val="18"/>
                <w:szCs w:val="18"/>
              </w:rPr>
              <w:t>3．对所有者 的分配</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703" w:lineRule="exact"/>
              <w:ind w:right="-51"/>
              <w:jc w:val="left"/>
              <w:rPr>
                <w:rFonts w:ascii="宋体" w:hAnsi="宋体" w:cs="宋体" w:eastAsia="宋体" w:hint="default"/>
                <w:sz w:val="20"/>
                <w:szCs w:val="20"/>
              </w:rPr>
            </w:pPr>
            <w:r>
              <w:rPr>
                <w:rFonts w:ascii="宋体" w:hAnsi="宋体" w:cs="宋体" w:eastAsia="宋体" w:hint="default"/>
                <w:position w:val="-13"/>
                <w:sz w:val="20"/>
                <w:szCs w:val="20"/>
              </w:rPr>
              <w:pict>
                <v:group style="width:63.1pt;height:35.2pt;mso-position-horizontal-relative:char;mso-position-vertical-relative:line" coordorigin="0,0" coordsize="1262,704">
                  <v:group style="position:absolute;left:0;top:0;width:1262;height:704" coordorigin="0,0" coordsize="1262,704">
                    <v:shape style="position:absolute;left:0;top:0;width:1262;height:704" coordorigin="0,0" coordsize="1262,704" path="m0,703l1261,703,1261,0,0,0,0,703xe" filled="true" fillcolor="#ffffff" stroked="false">
                      <v:path arrowok="t"/>
                      <v:fill type="solid"/>
                    </v:shape>
                  </v:group>
                  <v:group style="position:absolute;left:20;top:156;width:1220;height:392" coordorigin="20,156" coordsize="1220,392">
                    <v:shape style="position:absolute;left:20;top:156;width:1220;height:392" coordorigin="20,156" coordsize="1220,392" path="m20,547l1240,547,1240,156,20,156,20,547xe" filled="true" fillcolor="#ffffff" stroked="false">
                      <v:path arrowok="t"/>
                      <v:fill type="solid"/>
                    </v:shape>
                  </v:group>
                </v:group>
              </w:pict>
            </w:r>
            <w:r>
              <w:rPr>
                <w:rFonts w:ascii="宋体" w:hAnsi="宋体" w:cs="宋体" w:eastAsia="宋体" w:hint="default"/>
                <w:position w:val="-13"/>
                <w:sz w:val="20"/>
                <w:szCs w:val="20"/>
              </w:rPr>
            </w:r>
          </w:p>
        </w:tc>
        <w:tc>
          <w:tcPr>
            <w:tcW w:w="1429"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-13,000,000.00</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-13,000,000.00</w:t>
            </w:r>
          </w:p>
        </w:tc>
      </w:tr>
      <w:tr>
        <w:trPr>
          <w:trHeight w:val="408" w:hRule="exact"/>
        </w:trPr>
        <w:tc>
          <w:tcPr>
            <w:tcW w:w="1844"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844"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6" w:lineRule="auto" w:before="51"/>
              <w:ind w:left="13" w:right="18"/>
              <w:jc w:val="left"/>
              <w:rPr>
                <w:rFonts w:ascii="宋体" w:hAnsi="宋体" w:cs="宋体" w:eastAsia="宋体" w:hint="default"/>
                <w:sz w:val="18"/>
                <w:szCs w:val="18"/>
              </w:rPr>
            </w:pPr>
            <w:r>
              <w:rPr>
                <w:rFonts w:ascii="宋体" w:hAnsi="宋体" w:cs="宋体" w:eastAsia="宋体" w:hint="default"/>
                <w:sz w:val="18"/>
                <w:szCs w:val="18"/>
              </w:rPr>
              <w:t>（五）所有者权益内部 结转</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844"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1．资本公积转增资本</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844"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2．盈余公积转增资本</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844"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844"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69" w:right="0"/>
              <w:jc w:val="left"/>
              <w:rPr>
                <w:rFonts w:ascii="宋体" w:hAnsi="宋体" w:cs="宋体" w:eastAsia="宋体" w:hint="default"/>
                <w:sz w:val="18"/>
                <w:szCs w:val="18"/>
              </w:rPr>
            </w:pPr>
            <w:r>
              <w:rPr>
                <w:rFonts w:ascii="宋体"/>
                <w:sz w:val="18"/>
              </w:rPr>
              <w:t>65,000,000.00</w:t>
            </w:r>
          </w:p>
        </w:tc>
        <w:tc>
          <w:tcPr>
            <w:tcW w:w="14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24" w:right="0"/>
              <w:jc w:val="left"/>
              <w:rPr>
                <w:rFonts w:ascii="宋体" w:hAnsi="宋体" w:cs="宋体" w:eastAsia="宋体" w:hint="default"/>
                <w:sz w:val="18"/>
                <w:szCs w:val="18"/>
              </w:rPr>
            </w:pPr>
            <w:r>
              <w:rPr>
                <w:rFonts w:ascii="宋体"/>
                <w:sz w:val="18"/>
              </w:rPr>
              <w:t>74,242,708.96</w:t>
            </w:r>
          </w:p>
        </w:tc>
        <w:tc>
          <w:tcPr>
            <w:tcW w:w="556" w:type="dxa"/>
            <w:tcBorders>
              <w:top w:val="single" w:sz="6" w:space="0" w:color="000000"/>
              <w:left w:val="single" w:sz="6" w:space="0" w:color="000000"/>
              <w:bottom w:val="single" w:sz="12" w:space="0" w:color="000000"/>
              <w:right w:val="single" w:sz="6" w:space="0" w:color="000000"/>
            </w:tcBorders>
          </w:tcPr>
          <w:p>
            <w:pPr/>
          </w:p>
        </w:tc>
        <w:tc>
          <w:tcPr>
            <w:tcW w:w="566"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11,420,696.55</w:t>
            </w:r>
          </w:p>
        </w:tc>
        <w:tc>
          <w:tcPr>
            <w:tcW w:w="425"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89,786,268.86</w:t>
            </w:r>
          </w:p>
        </w:tc>
        <w:tc>
          <w:tcPr>
            <w:tcW w:w="141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240,449,674.37</w:t>
            </w:r>
          </w:p>
        </w:tc>
      </w:tr>
    </w:tbl>
    <w:p>
      <w:pPr>
        <w:tabs>
          <w:tab w:pos="3833" w:val="left" w:leader="none"/>
          <w:tab w:pos="7973" w:val="left" w:leader="none"/>
        </w:tabs>
        <w:spacing w:before="11"/>
        <w:ind w:left="414" w:right="0" w:firstLine="0"/>
        <w:jc w:val="left"/>
        <w:rPr>
          <w:rFonts w:ascii="宋体" w:hAnsi="宋体" w:cs="宋体" w:eastAsia="宋体" w:hint="default"/>
          <w:sz w:val="18"/>
          <w:szCs w:val="18"/>
        </w:rPr>
      </w:pPr>
      <w:r>
        <w:rPr>
          <w:rFonts w:ascii="宋体" w:hAnsi="宋体" w:cs="宋体" w:eastAsia="宋体" w:hint="default"/>
          <w:sz w:val="18"/>
          <w:szCs w:val="18"/>
        </w:rPr>
        <w:t>法定代表人：龙昌明</w:t>
        <w:tab/>
        <w:t>主管会计工作负责人：戴晓东</w:t>
        <w:tab/>
        <w:t>会计机构负责人：周振娟</w:t>
      </w:r>
    </w:p>
    <w:p>
      <w:pPr>
        <w:spacing w:line="240" w:lineRule="auto" w:before="1"/>
        <w:rPr>
          <w:rFonts w:ascii="宋体" w:hAnsi="宋体" w:cs="宋体" w:eastAsia="宋体" w:hint="default"/>
          <w:sz w:val="25"/>
          <w:szCs w:val="25"/>
        </w:rPr>
      </w:pPr>
    </w:p>
    <w:p>
      <w:pPr>
        <w:pStyle w:val="Heading2"/>
        <w:spacing w:line="240" w:lineRule="auto" w:before="0"/>
        <w:ind w:left="414" w:right="0"/>
        <w:jc w:val="left"/>
        <w:rPr>
          <w:b w:val="0"/>
          <w:bCs w:val="0"/>
        </w:rPr>
      </w:pPr>
      <w:r>
        <w:rPr/>
        <w:t>三、公司基本情况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834" w:right="0" w:hanging="420"/>
        <w:jc w:val="left"/>
      </w:pPr>
      <w:r>
        <w:rPr/>
        <w:t>1.1 公司基本情况 </w:t>
      </w:r>
      <w:r>
        <w:rPr>
          <w:spacing w:val="-1"/>
        </w:rPr>
        <w:t>光一科技股份有限公司（以下简称“本公司”）是由江苏光一科技有限责任公司整体改制成立，持有</w:t>
      </w:r>
    </w:p>
    <w:p>
      <w:pPr>
        <w:pStyle w:val="BodyText"/>
        <w:spacing w:line="273" w:lineRule="auto" w:before="7"/>
        <w:ind w:left="414" w:right="0"/>
        <w:jc w:val="left"/>
      </w:pPr>
      <w:r>
        <w:rPr>
          <w:spacing w:val="13"/>
        </w:rPr>
        <w:t>江苏省南京市工商行政管理局核发的注册号320121000030643号企业法人营业执照，组织机构代码</w:t>
      </w:r>
      <w:r>
        <w:rPr>
          <w:spacing w:val="-63"/>
        </w:rPr>
        <w:t> </w:t>
      </w:r>
      <w:r>
        <w:rPr/>
        <w:t>721750426。</w:t>
      </w:r>
    </w:p>
    <w:p>
      <w:pPr>
        <w:pStyle w:val="BodyText"/>
        <w:spacing w:line="273" w:lineRule="auto" w:before="7"/>
        <w:ind w:left="837" w:right="4606" w:hanging="4"/>
        <w:jc w:val="left"/>
      </w:pPr>
      <w:r>
        <w:rPr/>
        <w:t>公司注册地址：南京市江宁经济技术开发区胜太路88号 企业法人代表：龙昌明</w:t>
      </w:r>
      <w:r>
        <w:rPr>
          <w:color w:val="003300"/>
        </w:rPr>
        <w:t>。</w:t>
      </w:r>
      <w:r>
        <w:rPr>
          <w:color w:val="003300"/>
        </w:rPr>
        <w:t> </w:t>
      </w:r>
      <w:r>
        <w:rPr/>
        <w:t>注册资本：人民币8667万元。</w:t>
      </w:r>
    </w:p>
    <w:p>
      <w:pPr>
        <w:pStyle w:val="BodyText"/>
        <w:spacing w:line="273" w:lineRule="auto" w:before="7"/>
        <w:ind w:left="413" w:right="429" w:firstLine="423"/>
        <w:jc w:val="both"/>
      </w:pPr>
      <w:r>
        <w:rPr>
          <w:spacing w:val="-1"/>
        </w:rPr>
        <w:t>经营范围：电力设备、仪器仪表、计算机软硬件的开发、设计、制造、销售及服务、自动化信息系统</w:t>
      </w:r>
      <w:r>
        <w:rPr/>
        <w:t> </w:t>
      </w:r>
      <w:r>
        <w:rPr>
          <w:spacing w:val="-1"/>
        </w:rPr>
        <w:t>设计、销售、施工及技术咨询服务；电子设备与器件、通信产品（不含地面卫星接收设备）的销售、技术</w:t>
      </w:r>
      <w:r>
        <w:rPr>
          <w:spacing w:val="-85"/>
        </w:rPr>
        <w:t> </w:t>
      </w:r>
      <w:r>
        <w:rPr>
          <w:spacing w:val="-85"/>
        </w:rPr>
      </w:r>
      <w:r>
        <w:rPr/>
        <w:t>咨询和服务；实业投资。</w:t>
      </w:r>
    </w:p>
    <w:p>
      <w:pPr>
        <w:spacing w:line="240" w:lineRule="auto" w:before="6"/>
        <w:rPr>
          <w:rFonts w:ascii="宋体" w:hAnsi="宋体" w:cs="宋体" w:eastAsia="宋体" w:hint="default"/>
          <w:sz w:val="24"/>
          <w:szCs w:val="24"/>
        </w:rPr>
      </w:pPr>
    </w:p>
    <w:p>
      <w:pPr>
        <w:pStyle w:val="BodyText"/>
        <w:spacing w:line="240" w:lineRule="auto"/>
        <w:ind w:left="413" w:right="0"/>
        <w:jc w:val="left"/>
      </w:pPr>
      <w:r>
        <w:rPr/>
        <w:t>1.2 公司历史沿革</w:t>
      </w:r>
    </w:p>
    <w:p>
      <w:pPr>
        <w:pStyle w:val="BodyText"/>
        <w:spacing w:line="240" w:lineRule="auto" w:before="37"/>
        <w:ind w:left="837" w:right="0"/>
        <w:jc w:val="left"/>
      </w:pPr>
      <w:r>
        <w:rPr/>
        <w:t>2000年4月18日龙昌明和丁涛分别出资人民币550万元和450万元成立江苏光一科技有限责任公司。</w:t>
      </w:r>
    </w:p>
    <w:p>
      <w:pPr>
        <w:spacing w:after="0" w:line="240" w:lineRule="auto"/>
        <w:jc w:val="left"/>
        <w:sectPr>
          <w:pgSz w:w="11910" w:h="16840"/>
          <w:pgMar w:header="877" w:footer="1003" w:top="1100" w:bottom="1200" w:left="720" w:right="700"/>
        </w:sectPr>
      </w:pPr>
    </w:p>
    <w:p>
      <w:pPr>
        <w:spacing w:line="240" w:lineRule="auto" w:before="9"/>
        <w:rPr>
          <w:rFonts w:ascii="宋体" w:hAnsi="宋体" w:cs="宋体" w:eastAsia="宋体" w:hint="default"/>
          <w:sz w:val="20"/>
          <w:szCs w:val="20"/>
        </w:rPr>
      </w:pPr>
    </w:p>
    <w:p>
      <w:pPr>
        <w:pStyle w:val="BodyText"/>
        <w:spacing w:line="240" w:lineRule="auto" w:before="35"/>
        <w:ind w:left="577" w:right="196"/>
        <w:jc w:val="left"/>
      </w:pPr>
      <w:r>
        <w:rPr/>
        <w:t>2004年—2009年，经过数次增资及股权转让，公司注册资本增加至4200万元。</w:t>
      </w:r>
    </w:p>
    <w:p>
      <w:pPr>
        <w:pStyle w:val="BodyText"/>
        <w:spacing w:line="273" w:lineRule="auto" w:before="37"/>
        <w:ind w:right="196" w:firstLine="423"/>
        <w:jc w:val="left"/>
      </w:pPr>
      <w:r>
        <w:rPr/>
        <w:t>2009年11月11日，公司出资人召开股东大会，同意按江苏光一科技有限责任公司2009年9月30日审计 后的净资产折股，整体变更设立股份有限公司，股本总额为5000万元。</w:t>
      </w:r>
    </w:p>
    <w:p>
      <w:pPr>
        <w:pStyle w:val="BodyText"/>
        <w:spacing w:line="240" w:lineRule="auto" w:before="7"/>
        <w:ind w:left="577" w:right="196"/>
        <w:jc w:val="left"/>
      </w:pPr>
      <w:r>
        <w:rPr/>
        <w:t>2009年及2010年公司两次增资扩股，股本增加至6500万元。</w:t>
      </w:r>
    </w:p>
    <w:p>
      <w:pPr>
        <w:pStyle w:val="BodyText"/>
        <w:spacing w:line="273" w:lineRule="auto" w:before="37"/>
        <w:ind w:right="290" w:firstLine="423"/>
        <w:jc w:val="both"/>
      </w:pPr>
      <w:r>
        <w:rPr/>
        <w:t>2012年7月25日中国证券监督管理委员会核准光一科技股份有限公司首次公开发行股票并在创业板上 </w:t>
      </w:r>
      <w:r>
        <w:rPr>
          <w:spacing w:val="-1"/>
        </w:rPr>
        <w:t>市（证监许可[2012]980号），公司向社会公开发行人民币普通股2,167万股（每股面值1元），并于2012</w:t>
      </w:r>
      <w:r>
        <w:rPr>
          <w:spacing w:val="-86"/>
        </w:rPr>
        <w:t> </w:t>
      </w:r>
      <w:r>
        <w:rPr>
          <w:spacing w:val="-86"/>
        </w:rPr>
      </w:r>
      <w:r>
        <w:rPr/>
        <w:t>年10月9日在深圳交易所挂牌交易。变更后的注册资本为人民币8667万元。</w:t>
      </w:r>
    </w:p>
    <w:p>
      <w:pPr>
        <w:spacing w:line="240" w:lineRule="auto" w:before="6"/>
        <w:rPr>
          <w:rFonts w:ascii="宋体" w:hAnsi="宋体" w:cs="宋体" w:eastAsia="宋体" w:hint="default"/>
          <w:sz w:val="24"/>
          <w:szCs w:val="24"/>
        </w:rPr>
      </w:pPr>
    </w:p>
    <w:p>
      <w:pPr>
        <w:pStyle w:val="BodyText"/>
        <w:spacing w:line="273" w:lineRule="auto"/>
        <w:ind w:left="577" w:right="196" w:hanging="338"/>
        <w:jc w:val="left"/>
      </w:pPr>
      <w:r>
        <w:rPr/>
        <w:t>1.3公司基本组织架构</w:t>
      </w:r>
      <w:r>
        <w:rPr>
          <w:spacing w:val="-88"/>
        </w:rPr>
        <w:t> </w:t>
      </w:r>
      <w:r>
        <w:rPr>
          <w:spacing w:val="-88"/>
        </w:rPr>
      </w:r>
      <w:r>
        <w:rPr>
          <w:spacing w:val="-1"/>
        </w:rPr>
        <w:t>本公司按照公司法的要求及公司实际情况设立组织机构：公司最高权力机构为股东大会，由全体股东</w:t>
      </w:r>
    </w:p>
    <w:p>
      <w:pPr>
        <w:pStyle w:val="BodyText"/>
        <w:spacing w:line="273" w:lineRule="auto" w:before="7"/>
        <w:ind w:right="313" w:firstLine="86"/>
        <w:jc w:val="both"/>
      </w:pPr>
      <w:r>
        <w:rPr/>
        <w:t>组成，下设董事会、监事会。总经理在董事会授权下工作，负责公司的日常经营管理工作，监事会是公 司的内部监督机构。公司的管理机构设有行政综合部、总经办、人力资源部、制造中心、营销中心、研 发中心、基建部、工程部、技术支持部、财务部、发展研究院、证券部、审计部等职能部门。</w:t>
      </w:r>
    </w:p>
    <w:p>
      <w:pPr>
        <w:spacing w:line="240" w:lineRule="auto" w:before="11"/>
        <w:rPr>
          <w:rFonts w:ascii="宋体" w:hAnsi="宋体" w:cs="宋体" w:eastAsia="宋体" w:hint="default"/>
          <w:sz w:val="21"/>
          <w:szCs w:val="21"/>
        </w:rPr>
      </w:pPr>
    </w:p>
    <w:p>
      <w:pPr>
        <w:pStyle w:val="Heading2"/>
        <w:spacing w:line="240" w:lineRule="auto" w:before="0"/>
        <w:ind w:right="196"/>
        <w:jc w:val="left"/>
        <w:rPr>
          <w:b w:val="0"/>
          <w:bCs w:val="0"/>
        </w:rPr>
      </w:pPr>
      <w:r>
        <w:rPr/>
        <w:t>四、公司主要会计政策、会计估计和前期差错</w:t>
      </w:r>
      <w:r>
        <w:rPr>
          <w:b w:val="0"/>
          <w:bCs w:val="0"/>
        </w:rPr>
      </w:r>
    </w:p>
    <w:p>
      <w:pPr>
        <w:spacing w:line="612" w:lineRule="exact" w:before="78"/>
        <w:ind w:left="574" w:right="196" w:hanging="420"/>
        <w:jc w:val="left"/>
        <w:rPr>
          <w:rFonts w:ascii="宋体" w:hAnsi="宋体" w:cs="宋体" w:eastAsia="宋体" w:hint="default"/>
          <w:sz w:val="21"/>
          <w:szCs w:val="21"/>
        </w:rPr>
      </w:pPr>
      <w:r>
        <w:rPr>
          <w:rFonts w:ascii="宋体" w:hAnsi="宋体" w:cs="宋体" w:eastAsia="宋体" w:hint="default"/>
          <w:b/>
          <w:bCs/>
          <w:sz w:val="21"/>
          <w:szCs w:val="21"/>
        </w:rPr>
        <w:t>1、财务报表的编制基础</w:t>
      </w:r>
      <w:r>
        <w:rPr>
          <w:rFonts w:ascii="宋体" w:hAnsi="宋体" w:cs="宋体" w:eastAsia="宋体" w:hint="default"/>
          <w:b/>
          <w:bCs/>
          <w:w w:val="99"/>
          <w:sz w:val="21"/>
          <w:szCs w:val="21"/>
        </w:rPr>
        <w:t> </w:t>
      </w:r>
      <w:r>
        <w:rPr>
          <w:rFonts w:ascii="宋体" w:hAnsi="宋体" w:cs="宋体" w:eastAsia="宋体" w:hint="default"/>
          <w:spacing w:val="-1"/>
          <w:sz w:val="21"/>
          <w:szCs w:val="21"/>
        </w:rPr>
        <w:t>本公司以持续经营为基础，根据实际发生的交易和事项，按照《企业会计准则—基本准则》和其他各</w:t>
      </w:r>
    </w:p>
    <w:p>
      <w:pPr>
        <w:pStyle w:val="BodyText"/>
        <w:spacing w:line="219" w:lineRule="exact"/>
        <w:ind w:right="196"/>
        <w:jc w:val="left"/>
      </w:pPr>
      <w:r>
        <w:rPr/>
        <w:t>项会计准则的规定进行确认和计量，在此基础上编制财务报表。</w:t>
      </w:r>
    </w:p>
    <w:p>
      <w:pPr>
        <w:spacing w:line="610" w:lineRule="atLeast" w:before="3"/>
        <w:ind w:left="577" w:right="196" w:hanging="424"/>
        <w:jc w:val="left"/>
        <w:rPr>
          <w:rFonts w:ascii="宋体" w:hAnsi="宋体" w:cs="宋体" w:eastAsia="宋体" w:hint="default"/>
          <w:sz w:val="21"/>
          <w:szCs w:val="21"/>
        </w:rPr>
      </w:pPr>
      <w:r>
        <w:rPr>
          <w:rFonts w:ascii="宋体" w:hAnsi="宋体" w:cs="宋体" w:eastAsia="宋体" w:hint="default"/>
          <w:b/>
          <w:bCs/>
          <w:sz w:val="21"/>
          <w:szCs w:val="21"/>
        </w:rPr>
        <w:t>2、遵循企业会计准则的声明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本公司所编制的财务报表符合企业会计准则的要求，真实、完整地反映了本公司的财务状况、经营成</w:t>
      </w:r>
    </w:p>
    <w:p>
      <w:pPr>
        <w:pStyle w:val="BodyText"/>
        <w:spacing w:line="535" w:lineRule="auto" w:before="37"/>
        <w:ind w:left="153" w:right="196"/>
        <w:jc w:val="left"/>
        <w:rPr>
          <w:rFonts w:ascii="宋体" w:hAnsi="宋体" w:cs="宋体" w:eastAsia="宋体" w:hint="default"/>
        </w:rPr>
      </w:pPr>
      <w:r>
        <w:rPr>
          <w:spacing w:val="-5"/>
        </w:rPr>
        <w:t>果、股东权益变动和现金流量等有关信息，本公司管理层对财务报表的真实性、合法性和完整性承担责任。</w:t>
      </w:r>
      <w:r>
        <w:rPr>
          <w:spacing w:val="-101"/>
        </w:rPr>
        <w:t> </w:t>
      </w:r>
      <w:r>
        <w:rPr>
          <w:spacing w:val="-101"/>
        </w:rPr>
      </w:r>
      <w:r>
        <w:rPr>
          <w:rFonts w:ascii="宋体" w:hAnsi="宋体" w:cs="宋体" w:eastAsia="宋体" w:hint="default"/>
          <w:b/>
          <w:bCs/>
        </w:rPr>
        <w:t>3、会计期间</w:t>
      </w:r>
      <w:r>
        <w:rPr>
          <w:rFonts w:ascii="宋体" w:hAnsi="宋体" w:cs="宋体" w:eastAsia="宋体" w:hint="default"/>
        </w:rPr>
      </w:r>
    </w:p>
    <w:p>
      <w:pPr>
        <w:pStyle w:val="BodyText"/>
        <w:spacing w:line="535" w:lineRule="auto" w:before="79"/>
        <w:ind w:left="153" w:right="3741" w:firstLine="420"/>
        <w:jc w:val="left"/>
        <w:rPr>
          <w:rFonts w:ascii="宋体" w:hAnsi="宋体" w:cs="宋体" w:eastAsia="宋体" w:hint="default"/>
        </w:rPr>
      </w:pPr>
      <w:r>
        <w:rPr/>
        <w:t>采用公历年度，即从每年1月1日至12月31日为一个会计年度。 </w:t>
      </w:r>
      <w:r>
        <w:rPr>
          <w:rFonts w:ascii="宋体" w:hAnsi="宋体" w:cs="宋体" w:eastAsia="宋体" w:hint="default"/>
          <w:b/>
          <w:bCs/>
        </w:rPr>
        <w:t>4、记账本位币</w:t>
      </w:r>
      <w:r>
        <w:rPr>
          <w:rFonts w:ascii="宋体" w:hAnsi="宋体" w:cs="宋体" w:eastAsia="宋体" w:hint="default"/>
        </w:rPr>
      </w:r>
    </w:p>
    <w:p>
      <w:pPr>
        <w:spacing w:line="535" w:lineRule="auto" w:before="79"/>
        <w:ind w:left="153" w:right="4665" w:firstLine="420"/>
        <w:jc w:val="left"/>
        <w:rPr>
          <w:rFonts w:ascii="宋体" w:hAnsi="宋体" w:cs="宋体" w:eastAsia="宋体" w:hint="default"/>
          <w:sz w:val="21"/>
          <w:szCs w:val="21"/>
        </w:rPr>
      </w:pPr>
      <w:r>
        <w:rPr>
          <w:rFonts w:ascii="宋体" w:hAnsi="宋体" w:cs="宋体" w:eastAsia="宋体" w:hint="default"/>
          <w:sz w:val="21"/>
          <w:szCs w:val="21"/>
        </w:rPr>
        <w:t>记账本位币为人民币 </w:t>
      </w:r>
      <w:r>
        <w:rPr>
          <w:rFonts w:ascii="宋体" w:hAnsi="宋体" w:cs="宋体" w:eastAsia="宋体" w:hint="default"/>
          <w:b/>
          <w:bCs/>
          <w:sz w:val="21"/>
          <w:szCs w:val="21"/>
        </w:rPr>
        <w:t>5、同一控制下和非同一控制下企业合并的会计处理方法</w:t>
      </w:r>
      <w:r>
        <w:rPr>
          <w:rFonts w:ascii="宋体" w:hAnsi="宋体" w:cs="宋体" w:eastAsia="宋体" w:hint="default"/>
          <w:sz w:val="21"/>
          <w:szCs w:val="21"/>
        </w:rPr>
      </w:r>
    </w:p>
    <w:p>
      <w:pPr>
        <w:pStyle w:val="Heading4"/>
        <w:spacing w:line="240" w:lineRule="auto" w:before="80"/>
        <w:ind w:left="153" w:right="196"/>
        <w:jc w:val="left"/>
        <w:rPr>
          <w:b w:val="0"/>
          <w:bCs w:val="0"/>
        </w:rPr>
      </w:pPr>
      <w:r>
        <w:rPr/>
        <w:t>（1）同一控制下企业合并</w:t>
      </w:r>
      <w:r>
        <w:rPr>
          <w:b w:val="0"/>
          <w:bCs w:val="0"/>
        </w:rPr>
      </w:r>
    </w:p>
    <w:p>
      <w:pPr>
        <w:spacing w:line="240" w:lineRule="auto" w:before="11"/>
        <w:rPr>
          <w:rFonts w:ascii="宋体" w:hAnsi="宋体" w:cs="宋体" w:eastAsia="宋体" w:hint="default"/>
          <w:b/>
          <w:bCs/>
          <w:sz w:val="25"/>
          <w:szCs w:val="25"/>
        </w:rPr>
      </w:pPr>
    </w:p>
    <w:p>
      <w:pPr>
        <w:pStyle w:val="BodyText"/>
        <w:spacing w:line="273" w:lineRule="auto"/>
        <w:ind w:left="153" w:right="196" w:firstLine="420"/>
        <w:jc w:val="left"/>
      </w:pPr>
      <w:r>
        <w:rPr>
          <w:spacing w:val="-1"/>
        </w:rPr>
        <w:t>参与合并的企业在合并前后均受同一方或相同的多方最终控制且该控制并非暂时性的，认定为同一控</w:t>
      </w:r>
      <w:r>
        <w:rPr/>
        <w:t> 制下的企业合并。</w:t>
      </w:r>
    </w:p>
    <w:p>
      <w:pPr>
        <w:pStyle w:val="BodyText"/>
        <w:spacing w:line="273" w:lineRule="auto" w:before="7"/>
        <w:ind w:left="153" w:right="102" w:firstLine="420"/>
        <w:jc w:val="left"/>
      </w:pPr>
      <w:r>
        <w:rPr/>
        <w:t>合并方以支付现金、转让非现金资产或承担债务方式作为合并对价的，在合并日按照取得被合并方所 有者权益账面价值的份额作为长期股权投资的初始投资成本。长期股权投资初始投资成本与支付的现金、</w:t>
      </w:r>
      <w:r>
        <w:rPr>
          <w:spacing w:val="-36"/>
        </w:rPr>
        <w:t> </w:t>
      </w:r>
      <w:r>
        <w:rPr>
          <w:spacing w:val="-36"/>
        </w:rPr>
      </w:r>
      <w:r>
        <w:rPr/>
        <w:t>转让的非现金资产以及所承担债务账面价值之间的差额，调整资本公积；资本公积不足冲减的，调整留存</w:t>
      </w:r>
      <w:r>
        <w:rPr/>
        <w:t> 收益。</w:t>
      </w:r>
    </w:p>
    <w:p>
      <w:pPr>
        <w:pStyle w:val="BodyText"/>
        <w:spacing w:line="240" w:lineRule="auto" w:before="6"/>
        <w:ind w:left="574" w:right="196"/>
        <w:jc w:val="left"/>
      </w:pPr>
      <w:r>
        <w:rPr/>
        <w:t>为进行企业合并发生的各项直接相关费用于发生时计入当期损益。</w:t>
      </w:r>
    </w:p>
    <w:p>
      <w:pPr>
        <w:spacing w:after="0" w:line="240" w:lineRule="auto"/>
        <w:jc w:val="left"/>
        <w:sectPr>
          <w:pgSz w:w="11910" w:h="16840"/>
          <w:pgMar w:header="877" w:footer="1003" w:top="1100" w:bottom="1200" w:left="980" w:right="920"/>
        </w:sectPr>
      </w:pPr>
    </w:p>
    <w:p>
      <w:pPr>
        <w:spacing w:line="240" w:lineRule="auto" w:before="10"/>
        <w:rPr>
          <w:rFonts w:ascii="宋体" w:hAnsi="宋体" w:cs="宋体" w:eastAsia="宋体" w:hint="default"/>
          <w:sz w:val="20"/>
          <w:szCs w:val="20"/>
        </w:rPr>
      </w:pPr>
    </w:p>
    <w:p>
      <w:pPr>
        <w:pStyle w:val="Heading4"/>
        <w:spacing w:line="240" w:lineRule="auto" w:before="35"/>
        <w:ind w:right="0"/>
        <w:jc w:val="both"/>
        <w:rPr>
          <w:b w:val="0"/>
          <w:bCs w:val="0"/>
        </w:rPr>
      </w:pPr>
      <w:r>
        <w:rPr/>
        <w:t>（2）非同一控制下的企业合并</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left="574" w:right="102" w:firstLine="5"/>
        <w:jc w:val="left"/>
      </w:pPr>
      <w:r>
        <w:rPr/>
        <w:t>参与合并的各方在合并前后不受同一方或相同的多方最终控制的，认定为非同一控制下的企业合并。</w:t>
      </w:r>
      <w:r>
        <w:rPr>
          <w:spacing w:val="-46"/>
        </w:rPr>
        <w:t> </w:t>
      </w:r>
      <w:r>
        <w:rPr>
          <w:spacing w:val="-46"/>
        </w:rPr>
      </w:r>
      <w:r>
        <w:rPr/>
        <w:t>购买方通过一次交换交易实现的企业合并，合并成本为购买方在购买日为取得对被购买方的控制权而</w:t>
      </w:r>
    </w:p>
    <w:p>
      <w:pPr>
        <w:pStyle w:val="BodyText"/>
        <w:spacing w:line="273" w:lineRule="auto" w:before="7"/>
        <w:ind w:right="209"/>
        <w:jc w:val="both"/>
      </w:pPr>
      <w:r>
        <w:rPr>
          <w:spacing w:val="-1"/>
        </w:rPr>
        <w:t>付出的资产、发生或承担的负债以及发行的权益性证券的公允价值。通过多次交换交易分步实现的企业合</w:t>
      </w:r>
      <w:r>
        <w:rPr>
          <w:spacing w:val="-81"/>
        </w:rPr>
        <w:t> </w:t>
      </w:r>
      <w:r>
        <w:rPr>
          <w:spacing w:val="-81"/>
        </w:rPr>
      </w:r>
      <w:r>
        <w:rPr>
          <w:spacing w:val="-1"/>
        </w:rPr>
        <w:t>并，合并成本为每一单项交易成本之和。购买方为企业合并发生的审计、法律服务、评估咨询等中介费用</w:t>
      </w:r>
      <w:r>
        <w:rPr>
          <w:spacing w:val="-82"/>
        </w:rPr>
        <w:t> </w:t>
      </w:r>
      <w:r>
        <w:rPr>
          <w:spacing w:val="-82"/>
        </w:rPr>
      </w:r>
      <w:r>
        <w:rPr>
          <w:spacing w:val="-1"/>
        </w:rPr>
        <w:t>以及其他相关管理费用，于发生时计入当期损益；购买方作为合并对价发行的权益性证券或债务性证券的</w:t>
      </w:r>
      <w:r>
        <w:rPr>
          <w:spacing w:val="-81"/>
        </w:rPr>
        <w:t> </w:t>
      </w:r>
      <w:r>
        <w:rPr>
          <w:spacing w:val="-81"/>
        </w:rPr>
      </w:r>
      <w:r>
        <w:rPr/>
        <w:t>交易费用，计入权益性证券或债务性证券的初始确认金额。</w:t>
      </w:r>
    </w:p>
    <w:p>
      <w:pPr>
        <w:pStyle w:val="BodyText"/>
        <w:spacing w:line="273" w:lineRule="auto" w:before="7"/>
        <w:ind w:right="209" w:firstLine="420"/>
        <w:jc w:val="both"/>
      </w:pPr>
      <w:r>
        <w:rPr>
          <w:spacing w:val="-1"/>
        </w:rPr>
        <w:t>购买方的合并成本和购买方在合并中取得的可辨认净资产按购买日的公允价值计量。合并成本大于合</w:t>
      </w:r>
      <w:r>
        <w:rPr/>
        <w:t> </w:t>
      </w:r>
      <w:r>
        <w:rPr>
          <w:spacing w:val="-1"/>
        </w:rPr>
        <w:t>并中取得的被购买方于购买日可辨认净资产公允价值份额的差额，确认为商誉；合并成本小于合并中取得</w:t>
      </w:r>
      <w:r>
        <w:rPr>
          <w:spacing w:val="-81"/>
        </w:rPr>
        <w:t> </w:t>
      </w:r>
      <w:r>
        <w:rPr>
          <w:spacing w:val="-81"/>
        </w:rPr>
      </w:r>
      <w:r>
        <w:rPr/>
        <w:t>的被购买方可辨认净资产公允价值份额的差额，计入当期损益。</w:t>
      </w:r>
    </w:p>
    <w:p>
      <w:pPr>
        <w:spacing w:line="240" w:lineRule="auto" w:before="8"/>
        <w:rPr>
          <w:rFonts w:ascii="宋体" w:hAnsi="宋体" w:cs="宋体" w:eastAsia="宋体" w:hint="default"/>
          <w:sz w:val="23"/>
          <w:szCs w:val="23"/>
        </w:rPr>
      </w:pPr>
    </w:p>
    <w:p>
      <w:pPr>
        <w:pStyle w:val="Heading4"/>
        <w:spacing w:line="240" w:lineRule="auto"/>
        <w:ind w:right="0"/>
        <w:jc w:val="both"/>
        <w:rPr>
          <w:b w:val="0"/>
          <w:bCs w:val="0"/>
        </w:rPr>
      </w:pPr>
      <w:r>
        <w:rPr/>
        <w:t>6、合并财务报表的编制方法</w:t>
      </w:r>
      <w:r>
        <w:rPr>
          <w:b w:val="0"/>
          <w:bCs w:val="0"/>
        </w:rPr>
      </w:r>
    </w:p>
    <w:p>
      <w:pPr>
        <w:spacing w:line="610" w:lineRule="atLeast" w:before="3"/>
        <w:ind w:left="574" w:right="196" w:hanging="421"/>
        <w:jc w:val="left"/>
        <w:rPr>
          <w:rFonts w:ascii="宋体" w:hAnsi="宋体" w:cs="宋体" w:eastAsia="宋体" w:hint="default"/>
          <w:sz w:val="21"/>
          <w:szCs w:val="21"/>
        </w:rPr>
      </w:pPr>
      <w:r>
        <w:rPr>
          <w:rFonts w:ascii="宋体" w:hAnsi="宋体" w:cs="宋体" w:eastAsia="宋体" w:hint="default"/>
          <w:b/>
          <w:bCs/>
          <w:sz w:val="21"/>
          <w:szCs w:val="21"/>
        </w:rPr>
        <w:t>（1）合并财务报表的编制方法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合并财务报表的合并范围以控制为基础予以确定。合并财务报表以本公司和纳入合并财务报表范围的</w:t>
      </w:r>
    </w:p>
    <w:p>
      <w:pPr>
        <w:pStyle w:val="BodyText"/>
        <w:spacing w:line="273" w:lineRule="auto" w:before="37"/>
        <w:ind w:right="209"/>
        <w:jc w:val="both"/>
      </w:pPr>
      <w:r>
        <w:rPr>
          <w:spacing w:val="-1"/>
        </w:rPr>
        <w:t>各子公司的财务报表及其他有关资料为合并依据，按照权益法调整对子公司的长期股权投资，将本公司和</w:t>
      </w:r>
      <w:r>
        <w:rPr>
          <w:spacing w:val="-81"/>
        </w:rPr>
        <w:t> </w:t>
      </w:r>
      <w:r>
        <w:rPr>
          <w:spacing w:val="-81"/>
        </w:rPr>
      </w:r>
      <w:r>
        <w:rPr>
          <w:spacing w:val="-1"/>
        </w:rPr>
        <w:t>纳入合并财务报表范围的各子公司之间的投资、交易及往来等全部抵销，并计算少数股东损益及少数股东</w:t>
      </w:r>
      <w:r>
        <w:rPr>
          <w:spacing w:val="-81"/>
        </w:rPr>
        <w:t> </w:t>
      </w:r>
      <w:r>
        <w:rPr>
          <w:spacing w:val="-81"/>
        </w:rPr>
      </w:r>
      <w:r>
        <w:rPr/>
        <w:t>权益后合并编制而成。</w:t>
      </w:r>
    </w:p>
    <w:p>
      <w:pPr>
        <w:spacing w:line="240" w:lineRule="auto" w:before="6"/>
        <w:rPr>
          <w:rFonts w:ascii="宋体" w:hAnsi="宋体" w:cs="宋体" w:eastAsia="宋体" w:hint="default"/>
          <w:sz w:val="24"/>
          <w:szCs w:val="24"/>
        </w:rPr>
      </w:pPr>
    </w:p>
    <w:p>
      <w:pPr>
        <w:pStyle w:val="BodyText"/>
        <w:spacing w:line="273" w:lineRule="auto"/>
        <w:ind w:right="211" w:firstLine="420"/>
        <w:jc w:val="both"/>
      </w:pPr>
      <w:r>
        <w:rPr>
          <w:spacing w:val="-1"/>
        </w:rPr>
        <w:t>对于同一控制下企业合并取得的子公司，视同该企业合并于合并当期的期初已经发生，从合并当期的</w:t>
      </w:r>
      <w:r>
        <w:rPr/>
        <w:t> </w:t>
      </w:r>
      <w:r>
        <w:rPr>
          <w:spacing w:val="-1"/>
        </w:rPr>
        <w:t>期初起将其资产、负债、经营成果和现金流量纳入合并财务报表。公司间所有重大往来余额、交易及未实</w:t>
      </w:r>
      <w:r>
        <w:rPr>
          <w:spacing w:val="-82"/>
        </w:rPr>
        <w:t> </w:t>
      </w:r>
      <w:r>
        <w:rPr>
          <w:spacing w:val="-82"/>
        </w:rPr>
      </w:r>
      <w:r>
        <w:rPr>
          <w:spacing w:val="-1"/>
        </w:rPr>
        <w:t>现利润在合并财务报表编制时予以抵销。子公司的股东权益中不属于公司所拥有的部分作为少数股东权益</w:t>
      </w:r>
      <w:r>
        <w:rPr>
          <w:spacing w:val="-81"/>
        </w:rPr>
        <w:t> </w:t>
      </w:r>
      <w:r>
        <w:rPr>
          <w:spacing w:val="-81"/>
        </w:rPr>
      </w:r>
      <w:r>
        <w:rPr>
          <w:spacing w:val="-1"/>
        </w:rPr>
        <w:t>在合并资产负债表中股东权益项下单独列示；子公司净利润中不属于公司所拥有的部分作为少数股东损益</w:t>
      </w:r>
      <w:r>
        <w:rPr>
          <w:spacing w:val="-81"/>
        </w:rPr>
        <w:t> </w:t>
      </w:r>
      <w:r>
        <w:rPr>
          <w:spacing w:val="-81"/>
        </w:rPr>
      </w:r>
      <w:r>
        <w:rPr/>
        <w:t>在合并利润表中净利润项下单独列示。</w:t>
      </w:r>
    </w:p>
    <w:p>
      <w:pPr>
        <w:spacing w:line="240" w:lineRule="auto" w:before="6"/>
        <w:rPr>
          <w:rFonts w:ascii="宋体" w:hAnsi="宋体" w:cs="宋体" w:eastAsia="宋体" w:hint="default"/>
          <w:sz w:val="24"/>
          <w:szCs w:val="24"/>
        </w:rPr>
      </w:pPr>
    </w:p>
    <w:p>
      <w:pPr>
        <w:pStyle w:val="BodyText"/>
        <w:spacing w:line="273" w:lineRule="auto"/>
        <w:ind w:right="210" w:firstLine="420"/>
        <w:jc w:val="both"/>
      </w:pPr>
      <w:r>
        <w:rPr>
          <w:spacing w:val="-1"/>
        </w:rPr>
        <w:t>子公司与本公司采用的会计政策或会计期间不一致的，在编制合并财务报表时，按照本公司的会计政</w:t>
      </w:r>
      <w:r>
        <w:rPr/>
        <w:t> 策或会计期间对子公司财务报表进行必要的调整。</w:t>
      </w:r>
    </w:p>
    <w:p>
      <w:pPr>
        <w:spacing w:line="240" w:lineRule="auto" w:before="6"/>
        <w:rPr>
          <w:rFonts w:ascii="宋体" w:hAnsi="宋体" w:cs="宋体" w:eastAsia="宋体" w:hint="default"/>
          <w:sz w:val="24"/>
          <w:szCs w:val="24"/>
        </w:rPr>
      </w:pPr>
    </w:p>
    <w:p>
      <w:pPr>
        <w:pStyle w:val="BodyText"/>
        <w:spacing w:line="273" w:lineRule="auto"/>
        <w:ind w:left="153" w:right="102" w:firstLine="420"/>
        <w:jc w:val="left"/>
      </w:pPr>
      <w:r>
        <w:rPr/>
        <w:t>对于因非同一控制下企业合并取得的子公司，在编制合并财务报表时，以购买日可辨认净资产公允价 </w:t>
      </w:r>
      <w:r>
        <w:rPr>
          <w:spacing w:val="-3"/>
        </w:rPr>
        <w:t>值为基础对其个别财务报表进行调整；对于因同一控制下企业合并取得的子公司，在编制合并财务报表时，</w:t>
      </w:r>
      <w:r>
        <w:rPr>
          <w:spacing w:val="-92"/>
        </w:rPr>
        <w:t> </w:t>
      </w:r>
      <w:r>
        <w:rPr>
          <w:spacing w:val="-92"/>
        </w:rPr>
      </w:r>
      <w:r>
        <w:rPr/>
        <w:t>视同该企业合并于报告期最早期间的期初已经发生，从报告期最早期间的期初起将其资产、负债、经营成</w:t>
      </w:r>
      <w:r>
        <w:rPr/>
        <w:t> 果和现金流量纳入合并财务报表，且其合并日前实现的净利润在合并利润表中单列项目反映。</w:t>
      </w:r>
    </w:p>
    <w:p>
      <w:pPr>
        <w:spacing w:line="240" w:lineRule="auto" w:before="8"/>
        <w:rPr>
          <w:rFonts w:ascii="宋体" w:hAnsi="宋体" w:cs="宋体" w:eastAsia="宋体" w:hint="default"/>
          <w:sz w:val="23"/>
          <w:szCs w:val="23"/>
        </w:rPr>
      </w:pPr>
    </w:p>
    <w:p>
      <w:pPr>
        <w:pStyle w:val="Heading4"/>
        <w:spacing w:line="240" w:lineRule="auto"/>
        <w:ind w:left="153" w:right="0"/>
        <w:jc w:val="both"/>
        <w:rPr>
          <w:b w:val="0"/>
          <w:bCs w:val="0"/>
        </w:rPr>
      </w:pPr>
      <w:r>
        <w:rPr/>
        <w:t>（2）对同一子公司的股权在连续两个会计年度买入再卖出，或卖出再买入的应披露相关的会计处理方法</w:t>
      </w:r>
      <w:r>
        <w:rPr>
          <w:b w:val="0"/>
          <w:bCs w:val="0"/>
        </w:rPr>
      </w:r>
    </w:p>
    <w:p>
      <w:pPr>
        <w:spacing w:line="240" w:lineRule="auto" w:before="11"/>
        <w:rPr>
          <w:rFonts w:ascii="宋体" w:hAnsi="宋体" w:cs="宋体" w:eastAsia="宋体" w:hint="default"/>
          <w:b/>
          <w:bCs/>
          <w:sz w:val="25"/>
          <w:szCs w:val="25"/>
        </w:rPr>
      </w:pPr>
    </w:p>
    <w:p>
      <w:pPr>
        <w:tabs>
          <w:tab w:pos="994" w:val="left" w:leader="none"/>
        </w:tabs>
        <w:spacing w:line="535" w:lineRule="auto" w:before="0"/>
        <w:ind w:left="154" w:right="6789" w:firstLine="0"/>
        <w:jc w:val="left"/>
        <w:rPr>
          <w:rFonts w:ascii="宋体" w:hAnsi="宋体" w:cs="宋体" w:eastAsia="宋体" w:hint="default"/>
          <w:sz w:val="21"/>
          <w:szCs w:val="21"/>
        </w:rPr>
      </w:pPr>
      <w:r>
        <w:rPr>
          <w:rFonts w:ascii="宋体" w:hAnsi="宋体" w:cs="宋体" w:eastAsia="宋体" w:hint="default"/>
          <w:sz w:val="21"/>
          <w:szCs w:val="21"/>
        </w:rPr>
        <w:t>□适用</w:t>
        <w:tab/>
        <w:t>√不适用 </w:t>
      </w:r>
      <w:r>
        <w:rPr>
          <w:rFonts w:ascii="宋体" w:hAnsi="宋体" w:cs="宋体" w:eastAsia="宋体" w:hint="default"/>
          <w:b/>
          <w:bCs/>
          <w:sz w:val="21"/>
          <w:szCs w:val="21"/>
        </w:rPr>
        <w:t>7、现金及现金等价物的确定标准</w:t>
      </w:r>
      <w:r>
        <w:rPr>
          <w:rFonts w:ascii="宋体" w:hAnsi="宋体" w:cs="宋体" w:eastAsia="宋体" w:hint="default"/>
          <w:sz w:val="21"/>
          <w:szCs w:val="21"/>
        </w:rPr>
      </w:r>
    </w:p>
    <w:p>
      <w:pPr>
        <w:pStyle w:val="BodyText"/>
        <w:spacing w:line="273" w:lineRule="auto" w:before="79"/>
        <w:ind w:right="102" w:firstLine="425"/>
        <w:jc w:val="left"/>
      </w:pPr>
      <w:r>
        <w:rPr/>
        <w:t>列示于现金流量表中的现金是指库存现金及可随时用于支付的存款，现金等价物是指持有的期限短、</w:t>
      </w:r>
      <w:r>
        <w:rPr>
          <w:spacing w:val="2"/>
        </w:rPr>
        <w:t> </w:t>
      </w:r>
      <w:r>
        <w:rPr/>
        <w:t>流动性强、易于转换为已知金额现金及价值变动风险很小的投资。</w:t>
      </w:r>
    </w:p>
    <w:p>
      <w:pPr>
        <w:spacing w:after="0" w:line="273" w:lineRule="auto"/>
        <w:jc w:val="left"/>
        <w:sectPr>
          <w:pgSz w:w="11910" w:h="16840"/>
          <w:pgMar w:header="877" w:footer="1003" w:top="1100" w:bottom="1200" w:left="980" w:right="920"/>
        </w:sectPr>
      </w:pPr>
    </w:p>
    <w:p>
      <w:pPr>
        <w:spacing w:line="240" w:lineRule="auto" w:before="10"/>
        <w:rPr>
          <w:rFonts w:ascii="宋体" w:hAnsi="宋体" w:cs="宋体" w:eastAsia="宋体" w:hint="default"/>
          <w:sz w:val="20"/>
          <w:szCs w:val="20"/>
        </w:rPr>
      </w:pPr>
    </w:p>
    <w:p>
      <w:pPr>
        <w:pStyle w:val="Heading4"/>
        <w:spacing w:line="240" w:lineRule="auto" w:before="35"/>
        <w:ind w:right="196"/>
        <w:jc w:val="left"/>
        <w:rPr>
          <w:b w:val="0"/>
          <w:bCs w:val="0"/>
        </w:rPr>
      </w:pPr>
      <w:r>
        <w:rPr/>
        <w:t>8、外币业务和外币报表折算</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196"/>
        <w:jc w:val="left"/>
        <w:rPr>
          <w:b w:val="0"/>
          <w:bCs w:val="0"/>
        </w:rPr>
      </w:pPr>
      <w:r>
        <w:rPr/>
        <w:t>（1）外币业务</w:t>
      </w:r>
      <w:r>
        <w:rPr>
          <w:b w:val="0"/>
          <w:bCs w:val="0"/>
        </w:rPr>
      </w:r>
    </w:p>
    <w:p>
      <w:pPr>
        <w:pStyle w:val="BodyText"/>
        <w:spacing w:line="624" w:lineRule="exact" w:before="83"/>
        <w:ind w:left="574" w:right="196"/>
        <w:jc w:val="left"/>
      </w:pPr>
      <w:r>
        <w:rPr/>
        <w:t>外币业务按业务发生日的即期汇率将外币金额折算为人民币入账。 </w:t>
      </w:r>
      <w:r>
        <w:rPr>
          <w:spacing w:val="-1"/>
        </w:rPr>
        <w:t>于资产负债表日，外币货币性项目采用资产负债表日的即期汇率折算为人民币，所产生的折算差额除</w:t>
      </w:r>
    </w:p>
    <w:p>
      <w:pPr>
        <w:pStyle w:val="BodyText"/>
        <w:spacing w:line="217" w:lineRule="exact"/>
        <w:ind w:right="102"/>
        <w:jc w:val="left"/>
      </w:pPr>
      <w:r>
        <w:rPr/>
        <w:t>了为购建或生产符合资本化条件的资产而借入的外币借款产生的汇兑差额按资本化的原则处理外，直接计</w:t>
      </w:r>
    </w:p>
    <w:p>
      <w:pPr>
        <w:pStyle w:val="BodyText"/>
        <w:spacing w:line="240" w:lineRule="auto" w:before="37"/>
        <w:ind w:right="196"/>
        <w:jc w:val="left"/>
      </w:pPr>
      <w:r>
        <w:rPr/>
        <w:t>入当期损益。以历史成本计量的外币非货币性项目，于资产负债表日采用交易发生日的即期汇率折算。</w:t>
      </w:r>
    </w:p>
    <w:p>
      <w:pPr>
        <w:spacing w:line="240" w:lineRule="auto" w:before="1"/>
        <w:rPr>
          <w:rFonts w:ascii="宋体" w:hAnsi="宋体" w:cs="宋体" w:eastAsia="宋体" w:hint="default"/>
          <w:sz w:val="24"/>
          <w:szCs w:val="24"/>
        </w:rPr>
      </w:pPr>
    </w:p>
    <w:p>
      <w:pPr>
        <w:spacing w:line="610" w:lineRule="atLeast" w:before="0"/>
        <w:ind w:left="574" w:right="196" w:hanging="421"/>
        <w:jc w:val="left"/>
        <w:rPr>
          <w:rFonts w:ascii="宋体" w:hAnsi="宋体" w:cs="宋体" w:eastAsia="宋体" w:hint="default"/>
          <w:sz w:val="21"/>
          <w:szCs w:val="21"/>
        </w:rPr>
      </w:pPr>
      <w:r>
        <w:rPr>
          <w:rFonts w:ascii="宋体" w:hAnsi="宋体" w:cs="宋体" w:eastAsia="宋体" w:hint="default"/>
          <w:b/>
          <w:bCs/>
          <w:sz w:val="21"/>
          <w:szCs w:val="21"/>
        </w:rPr>
        <w:t>（2）外币财务报表的折算</w:t>
      </w:r>
      <w:r>
        <w:rPr>
          <w:rFonts w:ascii="宋体" w:hAnsi="宋体" w:cs="宋体" w:eastAsia="宋体" w:hint="default"/>
          <w:b/>
          <w:bCs/>
          <w:w w:val="99"/>
          <w:sz w:val="21"/>
          <w:szCs w:val="21"/>
        </w:rPr>
        <w:t> </w:t>
      </w:r>
      <w:r>
        <w:rPr>
          <w:rFonts w:ascii="宋体" w:hAnsi="宋体" w:cs="宋体" w:eastAsia="宋体" w:hint="default"/>
          <w:spacing w:val="-1"/>
          <w:sz w:val="21"/>
          <w:szCs w:val="21"/>
        </w:rPr>
        <w:t>以非记账本位币编制的资产负债表中的资产和负债项目，采用资产负债表日的即期汇率折算成记账本</w:t>
      </w:r>
    </w:p>
    <w:p>
      <w:pPr>
        <w:pStyle w:val="BodyText"/>
        <w:spacing w:line="273" w:lineRule="auto" w:before="37"/>
        <w:ind w:right="211"/>
        <w:jc w:val="both"/>
      </w:pPr>
      <w:r>
        <w:rPr>
          <w:spacing w:val="-1"/>
        </w:rPr>
        <w:t>位币，股东权益中除未分配利润项目外，其他项目采用发生时的即期汇率折算。以非记账本位币编制的利</w:t>
      </w:r>
      <w:r>
        <w:rPr>
          <w:spacing w:val="-83"/>
        </w:rPr>
        <w:t> </w:t>
      </w:r>
      <w:r>
        <w:rPr>
          <w:spacing w:val="-83"/>
        </w:rPr>
      </w:r>
      <w:r>
        <w:rPr>
          <w:spacing w:val="-1"/>
        </w:rPr>
        <w:t>润表中的收入与费用项目，采用交易发生日的即期汇率折算成记账本位币。上述折算产生的外币报表折算</w:t>
      </w:r>
      <w:r>
        <w:rPr>
          <w:spacing w:val="-81"/>
        </w:rPr>
        <w:t> </w:t>
      </w:r>
      <w:r>
        <w:rPr>
          <w:spacing w:val="-81"/>
        </w:rPr>
      </w:r>
      <w:r>
        <w:rPr>
          <w:spacing w:val="-1"/>
        </w:rPr>
        <w:t>差额，在股东权益中以单独项目列示。以非记账本位币编制的现金流量表中各项目的现金流量采用现金流</w:t>
      </w:r>
      <w:r>
        <w:rPr>
          <w:spacing w:val="-81"/>
        </w:rPr>
        <w:t> </w:t>
      </w:r>
      <w:r>
        <w:rPr>
          <w:spacing w:val="-81"/>
        </w:rPr>
      </w:r>
      <w:r>
        <w:rPr/>
        <w:t>量发生日的即期汇率折算成记账本位币。汇率变动对现金的影响额，在现金流量表中单独列示。</w:t>
      </w:r>
    </w:p>
    <w:p>
      <w:pPr>
        <w:spacing w:line="240" w:lineRule="auto" w:before="8"/>
        <w:rPr>
          <w:rFonts w:ascii="宋体" w:hAnsi="宋体" w:cs="宋体" w:eastAsia="宋体" w:hint="default"/>
          <w:sz w:val="23"/>
          <w:szCs w:val="23"/>
        </w:rPr>
      </w:pPr>
    </w:p>
    <w:p>
      <w:pPr>
        <w:pStyle w:val="Heading4"/>
        <w:spacing w:line="240" w:lineRule="auto"/>
        <w:ind w:right="196"/>
        <w:jc w:val="left"/>
        <w:rPr>
          <w:b w:val="0"/>
          <w:bCs w:val="0"/>
        </w:rPr>
      </w:pPr>
      <w:r>
        <w:rPr/>
        <w:t>9、金融工具</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574" w:right="196"/>
        <w:jc w:val="left"/>
      </w:pPr>
      <w:r>
        <w:rPr/>
        <w:t>本公司于成为金融工具合同的一方时确认一项金融资产或金融负债。</w:t>
      </w:r>
    </w:p>
    <w:p>
      <w:pPr>
        <w:pStyle w:val="BodyText"/>
        <w:spacing w:line="610" w:lineRule="atLeast" w:before="3"/>
        <w:ind w:left="574" w:right="196" w:hanging="421"/>
        <w:jc w:val="left"/>
      </w:pPr>
      <w:r>
        <w:rPr>
          <w:rFonts w:ascii="宋体" w:hAnsi="宋体" w:cs="宋体" w:eastAsia="宋体" w:hint="default"/>
          <w:b/>
          <w:bCs/>
        </w:rPr>
        <w:t>（1）金融工具的分类</w:t>
      </w:r>
      <w:r>
        <w:rPr>
          <w:rFonts w:ascii="宋体" w:hAnsi="宋体" w:cs="宋体" w:eastAsia="宋体" w:hint="default"/>
          <w:b/>
          <w:bCs/>
          <w:spacing w:val="1"/>
          <w:w w:val="99"/>
        </w:rPr>
        <w:t> </w:t>
      </w:r>
      <w:r>
        <w:rPr>
          <w:spacing w:val="-1"/>
        </w:rPr>
        <w:t>金融资产于初始确认时分类为：以公允价值计量且其变动计入当期损益的金融资产、应收款项、可供</w:t>
      </w:r>
    </w:p>
    <w:p>
      <w:pPr>
        <w:pStyle w:val="BodyText"/>
        <w:spacing w:line="240" w:lineRule="auto" w:before="37"/>
        <w:ind w:right="196"/>
        <w:jc w:val="left"/>
      </w:pPr>
      <w:r>
        <w:rPr/>
        <w:t>出售金融资产和持有至到期投资。金融资产的分类取决于本公司对金融资产的持有意图和持有能力。</w:t>
      </w:r>
    </w:p>
    <w:p>
      <w:pPr>
        <w:spacing w:line="240" w:lineRule="auto" w:before="9"/>
        <w:rPr>
          <w:rFonts w:ascii="宋体" w:hAnsi="宋体" w:cs="宋体" w:eastAsia="宋体" w:hint="default"/>
          <w:sz w:val="26"/>
          <w:szCs w:val="26"/>
        </w:rPr>
      </w:pPr>
    </w:p>
    <w:p>
      <w:pPr>
        <w:pStyle w:val="BodyText"/>
        <w:spacing w:line="273" w:lineRule="auto"/>
        <w:ind w:right="102" w:firstLine="425"/>
        <w:jc w:val="left"/>
      </w:pPr>
      <w:r>
        <w:rPr/>
        <w:t>金融负债于初始确认时分类为：以公允价值计量且其变动计入当期损益的金融负债和其他金融负债。</w:t>
      </w:r>
      <w:r>
        <w:rPr>
          <w:spacing w:val="2"/>
        </w:rPr>
        <w:t> </w:t>
      </w:r>
      <w:r>
        <w:rPr/>
        <w:t>以公允价值计量且其变动计入当期损益的金融负债，包括交易性金融负债和初始确认时指定为以公允价值</w:t>
      </w:r>
      <w:r>
        <w:rPr/>
        <w:t> 计量且其变动计入当期损益的金融负债。</w:t>
      </w:r>
    </w:p>
    <w:p>
      <w:pPr>
        <w:spacing w:line="612" w:lineRule="exact" w:before="64"/>
        <w:ind w:left="154" w:right="5525" w:firstLine="0"/>
        <w:jc w:val="left"/>
        <w:rPr>
          <w:rFonts w:ascii="宋体" w:hAnsi="宋体" w:cs="宋体" w:eastAsia="宋体" w:hint="default"/>
          <w:sz w:val="21"/>
          <w:szCs w:val="21"/>
        </w:rPr>
      </w:pPr>
      <w:r>
        <w:rPr>
          <w:rFonts w:ascii="宋体" w:hAnsi="宋体" w:cs="宋体" w:eastAsia="宋体" w:hint="default"/>
          <w:b/>
          <w:bCs/>
          <w:sz w:val="21"/>
          <w:szCs w:val="21"/>
        </w:rPr>
        <w:t>（2）金融工具的确认依据和计量方法</w:t>
      </w:r>
      <w:r>
        <w:rPr>
          <w:rFonts w:ascii="宋体" w:hAnsi="宋体" w:cs="宋体" w:eastAsia="宋体" w:hint="default"/>
          <w:b/>
          <w:bCs/>
          <w:w w:val="99"/>
          <w:sz w:val="21"/>
          <w:szCs w:val="21"/>
        </w:rPr>
        <w:t> </w:t>
      </w:r>
      <w:r>
        <w:rPr>
          <w:rFonts w:ascii="宋体" w:hAnsi="宋体" w:cs="宋体" w:eastAsia="宋体" w:hint="default"/>
          <w:sz w:val="21"/>
          <w:szCs w:val="21"/>
        </w:rPr>
        <w:t>(1)收取该金融资产现金流量的合同权利终止；</w:t>
      </w:r>
    </w:p>
    <w:p>
      <w:pPr>
        <w:pStyle w:val="BodyText"/>
        <w:spacing w:line="219" w:lineRule="exact"/>
        <w:ind w:right="196"/>
        <w:jc w:val="left"/>
      </w:pPr>
      <w:r>
        <w:rPr/>
        <w:t>(2)该金融资产已转移，且符合《企业会计准则第23号－金融资产转移》规定的金融资产终止确认条件。</w:t>
      </w:r>
    </w:p>
    <w:p>
      <w:pPr>
        <w:pStyle w:val="BodyText"/>
        <w:spacing w:line="240" w:lineRule="auto" w:before="37"/>
        <w:ind w:right="196"/>
        <w:jc w:val="left"/>
      </w:pPr>
      <w:r>
        <w:rPr/>
        <w:t>(3)金融负债的现时义务全部或部分已经解除的，终止确认该金融负债或其一部分。</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line="535" w:lineRule="auto" w:before="0"/>
        <w:ind w:left="602" w:right="196" w:hanging="449"/>
        <w:jc w:val="left"/>
        <w:rPr>
          <w:rFonts w:ascii="宋体" w:hAnsi="宋体" w:cs="宋体" w:eastAsia="宋体" w:hint="default"/>
          <w:sz w:val="21"/>
          <w:szCs w:val="21"/>
        </w:rPr>
      </w:pPr>
      <w:r>
        <w:rPr>
          <w:rFonts w:ascii="宋体" w:hAnsi="宋体" w:cs="宋体" w:eastAsia="宋体" w:hint="default"/>
          <w:b/>
          <w:bCs/>
          <w:sz w:val="21"/>
          <w:szCs w:val="21"/>
        </w:rPr>
        <w:t>（3）金融资产转移的确认依据和计量方法</w:t>
      </w:r>
      <w:r>
        <w:rPr>
          <w:rFonts w:ascii="宋体" w:hAnsi="宋体" w:cs="宋体" w:eastAsia="宋体" w:hint="default"/>
          <w:b/>
          <w:bCs/>
          <w:spacing w:val="1"/>
          <w:w w:val="99"/>
          <w:sz w:val="21"/>
          <w:szCs w:val="21"/>
        </w:rPr>
        <w:t> </w:t>
      </w:r>
      <w:r>
        <w:rPr>
          <w:rFonts w:ascii="宋体" w:hAnsi="宋体" w:cs="宋体" w:eastAsia="宋体" w:hint="default"/>
          <w:sz w:val="21"/>
          <w:szCs w:val="21"/>
        </w:rPr>
        <w:t>金融资产于本公司成为金融工具合同的一方时，按公允价值在资产负债表内确认。</w:t>
      </w:r>
    </w:p>
    <w:p>
      <w:pPr>
        <w:pStyle w:val="BodyText"/>
        <w:spacing w:line="271" w:lineRule="auto" w:before="91"/>
        <w:ind w:right="102" w:firstLine="451"/>
        <w:jc w:val="left"/>
      </w:pPr>
      <w:r>
        <w:rPr/>
        <w:t>以公允价值计量且其变动计入当期损益的金融资产，取得时发生的相关交易费用直接计入当期损益。</w:t>
      </w:r>
      <w:r>
        <w:rPr>
          <w:spacing w:val="1"/>
        </w:rPr>
        <w:t> </w:t>
      </w:r>
      <w:r>
        <w:rPr/>
        <w:t>其他金融资产的相关交易费用计入初始确认金额。</w:t>
      </w:r>
    </w:p>
    <w:p>
      <w:pPr>
        <w:spacing w:after="0" w:line="271" w:lineRule="auto"/>
        <w:jc w:val="left"/>
        <w:sectPr>
          <w:pgSz w:w="11910" w:h="16840"/>
          <w:pgMar w:header="877" w:footer="1003" w:top="1100" w:bottom="1200" w:left="980" w:right="9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73" w:lineRule="auto" w:before="35"/>
        <w:ind w:right="0" w:firstLine="425"/>
        <w:jc w:val="left"/>
      </w:pPr>
      <w:r>
        <w:rPr/>
        <w:t>以公允价值计量且其变动计入当期损益的金融资产和可供出售金融资产按照公允价值进行后续计量，</w:t>
      </w:r>
      <w:r>
        <w:rPr>
          <w:spacing w:val="2"/>
        </w:rPr>
        <w:t> </w:t>
      </w:r>
      <w:r>
        <w:rPr/>
        <w:t>但在活跃市场中没有报价且其公允价值不能可靠计量的权益工具投资，按照成本计量；应收款项以及持有</w:t>
      </w:r>
      <w:r>
        <w:rPr/>
        <w:t> 至到期投资采用实际利率法，以摊余成本计量。</w:t>
      </w:r>
    </w:p>
    <w:p>
      <w:pPr>
        <w:spacing w:line="240" w:lineRule="auto" w:before="6"/>
        <w:rPr>
          <w:rFonts w:ascii="宋体" w:hAnsi="宋体" w:cs="宋体" w:eastAsia="宋体" w:hint="default"/>
          <w:sz w:val="24"/>
          <w:szCs w:val="24"/>
        </w:rPr>
      </w:pPr>
    </w:p>
    <w:p>
      <w:pPr>
        <w:pStyle w:val="BodyText"/>
        <w:spacing w:line="273" w:lineRule="auto"/>
        <w:ind w:right="0" w:firstLine="420"/>
        <w:jc w:val="left"/>
      </w:pPr>
      <w:r>
        <w:rPr>
          <w:spacing w:val="-1"/>
        </w:rPr>
        <w:t>以公允价值计量且其变动计入当期损益的金融资产的公允价值变动计入公允价值变动损益；在资产持</w:t>
      </w:r>
      <w:r>
        <w:rPr/>
        <w:t> 有期间所取得的利息或现金股利以及在处置时产生的处置损益，计入当期损益。</w:t>
      </w:r>
    </w:p>
    <w:p>
      <w:pPr>
        <w:spacing w:line="240" w:lineRule="auto" w:before="6"/>
        <w:rPr>
          <w:rFonts w:ascii="宋体" w:hAnsi="宋体" w:cs="宋体" w:eastAsia="宋体" w:hint="default"/>
          <w:sz w:val="24"/>
          <w:szCs w:val="24"/>
        </w:rPr>
      </w:pPr>
    </w:p>
    <w:p>
      <w:pPr>
        <w:pStyle w:val="BodyText"/>
        <w:spacing w:line="273" w:lineRule="auto"/>
        <w:ind w:right="0" w:firstLine="420"/>
        <w:jc w:val="left"/>
      </w:pPr>
      <w:r>
        <w:rPr>
          <w:spacing w:val="-1"/>
        </w:rPr>
        <w:t>除减值损失及外币货币性金融资产形成的汇兑损益外，可供出售金融资产公允价值变动计入股东权益，</w:t>
      </w:r>
      <w:r>
        <w:rPr/>
        <w:t> 待该金融资产终止确认时，原直接计入权益的公允价值变动累计额转入当期损益。可供出售债务工具投资 在持有期间按实际利率法计算利息，计入投资收益；可供出售权益工具投资的现金股利，于被投资单位宣 告发放股利时计入投资收益。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line="535" w:lineRule="auto" w:before="0"/>
        <w:ind w:left="574" w:right="1740" w:hanging="420"/>
        <w:jc w:val="left"/>
        <w:rPr>
          <w:rFonts w:ascii="宋体" w:hAnsi="宋体" w:cs="宋体" w:eastAsia="宋体" w:hint="default"/>
          <w:sz w:val="21"/>
          <w:szCs w:val="21"/>
        </w:rPr>
      </w:pPr>
      <w:r>
        <w:rPr>
          <w:rFonts w:ascii="宋体" w:hAnsi="宋体" w:cs="宋体" w:eastAsia="宋体" w:hint="default"/>
          <w:b/>
          <w:bCs/>
          <w:sz w:val="21"/>
          <w:szCs w:val="21"/>
        </w:rPr>
        <w:t>（4）金融负债终止确认条件</w:t>
      </w:r>
      <w:r>
        <w:rPr>
          <w:rFonts w:ascii="宋体" w:hAnsi="宋体" w:cs="宋体" w:eastAsia="宋体" w:hint="default"/>
          <w:b/>
          <w:bCs/>
          <w:w w:val="99"/>
          <w:sz w:val="21"/>
          <w:szCs w:val="21"/>
        </w:rPr>
        <w:t> </w:t>
      </w:r>
      <w:r>
        <w:rPr>
          <w:rFonts w:ascii="宋体" w:hAnsi="宋体" w:cs="宋体" w:eastAsia="宋体" w:hint="default"/>
          <w:sz w:val="21"/>
          <w:szCs w:val="21"/>
        </w:rPr>
        <w:t>金融负债的现时义务全部或部分已经解除的，才能终止确认该金融负债或其一部分。</w:t>
      </w:r>
    </w:p>
    <w:p>
      <w:pPr>
        <w:pStyle w:val="Heading4"/>
        <w:spacing w:line="240" w:lineRule="auto" w:before="80"/>
        <w:ind w:right="0"/>
        <w:jc w:val="left"/>
        <w:rPr>
          <w:b w:val="0"/>
          <w:bCs w:val="0"/>
        </w:rPr>
      </w:pPr>
      <w:r>
        <w:rPr/>
        <w:t>（5）金融资产和金融负债公允价值的确定方法</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204" w:firstLine="420"/>
        <w:jc w:val="both"/>
      </w:pPr>
      <w:r>
        <w:rPr/>
        <w:t>存在活跃市场的金融资产或金融负债，采用活跃市场中的报价确定其公允价值。金融工具不存在活跃 市场的，采用估值技术确定其公允价值，估值技术包括参考熟悉情况并自愿交易的各方最近进行的市场交 易中使用的价格、参照实质上相同的其他金融工具的当前公允价值、现金流量折现法和期权定价模型等。</w:t>
      </w:r>
    </w:p>
    <w:p>
      <w:pPr>
        <w:spacing w:line="612" w:lineRule="exact" w:before="64"/>
        <w:ind w:left="574" w:right="0" w:hanging="421"/>
        <w:jc w:val="left"/>
        <w:rPr>
          <w:rFonts w:ascii="宋体" w:hAnsi="宋体" w:cs="宋体" w:eastAsia="宋体" w:hint="default"/>
          <w:sz w:val="21"/>
          <w:szCs w:val="21"/>
        </w:rPr>
      </w:pPr>
      <w:r>
        <w:rPr>
          <w:rFonts w:ascii="宋体" w:hAnsi="宋体" w:cs="宋体" w:eastAsia="宋体" w:hint="default"/>
          <w:b/>
          <w:bCs/>
          <w:sz w:val="21"/>
          <w:szCs w:val="21"/>
        </w:rPr>
        <w:t>（6）金融资产（不含应收款项）减值测试方法、减值准备计提方法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除以公允价值计量且其变动计入当期损益的金融资产外，本公司于资产负债表日对金融资产的账面价</w:t>
      </w:r>
    </w:p>
    <w:p>
      <w:pPr>
        <w:pStyle w:val="BodyText"/>
        <w:spacing w:line="219" w:lineRule="exact"/>
        <w:ind w:right="0"/>
        <w:jc w:val="left"/>
      </w:pPr>
      <w:r>
        <w:rPr/>
        <w:t>值进行检查，如果有客观证据表明某项金融资产发生减值的，计提减值准备。</w:t>
      </w:r>
    </w:p>
    <w:p>
      <w:pPr>
        <w:spacing w:line="240" w:lineRule="auto" w:before="9"/>
        <w:rPr>
          <w:rFonts w:ascii="宋体" w:hAnsi="宋体" w:cs="宋体" w:eastAsia="宋体" w:hint="default"/>
          <w:sz w:val="26"/>
          <w:szCs w:val="26"/>
        </w:rPr>
      </w:pPr>
    </w:p>
    <w:p>
      <w:pPr>
        <w:pStyle w:val="BodyText"/>
        <w:spacing w:line="273" w:lineRule="auto"/>
        <w:ind w:right="311" w:firstLine="420"/>
        <w:jc w:val="both"/>
      </w:pPr>
      <w:r>
        <w:rPr>
          <w:spacing w:val="-1"/>
        </w:rPr>
        <w:t>以摊余成本计量的金融资产发生减值时，按预计未来现金流量(不包括尚未发生的未来信用损失)现值</w:t>
      </w:r>
      <w:r>
        <w:rPr/>
        <w:t> </w:t>
      </w:r>
      <w:r>
        <w:rPr>
          <w:spacing w:val="-1"/>
        </w:rPr>
        <w:t>低于账面价值的差额，计提减值准备。如果有客观证据表明该金融资产价值已恢复，且客观上与确认该损</w:t>
      </w:r>
      <w:r>
        <w:rPr>
          <w:spacing w:val="-83"/>
        </w:rPr>
        <w:t> </w:t>
      </w:r>
      <w:r>
        <w:rPr>
          <w:spacing w:val="-83"/>
        </w:rPr>
      </w:r>
      <w:r>
        <w:rPr/>
        <w:t>失后发生的事项有关，原确认的减值损失予以转回，计入当期损益。</w:t>
      </w:r>
    </w:p>
    <w:p>
      <w:pPr>
        <w:spacing w:line="240" w:lineRule="auto" w:before="6"/>
        <w:rPr>
          <w:rFonts w:ascii="宋体" w:hAnsi="宋体" w:cs="宋体" w:eastAsia="宋体" w:hint="default"/>
          <w:sz w:val="24"/>
          <w:szCs w:val="24"/>
        </w:rPr>
      </w:pPr>
    </w:p>
    <w:p>
      <w:pPr>
        <w:pStyle w:val="BodyText"/>
        <w:spacing w:line="273" w:lineRule="auto"/>
        <w:ind w:right="0" w:firstLine="420"/>
        <w:jc w:val="left"/>
      </w:pPr>
      <w:r>
        <w:rPr/>
        <w:t>当可供出售金融资产的公允价值发生较大幅度或非暂时性下降，原直接计入股东权益的因公允价值下 降形成的累计损失计入减值损失。对已确认减值损失的可供出售债务工具投资，在期后公允价值上升且客 观上与确认原减值损失确认后发生的事项有关的，原确认的减值损失予以转回，计入当期损益。对已确认 </w:t>
      </w:r>
      <w:r>
        <w:rPr>
          <w:spacing w:val="-1"/>
        </w:rPr>
        <w:t>减值损失的可供出售权益工具投资，在期后公允价值上升且客观上与确认原减值损失后发生的事项有关的，</w:t>
      </w:r>
      <w:r>
        <w:rPr>
          <w:spacing w:val="-80"/>
        </w:rPr>
        <w:t> </w:t>
      </w:r>
      <w:r>
        <w:rPr>
          <w:spacing w:val="-80"/>
        </w:rPr>
      </w:r>
      <w:r>
        <w:rPr/>
        <w:t>原确认的减值损失予以转回，直接计入股东权益。在活跃市场中没有报价且其公允价值不能可靠计量的权</w:t>
      </w:r>
      <w:r>
        <w:rPr/>
        <w:t> 益工具投资发生的减值损失，如果在以后期间价值得以恢复，也不予转回。</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r>
        <w:rPr/>
        <w:t>（7）将尚未到期的持有至到期投资重分类为可供出售金融资产的，说明持有意图或能力发生改变的依据</w:t>
      </w:r>
      <w:r>
        <w:rPr>
          <w:b w:val="0"/>
          <w:bCs w:val="0"/>
        </w:rPr>
      </w:r>
    </w:p>
    <w:p>
      <w:pPr>
        <w:spacing w:line="240" w:lineRule="auto" w:before="11"/>
        <w:rPr>
          <w:rFonts w:ascii="宋体" w:hAnsi="宋体" w:cs="宋体" w:eastAsia="宋体" w:hint="default"/>
          <w:b/>
          <w:bCs/>
          <w:sz w:val="25"/>
          <w:szCs w:val="25"/>
        </w:rPr>
      </w:pPr>
    </w:p>
    <w:p>
      <w:pPr>
        <w:pStyle w:val="BodyText"/>
        <w:tabs>
          <w:tab w:pos="994" w:val="left" w:leader="none"/>
        </w:tabs>
        <w:spacing w:line="240" w:lineRule="auto"/>
        <w:ind w:right="0"/>
        <w:jc w:val="left"/>
      </w:pPr>
      <w:r>
        <w:rPr/>
        <w:t>□适用</w:t>
        <w:tab/>
        <w:t>√不适用</w:t>
      </w:r>
    </w:p>
    <w:p>
      <w:pPr>
        <w:spacing w:after="0" w:line="240" w:lineRule="auto"/>
        <w:jc w:val="left"/>
        <w:sectPr>
          <w:pgSz w:w="11910" w:h="16840"/>
          <w:pgMar w:header="877" w:footer="1003" w:top="1100" w:bottom="1200" w:left="980" w:right="820"/>
        </w:sectPr>
      </w:pPr>
    </w:p>
    <w:p>
      <w:pPr>
        <w:spacing w:line="240" w:lineRule="auto" w:before="9"/>
        <w:rPr>
          <w:rFonts w:ascii="宋体" w:hAnsi="宋体" w:cs="宋体" w:eastAsia="宋体" w:hint="default"/>
          <w:sz w:val="20"/>
          <w:szCs w:val="20"/>
        </w:rPr>
      </w:pPr>
    </w:p>
    <w:p>
      <w:pPr>
        <w:pStyle w:val="Heading4"/>
        <w:spacing w:line="240" w:lineRule="auto" w:before="35"/>
        <w:ind w:right="132"/>
        <w:jc w:val="left"/>
        <w:rPr>
          <w:b w:val="0"/>
          <w:bCs w:val="0"/>
        </w:rPr>
      </w:pPr>
      <w:r>
        <w:rPr/>
        <w:t>10、应收款项坏账准备的确认标准和计提方法</w:t>
      </w:r>
      <w:r>
        <w:rPr>
          <w:b w:val="0"/>
          <w:bCs w:val="0"/>
        </w:rPr>
      </w:r>
    </w:p>
    <w:p>
      <w:pPr>
        <w:spacing w:line="240" w:lineRule="auto" w:before="11"/>
        <w:rPr>
          <w:rFonts w:ascii="宋体" w:hAnsi="宋体" w:cs="宋体" w:eastAsia="宋体" w:hint="default"/>
          <w:b/>
          <w:bCs/>
          <w:sz w:val="25"/>
          <w:szCs w:val="25"/>
        </w:rPr>
      </w:pPr>
    </w:p>
    <w:p>
      <w:pPr>
        <w:pStyle w:val="BodyText"/>
        <w:spacing w:line="273" w:lineRule="auto"/>
        <w:ind w:right="151" w:firstLine="420"/>
        <w:jc w:val="both"/>
      </w:pPr>
      <w:r>
        <w:rPr>
          <w:spacing w:val="-1"/>
        </w:rPr>
        <w:t>应收款项包括应收账款、其他应收款。应收款项发生减值，则将其账面价值减记至可收回金额，减记</w:t>
      </w:r>
      <w:r>
        <w:rPr/>
        <w:t> </w:t>
      </w:r>
      <w:r>
        <w:rPr>
          <w:spacing w:val="-1"/>
        </w:rPr>
        <w:t>的金额确认为资产减值损失，计入当期损益。对于预付账款、应收股利、应收利息等应收款项，期末如有</w:t>
      </w:r>
      <w:r>
        <w:rPr>
          <w:spacing w:val="-83"/>
        </w:rPr>
        <w:t> </w:t>
      </w:r>
      <w:r>
        <w:rPr>
          <w:spacing w:val="-83"/>
        </w:rPr>
      </w:r>
      <w:r>
        <w:rPr/>
        <w:t>客观证据表明其发生减值，则将其转入其他应收款，并进行减值测试计提坏账准备。</w:t>
      </w:r>
    </w:p>
    <w:p>
      <w:pPr>
        <w:spacing w:line="240" w:lineRule="auto" w:before="8"/>
        <w:rPr>
          <w:rFonts w:ascii="宋体" w:hAnsi="宋体" w:cs="宋体" w:eastAsia="宋体" w:hint="default"/>
          <w:sz w:val="23"/>
          <w:szCs w:val="23"/>
        </w:rPr>
      </w:pPr>
    </w:p>
    <w:p>
      <w:pPr>
        <w:pStyle w:val="Heading4"/>
        <w:spacing w:line="240" w:lineRule="auto"/>
        <w:ind w:right="132"/>
        <w:jc w:val="left"/>
        <w:rPr>
          <w:b w:val="0"/>
          <w:bCs w:val="0"/>
        </w:rPr>
      </w:pPr>
      <w:r>
        <w:rPr/>
        <w:t>（1）单项金额重大的应收款项坏账准备</w:t>
      </w:r>
      <w:r>
        <w:rPr>
          <w:b w:val="0"/>
          <w:bCs w:val="0"/>
        </w:rPr>
      </w:r>
    </w:p>
    <w:p>
      <w:pPr>
        <w:spacing w:line="240" w:lineRule="auto" w:before="12"/>
        <w:rPr>
          <w:rFonts w:ascii="宋体" w:hAnsi="宋体" w:cs="宋体" w:eastAsia="宋体" w:hint="default"/>
          <w:b/>
          <w:bCs/>
          <w:sz w:val="26"/>
          <w:szCs w:val="26"/>
        </w:rPr>
      </w:pPr>
    </w:p>
    <w:tbl>
      <w:tblPr>
        <w:tblW w:w="0" w:type="auto"/>
        <w:jc w:val="left"/>
        <w:tblInd w:w="138" w:type="dxa"/>
        <w:tblLayout w:type="fixed"/>
        <w:tblCellMar>
          <w:top w:w="0" w:type="dxa"/>
          <w:left w:w="0" w:type="dxa"/>
          <w:bottom w:w="0" w:type="dxa"/>
          <w:right w:w="0" w:type="dxa"/>
        </w:tblCellMar>
        <w:tblLook w:val="01E0"/>
      </w:tblPr>
      <w:tblGrid>
        <w:gridCol w:w="5056"/>
        <w:gridCol w:w="4511"/>
      </w:tblGrid>
      <w:tr>
        <w:trPr>
          <w:trHeight w:val="727" w:hRule="exact"/>
        </w:trPr>
        <w:tc>
          <w:tcPr>
            <w:tcW w:w="5056"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公司单项金额重大的应收款项指单笔金额为</w:t>
            </w:r>
            <w:r>
              <w:rPr>
                <w:rFonts w:ascii="宋体" w:hAnsi="宋体" w:cs="宋体" w:eastAsia="宋体" w:hint="default"/>
                <w:spacing w:val="-66"/>
                <w:sz w:val="18"/>
                <w:szCs w:val="18"/>
              </w:rPr>
              <w:t> </w:t>
            </w:r>
            <w:r>
              <w:rPr>
                <w:rFonts w:ascii="宋体" w:hAnsi="宋体" w:cs="宋体" w:eastAsia="宋体" w:hint="default"/>
                <w:sz w:val="18"/>
                <w:szCs w:val="18"/>
              </w:rPr>
              <w:t>100</w:t>
            </w:r>
            <w:r>
              <w:rPr>
                <w:rFonts w:ascii="宋体" w:hAnsi="宋体" w:cs="宋体" w:eastAsia="宋体" w:hint="default"/>
                <w:spacing w:val="-66"/>
                <w:sz w:val="18"/>
                <w:szCs w:val="18"/>
              </w:rPr>
              <w:t> </w:t>
            </w:r>
            <w:r>
              <w:rPr>
                <w:rFonts w:ascii="宋体" w:hAnsi="宋体" w:cs="宋体" w:eastAsia="宋体" w:hint="default"/>
                <w:sz w:val="18"/>
                <w:szCs w:val="18"/>
              </w:rPr>
              <w:t>万元以上</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的客户应收账款及单笔金额为</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万元以上的其他应收款</w:t>
            </w:r>
          </w:p>
        </w:tc>
      </w:tr>
      <w:tr>
        <w:trPr>
          <w:trHeight w:val="727" w:hRule="exact"/>
        </w:trPr>
        <w:tc>
          <w:tcPr>
            <w:tcW w:w="5056"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1" w:type="dxa"/>
            <w:tcBorders>
              <w:top w:val="single" w:sz="6" w:space="0" w:color="000000"/>
              <w:left w:val="single" w:sz="6" w:space="0" w:color="000000"/>
              <w:bottom w:val="single" w:sz="12" w:space="0" w:color="000000"/>
              <w:right w:val="single" w:sz="12" w:space="0" w:color="000000"/>
            </w:tcBorders>
          </w:tcPr>
          <w:p>
            <w:pPr>
              <w:pStyle w:val="TableParagraph"/>
              <w:spacing w:line="319" w:lineRule="auto" w:before="51"/>
              <w:ind w:left="20" w:right="11"/>
              <w:jc w:val="left"/>
              <w:rPr>
                <w:rFonts w:ascii="宋体" w:hAnsi="宋体" w:cs="宋体" w:eastAsia="宋体" w:hint="default"/>
                <w:sz w:val="18"/>
                <w:szCs w:val="18"/>
              </w:rPr>
            </w:pPr>
            <w:r>
              <w:rPr>
                <w:rFonts w:ascii="宋体" w:hAnsi="宋体" w:cs="宋体" w:eastAsia="宋体" w:hint="default"/>
                <w:spacing w:val="-2"/>
                <w:sz w:val="18"/>
                <w:szCs w:val="18"/>
              </w:rPr>
              <w:t>单独进行减值测试，根据其未来现金流量现值低于其账面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价值的差额，确认减值损失，计提坏账准备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132"/>
        <w:jc w:val="left"/>
        <w:rPr>
          <w:b w:val="0"/>
          <w:bCs w:val="0"/>
        </w:rPr>
      </w:pPr>
      <w:r>
        <w:rPr/>
        <w:t>（2）按组合计提坏账准备的应收款项</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right="132"/>
        <w:jc w:val="left"/>
      </w:pPr>
      <w:r>
        <w:rPr/>
        <w:t>组合中，采用账龄分析法计提坏账准备的</w:t>
      </w:r>
    </w:p>
    <w:p>
      <w:pPr>
        <w:pStyle w:val="BodyText"/>
        <w:spacing w:line="240" w:lineRule="auto" w:before="76"/>
        <w:ind w:right="132"/>
        <w:jc w:val="left"/>
      </w:pPr>
      <w:r>
        <w:rPr/>
        <w:t>√ 适用 □</w:t>
      </w:r>
      <w:r>
        <w:rPr>
          <w:spacing w:val="-2"/>
        </w:rPr>
        <w:t> </w:t>
      </w:r>
      <w:r>
        <w:rPr/>
        <w:t>不适用</w:t>
      </w:r>
    </w:p>
    <w:p>
      <w:pPr>
        <w:spacing w:line="240" w:lineRule="auto" w:before="0"/>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600"/>
        <w:gridCol w:w="2975"/>
        <w:gridCol w:w="3993"/>
      </w:tblGrid>
      <w:tr>
        <w:trPr>
          <w:trHeight w:val="413" w:hRule="exact"/>
        </w:trPr>
        <w:tc>
          <w:tcPr>
            <w:tcW w:w="2600"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2975"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759"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993"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11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8" w:hRule="exact"/>
        </w:trPr>
        <w:tc>
          <w:tcPr>
            <w:tcW w:w="2600"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w:t>
            </w:r>
          </w:p>
        </w:tc>
        <w:tc>
          <w:tcPr>
            <w:tcW w:w="3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w:t>
            </w:r>
          </w:p>
        </w:tc>
      </w:tr>
      <w:tr>
        <w:trPr>
          <w:trHeight w:val="407" w:hRule="exact"/>
        </w:trPr>
        <w:tc>
          <w:tcPr>
            <w:tcW w:w="2600"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10%</w:t>
            </w:r>
          </w:p>
        </w:tc>
        <w:tc>
          <w:tcPr>
            <w:tcW w:w="3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w:t>
            </w:r>
          </w:p>
        </w:tc>
      </w:tr>
      <w:tr>
        <w:trPr>
          <w:trHeight w:val="407" w:hRule="exact"/>
        </w:trPr>
        <w:tc>
          <w:tcPr>
            <w:tcW w:w="2600"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30%</w:t>
            </w:r>
          </w:p>
        </w:tc>
        <w:tc>
          <w:tcPr>
            <w:tcW w:w="3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w:t>
            </w:r>
          </w:p>
        </w:tc>
      </w:tr>
      <w:tr>
        <w:trPr>
          <w:trHeight w:val="407" w:hRule="exact"/>
        </w:trPr>
        <w:tc>
          <w:tcPr>
            <w:tcW w:w="2600"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50%</w:t>
            </w:r>
          </w:p>
        </w:tc>
        <w:tc>
          <w:tcPr>
            <w:tcW w:w="3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50%</w:t>
            </w:r>
          </w:p>
        </w:tc>
      </w:tr>
      <w:tr>
        <w:trPr>
          <w:trHeight w:val="407" w:hRule="exact"/>
        </w:trPr>
        <w:tc>
          <w:tcPr>
            <w:tcW w:w="2600"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70%</w:t>
            </w:r>
          </w:p>
        </w:tc>
        <w:tc>
          <w:tcPr>
            <w:tcW w:w="3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70%</w:t>
            </w:r>
          </w:p>
        </w:tc>
      </w:tr>
      <w:tr>
        <w:trPr>
          <w:trHeight w:val="415" w:hRule="exact"/>
        </w:trPr>
        <w:tc>
          <w:tcPr>
            <w:tcW w:w="2600"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9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100%</w:t>
            </w:r>
          </w:p>
        </w:tc>
        <w:tc>
          <w:tcPr>
            <w:tcW w:w="39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w:t>
            </w:r>
          </w:p>
        </w:tc>
      </w:tr>
    </w:tbl>
    <w:p>
      <w:pPr>
        <w:pStyle w:val="BodyText"/>
        <w:spacing w:line="240" w:lineRule="auto" w:before="26"/>
        <w:ind w:right="132"/>
        <w:jc w:val="left"/>
      </w:pPr>
      <w:r>
        <w:rPr/>
        <w:t>组合中，采用余额百分比法计提坏账准备的</w:t>
      </w:r>
    </w:p>
    <w:p>
      <w:pPr>
        <w:pStyle w:val="BodyText"/>
        <w:spacing w:line="307" w:lineRule="auto" w:before="78"/>
        <w:ind w:right="6200"/>
        <w:jc w:val="left"/>
      </w:pPr>
      <w:r>
        <w:rPr/>
        <w:t>□ 适用 √</w:t>
      </w:r>
      <w:r>
        <w:rPr>
          <w:spacing w:val="-2"/>
        </w:rPr>
        <w:t> </w:t>
      </w:r>
      <w:r>
        <w:rPr/>
        <w:t>不适用</w:t>
      </w:r>
      <w:r>
        <w:rPr/>
        <w:t> 组合中，采用其他方法计提坏账准备的</w:t>
      </w:r>
    </w:p>
    <w:p>
      <w:pPr>
        <w:pStyle w:val="BodyText"/>
        <w:spacing w:line="240" w:lineRule="auto" w:before="19"/>
        <w:ind w:right="132"/>
        <w:jc w:val="left"/>
      </w:pPr>
      <w:r>
        <w:rPr/>
        <w:t>□ 适用 √</w:t>
      </w:r>
      <w:r>
        <w:rPr>
          <w:spacing w:val="-2"/>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32"/>
        <w:jc w:val="left"/>
        <w:rPr>
          <w:b w:val="0"/>
          <w:bCs w:val="0"/>
        </w:rPr>
      </w:pPr>
      <w:r>
        <w:rPr/>
        <w:t>（3）单项金额虽不重大但单项计提坏账准备的应收账款</w:t>
      </w:r>
      <w:r>
        <w:rPr>
          <w:b w:val="0"/>
          <w:bCs w:val="0"/>
        </w:rPr>
      </w:r>
    </w:p>
    <w:p>
      <w:pPr>
        <w:spacing w:line="240" w:lineRule="auto" w:before="13"/>
        <w:rPr>
          <w:rFonts w:ascii="宋体" w:hAnsi="宋体" w:cs="宋体" w:eastAsia="宋体" w:hint="default"/>
          <w:b/>
          <w:bCs/>
          <w:sz w:val="26"/>
          <w:szCs w:val="26"/>
        </w:rPr>
      </w:pPr>
    </w:p>
    <w:tbl>
      <w:tblPr>
        <w:tblW w:w="0" w:type="auto"/>
        <w:jc w:val="left"/>
        <w:tblInd w:w="138" w:type="dxa"/>
        <w:tblLayout w:type="fixed"/>
        <w:tblCellMar>
          <w:top w:w="0" w:type="dxa"/>
          <w:left w:w="0" w:type="dxa"/>
          <w:bottom w:w="0" w:type="dxa"/>
          <w:right w:w="0" w:type="dxa"/>
        </w:tblCellMar>
        <w:tblLook w:val="01E0"/>
      </w:tblPr>
      <w:tblGrid>
        <w:gridCol w:w="3355"/>
        <w:gridCol w:w="6213"/>
      </w:tblGrid>
      <w:tr>
        <w:trPr>
          <w:trHeight w:val="413" w:hRule="exact"/>
        </w:trPr>
        <w:tc>
          <w:tcPr>
            <w:tcW w:w="3355"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有明显特征表明该等应收款项难以收回，期末余额为</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万元以下的应收款项</w:t>
            </w:r>
          </w:p>
        </w:tc>
      </w:tr>
      <w:tr>
        <w:trPr>
          <w:trHeight w:val="1040" w:hRule="exact"/>
        </w:trPr>
        <w:tc>
          <w:tcPr>
            <w:tcW w:w="3355"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3"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52"/>
              <w:ind w:left="20" w:right="48"/>
              <w:jc w:val="both"/>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单独进行减值测试，根据其未来现金流量现值低于其账面价值的差额，确认减 值损失，计提坏账准备；经单独测试未减值的应收款项，采用账龄分析法，按 应收款项的账龄和规定的提取比例确认减值损失，计提坏账准备。</w:t>
            </w:r>
          </w:p>
        </w:tc>
      </w:tr>
    </w:tbl>
    <w:p>
      <w:pPr>
        <w:spacing w:after="0" w:line="316" w:lineRule="auto"/>
        <w:jc w:val="both"/>
        <w:rPr>
          <w:rFonts w:ascii="宋体" w:hAnsi="宋体" w:cs="宋体" w:eastAsia="宋体" w:hint="default"/>
          <w:sz w:val="18"/>
          <w:szCs w:val="18"/>
        </w:rPr>
        <w:sectPr>
          <w:pgSz w:w="11910" w:h="16840"/>
          <w:pgMar w:header="877" w:footer="1003" w:top="1100" w:bottom="1200" w:left="980" w:right="980"/>
        </w:sectPr>
      </w:pPr>
    </w:p>
    <w:p>
      <w:pPr>
        <w:spacing w:line="240" w:lineRule="auto" w:before="10"/>
        <w:rPr>
          <w:rFonts w:ascii="宋体" w:hAnsi="宋体" w:cs="宋体" w:eastAsia="宋体" w:hint="default"/>
          <w:b/>
          <w:bCs/>
          <w:sz w:val="20"/>
          <w:szCs w:val="20"/>
        </w:rPr>
      </w:pPr>
    </w:p>
    <w:p>
      <w:pPr>
        <w:pStyle w:val="Heading4"/>
        <w:spacing w:line="240" w:lineRule="auto" w:before="35"/>
        <w:ind w:right="132"/>
        <w:jc w:val="left"/>
        <w:rPr>
          <w:b w:val="0"/>
          <w:bCs w:val="0"/>
        </w:rPr>
      </w:pPr>
      <w:r>
        <w:rPr/>
        <w:t>11、存货</w:t>
      </w:r>
      <w:r>
        <w:rPr>
          <w:b w:val="0"/>
          <w:bCs w:val="0"/>
        </w:rPr>
      </w:r>
    </w:p>
    <w:p>
      <w:pPr>
        <w:spacing w:line="240" w:lineRule="auto" w:before="11"/>
        <w:rPr>
          <w:rFonts w:ascii="宋体" w:hAnsi="宋体" w:cs="宋体" w:eastAsia="宋体" w:hint="default"/>
          <w:b/>
          <w:bCs/>
          <w:sz w:val="25"/>
          <w:szCs w:val="25"/>
        </w:rPr>
      </w:pPr>
    </w:p>
    <w:p>
      <w:pPr>
        <w:pStyle w:val="BodyText"/>
        <w:spacing w:line="535" w:lineRule="auto"/>
        <w:ind w:right="1160"/>
        <w:jc w:val="left"/>
      </w:pPr>
      <w:r>
        <w:rPr>
          <w:rFonts w:ascii="宋体" w:hAnsi="宋体" w:cs="宋体" w:eastAsia="宋体" w:hint="default"/>
          <w:b/>
          <w:bCs/>
        </w:rPr>
        <w:t>（1）存货的分类</w:t>
      </w:r>
      <w:r>
        <w:rPr>
          <w:rFonts w:ascii="宋体" w:hAnsi="宋体" w:cs="宋体" w:eastAsia="宋体" w:hint="default"/>
          <w:b/>
          <w:bCs/>
          <w:spacing w:val="1"/>
          <w:w w:val="99"/>
        </w:rPr>
        <w:t> </w:t>
      </w:r>
      <w:r>
        <w:rPr/>
        <w:t>存货包括原材料、在产品、产成品、低值易耗品、包装物等，按成本与可变现净值孰低列示。</w:t>
      </w:r>
    </w:p>
    <w:p>
      <w:pPr>
        <w:pStyle w:val="Heading4"/>
        <w:spacing w:line="240" w:lineRule="auto" w:before="77"/>
        <w:ind w:right="132"/>
        <w:jc w:val="left"/>
        <w:rPr>
          <w:b w:val="0"/>
          <w:bCs w:val="0"/>
        </w:rPr>
      </w:pPr>
      <w:r>
        <w:rPr/>
        <w:t>（2）发出存货的计价方法</w:t>
      </w:r>
      <w:r>
        <w:rPr>
          <w:b w:val="0"/>
          <w:bCs w:val="0"/>
        </w:rPr>
      </w:r>
    </w:p>
    <w:p>
      <w:pPr>
        <w:spacing w:line="240" w:lineRule="auto" w:before="12"/>
        <w:rPr>
          <w:rFonts w:ascii="宋体" w:hAnsi="宋体" w:cs="宋体" w:eastAsia="宋体" w:hint="default"/>
          <w:b/>
          <w:bCs/>
          <w:sz w:val="25"/>
          <w:szCs w:val="25"/>
        </w:rPr>
      </w:pPr>
    </w:p>
    <w:p>
      <w:pPr>
        <w:pStyle w:val="BodyText"/>
        <w:spacing w:line="290" w:lineRule="auto"/>
        <w:ind w:right="132"/>
        <w:jc w:val="left"/>
      </w:pPr>
      <w:r>
        <w:rPr/>
        <w:t>计价方法：加权平均法 </w:t>
      </w:r>
      <w:r>
        <w:rPr>
          <w:spacing w:val="-1"/>
        </w:rPr>
        <w:t>存货发出时的成本按加权平均法核算，产成品和在产品成本包括原材料、直接人工以及在正常生产能力下</w:t>
      </w:r>
      <w:r>
        <w:rPr>
          <w:spacing w:val="-81"/>
        </w:rPr>
        <w:t> </w:t>
      </w:r>
      <w:r>
        <w:rPr>
          <w:spacing w:val="-81"/>
        </w:rPr>
      </w:r>
      <w:r>
        <w:rPr/>
        <w:t>按照一定方法分配的制造费用。</w:t>
      </w:r>
    </w:p>
    <w:p>
      <w:pPr>
        <w:spacing w:line="240" w:lineRule="auto" w:before="6"/>
        <w:rPr>
          <w:rFonts w:ascii="宋体" w:hAnsi="宋体" w:cs="宋体" w:eastAsia="宋体" w:hint="default"/>
          <w:sz w:val="22"/>
          <w:szCs w:val="22"/>
        </w:rPr>
      </w:pPr>
    </w:p>
    <w:p>
      <w:pPr>
        <w:pStyle w:val="Heading4"/>
        <w:spacing w:line="240" w:lineRule="auto"/>
        <w:ind w:right="132"/>
        <w:jc w:val="left"/>
        <w:rPr>
          <w:b w:val="0"/>
          <w:bCs w:val="0"/>
        </w:rPr>
      </w:pPr>
      <w:r>
        <w:rPr/>
        <w:t>（3）存货可变现净值的确定依据及存货跌价准备的计提方法</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148"/>
        <w:jc w:val="both"/>
      </w:pPr>
      <w:r>
        <w:rPr>
          <w:spacing w:val="-1"/>
        </w:rPr>
        <w:t>存货成本高于其可变现净值的，计提存货跌价准备，计入当期损益。可变现净值，是指在日常活动中，存</w:t>
      </w:r>
      <w:r>
        <w:rPr>
          <w:spacing w:val="-83"/>
        </w:rPr>
        <w:t> </w:t>
      </w:r>
      <w:r>
        <w:rPr>
          <w:spacing w:val="-83"/>
        </w:rPr>
      </w:r>
      <w:r>
        <w:rPr>
          <w:spacing w:val="-1"/>
        </w:rPr>
        <w:t>货的估计售价减去至完工时估计将要发生的成本、估计的销售费用以及相关税费后的金额。公司确定存货</w:t>
      </w:r>
      <w:r>
        <w:rPr>
          <w:spacing w:val="-81"/>
        </w:rPr>
        <w:t> </w:t>
      </w:r>
      <w:r>
        <w:rPr>
          <w:spacing w:val="-81"/>
        </w:rPr>
      </w:r>
      <w:r>
        <w:rPr>
          <w:spacing w:val="-5"/>
        </w:rPr>
        <w:t>的可变现净值，以取得的确凿证据为基础，并且考虑持有存货的目的、资产负债表日后事项的影响等因素。</w:t>
      </w:r>
    </w:p>
    <w:p>
      <w:pPr>
        <w:spacing w:line="240" w:lineRule="auto" w:before="8"/>
        <w:rPr>
          <w:rFonts w:ascii="宋体" w:hAnsi="宋体" w:cs="宋体" w:eastAsia="宋体" w:hint="default"/>
          <w:sz w:val="23"/>
          <w:szCs w:val="23"/>
        </w:rPr>
      </w:pPr>
    </w:p>
    <w:p>
      <w:pPr>
        <w:pStyle w:val="Heading4"/>
        <w:spacing w:line="240" w:lineRule="auto"/>
        <w:ind w:right="132"/>
        <w:jc w:val="left"/>
        <w:rPr>
          <w:b w:val="0"/>
          <w:bCs w:val="0"/>
        </w:rPr>
      </w:pPr>
      <w:r>
        <w:rPr/>
        <w:t>（4）存货的盘存制度</w:t>
      </w:r>
      <w:r>
        <w:rPr>
          <w:b w:val="0"/>
          <w:bCs w:val="0"/>
        </w:rPr>
      </w:r>
    </w:p>
    <w:p>
      <w:pPr>
        <w:spacing w:line="240" w:lineRule="auto" w:before="11"/>
        <w:rPr>
          <w:rFonts w:ascii="宋体" w:hAnsi="宋体" w:cs="宋体" w:eastAsia="宋体" w:hint="default"/>
          <w:b/>
          <w:bCs/>
          <w:sz w:val="25"/>
          <w:szCs w:val="25"/>
        </w:rPr>
      </w:pPr>
    </w:p>
    <w:p>
      <w:pPr>
        <w:pStyle w:val="BodyText"/>
        <w:spacing w:line="307" w:lineRule="auto"/>
        <w:ind w:right="6830"/>
        <w:jc w:val="left"/>
      </w:pPr>
      <w:r>
        <w:rPr/>
        <w:t>盘存制度：永续盘存制 存货盘存制度采用永续盘存制。</w:t>
      </w:r>
    </w:p>
    <w:p>
      <w:pPr>
        <w:spacing w:line="240" w:lineRule="auto" w:before="5"/>
        <w:rPr>
          <w:rFonts w:ascii="宋体" w:hAnsi="宋体" w:cs="宋体" w:eastAsia="宋体" w:hint="default"/>
          <w:sz w:val="21"/>
          <w:szCs w:val="21"/>
        </w:rPr>
      </w:pPr>
    </w:p>
    <w:p>
      <w:pPr>
        <w:pStyle w:val="Heading4"/>
        <w:spacing w:line="240" w:lineRule="auto"/>
        <w:ind w:right="132"/>
        <w:jc w:val="left"/>
        <w:rPr>
          <w:b w:val="0"/>
          <w:bCs w:val="0"/>
        </w:rPr>
      </w:pPr>
      <w:r>
        <w:rPr/>
        <w:t>（5）低值易耗品和包装物的摊销方法</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5360"/>
        <w:jc w:val="left"/>
      </w:pPr>
      <w:r>
        <w:rPr/>
        <w:t>低值易耗品于其领用时采用一次性摊销法摊销。 包装物在领用时采用一次转销法核算成本。</w:t>
      </w:r>
    </w:p>
    <w:p>
      <w:pPr>
        <w:spacing w:line="240" w:lineRule="auto" w:before="8"/>
        <w:rPr>
          <w:rFonts w:ascii="宋体" w:hAnsi="宋体" w:cs="宋体" w:eastAsia="宋体" w:hint="default"/>
          <w:sz w:val="23"/>
          <w:szCs w:val="23"/>
        </w:rPr>
      </w:pPr>
    </w:p>
    <w:p>
      <w:pPr>
        <w:pStyle w:val="Heading4"/>
        <w:spacing w:line="240" w:lineRule="auto"/>
        <w:ind w:right="132"/>
        <w:jc w:val="left"/>
        <w:rPr>
          <w:b w:val="0"/>
          <w:bCs w:val="0"/>
        </w:rPr>
      </w:pPr>
      <w:r>
        <w:rPr/>
        <w:t>12、长期股权投资</w:t>
      </w:r>
      <w:r>
        <w:rPr>
          <w:b w:val="0"/>
          <w:bCs w:val="0"/>
        </w:rPr>
      </w:r>
    </w:p>
    <w:p>
      <w:pPr>
        <w:pStyle w:val="BodyText"/>
        <w:spacing w:line="610" w:lineRule="atLeast" w:before="3"/>
        <w:ind w:left="574" w:right="132" w:hanging="420"/>
        <w:jc w:val="left"/>
      </w:pPr>
      <w:r>
        <w:rPr>
          <w:rFonts w:ascii="宋体" w:hAnsi="宋体" w:cs="宋体" w:eastAsia="宋体" w:hint="default"/>
          <w:b/>
          <w:bCs/>
        </w:rPr>
        <w:t>（1）投资成本的确定</w:t>
      </w:r>
      <w:r>
        <w:rPr>
          <w:rFonts w:ascii="宋体" w:hAnsi="宋体" w:cs="宋体" w:eastAsia="宋体" w:hint="default"/>
          <w:b/>
          <w:bCs/>
          <w:spacing w:val="1"/>
          <w:w w:val="99"/>
        </w:rPr>
        <w:t> </w:t>
      </w:r>
      <w:r>
        <w:rPr>
          <w:spacing w:val="-1"/>
        </w:rPr>
        <w:t>企业合并形成的长期股权投资，按照“同一控制下和非同一控制下企业合并的会计处理方法”的相关</w:t>
      </w:r>
    </w:p>
    <w:p>
      <w:pPr>
        <w:pStyle w:val="BodyText"/>
        <w:spacing w:line="273" w:lineRule="auto" w:before="37"/>
        <w:ind w:right="132"/>
        <w:jc w:val="left"/>
      </w:pPr>
      <w:r>
        <w:rPr>
          <w:spacing w:val="-1"/>
        </w:rPr>
        <w:t>内容确认初始投资成本；除企业合并形成的长期股权投资以外，其他方式取得的长期股权投资，按照下述</w:t>
      </w:r>
      <w:r>
        <w:rPr>
          <w:spacing w:val="-83"/>
        </w:rPr>
        <w:t> </w:t>
      </w:r>
      <w:r>
        <w:rPr>
          <w:spacing w:val="-83"/>
        </w:rPr>
      </w:r>
      <w:r>
        <w:rPr/>
        <w:t>方法确认其初始投资成本：</w:t>
      </w:r>
    </w:p>
    <w:p>
      <w:pPr>
        <w:pStyle w:val="BodyText"/>
        <w:spacing w:line="240" w:lineRule="auto" w:before="48"/>
        <w:ind w:left="574" w:right="132"/>
        <w:jc w:val="left"/>
      </w:pPr>
      <w:r>
        <w:rPr/>
        <w:t>1）以支付现金方式取得的长期股权投资，按照实际支付的购买价款作为初始投资成本。</w:t>
      </w:r>
    </w:p>
    <w:p>
      <w:pPr>
        <w:pStyle w:val="BodyText"/>
        <w:spacing w:line="240" w:lineRule="auto" w:before="76"/>
        <w:ind w:left="574" w:right="132"/>
        <w:jc w:val="left"/>
      </w:pPr>
      <w:r>
        <w:rPr/>
        <w:t>2）以发行权益性证券取得的长期股权投资，按照发行权益性证券的公允价值作为初始投资成本。</w:t>
      </w:r>
    </w:p>
    <w:p>
      <w:pPr>
        <w:pStyle w:val="BodyText"/>
        <w:spacing w:line="273" w:lineRule="auto" w:before="75"/>
        <w:ind w:right="215" w:firstLine="420"/>
        <w:jc w:val="left"/>
      </w:pPr>
      <w:r>
        <w:rPr/>
        <w:t>3）投资者投入的长期股权投资，按照投资合同或协议约定的价值作为初始投资成本，但合同或协议 约定价值不公允的除外。</w:t>
      </w:r>
    </w:p>
    <w:p>
      <w:pPr>
        <w:pStyle w:val="BodyText"/>
        <w:spacing w:line="273" w:lineRule="auto" w:before="47"/>
        <w:ind w:right="132" w:firstLine="420"/>
        <w:jc w:val="left"/>
      </w:pPr>
      <w:r>
        <w:rPr/>
        <w:t>4）在非货币性资产交换具备商业实质和换入资产或换出资产的公允价值能够可靠计量的前提下，非 </w:t>
      </w:r>
      <w:r>
        <w:rPr>
          <w:spacing w:val="-1"/>
        </w:rPr>
        <w:t>货币性资产交换换入的长期股权投资以换出资产的公允价值为基础确定其初始投资成本，除非有确凿证据</w:t>
      </w:r>
      <w:r>
        <w:rPr>
          <w:spacing w:val="-81"/>
        </w:rPr>
        <w:t> </w:t>
      </w:r>
      <w:r>
        <w:rPr>
          <w:spacing w:val="-81"/>
        </w:rPr>
      </w:r>
      <w:r>
        <w:rPr>
          <w:spacing w:val="-1"/>
        </w:rPr>
        <w:t>表明换入资产的公允价值更加可靠；不满足上述前提的非货币性资产交换，以换出资产的账面价值和应支</w:t>
      </w:r>
      <w:r>
        <w:rPr>
          <w:spacing w:val="-81"/>
        </w:rPr>
        <w:t> </w:t>
      </w:r>
      <w:r>
        <w:rPr>
          <w:spacing w:val="-81"/>
        </w:rPr>
      </w:r>
      <w:r>
        <w:rPr/>
        <w:t>付的相关税费作为换入长期股权投资的初始投资成本。</w:t>
      </w:r>
    </w:p>
    <w:p>
      <w:pPr>
        <w:pStyle w:val="BodyText"/>
        <w:spacing w:line="240" w:lineRule="auto" w:before="47"/>
        <w:ind w:left="574" w:right="132"/>
        <w:jc w:val="left"/>
      </w:pPr>
      <w:r>
        <w:rPr/>
        <w:t>5）通过债务重组取得的长期股权投资，其初始投资成本按照公允价值为基础确定</w:t>
      </w:r>
    </w:p>
    <w:p>
      <w:pPr>
        <w:spacing w:after="0" w:line="240" w:lineRule="auto"/>
        <w:jc w:val="left"/>
        <w:sectPr>
          <w:pgSz w:w="11910" w:h="16840"/>
          <w:pgMar w:header="877" w:footer="1003" w:top="1100" w:bottom="1200" w:left="980" w:right="980"/>
        </w:sectPr>
      </w:pPr>
    </w:p>
    <w:p>
      <w:pPr>
        <w:spacing w:line="240" w:lineRule="auto" w:before="9"/>
        <w:rPr>
          <w:rFonts w:ascii="宋体" w:hAnsi="宋体" w:cs="宋体" w:eastAsia="宋体" w:hint="default"/>
          <w:sz w:val="20"/>
          <w:szCs w:val="20"/>
        </w:rPr>
      </w:pPr>
    </w:p>
    <w:p>
      <w:pPr>
        <w:pStyle w:val="Heading4"/>
        <w:spacing w:line="240" w:lineRule="auto" w:before="35"/>
        <w:ind w:right="196"/>
        <w:jc w:val="left"/>
        <w:rPr>
          <w:b w:val="0"/>
          <w:bCs w:val="0"/>
        </w:rPr>
      </w:pPr>
      <w:r>
        <w:rPr/>
        <w:t>（2）后续计量及损益确认</w:t>
      </w:r>
      <w:r>
        <w:rPr>
          <w:b w:val="0"/>
          <w:bCs w:val="0"/>
        </w:rPr>
      </w:r>
    </w:p>
    <w:p>
      <w:pPr>
        <w:spacing w:line="240" w:lineRule="auto" w:before="11"/>
        <w:rPr>
          <w:rFonts w:ascii="宋体" w:hAnsi="宋体" w:cs="宋体" w:eastAsia="宋体" w:hint="default"/>
          <w:b/>
          <w:bCs/>
          <w:sz w:val="25"/>
          <w:szCs w:val="25"/>
        </w:rPr>
      </w:pPr>
    </w:p>
    <w:p>
      <w:pPr>
        <w:pStyle w:val="BodyText"/>
        <w:spacing w:line="273" w:lineRule="auto"/>
        <w:ind w:left="153" w:right="102" w:firstLine="375"/>
        <w:jc w:val="left"/>
      </w:pPr>
      <w:r>
        <w:rPr/>
        <w:t>公司对子公司的长期股权投资，采用成本法核算，编制合并财务报表时按照权益法进行调整。对被投 </w:t>
      </w:r>
      <w:r>
        <w:rPr>
          <w:spacing w:val="-3"/>
        </w:rPr>
        <w:t>资单位不具有共同控制或重大影响，并且在活跃市场中没有报价、公允价值不能可靠计量的长期股权投资，</w:t>
      </w:r>
      <w:r>
        <w:rPr>
          <w:spacing w:val="-92"/>
        </w:rPr>
        <w:t> </w:t>
      </w:r>
      <w:r>
        <w:rPr>
          <w:spacing w:val="-92"/>
        </w:rPr>
      </w:r>
      <w:r>
        <w:rPr/>
        <w:t>采用成本法核算。对被投资单位具有共同控制或重大影响的长期股权投资，采用权益法核算。</w:t>
      </w:r>
    </w:p>
    <w:p>
      <w:pPr>
        <w:pStyle w:val="BodyText"/>
        <w:spacing w:line="273" w:lineRule="auto" w:before="46"/>
        <w:ind w:left="153" w:right="210" w:firstLine="375"/>
        <w:jc w:val="both"/>
      </w:pPr>
      <w:r>
        <w:rPr/>
        <w:t>采用成本法核算的长期股权投资，除取得投资时实际支付的价款或对价中包含的已宣告但尚未发放的 </w:t>
      </w:r>
      <w:r>
        <w:rPr>
          <w:spacing w:val="-1"/>
        </w:rPr>
        <w:t>现金股利或利润外，投资企业应当按照享有被投资单位宣告发放的现金股利或利润确认投资收益。采用权</w:t>
      </w:r>
      <w:r>
        <w:rPr>
          <w:spacing w:val="-81"/>
        </w:rPr>
        <w:t> </w:t>
      </w:r>
      <w:r>
        <w:rPr>
          <w:spacing w:val="-81"/>
        </w:rPr>
      </w:r>
      <w:r>
        <w:rPr>
          <w:spacing w:val="-1"/>
        </w:rPr>
        <w:t>益法核算的长期股权投资，初始投资成本大于投资时应享有被投资单位可辨认净资产公允价值份额的，其</w:t>
      </w:r>
      <w:r>
        <w:rPr>
          <w:spacing w:val="-81"/>
        </w:rPr>
        <w:t> </w:t>
      </w:r>
      <w:r>
        <w:rPr>
          <w:spacing w:val="-81"/>
        </w:rPr>
      </w:r>
      <w:r>
        <w:rPr>
          <w:spacing w:val="-1"/>
        </w:rPr>
        <w:t>差额包含在初始投资成本中；初始投资成本小于投资时应享有被投资单位可辨认净资产公允价值份额且经</w:t>
      </w:r>
      <w:r>
        <w:rPr>
          <w:spacing w:val="-81"/>
        </w:rPr>
        <w:t> </w:t>
      </w:r>
      <w:r>
        <w:rPr>
          <w:spacing w:val="-81"/>
        </w:rPr>
      </w:r>
      <w:r>
        <w:rPr/>
        <w:t>复核两者差额仍存在时，该差额计入当期损益，同时调整长期股权投资成本。</w:t>
      </w:r>
    </w:p>
    <w:p>
      <w:pPr>
        <w:pStyle w:val="BodyText"/>
        <w:spacing w:line="273" w:lineRule="auto" w:before="47"/>
        <w:ind w:left="153" w:right="102" w:firstLine="375"/>
        <w:jc w:val="left"/>
      </w:pPr>
      <w:r>
        <w:rPr/>
        <w:t>采用权益法核算时，按应享有或应分担的被投资单位的净损益份额确认当期投资损益。确认被投资单 位发生的净亏损，以长期股权投资的账面价值以及其他实质上构成对被投资单位净投资的长期权益减记至 零为限，但本公司负有承担额外损失义务且符合或有事项准则所规定的预计负债确认条件的，继续确认投 资损失和预计负债。被投资单位除净损益以外股东权益的其他变动，本公司按照持股比例计算应享有或承 担的部分直接计入资本公积。被投资单位分派的利润或现金股利于宣告分派时按照本公司应分得的部分，</w:t>
      </w:r>
      <w:r>
        <w:rPr>
          <w:spacing w:val="-36"/>
        </w:rPr>
        <w:t> </w:t>
      </w:r>
      <w:r>
        <w:rPr>
          <w:spacing w:val="-36"/>
        </w:rPr>
      </w:r>
      <w:r>
        <w:rPr/>
        <w:t>相应减少长期股权投资的账面价值。本公司与被投资单位之间的交易产生的未实现损益在本公司拥有被投</w:t>
      </w:r>
      <w:r>
        <w:rPr/>
        <w:t> 资单位的权益范围内予以抵销，惟该交易所转让的资产发生减值的，则相应的未实现损益不予抵销。</w:t>
      </w:r>
    </w:p>
    <w:p>
      <w:pPr>
        <w:spacing w:line="614" w:lineRule="exact" w:before="60"/>
        <w:ind w:left="573" w:right="196" w:hanging="420"/>
        <w:jc w:val="left"/>
        <w:rPr>
          <w:rFonts w:ascii="宋体" w:hAnsi="宋体" w:cs="宋体" w:eastAsia="宋体" w:hint="default"/>
          <w:sz w:val="21"/>
          <w:szCs w:val="21"/>
        </w:rPr>
      </w:pPr>
      <w:r>
        <w:rPr>
          <w:rFonts w:ascii="宋体" w:hAnsi="宋体" w:cs="宋体" w:eastAsia="宋体" w:hint="default"/>
          <w:b/>
          <w:bCs/>
          <w:sz w:val="21"/>
          <w:szCs w:val="21"/>
        </w:rPr>
        <w:t>（3）确定对被投资单位具有共同控制、重大影响的依据</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按照合同约定对某项经济活动所共有的控制，仅在与该项经济活动相关的重要财务和经营决策需要分</w:t>
      </w:r>
    </w:p>
    <w:p>
      <w:pPr>
        <w:pStyle w:val="BodyText"/>
        <w:spacing w:line="219" w:lineRule="exact"/>
        <w:ind w:left="153" w:right="102"/>
        <w:jc w:val="left"/>
      </w:pPr>
      <w:r>
        <w:rPr/>
        <w:t>享控制权的投资方一致同意时存在，则视为与其他方对被投资单位实施共同控制；对一个企业的财务和经</w:t>
      </w:r>
    </w:p>
    <w:p>
      <w:pPr>
        <w:pStyle w:val="BodyText"/>
        <w:spacing w:line="273" w:lineRule="auto" w:before="37"/>
        <w:ind w:left="153" w:right="196"/>
        <w:jc w:val="left"/>
      </w:pPr>
      <w:r>
        <w:rPr>
          <w:spacing w:val="-1"/>
        </w:rPr>
        <w:t>营决策有参与决策的权力，但并不能够控制或者与其他方一起共同控制这些政策的制定，则视为对被投资</w:t>
      </w:r>
      <w:r>
        <w:rPr>
          <w:spacing w:val="-81"/>
        </w:rPr>
        <w:t> </w:t>
      </w:r>
      <w:r>
        <w:rPr>
          <w:spacing w:val="-81"/>
        </w:rPr>
      </w:r>
      <w:r>
        <w:rPr/>
        <w:t>单位施加重大影响。</w:t>
      </w:r>
    </w:p>
    <w:p>
      <w:pPr>
        <w:spacing w:line="614" w:lineRule="exact" w:before="60"/>
        <w:ind w:left="574" w:right="196" w:hanging="421"/>
        <w:jc w:val="left"/>
        <w:rPr>
          <w:rFonts w:ascii="宋体" w:hAnsi="宋体" w:cs="宋体" w:eastAsia="宋体" w:hint="default"/>
          <w:sz w:val="21"/>
          <w:szCs w:val="21"/>
        </w:rPr>
      </w:pPr>
      <w:r>
        <w:rPr>
          <w:rFonts w:ascii="宋体" w:hAnsi="宋体" w:cs="宋体" w:eastAsia="宋体" w:hint="default"/>
          <w:b/>
          <w:bCs/>
          <w:sz w:val="21"/>
          <w:szCs w:val="21"/>
        </w:rPr>
        <w:t>（4）减值测试方法及减值准备计提方法</w:t>
      </w:r>
      <w:r>
        <w:rPr>
          <w:rFonts w:ascii="宋体" w:hAnsi="宋体" w:cs="宋体" w:eastAsia="宋体" w:hint="default"/>
          <w:b/>
          <w:bCs/>
          <w:w w:val="99"/>
          <w:sz w:val="21"/>
          <w:szCs w:val="21"/>
        </w:rPr>
        <w:t> </w:t>
      </w:r>
      <w:r>
        <w:rPr>
          <w:rFonts w:ascii="宋体" w:hAnsi="宋体" w:cs="宋体" w:eastAsia="宋体" w:hint="default"/>
          <w:spacing w:val="-1"/>
          <w:sz w:val="21"/>
          <w:szCs w:val="21"/>
        </w:rPr>
        <w:t>采用成本法核算的、在活跃市场中没有报价、公允价值不能可靠计量的长期股权投资，其账面价值高</w:t>
      </w:r>
    </w:p>
    <w:p>
      <w:pPr>
        <w:pStyle w:val="BodyText"/>
        <w:spacing w:line="219" w:lineRule="exact"/>
        <w:ind w:left="153" w:right="102"/>
        <w:jc w:val="left"/>
      </w:pPr>
      <w:r>
        <w:rPr/>
        <w:t>于按照类似投资当时市场收益率对未来现金流量折现确定的现值，确认该项投资存在减值。采用权益法核</w:t>
      </w:r>
    </w:p>
    <w:p>
      <w:pPr>
        <w:pStyle w:val="BodyText"/>
        <w:spacing w:line="273" w:lineRule="auto" w:before="37"/>
        <w:ind w:left="153" w:right="102"/>
        <w:jc w:val="left"/>
      </w:pPr>
      <w:r>
        <w:rPr/>
        <w:t>算的联营企业和合营企业以及采用成本法核算的子公司的长期股权投资，当长期股权投资的账面价值高于 可收回金额时，确认该项投资存在减值。长期股权投资存在减值迹象的，其账面价值减记至可收回金额。</w:t>
      </w:r>
      <w:r>
        <w:rPr>
          <w:spacing w:val="-36"/>
        </w:rPr>
        <w:t> </w:t>
      </w:r>
      <w:r>
        <w:rPr>
          <w:spacing w:val="-36"/>
        </w:rPr>
      </w:r>
      <w:r>
        <w:rPr/>
        <w:t>可收回金额根据长期股权投资的公允价值减去处置费用后的净额与长期股权投资预计未来现金流量的现</w:t>
      </w:r>
      <w:r>
        <w:rPr/>
        <w:t> 值两者之间较高者确定</w:t>
      </w:r>
    </w:p>
    <w:p>
      <w:pPr>
        <w:spacing w:line="240" w:lineRule="auto" w:before="8"/>
        <w:rPr>
          <w:rFonts w:ascii="宋体" w:hAnsi="宋体" w:cs="宋体" w:eastAsia="宋体" w:hint="default"/>
          <w:sz w:val="23"/>
          <w:szCs w:val="23"/>
        </w:rPr>
      </w:pPr>
    </w:p>
    <w:p>
      <w:pPr>
        <w:pStyle w:val="Heading4"/>
        <w:spacing w:line="240" w:lineRule="auto"/>
        <w:ind w:left="153" w:right="196"/>
        <w:jc w:val="left"/>
        <w:rPr>
          <w:b w:val="0"/>
          <w:bCs w:val="0"/>
        </w:rPr>
      </w:pPr>
      <w:r>
        <w:rPr/>
        <w:t>13、投资性房地产</w:t>
      </w:r>
      <w:r>
        <w:rPr>
          <w:b w:val="0"/>
          <w:bCs w:val="0"/>
        </w:rPr>
      </w:r>
    </w:p>
    <w:p>
      <w:pPr>
        <w:spacing w:line="240" w:lineRule="auto" w:before="11"/>
        <w:rPr>
          <w:rFonts w:ascii="宋体" w:hAnsi="宋体" w:cs="宋体" w:eastAsia="宋体" w:hint="default"/>
          <w:b/>
          <w:bCs/>
          <w:sz w:val="25"/>
          <w:szCs w:val="25"/>
        </w:rPr>
      </w:pPr>
    </w:p>
    <w:p>
      <w:pPr>
        <w:tabs>
          <w:tab w:pos="994" w:val="left" w:leader="none"/>
        </w:tabs>
        <w:spacing w:line="532" w:lineRule="auto" w:before="0"/>
        <w:ind w:left="153" w:right="8168" w:firstLine="0"/>
        <w:jc w:val="left"/>
        <w:rPr>
          <w:rFonts w:ascii="宋体" w:hAnsi="宋体" w:cs="宋体" w:eastAsia="宋体" w:hint="default"/>
          <w:sz w:val="21"/>
          <w:szCs w:val="21"/>
        </w:rPr>
      </w:pPr>
      <w:r>
        <w:rPr>
          <w:rFonts w:ascii="宋体" w:hAnsi="宋体" w:cs="宋体" w:eastAsia="宋体" w:hint="default"/>
          <w:sz w:val="21"/>
          <w:szCs w:val="21"/>
        </w:rPr>
        <w:t>□适用</w:t>
        <w:tab/>
        <w:t>√不适用 </w:t>
      </w:r>
      <w:r>
        <w:rPr>
          <w:rFonts w:ascii="宋体" w:hAnsi="宋体" w:cs="宋体" w:eastAsia="宋体" w:hint="default"/>
          <w:b/>
          <w:bCs/>
          <w:sz w:val="21"/>
          <w:szCs w:val="21"/>
        </w:rPr>
        <w:t>14、固定资产</w:t>
      </w:r>
      <w:r>
        <w:rPr>
          <w:rFonts w:ascii="宋体" w:hAnsi="宋体" w:cs="宋体" w:eastAsia="宋体" w:hint="default"/>
          <w:sz w:val="21"/>
          <w:szCs w:val="21"/>
        </w:rPr>
      </w:r>
    </w:p>
    <w:p>
      <w:pPr>
        <w:pStyle w:val="Heading4"/>
        <w:spacing w:line="240" w:lineRule="auto" w:before="83"/>
        <w:ind w:left="153" w:right="196"/>
        <w:jc w:val="left"/>
        <w:rPr>
          <w:b w:val="0"/>
          <w:bCs w:val="0"/>
        </w:rPr>
      </w:pPr>
      <w:r>
        <w:rPr/>
        <w:t>（1）固定资产确认条件</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left="153" w:right="196" w:firstLine="423"/>
        <w:jc w:val="left"/>
      </w:pPr>
      <w:r>
        <w:rPr>
          <w:spacing w:val="-1"/>
        </w:rPr>
        <w:t>固定资产是指为生产商品、提供劳务、出租或经营管理而持有的，使用寿命超过一个会计年度的有形</w:t>
      </w:r>
      <w:r>
        <w:rPr/>
        <w:t> 资产。固定资产同时满足下列条件的，才能予以确认：</w:t>
      </w:r>
    </w:p>
    <w:p>
      <w:pPr>
        <w:spacing w:after="0" w:line="273" w:lineRule="auto"/>
        <w:jc w:val="left"/>
        <w:sectPr>
          <w:pgSz w:w="11910" w:h="16840"/>
          <w:pgMar w:header="877" w:footer="1003" w:top="1100" w:bottom="1200" w:left="980" w:right="920"/>
        </w:sectPr>
      </w:pPr>
    </w:p>
    <w:p>
      <w:pPr>
        <w:spacing w:line="240" w:lineRule="auto" w:before="10"/>
        <w:rPr>
          <w:rFonts w:ascii="宋体" w:hAnsi="宋体" w:cs="宋体" w:eastAsia="宋体" w:hint="default"/>
          <w:sz w:val="20"/>
          <w:szCs w:val="20"/>
        </w:rPr>
      </w:pPr>
    </w:p>
    <w:p>
      <w:pPr>
        <w:pStyle w:val="BodyText"/>
        <w:spacing w:line="240" w:lineRule="auto" w:before="35"/>
        <w:ind w:left="577" w:right="132"/>
        <w:jc w:val="left"/>
      </w:pPr>
      <w:r>
        <w:rPr/>
        <w:t>1）</w:t>
      </w:r>
      <w:r>
        <w:rPr>
          <w:spacing w:val="-2"/>
        </w:rPr>
        <w:t> </w:t>
      </w:r>
      <w:r>
        <w:rPr/>
        <w:t>与该固定资产有关的经济利益很可能流入企业；</w:t>
      </w:r>
    </w:p>
    <w:p>
      <w:pPr>
        <w:pStyle w:val="BodyText"/>
        <w:spacing w:line="240" w:lineRule="auto" w:before="76"/>
        <w:ind w:left="577" w:right="132"/>
        <w:jc w:val="left"/>
      </w:pPr>
      <w:r>
        <w:rPr/>
        <w:t>2）</w:t>
      </w:r>
      <w:r>
        <w:rPr>
          <w:spacing w:val="-2"/>
        </w:rPr>
        <w:t> </w:t>
      </w:r>
      <w:r>
        <w:rPr/>
        <w:t>该固定资产的成本能够可靠地计量。</w:t>
      </w:r>
    </w:p>
    <w:p>
      <w:pPr>
        <w:spacing w:line="610" w:lineRule="atLeast" w:before="2"/>
        <w:ind w:left="514" w:right="132" w:hanging="360"/>
        <w:jc w:val="left"/>
        <w:rPr>
          <w:rFonts w:ascii="宋体" w:hAnsi="宋体" w:cs="宋体" w:eastAsia="宋体" w:hint="default"/>
          <w:sz w:val="21"/>
          <w:szCs w:val="21"/>
        </w:rPr>
      </w:pPr>
      <w:r>
        <w:rPr>
          <w:rFonts w:ascii="宋体" w:hAnsi="宋体" w:cs="宋体" w:eastAsia="宋体" w:hint="default"/>
          <w:b/>
          <w:bCs/>
          <w:sz w:val="21"/>
          <w:szCs w:val="21"/>
        </w:rPr>
        <w:t>（2）融资租入固定资产的认定依据、计价方法</w:t>
      </w:r>
      <w:r>
        <w:rPr>
          <w:rFonts w:ascii="宋体" w:hAnsi="宋体" w:cs="宋体" w:eastAsia="宋体" w:hint="default"/>
          <w:b/>
          <w:bCs/>
          <w:w w:val="99"/>
          <w:sz w:val="21"/>
          <w:szCs w:val="21"/>
        </w:rPr>
        <w:t> </w:t>
      </w:r>
      <w:r>
        <w:rPr>
          <w:rFonts w:ascii="宋体" w:hAnsi="宋体" w:cs="宋体" w:eastAsia="宋体" w:hint="default"/>
          <w:sz w:val="21"/>
          <w:szCs w:val="21"/>
        </w:rPr>
        <w:t>融资租赁是指实质上转移了与资产所有权有关的全部风险和报酬的租赁，其所有权最终可能转移，也</w:t>
      </w:r>
    </w:p>
    <w:p>
      <w:pPr>
        <w:pStyle w:val="BodyText"/>
        <w:spacing w:line="307" w:lineRule="auto" w:before="38"/>
        <w:ind w:left="514" w:right="1220" w:hanging="360"/>
        <w:jc w:val="left"/>
      </w:pPr>
      <w:r>
        <w:rPr/>
        <w:t>可能不转移。</w:t>
      </w:r>
      <w:r>
        <w:rPr>
          <w:spacing w:val="-1"/>
        </w:rPr>
        <w:t> </w:t>
      </w:r>
      <w:r>
        <w:rPr/>
        <w:t>按租赁资产的公允价值与最低租赁付款额的现值两者中较低者作为租入资产的入账价值。</w:t>
      </w:r>
    </w:p>
    <w:p>
      <w:pPr>
        <w:spacing w:line="614" w:lineRule="exact" w:before="31"/>
        <w:ind w:left="469" w:right="215" w:hanging="316"/>
        <w:jc w:val="left"/>
        <w:rPr>
          <w:rFonts w:ascii="宋体" w:hAnsi="宋体" w:cs="宋体" w:eastAsia="宋体" w:hint="default"/>
          <w:sz w:val="21"/>
          <w:szCs w:val="21"/>
        </w:rPr>
      </w:pPr>
      <w:r>
        <w:rPr>
          <w:rFonts w:ascii="宋体" w:hAnsi="宋体" w:cs="宋体" w:eastAsia="宋体" w:hint="default"/>
          <w:b/>
          <w:bCs/>
          <w:sz w:val="21"/>
          <w:szCs w:val="21"/>
        </w:rPr>
        <w:t>（3）各类固定资产的折旧方法</w:t>
      </w:r>
      <w:r>
        <w:rPr>
          <w:rFonts w:ascii="宋体" w:hAnsi="宋体" w:cs="宋体" w:eastAsia="宋体" w:hint="default"/>
          <w:b/>
          <w:bCs/>
          <w:spacing w:val="1"/>
          <w:w w:val="99"/>
          <w:sz w:val="21"/>
          <w:szCs w:val="21"/>
        </w:rPr>
        <w:t> </w:t>
      </w:r>
      <w:r>
        <w:rPr>
          <w:rFonts w:ascii="宋体" w:hAnsi="宋体" w:cs="宋体" w:eastAsia="宋体" w:hint="default"/>
          <w:sz w:val="21"/>
          <w:szCs w:val="21"/>
        </w:rPr>
        <w:t>固定资产折旧方法：除已提足折旧仍继续使用的固定资产，本公司对所有固定资产计提折旧。折旧方</w:t>
      </w:r>
    </w:p>
    <w:p>
      <w:pPr>
        <w:pStyle w:val="BodyText"/>
        <w:spacing w:line="219" w:lineRule="exact"/>
        <w:ind w:right="0"/>
        <w:jc w:val="left"/>
      </w:pPr>
      <w:r>
        <w:rPr/>
        <w:t>法为平均年限法，对计提了减值准备的固定资产，则在未来期间按扣减减值准备后的账面价值及尚可使用</w:t>
      </w:r>
    </w:p>
    <w:p>
      <w:pPr>
        <w:pStyle w:val="BodyText"/>
        <w:spacing w:line="240" w:lineRule="auto" w:before="37"/>
        <w:ind w:right="132"/>
        <w:jc w:val="left"/>
      </w:pPr>
      <w:r>
        <w:rPr/>
        <w:t>年限确定折旧额</w:t>
      </w:r>
    </w:p>
    <w:p>
      <w:pPr>
        <w:spacing w:line="240" w:lineRule="auto" w:before="11"/>
        <w:rPr>
          <w:rFonts w:ascii="宋体" w:hAnsi="宋体" w:cs="宋体" w:eastAsia="宋体"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518"/>
        <w:gridCol w:w="2105"/>
        <w:gridCol w:w="2220"/>
        <w:gridCol w:w="2725"/>
      </w:tblGrid>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6"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9" w:right="0"/>
              <w:jc w:val="left"/>
              <w:rPr>
                <w:rFonts w:ascii="宋体" w:hAnsi="宋体" w:cs="宋体" w:eastAsia="宋体" w:hint="default"/>
                <w:sz w:val="18"/>
                <w:szCs w:val="18"/>
              </w:rPr>
            </w:pPr>
            <w:r>
              <w:rPr>
                <w:rFonts w:ascii="宋体" w:hAnsi="宋体" w:cs="宋体" w:eastAsia="宋体" w:hint="default"/>
                <w:sz w:val="18"/>
                <w:szCs w:val="18"/>
              </w:rPr>
              <w:t>残值率（%）</w:t>
            </w:r>
          </w:p>
        </w:tc>
        <w:tc>
          <w:tcPr>
            <w:tcW w:w="2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20-50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1.90-4.75</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9.50-19.00</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19.00</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9.50-19.00</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房屋装修费</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9.50</w:t>
            </w:r>
          </w:p>
        </w:tc>
      </w:tr>
    </w:tbl>
    <w:p>
      <w:pPr>
        <w:spacing w:line="240" w:lineRule="auto" w:before="2"/>
        <w:rPr>
          <w:rFonts w:ascii="宋体" w:hAnsi="宋体" w:cs="宋体" w:eastAsia="宋体" w:hint="default"/>
          <w:sz w:val="19"/>
          <w:szCs w:val="19"/>
        </w:rPr>
      </w:pPr>
    </w:p>
    <w:p>
      <w:pPr>
        <w:pStyle w:val="Heading4"/>
        <w:spacing w:line="240" w:lineRule="auto" w:before="35"/>
        <w:ind w:right="132"/>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42" w:firstLine="420"/>
        <w:jc w:val="both"/>
      </w:pPr>
      <w:r>
        <w:rPr>
          <w:spacing w:val="3"/>
        </w:rPr>
        <w:t>当固定资产的公允价值减去处置费用后的净额和资产预计未来现金流量的现值均低于固定资产账面</w:t>
      </w:r>
      <w:r>
        <w:rPr/>
        <w:t> </w:t>
      </w:r>
      <w:r>
        <w:rPr>
          <w:spacing w:val="-1"/>
        </w:rPr>
        <w:t>价值时，确认固定资产存在减值迹象。固定资产存在减值迹象的，其账面价值减记至可收回金额。可收回</w:t>
      </w:r>
      <w:r>
        <w:rPr>
          <w:spacing w:val="-82"/>
        </w:rPr>
        <w:t> </w:t>
      </w:r>
      <w:r>
        <w:rPr>
          <w:spacing w:val="-82"/>
        </w:rPr>
      </w:r>
      <w:r>
        <w:rPr>
          <w:spacing w:val="3"/>
        </w:rPr>
        <w:t>金额根据固定资产的公允价值减去处置费用后的净额与固定资产预计未来现金流量的现值两者之间较高</w:t>
      </w:r>
      <w:r>
        <w:rPr>
          <w:spacing w:val="-78"/>
        </w:rPr>
        <w:t> </w:t>
      </w:r>
      <w:r>
        <w:rPr>
          <w:spacing w:val="-78"/>
        </w:rPr>
      </w:r>
      <w:r>
        <w:rPr/>
        <w:t>者确定。</w:t>
      </w:r>
    </w:p>
    <w:p>
      <w:pPr>
        <w:spacing w:line="240" w:lineRule="auto" w:before="6"/>
        <w:rPr>
          <w:rFonts w:ascii="宋体" w:hAnsi="宋体" w:cs="宋体" w:eastAsia="宋体" w:hint="default"/>
          <w:sz w:val="24"/>
          <w:szCs w:val="24"/>
        </w:rPr>
      </w:pPr>
    </w:p>
    <w:p>
      <w:pPr>
        <w:pStyle w:val="BodyText"/>
        <w:spacing w:line="273" w:lineRule="auto"/>
        <w:ind w:right="149" w:firstLine="420"/>
        <w:jc w:val="both"/>
      </w:pPr>
      <w:r>
        <w:rPr>
          <w:spacing w:val="-1"/>
        </w:rPr>
        <w:t>符合持有待售条件的固定资产，以账面价值与公允价值减去处置费用孰低的金额列示。公允价值减去</w:t>
      </w:r>
      <w:r>
        <w:rPr/>
        <w:t> 处置费用低于原账面价值的金额，确认为资产减值损失。</w:t>
      </w:r>
    </w:p>
    <w:p>
      <w:pPr>
        <w:spacing w:line="240" w:lineRule="auto" w:before="8"/>
        <w:rPr>
          <w:rFonts w:ascii="宋体" w:hAnsi="宋体" w:cs="宋体" w:eastAsia="宋体" w:hint="default"/>
          <w:sz w:val="23"/>
          <w:szCs w:val="23"/>
        </w:rPr>
      </w:pPr>
    </w:p>
    <w:p>
      <w:pPr>
        <w:pStyle w:val="Heading4"/>
        <w:spacing w:line="240" w:lineRule="auto"/>
        <w:ind w:right="132"/>
        <w:jc w:val="left"/>
        <w:rPr>
          <w:b w:val="0"/>
          <w:bCs w:val="0"/>
        </w:rPr>
      </w:pPr>
      <w:r>
        <w:rPr/>
        <w:t>15、在建工程</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132"/>
        <w:jc w:val="left"/>
        <w:rPr>
          <w:b w:val="0"/>
          <w:bCs w:val="0"/>
        </w:rPr>
      </w:pPr>
      <w:r>
        <w:rPr/>
        <w:t>（1）在建工程的类别</w:t>
      </w:r>
      <w:r>
        <w:rPr>
          <w:b w:val="0"/>
          <w:bCs w:val="0"/>
        </w:rPr>
      </w:r>
    </w:p>
    <w:p>
      <w:pPr>
        <w:spacing w:line="610" w:lineRule="atLeast" w:before="3"/>
        <w:ind w:left="529" w:right="132" w:hanging="375"/>
        <w:jc w:val="left"/>
        <w:rPr>
          <w:rFonts w:ascii="宋体" w:hAnsi="宋体" w:cs="宋体" w:eastAsia="宋体" w:hint="default"/>
          <w:sz w:val="21"/>
          <w:szCs w:val="21"/>
        </w:rPr>
      </w:pPr>
      <w:r>
        <w:rPr>
          <w:rFonts w:ascii="宋体" w:hAnsi="宋体" w:cs="宋体" w:eastAsia="宋体" w:hint="default"/>
          <w:b/>
          <w:bCs/>
          <w:sz w:val="21"/>
          <w:szCs w:val="21"/>
        </w:rPr>
        <w:t>（2）在建工程结转为固定资产的标准和时点</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本公司所建造的固定资产已达到预定可使用状态，但尚未办理竣工决算的，自达到预定可使用状态之</w:t>
      </w:r>
    </w:p>
    <w:p>
      <w:pPr>
        <w:pStyle w:val="BodyText"/>
        <w:spacing w:line="273" w:lineRule="auto" w:before="37"/>
        <w:ind w:right="132"/>
        <w:jc w:val="left"/>
      </w:pPr>
      <w:r>
        <w:rPr>
          <w:spacing w:val="-1"/>
        </w:rPr>
        <w:t>日起，根据在建工程已经发生的实际成本及未来发生的预计成本，按估计的价值转入固定资产，并按本会</w:t>
      </w:r>
      <w:r>
        <w:rPr>
          <w:spacing w:val="-83"/>
        </w:rPr>
        <w:t> </w:t>
      </w:r>
      <w:r>
        <w:rPr>
          <w:spacing w:val="-83"/>
        </w:rPr>
      </w:r>
      <w:r>
        <w:rPr/>
        <w:t>计政策的相关规定计提固定资产折旧，待办理了竣工决算手续后再作调整。</w:t>
      </w:r>
    </w:p>
    <w:p>
      <w:pPr>
        <w:spacing w:after="0" w:line="273" w:lineRule="auto"/>
        <w:jc w:val="left"/>
        <w:sectPr>
          <w:pgSz w:w="11910" w:h="16840"/>
          <w:pgMar w:header="877" w:footer="1003" w:top="1100" w:bottom="1200" w:left="980" w:right="980"/>
        </w:sectPr>
      </w:pPr>
    </w:p>
    <w:p>
      <w:pPr>
        <w:spacing w:line="240" w:lineRule="auto" w:before="9"/>
        <w:rPr>
          <w:rFonts w:ascii="宋体" w:hAnsi="宋体" w:cs="宋体" w:eastAsia="宋体" w:hint="default"/>
          <w:sz w:val="20"/>
          <w:szCs w:val="20"/>
        </w:rPr>
      </w:pPr>
    </w:p>
    <w:p>
      <w:pPr>
        <w:pStyle w:val="Heading4"/>
        <w:spacing w:line="240" w:lineRule="auto" w:before="35"/>
        <w:ind w:right="196"/>
        <w:jc w:val="left"/>
        <w:rPr>
          <w:b w:val="0"/>
          <w:bCs w:val="0"/>
        </w:rPr>
      </w:pPr>
      <w:r>
        <w:rPr/>
        <w:t>（3）在建工程的减值测试方法、减值准备计提方法</w:t>
      </w:r>
      <w:r>
        <w:rPr>
          <w:b w:val="0"/>
          <w:bCs w:val="0"/>
        </w:rPr>
      </w:r>
    </w:p>
    <w:p>
      <w:pPr>
        <w:spacing w:line="240" w:lineRule="auto" w:before="12"/>
        <w:rPr>
          <w:rFonts w:ascii="宋体" w:hAnsi="宋体" w:cs="宋体" w:eastAsia="宋体" w:hint="default"/>
          <w:b/>
          <w:bCs/>
          <w:sz w:val="25"/>
          <w:szCs w:val="25"/>
        </w:rPr>
      </w:pPr>
    </w:p>
    <w:p>
      <w:pPr>
        <w:tabs>
          <w:tab w:pos="994" w:val="left" w:leader="none"/>
        </w:tabs>
        <w:spacing w:line="532" w:lineRule="auto" w:before="0"/>
        <w:ind w:left="154" w:right="8168" w:firstLine="0"/>
        <w:jc w:val="left"/>
        <w:rPr>
          <w:rFonts w:ascii="宋体" w:hAnsi="宋体" w:cs="宋体" w:eastAsia="宋体" w:hint="default"/>
          <w:sz w:val="21"/>
          <w:szCs w:val="21"/>
        </w:rPr>
      </w:pPr>
      <w:r>
        <w:rPr>
          <w:rFonts w:ascii="宋体" w:hAnsi="宋体" w:cs="宋体" w:eastAsia="宋体" w:hint="default"/>
          <w:sz w:val="21"/>
          <w:szCs w:val="21"/>
        </w:rPr>
        <w:t>□适用</w:t>
        <w:tab/>
        <w:t>√不适用 </w:t>
      </w:r>
      <w:r>
        <w:rPr>
          <w:rFonts w:ascii="宋体" w:hAnsi="宋体" w:cs="宋体" w:eastAsia="宋体" w:hint="default"/>
          <w:b/>
          <w:bCs/>
          <w:sz w:val="21"/>
          <w:szCs w:val="21"/>
        </w:rPr>
        <w:t>16、借款费用</w:t>
      </w:r>
      <w:r>
        <w:rPr>
          <w:rFonts w:ascii="宋体" w:hAnsi="宋体" w:cs="宋体" w:eastAsia="宋体" w:hint="default"/>
          <w:sz w:val="21"/>
          <w:szCs w:val="21"/>
        </w:rPr>
      </w:r>
    </w:p>
    <w:p>
      <w:pPr>
        <w:pStyle w:val="Heading4"/>
        <w:spacing w:line="240" w:lineRule="auto" w:before="83"/>
        <w:ind w:right="196"/>
        <w:jc w:val="left"/>
        <w:rPr>
          <w:b w:val="0"/>
          <w:bCs w:val="0"/>
        </w:rPr>
      </w:pPr>
      <w:r>
        <w:rPr/>
        <w:t>（1）借款费用资本化的确认原则</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210" w:firstLine="420"/>
        <w:jc w:val="both"/>
      </w:pPr>
      <w:r>
        <w:rPr>
          <w:spacing w:val="-1"/>
        </w:rPr>
        <w:t>可直接归属于符合资本化条件的资产的购建或者生产的，予以资本化，计入相关资产成本；其他借款</w:t>
      </w:r>
      <w:r>
        <w:rPr/>
        <w:t> </w:t>
      </w:r>
      <w:r>
        <w:rPr>
          <w:spacing w:val="-1"/>
        </w:rPr>
        <w:t>费用，在发生时根据其发生额确认为费用，计入当期损益。在同时具备下列三个条件时，予以资本化，计</w:t>
      </w:r>
      <w:r>
        <w:rPr>
          <w:spacing w:val="-83"/>
        </w:rPr>
        <w:t> </w:t>
      </w:r>
      <w:r>
        <w:rPr>
          <w:spacing w:val="-83"/>
        </w:rPr>
      </w:r>
      <w:r>
        <w:rPr/>
        <w:t>入相关资产成本</w:t>
      </w:r>
    </w:p>
    <w:p>
      <w:pPr>
        <w:pStyle w:val="BodyText"/>
        <w:spacing w:line="240" w:lineRule="auto" w:before="7"/>
        <w:ind w:left="574" w:right="196"/>
        <w:jc w:val="left"/>
      </w:pPr>
      <w:r>
        <w:rPr/>
        <w:t>1）资产支出已经发生；</w:t>
      </w:r>
    </w:p>
    <w:p>
      <w:pPr>
        <w:pStyle w:val="BodyText"/>
        <w:spacing w:line="240" w:lineRule="auto" w:before="37"/>
        <w:ind w:left="574" w:right="196"/>
        <w:jc w:val="left"/>
      </w:pPr>
      <w:r>
        <w:rPr/>
        <w:t>2）借款费用已经发生；</w:t>
      </w:r>
    </w:p>
    <w:p>
      <w:pPr>
        <w:pStyle w:val="BodyText"/>
        <w:spacing w:line="240" w:lineRule="auto" w:before="37"/>
        <w:ind w:left="574" w:right="196"/>
        <w:jc w:val="left"/>
      </w:pPr>
      <w:r>
        <w:rPr/>
        <w:t>3）为使资产达到预定可使用状态所必要的购建活动已经开始</w:t>
      </w:r>
    </w:p>
    <w:p>
      <w:pPr>
        <w:spacing w:line="240" w:lineRule="auto" w:before="1"/>
        <w:rPr>
          <w:rFonts w:ascii="宋体" w:hAnsi="宋体" w:cs="宋体" w:eastAsia="宋体" w:hint="default"/>
          <w:sz w:val="24"/>
          <w:szCs w:val="24"/>
        </w:rPr>
      </w:pPr>
    </w:p>
    <w:p>
      <w:pPr>
        <w:spacing w:line="610" w:lineRule="atLeast" w:before="0"/>
        <w:ind w:left="469" w:right="275" w:hanging="316"/>
        <w:jc w:val="left"/>
        <w:rPr>
          <w:rFonts w:ascii="宋体" w:hAnsi="宋体" w:cs="宋体" w:eastAsia="宋体" w:hint="default"/>
          <w:sz w:val="21"/>
          <w:szCs w:val="21"/>
        </w:rPr>
      </w:pPr>
      <w:r>
        <w:rPr>
          <w:rFonts w:ascii="宋体" w:hAnsi="宋体" w:cs="宋体" w:eastAsia="宋体" w:hint="default"/>
          <w:b/>
          <w:bCs/>
          <w:sz w:val="21"/>
          <w:szCs w:val="21"/>
        </w:rPr>
        <w:t>（2）借款费用资本化期间</w:t>
      </w:r>
      <w:r>
        <w:rPr>
          <w:rFonts w:ascii="宋体" w:hAnsi="宋体" w:cs="宋体" w:eastAsia="宋体" w:hint="default"/>
          <w:b/>
          <w:bCs/>
          <w:w w:val="99"/>
          <w:sz w:val="21"/>
          <w:szCs w:val="21"/>
        </w:rPr>
        <w:t> </w:t>
      </w:r>
      <w:r>
        <w:rPr>
          <w:rFonts w:ascii="宋体" w:hAnsi="宋体" w:cs="宋体" w:eastAsia="宋体" w:hint="default"/>
          <w:sz w:val="21"/>
          <w:szCs w:val="21"/>
        </w:rPr>
        <w:t>发生的可直接归属于需要经过相当长时间的购建活动才能达到预定可使用状态之固定资产的购建的借</w:t>
      </w:r>
    </w:p>
    <w:p>
      <w:pPr>
        <w:pStyle w:val="BodyText"/>
        <w:spacing w:line="273" w:lineRule="auto" w:before="37"/>
        <w:ind w:left="153" w:right="102"/>
        <w:jc w:val="left"/>
      </w:pPr>
      <w:r>
        <w:rPr/>
        <w:t>款费用，在资产支出及借款费用已经发生、为使资产达到预定可使用状态所必要的购建活动已经开始时，</w:t>
      </w:r>
      <w:r>
        <w:rPr>
          <w:spacing w:val="-36"/>
        </w:rPr>
        <w:t> </w:t>
      </w:r>
      <w:r>
        <w:rPr>
          <w:spacing w:val="-36"/>
        </w:rPr>
      </w:r>
      <w:r>
        <w:rPr/>
        <w:t>开始资本化并计入该资产的成本。</w:t>
      </w:r>
    </w:p>
    <w:p>
      <w:pPr>
        <w:spacing w:line="240" w:lineRule="auto" w:before="8"/>
        <w:rPr>
          <w:rFonts w:ascii="宋体" w:hAnsi="宋体" w:cs="宋体" w:eastAsia="宋体" w:hint="default"/>
          <w:sz w:val="23"/>
          <w:szCs w:val="23"/>
        </w:rPr>
      </w:pPr>
    </w:p>
    <w:p>
      <w:pPr>
        <w:pStyle w:val="Heading4"/>
        <w:spacing w:line="240" w:lineRule="auto"/>
        <w:ind w:left="153" w:right="196"/>
        <w:jc w:val="left"/>
        <w:rPr>
          <w:b w:val="0"/>
          <w:bCs w:val="0"/>
        </w:rPr>
      </w:pPr>
      <w:r>
        <w:rPr/>
        <w:t>（3）暂停资本化期间</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left="469" w:right="196"/>
        <w:jc w:val="left"/>
      </w:pPr>
      <w:r>
        <w:rPr/>
        <w:t>购建的资产达到预定可使用状态时停止资本化，其后发生的借款费用计入当期损益。 </w:t>
      </w:r>
      <w:r>
        <w:rPr>
          <w:spacing w:val="-1"/>
        </w:rPr>
        <w:t>如果资产的购建活动发生非正常中断，并且中断时间连续超过3个月，暂停借款费用的资本化，直至资</w:t>
      </w:r>
    </w:p>
    <w:p>
      <w:pPr>
        <w:pStyle w:val="BodyText"/>
        <w:spacing w:line="240" w:lineRule="auto" w:before="7"/>
        <w:ind w:left="153" w:right="196"/>
        <w:jc w:val="left"/>
      </w:pPr>
      <w:r>
        <w:rPr/>
        <w:t>产的购建活动重新开始。</w:t>
      </w:r>
    </w:p>
    <w:p>
      <w:pPr>
        <w:spacing w:line="240" w:lineRule="auto" w:before="1"/>
        <w:rPr>
          <w:rFonts w:ascii="宋体" w:hAnsi="宋体" w:cs="宋体" w:eastAsia="宋体" w:hint="default"/>
          <w:sz w:val="24"/>
          <w:szCs w:val="24"/>
        </w:rPr>
      </w:pPr>
    </w:p>
    <w:p>
      <w:pPr>
        <w:spacing w:line="610" w:lineRule="atLeast" w:before="0"/>
        <w:ind w:left="574" w:right="196" w:hanging="421"/>
        <w:jc w:val="left"/>
        <w:rPr>
          <w:rFonts w:ascii="宋体" w:hAnsi="宋体" w:cs="宋体" w:eastAsia="宋体" w:hint="default"/>
          <w:sz w:val="21"/>
          <w:szCs w:val="21"/>
        </w:rPr>
      </w:pPr>
      <w:r>
        <w:rPr>
          <w:rFonts w:ascii="宋体" w:hAnsi="宋体" w:cs="宋体" w:eastAsia="宋体" w:hint="default"/>
          <w:b/>
          <w:bCs/>
          <w:sz w:val="21"/>
          <w:szCs w:val="21"/>
        </w:rPr>
        <w:t>（4）借款费用资本化金额的计算方法</w:t>
      </w:r>
      <w:r>
        <w:rPr>
          <w:rFonts w:ascii="宋体" w:hAnsi="宋体" w:cs="宋体" w:eastAsia="宋体" w:hint="default"/>
          <w:b/>
          <w:bCs/>
          <w:w w:val="99"/>
          <w:sz w:val="21"/>
          <w:szCs w:val="21"/>
        </w:rPr>
        <w:t> </w:t>
      </w:r>
      <w:r>
        <w:rPr>
          <w:rFonts w:ascii="宋体" w:hAnsi="宋体" w:cs="宋体" w:eastAsia="宋体" w:hint="default"/>
          <w:spacing w:val="-1"/>
          <w:sz w:val="21"/>
          <w:szCs w:val="21"/>
        </w:rPr>
        <w:t>在资本化期间内，专门借款(指为购建或者生产符合资本化条件的资产而专门借入的款项)以专门借款</w:t>
      </w:r>
    </w:p>
    <w:p>
      <w:pPr>
        <w:pStyle w:val="BodyText"/>
        <w:spacing w:line="273" w:lineRule="auto" w:before="37"/>
        <w:ind w:right="211"/>
        <w:jc w:val="both"/>
      </w:pPr>
      <w:r>
        <w:rPr>
          <w:spacing w:val="-1"/>
        </w:rPr>
        <w:t>当期实际发生的利息费用，减去将尚未动用的借款资金存入银行取得的利息收入或进行暂时性投资取得的</w:t>
      </w:r>
      <w:r>
        <w:rPr>
          <w:spacing w:val="-81"/>
        </w:rPr>
        <w:t> </w:t>
      </w:r>
      <w:r>
        <w:rPr>
          <w:spacing w:val="-81"/>
        </w:rPr>
      </w:r>
      <w:r>
        <w:rPr>
          <w:spacing w:val="-1"/>
        </w:rPr>
        <w:t>投资收益后确定应予资本化的利息金额；一般借款则根据累计资产支出超过专门借款部分的资产支出加权</w:t>
      </w:r>
      <w:r>
        <w:rPr>
          <w:spacing w:val="-81"/>
        </w:rPr>
        <w:t> </w:t>
      </w:r>
      <w:r>
        <w:rPr>
          <w:spacing w:val="-81"/>
        </w:rPr>
      </w:r>
      <w:r>
        <w:rPr>
          <w:spacing w:val="-1"/>
        </w:rPr>
        <w:t>平均数乘以所占用一般借款的资本化率，计算确定一般借款应予资本化的利息金额。资本化率根据一般借</w:t>
      </w:r>
      <w:r>
        <w:rPr>
          <w:spacing w:val="-81"/>
        </w:rPr>
        <w:t> </w:t>
      </w:r>
      <w:r>
        <w:rPr>
          <w:spacing w:val="-81"/>
        </w:rPr>
      </w:r>
      <w:r>
        <w:rPr/>
        <w:t>款加权平均利率计算确定。</w:t>
      </w:r>
    </w:p>
    <w:p>
      <w:pPr>
        <w:spacing w:line="240" w:lineRule="auto" w:before="6"/>
        <w:rPr>
          <w:rFonts w:ascii="宋体" w:hAnsi="宋体" w:cs="宋体" w:eastAsia="宋体" w:hint="default"/>
          <w:sz w:val="24"/>
          <w:szCs w:val="24"/>
        </w:rPr>
      </w:pPr>
    </w:p>
    <w:p>
      <w:pPr>
        <w:pStyle w:val="BodyText"/>
        <w:spacing w:line="273" w:lineRule="auto"/>
        <w:ind w:right="210" w:firstLine="420"/>
        <w:jc w:val="both"/>
      </w:pPr>
      <w:r>
        <w:rPr>
          <w:spacing w:val="-1"/>
        </w:rPr>
        <w:t>借款存在折价或者溢价的，按照实际利率法确定每一会计期间应摊销的折价或者溢价金额，调整每期</w:t>
      </w:r>
      <w:r>
        <w:rPr/>
        <w:t> 利息金额。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196"/>
        <w:jc w:val="left"/>
        <w:rPr>
          <w:b w:val="0"/>
          <w:bCs w:val="0"/>
        </w:rPr>
      </w:pPr>
      <w:r>
        <w:rPr/>
        <w:t>17、生物资产</w:t>
      </w:r>
      <w:r>
        <w:rPr>
          <w:b w:val="0"/>
          <w:bCs w:val="0"/>
        </w:rPr>
      </w:r>
    </w:p>
    <w:p>
      <w:pPr>
        <w:spacing w:line="240" w:lineRule="auto" w:before="12"/>
        <w:rPr>
          <w:rFonts w:ascii="宋体" w:hAnsi="宋体" w:cs="宋体" w:eastAsia="宋体" w:hint="default"/>
          <w:b/>
          <w:bCs/>
          <w:sz w:val="25"/>
          <w:szCs w:val="25"/>
        </w:rPr>
      </w:pPr>
    </w:p>
    <w:p>
      <w:pPr>
        <w:pStyle w:val="BodyText"/>
        <w:tabs>
          <w:tab w:pos="994" w:val="left" w:leader="none"/>
        </w:tabs>
        <w:spacing w:line="240" w:lineRule="auto"/>
        <w:ind w:right="196"/>
        <w:jc w:val="left"/>
      </w:pPr>
      <w:r>
        <w:rPr/>
        <w:t>□适用</w:t>
        <w:tab/>
        <w:t>√不适用</w:t>
      </w:r>
    </w:p>
    <w:p>
      <w:pPr>
        <w:spacing w:after="0" w:line="240" w:lineRule="auto"/>
        <w:jc w:val="left"/>
        <w:sectPr>
          <w:pgSz w:w="11910" w:h="16840"/>
          <w:pgMar w:header="877" w:footer="1003" w:top="1100" w:bottom="1200" w:left="980" w:right="920"/>
        </w:sectPr>
      </w:pPr>
    </w:p>
    <w:p>
      <w:pPr>
        <w:spacing w:line="240" w:lineRule="auto" w:before="9"/>
        <w:rPr>
          <w:rFonts w:ascii="宋体" w:hAnsi="宋体" w:cs="宋体" w:eastAsia="宋体" w:hint="default"/>
          <w:sz w:val="20"/>
          <w:szCs w:val="20"/>
        </w:rPr>
      </w:pPr>
    </w:p>
    <w:p>
      <w:pPr>
        <w:pStyle w:val="Heading4"/>
        <w:spacing w:line="240" w:lineRule="auto" w:before="35"/>
        <w:ind w:right="132"/>
        <w:jc w:val="left"/>
        <w:rPr>
          <w:b w:val="0"/>
          <w:bCs w:val="0"/>
        </w:rPr>
      </w:pPr>
      <w:r>
        <w:rPr/>
        <w:t>18、油气资产</w:t>
      </w:r>
      <w:r>
        <w:rPr>
          <w:b w:val="0"/>
          <w:bCs w:val="0"/>
        </w:rPr>
      </w:r>
    </w:p>
    <w:p>
      <w:pPr>
        <w:spacing w:line="240" w:lineRule="auto" w:before="12"/>
        <w:rPr>
          <w:rFonts w:ascii="宋体" w:hAnsi="宋体" w:cs="宋体" w:eastAsia="宋体" w:hint="default"/>
          <w:b/>
          <w:bCs/>
          <w:sz w:val="25"/>
          <w:szCs w:val="25"/>
        </w:rPr>
      </w:pPr>
    </w:p>
    <w:p>
      <w:pPr>
        <w:tabs>
          <w:tab w:pos="994" w:val="left" w:leader="none"/>
        </w:tabs>
        <w:spacing w:line="532" w:lineRule="auto" w:before="0"/>
        <w:ind w:left="154" w:right="8108" w:firstLine="0"/>
        <w:jc w:val="left"/>
        <w:rPr>
          <w:rFonts w:ascii="宋体" w:hAnsi="宋体" w:cs="宋体" w:eastAsia="宋体" w:hint="default"/>
          <w:sz w:val="21"/>
          <w:szCs w:val="21"/>
        </w:rPr>
      </w:pPr>
      <w:r>
        <w:rPr>
          <w:rFonts w:ascii="宋体" w:hAnsi="宋体" w:cs="宋体" w:eastAsia="宋体" w:hint="default"/>
          <w:sz w:val="21"/>
          <w:szCs w:val="21"/>
        </w:rPr>
        <w:t>□适用</w:t>
        <w:tab/>
        <w:t>√不适用 </w:t>
      </w:r>
      <w:r>
        <w:rPr>
          <w:rFonts w:ascii="宋体" w:hAnsi="宋体" w:cs="宋体" w:eastAsia="宋体" w:hint="default"/>
          <w:b/>
          <w:bCs/>
          <w:sz w:val="21"/>
          <w:szCs w:val="21"/>
        </w:rPr>
        <w:t>19、无形资产</w:t>
      </w:r>
      <w:r>
        <w:rPr>
          <w:rFonts w:ascii="宋体" w:hAnsi="宋体" w:cs="宋体" w:eastAsia="宋体" w:hint="default"/>
          <w:sz w:val="21"/>
          <w:szCs w:val="21"/>
        </w:rPr>
      </w:r>
    </w:p>
    <w:p>
      <w:pPr>
        <w:pStyle w:val="Heading4"/>
        <w:spacing w:line="240" w:lineRule="auto" w:before="83"/>
        <w:ind w:right="132"/>
        <w:jc w:val="left"/>
        <w:rPr>
          <w:b w:val="0"/>
          <w:bCs w:val="0"/>
        </w:rPr>
      </w:pPr>
      <w:r>
        <w:rPr/>
        <w:t>（1）无形资产的计价方法</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150" w:firstLine="420"/>
        <w:jc w:val="both"/>
      </w:pPr>
      <w:r>
        <w:rPr>
          <w:spacing w:val="-1"/>
        </w:rPr>
        <w:t>购入的无形资产，按实际支付的价款和相关的其他支出作为实际成本。投资者投入的无形资产，按投</w:t>
      </w:r>
      <w:r>
        <w:rPr/>
        <w:t> </w:t>
      </w:r>
      <w:r>
        <w:rPr>
          <w:spacing w:val="-1"/>
        </w:rPr>
        <w:t>资合同或协议约定的价值确定实际成本，但合同或协议约定价值不公允的，按公允价值确定实际成本。自</w:t>
      </w:r>
      <w:r>
        <w:rPr>
          <w:spacing w:val="-83"/>
        </w:rPr>
        <w:t> </w:t>
      </w:r>
      <w:r>
        <w:rPr>
          <w:spacing w:val="-83"/>
        </w:rPr>
      </w:r>
      <w:r>
        <w:rPr>
          <w:spacing w:val="-1"/>
        </w:rPr>
        <w:t>行研究开发的无形资产，其研究阶段的支出，于发生时计入当期损益；其开发阶段的支出，同时满足下列</w:t>
      </w:r>
      <w:r>
        <w:rPr>
          <w:spacing w:val="-82"/>
        </w:rPr>
        <w:t> </w:t>
      </w:r>
      <w:r>
        <w:rPr>
          <w:spacing w:val="-82"/>
        </w:rPr>
      </w:r>
      <w:r>
        <w:rPr/>
        <w:t>条件的，确认为无形资产（专利技术和非专利技术）。</w:t>
      </w:r>
    </w:p>
    <w:p>
      <w:pPr>
        <w:pStyle w:val="BodyText"/>
        <w:spacing w:line="240" w:lineRule="auto" w:before="7"/>
        <w:ind w:left="574" w:right="132"/>
        <w:jc w:val="left"/>
      </w:pPr>
      <w:r>
        <w:rPr/>
        <w:t>1）完成该无形资产以使其能够使用或出售在技术上具有可行性；</w:t>
      </w:r>
    </w:p>
    <w:p>
      <w:pPr>
        <w:pStyle w:val="BodyText"/>
        <w:spacing w:line="240" w:lineRule="auto" w:before="37"/>
        <w:ind w:left="574" w:right="132"/>
        <w:jc w:val="left"/>
      </w:pPr>
      <w:r>
        <w:rPr/>
        <w:t>2）具有完成该无形资产并使用或出售的意图；</w:t>
      </w:r>
    </w:p>
    <w:p>
      <w:pPr>
        <w:pStyle w:val="BodyText"/>
        <w:spacing w:line="240" w:lineRule="auto" w:before="37"/>
        <w:ind w:left="574" w:right="132"/>
        <w:jc w:val="left"/>
      </w:pPr>
      <w:r>
        <w:rPr/>
        <w:t>3）运用该无形资产生产的产品存在市场或无形资产自身存在市场；</w:t>
      </w:r>
    </w:p>
    <w:p>
      <w:pPr>
        <w:pStyle w:val="BodyText"/>
        <w:spacing w:line="273" w:lineRule="auto" w:before="37"/>
        <w:ind w:right="132" w:firstLine="420"/>
        <w:jc w:val="left"/>
      </w:pPr>
      <w:r>
        <w:rPr/>
        <w:t>4）有足够的技术、财务资源和其他资源支持，以完成该无形资产的开发，并有能力使用或出售该无</w:t>
      </w:r>
      <w:r>
        <w:rPr>
          <w:spacing w:val="2"/>
        </w:rPr>
        <w:t> </w:t>
      </w:r>
      <w:r>
        <w:rPr/>
        <w:t>形资产；</w:t>
      </w:r>
    </w:p>
    <w:p>
      <w:pPr>
        <w:pStyle w:val="BodyText"/>
        <w:spacing w:line="240" w:lineRule="auto" w:before="7"/>
        <w:ind w:left="574" w:right="132"/>
        <w:jc w:val="left"/>
      </w:pPr>
      <w:r>
        <w:rPr/>
        <w:t>5）归属于该无形资产开发阶段的支出能够可靠地计量；</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line="535" w:lineRule="auto" w:before="0"/>
        <w:ind w:left="574" w:right="530" w:hanging="420"/>
        <w:jc w:val="left"/>
        <w:rPr>
          <w:rFonts w:ascii="宋体" w:hAnsi="宋体" w:cs="宋体" w:eastAsia="宋体" w:hint="default"/>
          <w:sz w:val="21"/>
          <w:szCs w:val="21"/>
        </w:rPr>
      </w:pPr>
      <w:r>
        <w:rPr>
          <w:rFonts w:ascii="宋体" w:hAnsi="宋体" w:cs="宋体" w:eastAsia="宋体" w:hint="default"/>
          <w:b/>
          <w:bCs/>
          <w:sz w:val="21"/>
          <w:szCs w:val="21"/>
        </w:rPr>
        <w:t>（2）使用寿命有限的无形资产的使用寿命估计情况</w:t>
      </w:r>
      <w:r>
        <w:rPr>
          <w:rFonts w:ascii="宋体" w:hAnsi="宋体" w:cs="宋体" w:eastAsia="宋体" w:hint="default"/>
          <w:b/>
          <w:bCs/>
          <w:w w:val="99"/>
          <w:sz w:val="21"/>
          <w:szCs w:val="21"/>
        </w:rPr>
        <w:t> </w:t>
      </w:r>
      <w:r>
        <w:rPr>
          <w:rFonts w:ascii="宋体" w:hAnsi="宋体" w:cs="宋体" w:eastAsia="宋体" w:hint="default"/>
          <w:sz w:val="21"/>
          <w:szCs w:val="21"/>
        </w:rPr>
        <w:t>对使用寿命有限的无形资产的预计使用寿命及摊销方法于每年年度终了进行复核并作适当调整。</w:t>
      </w:r>
    </w:p>
    <w:p>
      <w:pPr>
        <w:pStyle w:val="Heading4"/>
        <w:spacing w:line="240" w:lineRule="auto" w:before="80"/>
        <w:ind w:right="132"/>
        <w:jc w:val="left"/>
        <w:rPr>
          <w:b w:val="0"/>
          <w:bCs w:val="0"/>
        </w:rPr>
      </w:pPr>
      <w:r>
        <w:rPr/>
        <w:t>（3）使用寿命不确定的无形资产的判断依据</w:t>
      </w:r>
      <w:r>
        <w:rPr>
          <w:b w:val="0"/>
          <w:bCs w:val="0"/>
        </w:rPr>
      </w:r>
    </w:p>
    <w:p>
      <w:pPr>
        <w:spacing w:line="610" w:lineRule="atLeast" w:before="3"/>
        <w:ind w:left="574" w:right="320" w:hanging="421"/>
        <w:jc w:val="left"/>
        <w:rPr>
          <w:rFonts w:ascii="宋体" w:hAnsi="宋体" w:cs="宋体" w:eastAsia="宋体" w:hint="default"/>
          <w:sz w:val="21"/>
          <w:szCs w:val="21"/>
        </w:rPr>
      </w:pPr>
      <w:r>
        <w:rPr>
          <w:rFonts w:ascii="宋体" w:hAnsi="宋体" w:cs="宋体" w:eastAsia="宋体" w:hint="default"/>
          <w:b/>
          <w:bCs/>
          <w:sz w:val="21"/>
          <w:szCs w:val="21"/>
        </w:rPr>
        <w:t>（4）无形资产减值准备的计提</w:t>
      </w:r>
      <w:r>
        <w:rPr>
          <w:rFonts w:ascii="宋体" w:hAnsi="宋体" w:cs="宋体" w:eastAsia="宋体" w:hint="default"/>
          <w:b/>
          <w:bCs/>
          <w:spacing w:val="1"/>
          <w:w w:val="99"/>
          <w:sz w:val="21"/>
          <w:szCs w:val="21"/>
        </w:rPr>
        <w:t> </w:t>
      </w:r>
      <w:r>
        <w:rPr>
          <w:rFonts w:ascii="宋体" w:hAnsi="宋体" w:cs="宋体" w:eastAsia="宋体" w:hint="default"/>
          <w:sz w:val="21"/>
          <w:szCs w:val="21"/>
        </w:rPr>
        <w:t>当无形资产的公允价值减去处置费用后的净额和资产预计未来现金流量的现值均低于无形资产账面</w:t>
      </w:r>
    </w:p>
    <w:p>
      <w:pPr>
        <w:pStyle w:val="BodyText"/>
        <w:spacing w:line="273" w:lineRule="auto" w:before="37"/>
        <w:ind w:right="132"/>
        <w:jc w:val="left"/>
      </w:pPr>
      <w:r>
        <w:rPr>
          <w:spacing w:val="-1"/>
        </w:rPr>
        <w:t>价值时，确认无形资产存在减值迹象。无形资产存在减值迹象的，其账面价值减记至可收回金额。可收回</w:t>
      </w:r>
      <w:r>
        <w:rPr>
          <w:spacing w:val="-82"/>
        </w:rPr>
        <w:t> </w:t>
      </w:r>
      <w:r>
        <w:rPr>
          <w:spacing w:val="-82"/>
        </w:rPr>
      </w:r>
      <w:r>
        <w:rPr/>
        <w:t>金额根据无形资产的公允价值减去处置费用后的净额与无形资产预计未来现金流量的现值两者之间较高 者确定。</w:t>
      </w:r>
    </w:p>
    <w:p>
      <w:pPr>
        <w:spacing w:line="614" w:lineRule="exact" w:before="63"/>
        <w:ind w:left="574" w:right="132" w:hanging="420"/>
        <w:jc w:val="left"/>
        <w:rPr>
          <w:rFonts w:ascii="宋体" w:hAnsi="宋体" w:cs="宋体" w:eastAsia="宋体" w:hint="default"/>
          <w:sz w:val="21"/>
          <w:szCs w:val="21"/>
        </w:rPr>
      </w:pPr>
      <w:r>
        <w:rPr>
          <w:rFonts w:ascii="宋体" w:hAnsi="宋体" w:cs="宋体" w:eastAsia="宋体" w:hint="default"/>
          <w:b/>
          <w:bCs/>
          <w:sz w:val="21"/>
          <w:szCs w:val="21"/>
        </w:rPr>
        <w:t>（5）划分公司内部研究开发项目的研究阶段和开发阶段具体标准</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根据内部研究开发项目支出的性质以及研发活动最终形成无形资产是否具有较大不确定性，分为研究</w:t>
      </w:r>
    </w:p>
    <w:p>
      <w:pPr>
        <w:pStyle w:val="BodyText"/>
        <w:spacing w:line="219" w:lineRule="exact"/>
        <w:ind w:right="132"/>
        <w:jc w:val="left"/>
      </w:pPr>
      <w:r>
        <w:rPr/>
        <w:t>阶段支出和开发阶段支出。</w:t>
      </w:r>
    </w:p>
    <w:p>
      <w:pPr>
        <w:spacing w:line="240" w:lineRule="auto" w:before="11"/>
        <w:rPr>
          <w:rFonts w:ascii="宋体" w:hAnsi="宋体" w:cs="宋体" w:eastAsia="宋体" w:hint="default"/>
          <w:sz w:val="25"/>
          <w:szCs w:val="25"/>
        </w:rPr>
      </w:pPr>
    </w:p>
    <w:p>
      <w:pPr>
        <w:pStyle w:val="Heading4"/>
        <w:spacing w:line="240" w:lineRule="auto"/>
        <w:ind w:right="132"/>
        <w:jc w:val="left"/>
        <w:rPr>
          <w:b w:val="0"/>
          <w:bCs w:val="0"/>
        </w:rPr>
      </w:pPr>
      <w:r>
        <w:rPr/>
        <w:t>（6）内部研究开发项目支出的核算</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left="577" w:right="147"/>
        <w:jc w:val="left"/>
      </w:pPr>
      <w:r>
        <w:rPr>
          <w:spacing w:val="-6"/>
        </w:rPr>
        <w:t>研究阶段的支出，于发生时计入当期损益；开发阶段的支出，同时满足下列条件的，确认为无形资产：</w:t>
      </w:r>
      <w:r>
        <w:rPr>
          <w:spacing w:val="-71"/>
        </w:rPr>
        <w:t> </w:t>
      </w:r>
      <w:r>
        <w:rPr>
          <w:spacing w:val="-71"/>
        </w:rPr>
      </w:r>
      <w:r>
        <w:rPr/>
        <w:t>(1)完成该无形资产以使其能够使用或出售在技术上具有可行性；</w:t>
      </w:r>
      <w:r>
        <w:rPr/>
        <w:t> (2)管理层具有完成该无形资产并使用或出售的意图； (3)能够证明该无形资产将如何产生经济利益；</w:t>
      </w:r>
    </w:p>
    <w:p>
      <w:pPr>
        <w:spacing w:after="0" w:line="273" w:lineRule="auto"/>
        <w:jc w:val="left"/>
        <w:sectPr>
          <w:footerReference w:type="default" r:id="rId18"/>
          <w:pgSz w:w="11910" w:h="16840"/>
          <w:pgMar w:footer="1567" w:header="877" w:top="1100" w:bottom="1760" w:left="980" w:right="980"/>
          <w:pgNumType w:start="84"/>
        </w:sectPr>
      </w:pPr>
    </w:p>
    <w:p>
      <w:pPr>
        <w:spacing w:line="240" w:lineRule="auto" w:before="9"/>
        <w:rPr>
          <w:rFonts w:ascii="宋体" w:hAnsi="宋体" w:cs="宋体" w:eastAsia="宋体" w:hint="default"/>
          <w:sz w:val="20"/>
          <w:szCs w:val="20"/>
        </w:rPr>
      </w:pPr>
    </w:p>
    <w:p>
      <w:pPr>
        <w:pStyle w:val="BodyText"/>
        <w:spacing w:line="240" w:lineRule="auto" w:before="35"/>
        <w:ind w:right="132"/>
        <w:jc w:val="left"/>
      </w:pPr>
      <w:r>
        <w:rPr/>
        <w:t>形资产；</w:t>
      </w:r>
    </w:p>
    <w:p>
      <w:pPr>
        <w:pStyle w:val="BodyText"/>
        <w:spacing w:line="240" w:lineRule="auto" w:before="37"/>
        <w:ind w:left="577" w:right="132"/>
        <w:jc w:val="left"/>
      </w:pPr>
      <w:r>
        <w:rPr/>
        <w:t>(5)归属于该无形资产开发阶段的支出能够可靠地计量。</w:t>
      </w:r>
    </w:p>
    <w:p>
      <w:pPr>
        <w:spacing w:line="240" w:lineRule="auto" w:before="9"/>
        <w:rPr>
          <w:rFonts w:ascii="宋体" w:hAnsi="宋体" w:cs="宋体" w:eastAsia="宋体" w:hint="default"/>
          <w:sz w:val="26"/>
          <w:szCs w:val="26"/>
        </w:rPr>
      </w:pPr>
    </w:p>
    <w:p>
      <w:pPr>
        <w:pStyle w:val="BodyText"/>
        <w:spacing w:line="273" w:lineRule="auto"/>
        <w:ind w:right="151" w:firstLine="423"/>
        <w:jc w:val="both"/>
      </w:pPr>
      <w:r>
        <w:rPr>
          <w:spacing w:val="-1"/>
        </w:rPr>
        <w:t>不满足上述条件的开发阶段的支出，于发生时计入当期损益。前期已计入损益的开发支出不在以后期</w:t>
      </w:r>
      <w:r>
        <w:rPr/>
        <w:t> </w:t>
      </w:r>
      <w:r>
        <w:rPr>
          <w:spacing w:val="-1"/>
        </w:rPr>
        <w:t>间确认为资产。已资本化的开发阶段的支出在资产负债表上列示为开发支出，自该项目达到预定可使用状</w:t>
      </w:r>
      <w:r>
        <w:rPr>
          <w:spacing w:val="-81"/>
        </w:rPr>
        <w:t> </w:t>
      </w:r>
      <w:r>
        <w:rPr>
          <w:spacing w:val="-81"/>
        </w:rPr>
      </w:r>
      <w:r>
        <w:rPr/>
        <w:t>态之日起转为无形资产。</w:t>
      </w:r>
    </w:p>
    <w:p>
      <w:pPr>
        <w:spacing w:line="240" w:lineRule="auto" w:before="6"/>
        <w:rPr>
          <w:rFonts w:ascii="宋体" w:hAnsi="宋体" w:cs="宋体" w:eastAsia="宋体" w:hint="default"/>
          <w:sz w:val="24"/>
          <w:szCs w:val="24"/>
        </w:rPr>
      </w:pPr>
    </w:p>
    <w:p>
      <w:pPr>
        <w:spacing w:line="535" w:lineRule="auto" w:before="0"/>
        <w:ind w:left="154" w:right="2312" w:firstLine="528"/>
        <w:jc w:val="left"/>
        <w:rPr>
          <w:rFonts w:ascii="宋体" w:hAnsi="宋体" w:cs="宋体" w:eastAsia="宋体" w:hint="default"/>
          <w:sz w:val="21"/>
          <w:szCs w:val="21"/>
        </w:rPr>
      </w:pPr>
      <w:r>
        <w:rPr>
          <w:rFonts w:ascii="宋体" w:hAnsi="宋体" w:cs="宋体" w:eastAsia="宋体" w:hint="default"/>
          <w:sz w:val="21"/>
          <w:szCs w:val="21"/>
        </w:rPr>
        <w:t>当开发支出的可收回金额低于其账面价值时，账面价值减记至可收回金额。 </w:t>
      </w:r>
      <w:r>
        <w:rPr>
          <w:rFonts w:ascii="宋体" w:hAnsi="宋体" w:cs="宋体" w:eastAsia="宋体" w:hint="default"/>
          <w:b/>
          <w:bCs/>
          <w:sz w:val="21"/>
          <w:szCs w:val="21"/>
        </w:rPr>
        <w:t>20、长期待摊费用</w:t>
      </w:r>
      <w:r>
        <w:rPr>
          <w:rFonts w:ascii="宋体" w:hAnsi="宋体" w:cs="宋体" w:eastAsia="宋体" w:hint="default"/>
          <w:sz w:val="21"/>
          <w:szCs w:val="21"/>
        </w:rPr>
      </w:r>
    </w:p>
    <w:p>
      <w:pPr>
        <w:pStyle w:val="BodyText"/>
        <w:spacing w:line="273" w:lineRule="auto" w:before="79"/>
        <w:ind w:right="320" w:firstLine="420"/>
        <w:jc w:val="left"/>
      </w:pPr>
      <w:r>
        <w:rPr/>
        <w:t>长期待摊费用包括经营租入固定资产改良及其他已经发生但应由本期和以后各期负担的分摊期限在 一年以上的各项费用，按预计受益期间分期平均摊销，并以实际支出减去累计摊销后的净额列示。</w:t>
      </w:r>
    </w:p>
    <w:p>
      <w:pPr>
        <w:spacing w:line="240" w:lineRule="auto" w:before="8"/>
        <w:rPr>
          <w:rFonts w:ascii="宋体" w:hAnsi="宋体" w:cs="宋体" w:eastAsia="宋体" w:hint="default"/>
          <w:sz w:val="23"/>
          <w:szCs w:val="23"/>
        </w:rPr>
      </w:pPr>
    </w:p>
    <w:p>
      <w:pPr>
        <w:pStyle w:val="Heading4"/>
        <w:spacing w:line="240" w:lineRule="auto"/>
        <w:ind w:right="132"/>
        <w:jc w:val="left"/>
        <w:rPr>
          <w:b w:val="0"/>
          <w:bCs w:val="0"/>
        </w:rPr>
      </w:pPr>
      <w:r>
        <w:rPr/>
        <w:t>21、附回购条件的资产转让</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132"/>
        <w:jc w:val="left"/>
        <w:rPr>
          <w:b w:val="0"/>
          <w:bCs w:val="0"/>
        </w:rPr>
      </w:pPr>
      <w:r>
        <w:rPr/>
        <w:t>22、预计负债</w:t>
      </w:r>
      <w:r>
        <w:rPr>
          <w:b w:val="0"/>
          <w:bCs w:val="0"/>
        </w:rPr>
      </w:r>
    </w:p>
    <w:p>
      <w:pPr>
        <w:spacing w:line="610" w:lineRule="atLeast" w:before="3"/>
        <w:ind w:left="574" w:right="132" w:hanging="420"/>
        <w:jc w:val="left"/>
        <w:rPr>
          <w:rFonts w:ascii="宋体" w:hAnsi="宋体" w:cs="宋体" w:eastAsia="宋体" w:hint="default"/>
          <w:sz w:val="21"/>
          <w:szCs w:val="21"/>
        </w:rPr>
      </w:pPr>
      <w:r>
        <w:rPr>
          <w:rFonts w:ascii="宋体" w:hAnsi="宋体" w:cs="宋体" w:eastAsia="宋体" w:hint="default"/>
          <w:b/>
          <w:bCs/>
          <w:sz w:val="21"/>
          <w:szCs w:val="21"/>
        </w:rPr>
        <w:t>（1）预计负债的确认标准</w:t>
      </w:r>
      <w:r>
        <w:rPr>
          <w:rFonts w:ascii="宋体" w:hAnsi="宋体" w:cs="宋体" w:eastAsia="宋体" w:hint="default"/>
          <w:b/>
          <w:bCs/>
          <w:w w:val="99"/>
          <w:sz w:val="21"/>
          <w:szCs w:val="21"/>
        </w:rPr>
        <w:t> </w:t>
      </w:r>
      <w:r>
        <w:rPr>
          <w:rFonts w:ascii="宋体" w:hAnsi="宋体" w:cs="宋体" w:eastAsia="宋体" w:hint="default"/>
          <w:spacing w:val="-1"/>
          <w:sz w:val="21"/>
          <w:szCs w:val="21"/>
        </w:rPr>
        <w:t>当与对外担保、未决诉讼或仲裁、产品质量保证、裁员计划、亏损合同、辞退义务、重组义务、固定</w:t>
      </w:r>
    </w:p>
    <w:p>
      <w:pPr>
        <w:pStyle w:val="BodyText"/>
        <w:spacing w:line="273" w:lineRule="auto" w:before="37"/>
        <w:ind w:left="574" w:right="2000" w:hanging="420"/>
        <w:jc w:val="left"/>
      </w:pPr>
      <w:r>
        <w:rPr/>
        <w:t>资产弃置义务等或有事项相关的业务同时符合以下条件时，本公司将其确认为负债： 1）该义务是本公司承担的现时义务；</w:t>
      </w:r>
    </w:p>
    <w:p>
      <w:pPr>
        <w:pStyle w:val="BodyText"/>
        <w:spacing w:line="240" w:lineRule="auto" w:before="7"/>
        <w:ind w:left="574" w:right="132"/>
        <w:jc w:val="left"/>
      </w:pPr>
      <w:r>
        <w:rPr/>
        <w:t>2）履行该义务很可能导致经济利益流出公司；</w:t>
      </w:r>
    </w:p>
    <w:p>
      <w:pPr>
        <w:pStyle w:val="BodyText"/>
        <w:spacing w:line="240" w:lineRule="auto" w:before="37"/>
        <w:ind w:left="574" w:right="132"/>
        <w:jc w:val="left"/>
      </w:pPr>
      <w:r>
        <w:rPr/>
        <w:t>3）该义务的金额能够可靠地计量。</w:t>
      </w:r>
    </w:p>
    <w:p>
      <w:pPr>
        <w:spacing w:line="610" w:lineRule="atLeast" w:before="3"/>
        <w:ind w:left="574" w:right="132" w:hanging="421"/>
        <w:jc w:val="left"/>
        <w:rPr>
          <w:rFonts w:ascii="宋体" w:hAnsi="宋体" w:cs="宋体" w:eastAsia="宋体" w:hint="default"/>
          <w:sz w:val="21"/>
          <w:szCs w:val="21"/>
        </w:rPr>
      </w:pPr>
      <w:r>
        <w:rPr>
          <w:rFonts w:ascii="宋体" w:hAnsi="宋体" w:cs="宋体" w:eastAsia="宋体" w:hint="default"/>
          <w:b/>
          <w:bCs/>
          <w:sz w:val="21"/>
          <w:szCs w:val="21"/>
        </w:rPr>
        <w:t>（2）预计负债的计量方法</w:t>
      </w:r>
      <w:r>
        <w:rPr>
          <w:rFonts w:ascii="宋体" w:hAnsi="宋体" w:cs="宋体" w:eastAsia="宋体" w:hint="default"/>
          <w:b/>
          <w:bCs/>
          <w:w w:val="99"/>
          <w:sz w:val="21"/>
          <w:szCs w:val="21"/>
        </w:rPr>
        <w:t> </w:t>
      </w:r>
      <w:r>
        <w:rPr>
          <w:rFonts w:ascii="宋体" w:hAnsi="宋体" w:cs="宋体" w:eastAsia="宋体" w:hint="default"/>
          <w:spacing w:val="-1"/>
          <w:sz w:val="21"/>
          <w:szCs w:val="21"/>
        </w:rPr>
        <w:t>预计负债按照履行相关现时义务所需支出的最佳估计数进行初始计量，并综合考虑与或有事项有关的</w:t>
      </w:r>
    </w:p>
    <w:p>
      <w:pPr>
        <w:pStyle w:val="BodyText"/>
        <w:spacing w:line="273" w:lineRule="auto" w:before="37"/>
        <w:ind w:right="151"/>
        <w:jc w:val="both"/>
      </w:pPr>
      <w:r>
        <w:rPr>
          <w:spacing w:val="-1"/>
        </w:rPr>
        <w:t>风险、不确定性和货币时间价值等因素。货币时间价值影响重大的，通过对相关未来现金流出进行折现后</w:t>
      </w:r>
      <w:r>
        <w:rPr>
          <w:spacing w:val="-83"/>
        </w:rPr>
        <w:t> </w:t>
      </w:r>
      <w:r>
        <w:rPr>
          <w:spacing w:val="-83"/>
        </w:rPr>
      </w:r>
      <w:r>
        <w:rPr>
          <w:spacing w:val="-1"/>
        </w:rPr>
        <w:t>确定最佳估计数；因随着时间推移所进行的折现还原而导致的预计负债账面价值的增加金额，确认为利息</w:t>
      </w:r>
      <w:r>
        <w:rPr>
          <w:spacing w:val="-81"/>
        </w:rPr>
        <w:t> </w:t>
      </w:r>
      <w:r>
        <w:rPr>
          <w:spacing w:val="-81"/>
        </w:rPr>
      </w:r>
      <w:r>
        <w:rPr/>
        <w:t>费用。</w:t>
      </w:r>
    </w:p>
    <w:p>
      <w:pPr>
        <w:spacing w:line="240" w:lineRule="auto" w:before="6"/>
        <w:rPr>
          <w:rFonts w:ascii="宋体" w:hAnsi="宋体" w:cs="宋体" w:eastAsia="宋体" w:hint="default"/>
          <w:sz w:val="24"/>
          <w:szCs w:val="24"/>
        </w:rPr>
      </w:pPr>
    </w:p>
    <w:p>
      <w:pPr>
        <w:spacing w:line="535" w:lineRule="auto" w:before="0"/>
        <w:ind w:left="154" w:right="740" w:firstLine="420"/>
        <w:jc w:val="left"/>
        <w:rPr>
          <w:rFonts w:ascii="宋体" w:hAnsi="宋体" w:cs="宋体" w:eastAsia="宋体" w:hint="default"/>
          <w:sz w:val="21"/>
          <w:szCs w:val="21"/>
        </w:rPr>
      </w:pPr>
      <w:r>
        <w:rPr>
          <w:rFonts w:ascii="宋体" w:hAnsi="宋体" w:cs="宋体" w:eastAsia="宋体" w:hint="default"/>
          <w:sz w:val="21"/>
          <w:szCs w:val="21"/>
        </w:rPr>
        <w:t>于资产负债表日，对预计负债的账面价值进行复核并作适当调整，以反映当前的最佳估计数。 </w:t>
      </w:r>
      <w:r>
        <w:rPr>
          <w:rFonts w:ascii="宋体" w:hAnsi="宋体" w:cs="宋体" w:eastAsia="宋体" w:hint="default"/>
          <w:b/>
          <w:bCs/>
          <w:sz w:val="21"/>
          <w:szCs w:val="21"/>
        </w:rPr>
        <w:t>23、股份支付及权益工具</w:t>
      </w:r>
      <w:r>
        <w:rPr>
          <w:rFonts w:ascii="宋体" w:hAnsi="宋体" w:cs="宋体" w:eastAsia="宋体" w:hint="default"/>
          <w:sz w:val="21"/>
          <w:szCs w:val="21"/>
        </w:rPr>
      </w:r>
    </w:p>
    <w:p>
      <w:pPr>
        <w:spacing w:line="537" w:lineRule="auto" w:before="80"/>
        <w:ind w:left="574" w:right="3890" w:hanging="420"/>
        <w:jc w:val="left"/>
        <w:rPr>
          <w:rFonts w:ascii="宋体" w:hAnsi="宋体" w:cs="宋体" w:eastAsia="宋体" w:hint="default"/>
          <w:sz w:val="21"/>
          <w:szCs w:val="21"/>
        </w:rPr>
      </w:pPr>
      <w:r>
        <w:rPr>
          <w:rFonts w:ascii="宋体" w:hAnsi="宋体" w:cs="宋体" w:eastAsia="宋体" w:hint="default"/>
          <w:b/>
          <w:bCs/>
          <w:sz w:val="21"/>
          <w:szCs w:val="21"/>
        </w:rPr>
        <w:t>（1）股份支付的种类</w:t>
      </w:r>
      <w:r>
        <w:rPr>
          <w:rFonts w:ascii="宋体" w:hAnsi="宋体" w:cs="宋体" w:eastAsia="宋体" w:hint="default"/>
          <w:b/>
          <w:bCs/>
          <w:spacing w:val="1"/>
          <w:w w:val="99"/>
          <w:sz w:val="21"/>
          <w:szCs w:val="21"/>
        </w:rPr>
        <w:t> </w:t>
      </w:r>
      <w:r>
        <w:rPr>
          <w:rFonts w:ascii="宋体" w:hAnsi="宋体" w:cs="宋体" w:eastAsia="宋体" w:hint="default"/>
          <w:sz w:val="21"/>
          <w:szCs w:val="21"/>
        </w:rPr>
        <w:t>支付分为以权益结算的股份支付和以现金结算的股份支付。</w:t>
      </w:r>
    </w:p>
    <w:p>
      <w:pPr>
        <w:spacing w:line="535" w:lineRule="auto" w:before="75"/>
        <w:ind w:left="577" w:right="1787" w:hanging="424"/>
        <w:jc w:val="left"/>
        <w:rPr>
          <w:rFonts w:ascii="宋体" w:hAnsi="宋体" w:cs="宋体" w:eastAsia="宋体" w:hint="default"/>
          <w:sz w:val="21"/>
          <w:szCs w:val="21"/>
        </w:rPr>
      </w:pPr>
      <w:r>
        <w:rPr>
          <w:rFonts w:ascii="宋体" w:hAnsi="宋体" w:cs="宋体" w:eastAsia="宋体" w:hint="default"/>
          <w:b/>
          <w:bCs/>
          <w:sz w:val="21"/>
          <w:szCs w:val="21"/>
        </w:rPr>
        <w:t>（2）权益工具公允价值的确定方法</w:t>
      </w:r>
      <w:r>
        <w:rPr>
          <w:rFonts w:ascii="宋体" w:hAnsi="宋体" w:cs="宋体" w:eastAsia="宋体" w:hint="default"/>
          <w:b/>
          <w:bCs/>
          <w:w w:val="99"/>
          <w:sz w:val="21"/>
          <w:szCs w:val="21"/>
        </w:rPr>
        <w:t> </w:t>
      </w:r>
      <w:r>
        <w:rPr>
          <w:rFonts w:ascii="宋体" w:hAnsi="宋体" w:cs="宋体" w:eastAsia="宋体" w:hint="default"/>
          <w:sz w:val="21"/>
          <w:szCs w:val="21"/>
        </w:rPr>
        <w:t>权益工具的公允价值，按照《企业会计准则第22号—金融工具确认和计量》确定。</w:t>
      </w:r>
    </w:p>
    <w:p>
      <w:pPr>
        <w:spacing w:after="0" w:line="535" w:lineRule="auto"/>
        <w:jc w:val="left"/>
        <w:rPr>
          <w:rFonts w:ascii="宋体" w:hAnsi="宋体" w:cs="宋体" w:eastAsia="宋体" w:hint="default"/>
          <w:sz w:val="21"/>
          <w:szCs w:val="21"/>
        </w:rPr>
        <w:sectPr>
          <w:footerReference w:type="default" r:id="rId19"/>
          <w:pgSz w:w="11910" w:h="16840"/>
          <w:pgMar w:footer="1003" w:header="877" w:top="1100" w:bottom="1200" w:left="980" w:right="980"/>
          <w:pgNumType w:start="85"/>
        </w:sectPr>
      </w:pPr>
    </w:p>
    <w:p>
      <w:pPr>
        <w:spacing w:line="240" w:lineRule="auto" w:before="10"/>
        <w:rPr>
          <w:rFonts w:ascii="宋体" w:hAnsi="宋体" w:cs="宋体" w:eastAsia="宋体" w:hint="default"/>
          <w:sz w:val="20"/>
          <w:szCs w:val="20"/>
        </w:rPr>
      </w:pPr>
    </w:p>
    <w:p>
      <w:pPr>
        <w:pStyle w:val="Heading4"/>
        <w:spacing w:line="240" w:lineRule="auto" w:before="35"/>
        <w:ind w:right="196"/>
        <w:jc w:val="left"/>
        <w:rPr>
          <w:b w:val="0"/>
          <w:bCs w:val="0"/>
        </w:rPr>
      </w:pPr>
      <w:r>
        <w:rPr/>
        <w:t>（3）确认可行权权益工具最佳估计的依据</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196" w:firstLine="423"/>
        <w:jc w:val="left"/>
      </w:pPr>
      <w:r>
        <w:rPr>
          <w:spacing w:val="-1"/>
        </w:rPr>
        <w:t>在等待期内每个资产负债表日，根据最新取得的可行权职工人数变动等后续信息做出最佳估计，修正</w:t>
      </w:r>
      <w:r>
        <w:rPr/>
        <w:t> 预计可行权的权益工具数量。</w:t>
      </w:r>
    </w:p>
    <w:p>
      <w:pPr>
        <w:spacing w:line="240" w:lineRule="auto" w:before="6"/>
        <w:rPr>
          <w:rFonts w:ascii="宋体" w:hAnsi="宋体" w:cs="宋体" w:eastAsia="宋体" w:hint="default"/>
          <w:sz w:val="23"/>
          <w:szCs w:val="23"/>
        </w:rPr>
      </w:pPr>
    </w:p>
    <w:p>
      <w:pPr>
        <w:pStyle w:val="Heading4"/>
        <w:spacing w:line="240" w:lineRule="auto"/>
        <w:ind w:right="196"/>
        <w:jc w:val="left"/>
        <w:rPr>
          <w:b w:val="0"/>
          <w:bCs w:val="0"/>
        </w:rPr>
      </w:pPr>
      <w:r>
        <w:rPr/>
        <w:t>（4）实施、修改、终止股份支付计划的相关会计处理</w:t>
      </w:r>
      <w:r>
        <w:rPr>
          <w:b w:val="0"/>
          <w:bCs w:val="0"/>
        </w:rPr>
      </w:r>
    </w:p>
    <w:p>
      <w:pPr>
        <w:spacing w:line="240" w:lineRule="auto" w:before="11"/>
        <w:rPr>
          <w:rFonts w:ascii="宋体" w:hAnsi="宋体" w:cs="宋体" w:eastAsia="宋体" w:hint="default"/>
          <w:b/>
          <w:bCs/>
          <w:sz w:val="25"/>
          <w:szCs w:val="25"/>
        </w:rPr>
      </w:pPr>
    </w:p>
    <w:p>
      <w:pPr>
        <w:pStyle w:val="BodyText"/>
        <w:spacing w:line="273" w:lineRule="auto"/>
        <w:ind w:left="574" w:right="5105"/>
        <w:jc w:val="left"/>
      </w:pPr>
      <w:r>
        <w:rPr/>
        <w:t>1）股份支付的实施 A）以权益结算的股份支付换取职工提供服务的</w:t>
      </w:r>
    </w:p>
    <w:p>
      <w:pPr>
        <w:pStyle w:val="BodyText"/>
        <w:spacing w:line="273" w:lineRule="auto" w:before="7"/>
        <w:ind w:right="102" w:firstLine="420"/>
        <w:jc w:val="left"/>
      </w:pPr>
      <w:r>
        <w:rPr/>
        <w:t>以授予职工权益工具的公允价值计量。授予后立即可行权的换取职工服务的以权益结算的股份支付， 在授予日按照权益工具的公允价值计入相关成本或费用，相应增加资本公积。完成等待期内的服务或达到 规定业绩条件才可行权的换取职工服务的以权益结算的股份支付，在等待期内的每个资产负债表日，以对 可行权权益工具数量的最佳估计为基础，按照权益工具授予日的公允价值，将当期取得的服务计入相关成 本或费用和资本公积。在资产负债表日，后续信息表明可行权权益工具的数量与以前估计不同的，进行调 整，并在可行权日调整至实际可行权的权益工具数量。对于可行权条件为规定服务期间的股份支付,等待</w:t>
      </w:r>
      <w:r>
        <w:rPr>
          <w:spacing w:val="-34"/>
        </w:rPr>
        <w:t> </w:t>
      </w:r>
      <w:r>
        <w:rPr>
          <w:spacing w:val="-34"/>
        </w:rPr>
      </w:r>
      <w:r>
        <w:rPr/>
        <w:t>期为授予日至可行权日的期间；对于可行权条件为规定业绩的股份支付，在授予日根据最可能的业绩结果</w:t>
      </w:r>
      <w:r>
        <w:rPr/>
        <w:t> 预计等待期的长度。企业在可行权日之后不再对已确认的相关成本或费用和所有者权益总额进行调整。</w:t>
      </w:r>
    </w:p>
    <w:p>
      <w:pPr>
        <w:pStyle w:val="BodyText"/>
        <w:spacing w:line="273" w:lineRule="auto" w:before="7"/>
        <w:ind w:left="574" w:right="95"/>
        <w:jc w:val="left"/>
      </w:pPr>
      <w:r>
        <w:rPr/>
        <w:t>B）以权益结算的股份支付换取其他方服务的，分别下列情况处理： </w:t>
      </w:r>
      <w:r>
        <w:rPr>
          <w:spacing w:val="-3"/>
        </w:rPr>
        <w:t>其他方服务的公允价值能够可靠计量的，按照其他方服务在取得日的公允价值，计入相关成本或费用，</w:t>
      </w:r>
    </w:p>
    <w:p>
      <w:pPr>
        <w:pStyle w:val="BodyText"/>
        <w:spacing w:line="273" w:lineRule="auto" w:before="7"/>
        <w:ind w:left="573" w:right="196" w:hanging="420"/>
        <w:jc w:val="left"/>
      </w:pPr>
      <w:r>
        <w:rPr/>
        <w:t>相应增加所有者权益。 </w:t>
      </w:r>
      <w:r>
        <w:rPr>
          <w:spacing w:val="-1"/>
        </w:rPr>
        <w:t>其他方服务的公允价值不能可靠计量但权益工具公允价值能够可靠计量的，按照权益工具在服务取得</w:t>
      </w:r>
    </w:p>
    <w:p>
      <w:pPr>
        <w:pStyle w:val="BodyText"/>
        <w:spacing w:line="273" w:lineRule="auto" w:before="7"/>
        <w:ind w:left="573" w:right="196" w:hanging="420"/>
        <w:jc w:val="left"/>
      </w:pPr>
      <w:r>
        <w:rPr/>
        <w:t>日的公允价值，计入相关成本或费用，相应增加所有者权益。 </w:t>
      </w:r>
      <w:r>
        <w:rPr>
          <w:spacing w:val="-1"/>
        </w:rPr>
        <w:t>在行权日，企业根据实际行权的权益工具数量，计算确定应转入实收资本或股本的金额，将其转入实</w:t>
      </w:r>
    </w:p>
    <w:p>
      <w:pPr>
        <w:pStyle w:val="BodyText"/>
        <w:spacing w:line="273" w:lineRule="auto" w:before="7"/>
        <w:ind w:left="573" w:right="6996" w:hanging="420"/>
        <w:jc w:val="left"/>
      </w:pPr>
      <w:r>
        <w:rPr/>
        <w:t>收资本或股本。 C）以现金结算的股份支付</w:t>
      </w:r>
    </w:p>
    <w:p>
      <w:pPr>
        <w:pStyle w:val="BodyText"/>
        <w:spacing w:line="273" w:lineRule="auto" w:before="7"/>
        <w:ind w:left="153" w:right="102" w:firstLine="420"/>
        <w:jc w:val="left"/>
      </w:pPr>
      <w:r>
        <w:rPr/>
        <w:t>按照企业承担的以股份或其他权益工具为基础计算确定的负债的公允价值计量。授予后立即可行权的 以现金结算的股份支付，在授予日以企业承担负债的公允价值计入相关成本或费用，相应增加负债。完成 等待期内的服务或达到规定业绩条件以后才可行权的以现金结算的股份支付，在等待期内的每个资产负债 表日，以对可行权情况的最佳估计为基础，按照企业承担负债的公允价值金额，将当期取得的服务计入成 </w:t>
      </w:r>
      <w:r>
        <w:rPr>
          <w:spacing w:val="-3"/>
        </w:rPr>
        <w:t>本或费用和相应的负债。在资产负债表日，后续信息表明企业当期承担债务的公允价值与以前估计不同的，</w:t>
      </w:r>
      <w:r>
        <w:rPr>
          <w:spacing w:val="-92"/>
        </w:rPr>
        <w:t> </w:t>
      </w:r>
      <w:r>
        <w:rPr>
          <w:spacing w:val="-92"/>
        </w:rPr>
      </w:r>
      <w:r>
        <w:rPr>
          <w:spacing w:val="-3"/>
        </w:rPr>
        <w:t>进行调整，并在可行权日调整至实际可行权水平。企业在相关负债结算前的每个资产负债表日以及结算日，</w:t>
      </w:r>
      <w:r>
        <w:rPr>
          <w:spacing w:val="-92"/>
        </w:rPr>
        <w:t> </w:t>
      </w:r>
      <w:r>
        <w:rPr>
          <w:spacing w:val="-92"/>
        </w:rPr>
      </w:r>
      <w:r>
        <w:rPr/>
        <w:t>对负债的公允价值重新计量，其变动计入当期损益。</w:t>
      </w:r>
    </w:p>
    <w:p>
      <w:pPr>
        <w:pStyle w:val="BodyText"/>
        <w:spacing w:line="273" w:lineRule="auto" w:before="7"/>
        <w:ind w:left="573" w:right="196"/>
        <w:jc w:val="left"/>
      </w:pPr>
      <w:r>
        <w:rPr/>
        <w:t>2）股份支付的修改 A）修改增加了所授予的权益工具的公允价值，按照权益工具公允价值的增加相应地确认取得服务的</w:t>
      </w:r>
    </w:p>
    <w:p>
      <w:pPr>
        <w:pStyle w:val="BodyText"/>
        <w:spacing w:line="273" w:lineRule="auto" w:before="7"/>
        <w:ind w:left="153" w:right="210"/>
        <w:jc w:val="both"/>
      </w:pPr>
      <w:r>
        <w:rPr>
          <w:spacing w:val="-1"/>
        </w:rPr>
        <w:t>增加。修改发生在等待期内，在确认修改日至修改后的可行权日之间取得服务的公允价值时，既包括在剩</w:t>
      </w:r>
      <w:r>
        <w:rPr>
          <w:spacing w:val="-83"/>
        </w:rPr>
        <w:t> </w:t>
      </w:r>
      <w:r>
        <w:rPr>
          <w:spacing w:val="-83"/>
        </w:rPr>
      </w:r>
      <w:r>
        <w:rPr>
          <w:spacing w:val="-1"/>
        </w:rPr>
        <w:t>余原等待期内以原权益工具授予日公允价值为基础确定的服务金额，也包括权益工具公允价值的增加。修</w:t>
      </w:r>
      <w:r>
        <w:rPr>
          <w:spacing w:val="-81"/>
        </w:rPr>
        <w:t> </w:t>
      </w:r>
      <w:r>
        <w:rPr>
          <w:spacing w:val="-81"/>
        </w:rPr>
      </w:r>
      <w:r>
        <w:rPr>
          <w:spacing w:val="-1"/>
        </w:rPr>
        <w:t>改发生在可行权日之后，立即确认权益工具公允价值的增加。如果股份支付协议要求职工只有先完成更长</w:t>
      </w:r>
      <w:r>
        <w:rPr>
          <w:spacing w:val="-81"/>
        </w:rPr>
        <w:t> </w:t>
      </w:r>
      <w:r>
        <w:rPr>
          <w:spacing w:val="-81"/>
        </w:rPr>
      </w:r>
      <w:r>
        <w:rPr/>
        <w:t>期间的服务才能取得修改后的权益工具，则在整个等待期内确认权益工具公允价值的增加。</w:t>
      </w:r>
    </w:p>
    <w:p>
      <w:pPr>
        <w:pStyle w:val="BodyText"/>
        <w:spacing w:line="273" w:lineRule="auto" w:before="7"/>
        <w:ind w:left="153" w:right="207" w:firstLine="420"/>
        <w:jc w:val="both"/>
      </w:pPr>
      <w:r>
        <w:rPr/>
        <w:t>B）修改增加了所授予的权益工具的数量，将增加的权益工具的公允价值相应地确认为取得服务的增</w:t>
      </w:r>
      <w:r>
        <w:rPr>
          <w:spacing w:val="2"/>
        </w:rPr>
        <w:t> </w:t>
      </w:r>
      <w:r>
        <w:rPr>
          <w:spacing w:val="-1"/>
        </w:rPr>
        <w:t>加。如果修改发生在等待期内，在确认修改日至增加的权益工具可行权日之间取得服务的公允价值时，既</w:t>
      </w:r>
      <w:r>
        <w:rPr>
          <w:spacing w:val="-83"/>
        </w:rPr>
        <w:t> </w:t>
      </w:r>
      <w:r>
        <w:rPr>
          <w:spacing w:val="-83"/>
        </w:rPr>
      </w:r>
      <w:r>
        <w:rPr>
          <w:spacing w:val="-1"/>
        </w:rPr>
        <w:t>包括在剩余原等待期内以原权益工具授予日公允价值为基础确定的服务金额，也包括权益工具公允价值的</w:t>
      </w:r>
      <w:r>
        <w:rPr>
          <w:spacing w:val="-81"/>
        </w:rPr>
        <w:t> </w:t>
      </w:r>
      <w:r>
        <w:rPr>
          <w:spacing w:val="-81"/>
        </w:rPr>
      </w:r>
      <w:r>
        <w:rPr/>
        <w:t>增加。</w:t>
      </w:r>
    </w:p>
    <w:p>
      <w:pPr>
        <w:pStyle w:val="BodyText"/>
        <w:spacing w:line="273" w:lineRule="auto" w:before="7"/>
        <w:ind w:left="153" w:right="196" w:firstLine="420"/>
        <w:jc w:val="left"/>
      </w:pPr>
      <w:r>
        <w:rPr/>
        <w:t>C）如果按照有利于职工的方式修改可行权条件，如缩短等待期、变更或取消业绩条件（而非市场条</w:t>
      </w:r>
      <w:r>
        <w:rPr>
          <w:spacing w:val="2"/>
        </w:rPr>
        <w:t> </w:t>
      </w:r>
      <w:r>
        <w:rPr/>
        <w:t>件），在处理可行权条件时，考虑修改后的可行权条件。</w:t>
      </w:r>
    </w:p>
    <w:p>
      <w:pPr>
        <w:spacing w:after="0" w:line="273" w:lineRule="auto"/>
        <w:jc w:val="left"/>
        <w:sectPr>
          <w:pgSz w:w="11910" w:h="16840"/>
          <w:pgMar w:header="877" w:footer="1003" w:top="1100" w:bottom="1200" w:left="980" w:right="920"/>
        </w:sectPr>
      </w:pPr>
    </w:p>
    <w:p>
      <w:pPr>
        <w:spacing w:line="240" w:lineRule="auto" w:before="9"/>
        <w:rPr>
          <w:rFonts w:ascii="宋体" w:hAnsi="宋体" w:cs="宋体" w:eastAsia="宋体" w:hint="default"/>
          <w:sz w:val="20"/>
          <w:szCs w:val="20"/>
        </w:rPr>
      </w:pPr>
    </w:p>
    <w:p>
      <w:pPr>
        <w:pStyle w:val="BodyText"/>
        <w:spacing w:line="273" w:lineRule="auto" w:before="35"/>
        <w:ind w:right="147" w:firstLine="420"/>
        <w:jc w:val="both"/>
      </w:pPr>
      <w:r>
        <w:rPr/>
        <w:t>D）修改减少了所授予的权益工具的公允价值，继续以权益工具在授予日的公允价值为基础，确认取</w:t>
      </w:r>
      <w:r>
        <w:rPr>
          <w:spacing w:val="2"/>
        </w:rPr>
        <w:t> </w:t>
      </w:r>
      <w:r>
        <w:rPr/>
        <w:t>得服务的金额，而不考虑权益工具公允价值的减少。</w:t>
      </w:r>
    </w:p>
    <w:p>
      <w:pPr>
        <w:pStyle w:val="BodyText"/>
        <w:spacing w:line="273" w:lineRule="auto" w:before="7"/>
        <w:ind w:left="574" w:right="140"/>
        <w:jc w:val="left"/>
      </w:pPr>
      <w:r>
        <w:rPr/>
        <w:t>E）修改减少了授予的权益工具的数量，将减少部分作为已授予的权益工具的取消来进行处理。 </w:t>
      </w:r>
      <w:r>
        <w:rPr>
          <w:spacing w:val="-3"/>
        </w:rPr>
        <w:t>F）以不利于职工的方式修改了可行权条件，如延长等待期、增加或变更业绩条件（而非市场条件），</w:t>
      </w:r>
    </w:p>
    <w:p>
      <w:pPr>
        <w:pStyle w:val="BodyText"/>
        <w:spacing w:line="273" w:lineRule="auto" w:before="7"/>
        <w:ind w:left="574" w:right="4940" w:hanging="420"/>
        <w:jc w:val="left"/>
      </w:pPr>
      <w:r>
        <w:rPr/>
        <w:t>在处理可行权条件时，不考虑修改后的可行权条件。 3）股份支付的终止</w:t>
      </w:r>
    </w:p>
    <w:p>
      <w:pPr>
        <w:pStyle w:val="BodyText"/>
        <w:spacing w:line="273" w:lineRule="auto" w:before="7"/>
        <w:ind w:left="574" w:right="132"/>
        <w:jc w:val="left"/>
      </w:pPr>
      <w:r>
        <w:rPr/>
        <w:t>A）将取消或结算作为加速可行权处理，立即确认原本应在剩余等待期内确认的金额。 B）在取消或结算时支付给职工的所有款项均应作为权益的回购处理，回购支付的金额高于该权益工</w:t>
      </w:r>
    </w:p>
    <w:p>
      <w:pPr>
        <w:pStyle w:val="BodyText"/>
        <w:spacing w:line="273" w:lineRule="auto" w:before="7"/>
        <w:ind w:left="574" w:right="132" w:hanging="420"/>
        <w:jc w:val="left"/>
      </w:pPr>
      <w:r>
        <w:rPr/>
        <w:t>具在回购日公允价值的部分，计入当期费用。 C）如果向职工授予新的权益工具，并在新权益工具授予日认定所授予的新权益工具是用于替代被取</w:t>
      </w:r>
    </w:p>
    <w:p>
      <w:pPr>
        <w:pStyle w:val="BodyText"/>
        <w:spacing w:line="273" w:lineRule="auto" w:before="7"/>
        <w:ind w:right="151"/>
        <w:jc w:val="both"/>
      </w:pPr>
      <w:r>
        <w:rPr>
          <w:spacing w:val="-1"/>
        </w:rPr>
        <w:t>消的权益工具的，企业应以处理原权益工具条款和条件修改相同的方式，对所授予的替代权益工具进行处</w:t>
      </w:r>
      <w:r>
        <w:rPr>
          <w:spacing w:val="-81"/>
        </w:rPr>
        <w:t> </w:t>
      </w:r>
      <w:r>
        <w:rPr>
          <w:spacing w:val="-81"/>
        </w:rPr>
      </w:r>
      <w:r>
        <w:rPr>
          <w:spacing w:val="-1"/>
        </w:rPr>
        <w:t>理。企业如果回购其职工已可行权的权益工具，借记所有者权益，回购支付的金额高于该权益工具在回购</w:t>
      </w:r>
      <w:r>
        <w:rPr>
          <w:spacing w:val="-83"/>
        </w:rPr>
        <w:t> </w:t>
      </w:r>
      <w:r>
        <w:rPr>
          <w:spacing w:val="-83"/>
        </w:rPr>
      </w:r>
      <w:r>
        <w:rPr/>
        <w:t>日公允价值的部分，计入当期费用。</w:t>
      </w:r>
    </w:p>
    <w:p>
      <w:pPr>
        <w:spacing w:line="612" w:lineRule="exact" w:before="64"/>
        <w:ind w:left="574" w:right="4100" w:hanging="420"/>
        <w:jc w:val="left"/>
        <w:rPr>
          <w:rFonts w:ascii="宋体" w:hAnsi="宋体" w:cs="宋体" w:eastAsia="宋体" w:hint="default"/>
          <w:sz w:val="21"/>
          <w:szCs w:val="21"/>
        </w:rPr>
      </w:pPr>
      <w:r>
        <w:rPr>
          <w:rFonts w:ascii="宋体" w:hAnsi="宋体" w:cs="宋体" w:eastAsia="宋体" w:hint="default"/>
          <w:b/>
          <w:bCs/>
          <w:sz w:val="21"/>
          <w:szCs w:val="21"/>
        </w:rPr>
        <w:t>24、回购本公司股份</w:t>
      </w:r>
      <w:r>
        <w:rPr>
          <w:rFonts w:ascii="宋体" w:hAnsi="宋体" w:cs="宋体" w:eastAsia="宋体" w:hint="default"/>
          <w:b/>
          <w:bCs/>
          <w:spacing w:val="1"/>
          <w:w w:val="99"/>
          <w:sz w:val="21"/>
          <w:szCs w:val="21"/>
        </w:rPr>
        <w:t> </w:t>
      </w:r>
      <w:r>
        <w:rPr>
          <w:rFonts w:ascii="宋体" w:hAnsi="宋体" w:cs="宋体" w:eastAsia="宋体" w:hint="default"/>
          <w:sz w:val="21"/>
          <w:szCs w:val="21"/>
        </w:rPr>
        <w:t>回购本公司股份，应按照成本法确定对应的库存股成本。</w:t>
      </w:r>
    </w:p>
    <w:p>
      <w:pPr>
        <w:pStyle w:val="BodyText"/>
        <w:spacing w:line="219" w:lineRule="exact"/>
        <w:ind w:left="574" w:right="132"/>
        <w:jc w:val="left"/>
      </w:pPr>
      <w:r>
        <w:rPr/>
        <w:t>注销的库存股成本高于对应股本成本的，依次冲减资本公积、盈余公积、未分配利润的金额；</w:t>
      </w:r>
    </w:p>
    <w:p>
      <w:pPr>
        <w:pStyle w:val="BodyText"/>
        <w:spacing w:line="273" w:lineRule="auto" w:before="37"/>
        <w:ind w:left="574" w:right="132"/>
        <w:jc w:val="left"/>
      </w:pPr>
      <w:r>
        <w:rPr/>
        <w:t>注销的库存股成本低于对应股本成本的，增加资本公积。 </w:t>
      </w:r>
      <w:r>
        <w:rPr>
          <w:spacing w:val="-1"/>
        </w:rPr>
        <w:t>转让的库存股，转让收入高于库存股成本的，增加资本公积；转让收入低于库存股成本的，依次冲减</w:t>
      </w:r>
    </w:p>
    <w:p>
      <w:pPr>
        <w:pStyle w:val="BodyText"/>
        <w:spacing w:line="273" w:lineRule="auto" w:before="7"/>
        <w:ind w:left="574" w:right="132" w:hanging="420"/>
        <w:jc w:val="left"/>
      </w:pPr>
      <w:r>
        <w:rPr/>
        <w:t>的资本公积、盈余公积、未分配利润的金额。 </w:t>
      </w:r>
      <w:r>
        <w:rPr>
          <w:spacing w:val="-1"/>
        </w:rPr>
        <w:t>因实行股权激励回购本公司股份的，在回购时，按照回购股份的全部支出作为库存股处理，同时进行</w:t>
      </w:r>
    </w:p>
    <w:p>
      <w:pPr>
        <w:spacing w:line="535" w:lineRule="auto" w:before="7"/>
        <w:ind w:left="154" w:right="8720" w:firstLine="0"/>
        <w:jc w:val="left"/>
        <w:rPr>
          <w:rFonts w:ascii="宋体" w:hAnsi="宋体" w:cs="宋体" w:eastAsia="宋体" w:hint="default"/>
          <w:sz w:val="21"/>
          <w:szCs w:val="21"/>
        </w:rPr>
      </w:pPr>
      <w:r>
        <w:rPr>
          <w:rFonts w:ascii="宋体" w:hAnsi="宋体" w:cs="宋体" w:eastAsia="宋体" w:hint="default"/>
          <w:sz w:val="21"/>
          <w:szCs w:val="21"/>
        </w:rPr>
        <w:t>备查登记。 </w:t>
      </w:r>
      <w:r>
        <w:rPr>
          <w:rFonts w:ascii="宋体" w:hAnsi="宋体" w:cs="宋体" w:eastAsia="宋体" w:hint="default"/>
          <w:b/>
          <w:bCs/>
          <w:sz w:val="21"/>
          <w:szCs w:val="21"/>
        </w:rPr>
        <w:t>25、收入</w:t>
      </w:r>
      <w:r>
        <w:rPr>
          <w:rFonts w:ascii="宋体" w:hAnsi="宋体" w:cs="宋体" w:eastAsia="宋体" w:hint="default"/>
          <w:sz w:val="21"/>
          <w:szCs w:val="21"/>
        </w:rPr>
      </w:r>
    </w:p>
    <w:p>
      <w:pPr>
        <w:pStyle w:val="Heading4"/>
        <w:spacing w:line="240" w:lineRule="auto" w:before="80"/>
        <w:ind w:right="132"/>
        <w:jc w:val="left"/>
        <w:rPr>
          <w:b w:val="0"/>
          <w:bCs w:val="0"/>
        </w:rPr>
      </w:pPr>
      <w:r>
        <w:rPr/>
        <w:t>（1）销售商品收入确认时间的具体判断标准</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149" w:firstLine="420"/>
        <w:jc w:val="both"/>
      </w:pPr>
      <w:r>
        <w:rPr>
          <w:spacing w:val="-1"/>
        </w:rPr>
        <w:t>商品销售在商品所有权上的主要风险和报酬已转移给买方，本公司不再对该商品实施继续管理权和实</w:t>
      </w:r>
      <w:r>
        <w:rPr/>
        <w:t> </w:t>
      </w:r>
      <w:r>
        <w:rPr>
          <w:spacing w:val="-1"/>
        </w:rPr>
        <w:t>际控制权，与交易相关的经济利益很可能流入企业，并且与销售该商品相关的收入和成本能够可靠地计量</w:t>
      </w:r>
      <w:r>
        <w:rPr>
          <w:spacing w:val="-81"/>
        </w:rPr>
        <w:t> </w:t>
      </w:r>
      <w:r>
        <w:rPr>
          <w:spacing w:val="-81"/>
        </w:rPr>
      </w:r>
      <w:r>
        <w:rPr/>
        <w:t>时，确认营业收入的实现。</w:t>
      </w:r>
    </w:p>
    <w:p>
      <w:pPr>
        <w:spacing w:line="612" w:lineRule="exact" w:before="63"/>
        <w:ind w:left="574" w:right="132" w:hanging="420"/>
        <w:jc w:val="left"/>
        <w:rPr>
          <w:rFonts w:ascii="宋体" w:hAnsi="宋体" w:cs="宋体" w:eastAsia="宋体" w:hint="default"/>
          <w:sz w:val="21"/>
          <w:szCs w:val="21"/>
        </w:rPr>
      </w:pPr>
      <w:r>
        <w:rPr>
          <w:rFonts w:ascii="宋体" w:hAnsi="宋体" w:cs="宋体" w:eastAsia="宋体" w:hint="default"/>
          <w:b/>
          <w:bCs/>
          <w:sz w:val="21"/>
          <w:szCs w:val="21"/>
        </w:rPr>
        <w:t>（2）确认让渡资产使用权收入的依据</w:t>
      </w:r>
      <w:r>
        <w:rPr>
          <w:rFonts w:ascii="宋体" w:hAnsi="宋体" w:cs="宋体" w:eastAsia="宋体" w:hint="default"/>
          <w:b/>
          <w:bCs/>
          <w:w w:val="99"/>
          <w:sz w:val="21"/>
          <w:szCs w:val="21"/>
        </w:rPr>
        <w:t> </w:t>
      </w:r>
      <w:r>
        <w:rPr>
          <w:rFonts w:ascii="宋体" w:hAnsi="宋体" w:cs="宋体" w:eastAsia="宋体" w:hint="default"/>
          <w:spacing w:val="-1"/>
          <w:sz w:val="21"/>
          <w:szCs w:val="21"/>
        </w:rPr>
        <w:t>让渡资产使用权取得的利息收入和使用费收入，在与交易相关的经济利益能够流入企业，且收入的金</w:t>
      </w:r>
    </w:p>
    <w:p>
      <w:pPr>
        <w:pStyle w:val="BodyText"/>
        <w:spacing w:line="219" w:lineRule="exact"/>
        <w:ind w:right="132"/>
        <w:jc w:val="left"/>
      </w:pPr>
      <w:r>
        <w:rPr/>
        <w:t>额能够可靠地计量时，确认收入的实现。</w:t>
      </w:r>
    </w:p>
    <w:p>
      <w:pPr>
        <w:spacing w:line="610" w:lineRule="atLeast" w:before="3"/>
        <w:ind w:left="574" w:right="132" w:hanging="421"/>
        <w:jc w:val="left"/>
        <w:rPr>
          <w:rFonts w:ascii="宋体" w:hAnsi="宋体" w:cs="宋体" w:eastAsia="宋体" w:hint="default"/>
          <w:sz w:val="21"/>
          <w:szCs w:val="21"/>
        </w:rPr>
      </w:pPr>
      <w:r>
        <w:rPr>
          <w:rFonts w:ascii="宋体" w:hAnsi="宋体" w:cs="宋体" w:eastAsia="宋体" w:hint="default"/>
          <w:b/>
          <w:bCs/>
          <w:sz w:val="21"/>
          <w:szCs w:val="21"/>
        </w:rPr>
        <w:t>（3）确认提供劳务收入的依据</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提供的劳务在同一会计年度开始并完成的，在劳务已经提供，收到价款或取得收取价款的证据时，确</w:t>
      </w:r>
    </w:p>
    <w:p>
      <w:pPr>
        <w:pStyle w:val="BodyText"/>
        <w:spacing w:line="273" w:lineRule="auto" w:before="37"/>
        <w:ind w:right="151"/>
        <w:jc w:val="both"/>
      </w:pPr>
      <w:r>
        <w:rPr>
          <w:spacing w:val="-1"/>
        </w:rPr>
        <w:t>认营业收入的实现；劳务的开始和完成分属不同会计年度的，在劳务合同的总收入、劳务的完成程度能够</w:t>
      </w:r>
      <w:r>
        <w:rPr>
          <w:spacing w:val="-83"/>
        </w:rPr>
        <w:t> </w:t>
      </w:r>
      <w:r>
        <w:rPr>
          <w:spacing w:val="-83"/>
        </w:rPr>
      </w:r>
      <w:r>
        <w:rPr>
          <w:spacing w:val="-1"/>
        </w:rPr>
        <w:t>可靠地确定，与交易相关的价款能够流入，已经发生的成本和为完成劳务将要发生的成本能够可靠地计量</w:t>
      </w:r>
      <w:r>
        <w:rPr>
          <w:spacing w:val="-81"/>
        </w:rPr>
        <w:t> </w:t>
      </w:r>
      <w:r>
        <w:rPr>
          <w:spacing w:val="-81"/>
        </w:rPr>
      </w:r>
      <w:r>
        <w:rPr>
          <w:spacing w:val="-1"/>
        </w:rPr>
        <w:t>时，按完工百分比法确认营业收入的实现；长期合同工程在合同结果已经能够合理地预见时，按结账时已</w:t>
      </w:r>
      <w:r>
        <w:rPr>
          <w:spacing w:val="-83"/>
        </w:rPr>
        <w:t> </w:t>
      </w:r>
      <w:r>
        <w:rPr>
          <w:spacing w:val="-83"/>
        </w:rPr>
      </w:r>
      <w:r>
        <w:rPr/>
        <w:t>完成工程进度的百分比法确认营业收入的实现。</w:t>
      </w:r>
    </w:p>
    <w:p>
      <w:pPr>
        <w:spacing w:after="0" w:line="273" w:lineRule="auto"/>
        <w:jc w:val="both"/>
        <w:sectPr>
          <w:pgSz w:w="11910" w:h="16840"/>
          <w:pgMar w:header="877" w:footer="1003" w:top="1100" w:bottom="120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t>（4）按完工百分比法确认提供劳务的收入和建造合同收入时，确定合同完工进度的依据和方法</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0" w:firstLine="420"/>
        <w:jc w:val="left"/>
      </w:pPr>
      <w:r>
        <w:rPr>
          <w:spacing w:val="-1"/>
        </w:rPr>
        <w:t>公司采用累计实际发生的合同成本占合同预计总成本的比例（已经完成的合同工作量占合同预计总工</w:t>
      </w:r>
      <w:r>
        <w:rPr/>
        <w:t> 作量的比例或实际测定的完工进度）确定合同完工进度。</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r>
        <w:rPr/>
        <w:t>26、政府补助</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0"/>
        <w:jc w:val="left"/>
        <w:rPr>
          <w:b w:val="0"/>
          <w:bCs w:val="0"/>
        </w:rPr>
      </w:pPr>
      <w:r>
        <w:rPr/>
        <w:t>（1）类型</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left="577" w:right="0"/>
        <w:jc w:val="left"/>
      </w:pPr>
      <w:r>
        <w:rPr/>
        <w:t>政府补助分为与资产相关的政府补助和与收益相关的政府补助。</w:t>
      </w:r>
    </w:p>
    <w:p>
      <w:pPr>
        <w:pStyle w:val="BodyText"/>
        <w:spacing w:line="610" w:lineRule="atLeast" w:before="2"/>
        <w:ind w:left="574" w:right="0" w:hanging="421"/>
        <w:jc w:val="left"/>
      </w:pPr>
      <w:r>
        <w:rPr>
          <w:rFonts w:ascii="宋体" w:hAnsi="宋体" w:cs="宋体" w:eastAsia="宋体" w:hint="default"/>
          <w:b/>
          <w:bCs/>
        </w:rPr>
        <w:t>（2）会计处理方法</w:t>
      </w:r>
      <w:r>
        <w:rPr>
          <w:rFonts w:ascii="宋体" w:hAnsi="宋体" w:cs="宋体" w:eastAsia="宋体" w:hint="default"/>
          <w:b/>
          <w:bCs/>
          <w:spacing w:val="1"/>
          <w:w w:val="99"/>
        </w:rPr>
        <w:t> </w:t>
      </w:r>
      <w:r>
        <w:rPr>
          <w:spacing w:val="-1"/>
        </w:rPr>
        <w:t>政府补助为货币性资产的，按照收到或应收的金额计量。政府补助为非货币性资产的，按照公允价值</w:t>
      </w:r>
    </w:p>
    <w:p>
      <w:pPr>
        <w:pStyle w:val="BodyText"/>
        <w:spacing w:line="240" w:lineRule="auto" w:before="37"/>
        <w:ind w:right="0"/>
        <w:jc w:val="left"/>
      </w:pPr>
      <w:r>
        <w:rPr/>
        <w:t>计量；公允价值不能可靠取得的，按照名义金额计量。</w:t>
      </w:r>
    </w:p>
    <w:p>
      <w:pPr>
        <w:spacing w:line="240" w:lineRule="auto" w:before="9"/>
        <w:rPr>
          <w:rFonts w:ascii="宋体" w:hAnsi="宋体" w:cs="宋体" w:eastAsia="宋体" w:hint="default"/>
          <w:sz w:val="26"/>
          <w:szCs w:val="26"/>
        </w:rPr>
      </w:pPr>
    </w:p>
    <w:p>
      <w:pPr>
        <w:pStyle w:val="BodyText"/>
        <w:spacing w:line="273" w:lineRule="auto"/>
        <w:ind w:right="0" w:firstLine="421"/>
        <w:jc w:val="left"/>
      </w:pPr>
      <w:r>
        <w:rPr/>
        <w:t>与资产相关的政府补助，应当确认为递延收益，并在相关资产使用寿命内平均分配，计入当期损益。 按照名义金额计量的政府补助，直接计入当期损益。与收益相关的政府补助，用于补偿公司以后期间的相 关费用或损失的，确认为递延收益，并在确认相关费用的期间，计入当期损益；用于补偿公司已发生的相 关费用或损失的，直接计入当期损益。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left"/>
        <w:rPr>
          <w:b w:val="0"/>
          <w:bCs w:val="0"/>
        </w:rPr>
      </w:pPr>
      <w:r>
        <w:rPr/>
        <w:t>27、递延所得税资产和递延所得税负债</w:t>
      </w:r>
      <w:r>
        <w:rPr>
          <w:b w:val="0"/>
          <w:bCs w:val="0"/>
        </w:rPr>
      </w:r>
    </w:p>
    <w:p>
      <w:pPr>
        <w:spacing w:line="610" w:lineRule="atLeast" w:before="3"/>
        <w:ind w:left="439" w:right="0" w:hanging="286"/>
        <w:jc w:val="left"/>
        <w:rPr>
          <w:rFonts w:ascii="宋体" w:hAnsi="宋体" w:cs="宋体" w:eastAsia="宋体" w:hint="default"/>
          <w:sz w:val="21"/>
          <w:szCs w:val="21"/>
        </w:rPr>
      </w:pPr>
      <w:r>
        <w:rPr>
          <w:rFonts w:ascii="宋体" w:hAnsi="宋体" w:cs="宋体" w:eastAsia="宋体" w:hint="default"/>
          <w:b/>
          <w:bCs/>
          <w:sz w:val="21"/>
          <w:szCs w:val="21"/>
        </w:rPr>
        <w:t>（1）确认递延所得税资产的依据</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资产、负债的账面价值与其计税基础不同产生可抵扣暂时性差异，在估计未来期间能够取得足够的应纳</w:t>
      </w:r>
    </w:p>
    <w:p>
      <w:pPr>
        <w:pStyle w:val="BodyText"/>
        <w:spacing w:line="273" w:lineRule="auto" w:before="37"/>
        <w:ind w:right="0"/>
        <w:jc w:val="left"/>
      </w:pPr>
      <w:r>
        <w:rPr>
          <w:spacing w:val="-1"/>
        </w:rPr>
        <w:t>税所得额用以利用该可抵扣暂时性差异时，以很可能取得用来抵扣可抵扣暂时性差异的应纳税所得额为限，</w:t>
      </w:r>
      <w:r>
        <w:rPr>
          <w:spacing w:val="-80"/>
        </w:rPr>
        <w:t> </w:t>
      </w:r>
      <w:r>
        <w:rPr>
          <w:spacing w:val="-80"/>
        </w:rPr>
      </w:r>
      <w:r>
        <w:rPr/>
        <w:t>确认相关的递延所得税资产。</w:t>
      </w:r>
    </w:p>
    <w:p>
      <w:pPr>
        <w:spacing w:line="614" w:lineRule="exact" w:before="62"/>
        <w:ind w:left="529" w:right="315" w:hanging="375"/>
        <w:jc w:val="left"/>
        <w:rPr>
          <w:rFonts w:ascii="宋体" w:hAnsi="宋体" w:cs="宋体" w:eastAsia="宋体" w:hint="default"/>
          <w:sz w:val="21"/>
          <w:szCs w:val="21"/>
        </w:rPr>
      </w:pPr>
      <w:r>
        <w:rPr>
          <w:rFonts w:ascii="宋体" w:hAnsi="宋体" w:cs="宋体" w:eastAsia="宋体" w:hint="default"/>
          <w:b/>
          <w:bCs/>
          <w:sz w:val="21"/>
          <w:szCs w:val="21"/>
        </w:rPr>
        <w:t>（2）确认递延所得税负债的依据</w:t>
      </w:r>
      <w:r>
        <w:rPr>
          <w:rFonts w:ascii="宋体" w:hAnsi="宋体" w:cs="宋体" w:eastAsia="宋体" w:hint="default"/>
          <w:b/>
          <w:bCs/>
          <w:spacing w:val="1"/>
          <w:w w:val="99"/>
          <w:sz w:val="21"/>
          <w:szCs w:val="21"/>
        </w:rPr>
        <w:t> </w:t>
      </w:r>
      <w:r>
        <w:rPr>
          <w:rFonts w:ascii="宋体" w:hAnsi="宋体" w:cs="宋体" w:eastAsia="宋体" w:hint="default"/>
          <w:sz w:val="21"/>
          <w:szCs w:val="21"/>
        </w:rPr>
        <w:t>应纳税暂时性差异在转回期间将增加企业的应纳税所得额和应交所得税，导致企业经济利益的流出，</w:t>
      </w:r>
    </w:p>
    <w:p>
      <w:pPr>
        <w:pStyle w:val="BodyText"/>
        <w:spacing w:line="220" w:lineRule="exact"/>
        <w:ind w:right="0"/>
        <w:jc w:val="left"/>
      </w:pPr>
      <w:r>
        <w:rPr/>
        <w:t>在其发生当期，构成企业应支付税金的义务，应作为负债确认。</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28、经营租赁、融资租赁</w:t>
      </w:r>
      <w:r>
        <w:rPr>
          <w:b w:val="0"/>
          <w:bCs w:val="0"/>
        </w:rPr>
      </w:r>
    </w:p>
    <w:p>
      <w:pPr>
        <w:spacing w:line="240" w:lineRule="auto" w:before="12"/>
        <w:rPr>
          <w:rFonts w:ascii="宋体" w:hAnsi="宋体" w:cs="宋体" w:eastAsia="宋体" w:hint="default"/>
          <w:b/>
          <w:bCs/>
          <w:sz w:val="25"/>
          <w:szCs w:val="25"/>
        </w:rPr>
      </w:pPr>
    </w:p>
    <w:p>
      <w:pPr>
        <w:spacing w:line="535" w:lineRule="auto" w:before="0"/>
        <w:ind w:left="154" w:right="3000" w:firstLine="0"/>
        <w:jc w:val="left"/>
        <w:rPr>
          <w:rFonts w:ascii="宋体" w:hAnsi="宋体" w:cs="宋体" w:eastAsia="宋体" w:hint="default"/>
          <w:sz w:val="21"/>
          <w:szCs w:val="21"/>
        </w:rPr>
      </w:pPr>
      <w:r>
        <w:rPr>
          <w:rFonts w:ascii="宋体" w:hAnsi="宋体" w:cs="宋体" w:eastAsia="宋体" w:hint="default"/>
          <w:b/>
          <w:bCs/>
          <w:sz w:val="21"/>
          <w:szCs w:val="21"/>
        </w:rPr>
        <w:t>（1）经营租赁会计处理</w:t>
      </w:r>
      <w:r>
        <w:rPr>
          <w:rFonts w:ascii="宋体" w:hAnsi="宋体" w:cs="宋体" w:eastAsia="宋体" w:hint="default"/>
          <w:b/>
          <w:bCs/>
          <w:w w:val="99"/>
          <w:sz w:val="21"/>
          <w:szCs w:val="21"/>
        </w:rPr>
        <w:t> </w:t>
      </w:r>
      <w:r>
        <w:rPr>
          <w:rFonts w:ascii="宋体" w:hAnsi="宋体" w:cs="宋体" w:eastAsia="宋体" w:hint="default"/>
          <w:sz w:val="21"/>
          <w:szCs w:val="21"/>
        </w:rPr>
        <w:t>经营租赁的租金支出在租赁期内按照直线法计入相关资产成本或当期损益。</w:t>
      </w:r>
    </w:p>
    <w:p>
      <w:pPr>
        <w:pStyle w:val="Heading4"/>
        <w:spacing w:line="240" w:lineRule="auto" w:before="80"/>
        <w:ind w:right="0"/>
        <w:jc w:val="left"/>
        <w:rPr>
          <w:b w:val="0"/>
          <w:bCs w:val="0"/>
        </w:rPr>
      </w:pPr>
      <w:r>
        <w:rPr/>
        <w:t>（2）融资租赁会计处理</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0" w:firstLine="420"/>
        <w:jc w:val="left"/>
      </w:pPr>
      <w:r>
        <w:rPr/>
        <w:t>对于融资租赁，在租赁期开始日将租赁开始日租赁资产公允价值与最低租赁付款额现值两者中较低者 作为租入资产的入账价值，将最低租赁付款额作为长期应付款的入账价值，其差额作为未确认融资费用。</w:t>
      </w:r>
    </w:p>
    <w:p>
      <w:pPr>
        <w:spacing w:after="0" w:line="273" w:lineRule="auto"/>
        <w:jc w:val="left"/>
        <w:sectPr>
          <w:pgSz w:w="11910" w:h="16840"/>
          <w:pgMar w:header="877" w:footer="1003" w:top="1100" w:bottom="1200" w:left="980" w:right="820"/>
        </w:sectPr>
      </w:pPr>
    </w:p>
    <w:p>
      <w:pPr>
        <w:spacing w:line="240" w:lineRule="auto" w:before="9"/>
        <w:rPr>
          <w:rFonts w:ascii="宋体" w:hAnsi="宋体" w:cs="宋体" w:eastAsia="宋体" w:hint="default"/>
          <w:sz w:val="20"/>
          <w:szCs w:val="20"/>
        </w:rPr>
      </w:pPr>
    </w:p>
    <w:p>
      <w:pPr>
        <w:pStyle w:val="BodyText"/>
        <w:spacing w:line="273" w:lineRule="auto" w:before="35"/>
        <w:ind w:right="211"/>
        <w:jc w:val="both"/>
      </w:pPr>
      <w:r>
        <w:rPr>
          <w:spacing w:val="-1"/>
        </w:rPr>
        <w:t>未确认融资费用应当在租赁期内各个期间进行分摊，并采用实际利率法计算确认当期的融资费用。融资租</w:t>
      </w:r>
      <w:r>
        <w:rPr>
          <w:spacing w:val="-81"/>
        </w:rPr>
        <w:t> </w:t>
      </w:r>
      <w:r>
        <w:rPr>
          <w:spacing w:val="-81"/>
        </w:rPr>
      </w:r>
      <w:r>
        <w:rPr>
          <w:spacing w:val="-1"/>
        </w:rPr>
        <w:t>赁租入的固定资产采用与自有固定资产相一致的折旧政策计提租赁资产折旧。在租赁谈判和签订租赁合同</w:t>
      </w:r>
      <w:r>
        <w:rPr>
          <w:spacing w:val="-81"/>
        </w:rPr>
        <w:t> </w:t>
      </w:r>
      <w:r>
        <w:rPr>
          <w:spacing w:val="-81"/>
        </w:rPr>
      </w:r>
      <w:r>
        <w:rPr/>
        <w:t>过程中发生的，可归属于租赁项目的初始直接费用，计入租入资产价值。</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196"/>
        <w:jc w:val="left"/>
        <w:rPr>
          <w:b w:val="0"/>
          <w:bCs w:val="0"/>
        </w:rPr>
      </w:pPr>
      <w:r>
        <w:rPr/>
        <w:t>（3）售后租回的会计处理</w:t>
      </w:r>
      <w:r>
        <w:rPr>
          <w:b w:val="0"/>
          <w:bCs w:val="0"/>
        </w:rPr>
      </w:r>
    </w:p>
    <w:p>
      <w:pPr>
        <w:spacing w:line="240" w:lineRule="auto" w:before="11"/>
        <w:rPr>
          <w:rFonts w:ascii="宋体" w:hAnsi="宋体" w:cs="宋体" w:eastAsia="宋体" w:hint="default"/>
          <w:b/>
          <w:bCs/>
          <w:sz w:val="25"/>
          <w:szCs w:val="25"/>
        </w:rPr>
      </w:pPr>
    </w:p>
    <w:p>
      <w:pPr>
        <w:tabs>
          <w:tab w:pos="994" w:val="left" w:leader="none"/>
        </w:tabs>
        <w:spacing w:line="532" w:lineRule="auto" w:before="0"/>
        <w:ind w:left="154" w:right="8160" w:firstLine="0"/>
        <w:jc w:val="left"/>
        <w:rPr>
          <w:rFonts w:ascii="宋体" w:hAnsi="宋体" w:cs="宋体" w:eastAsia="宋体" w:hint="default"/>
          <w:sz w:val="21"/>
          <w:szCs w:val="21"/>
        </w:rPr>
      </w:pPr>
      <w:r>
        <w:rPr>
          <w:rFonts w:ascii="宋体" w:hAnsi="宋体" w:cs="宋体" w:eastAsia="宋体" w:hint="default"/>
          <w:sz w:val="21"/>
          <w:szCs w:val="21"/>
        </w:rPr>
        <w:t>□适用</w:t>
        <w:tab/>
        <w:t>√不适用 </w:t>
      </w:r>
      <w:r>
        <w:rPr>
          <w:rFonts w:ascii="宋体" w:hAnsi="宋体" w:cs="宋体" w:eastAsia="宋体" w:hint="default"/>
          <w:b/>
          <w:bCs/>
          <w:sz w:val="21"/>
          <w:szCs w:val="21"/>
        </w:rPr>
        <w:t>29、持有待售资产</w:t>
      </w:r>
      <w:r>
        <w:rPr>
          <w:rFonts w:ascii="宋体" w:hAnsi="宋体" w:cs="宋体" w:eastAsia="宋体" w:hint="default"/>
          <w:sz w:val="21"/>
          <w:szCs w:val="21"/>
        </w:rPr>
      </w:r>
    </w:p>
    <w:p>
      <w:pPr>
        <w:pStyle w:val="Heading4"/>
        <w:spacing w:line="240" w:lineRule="auto" w:before="83"/>
        <w:ind w:right="196"/>
        <w:jc w:val="left"/>
        <w:rPr>
          <w:b w:val="0"/>
          <w:bCs w:val="0"/>
        </w:rPr>
      </w:pPr>
      <w:r>
        <w:rPr/>
        <w:t>（1）持有待售资产确认标准</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3527" w:firstLine="423"/>
        <w:jc w:val="left"/>
      </w:pPr>
      <w:r>
        <w:rPr/>
        <w:t>本公司对同时满足下列条件的非流动资产划分为持有待售资产： 1）企业已经就处置该非流动资产作出决议；</w:t>
      </w:r>
    </w:p>
    <w:p>
      <w:pPr>
        <w:pStyle w:val="BodyText"/>
        <w:spacing w:line="240" w:lineRule="auto" w:before="7"/>
        <w:ind w:right="196"/>
        <w:jc w:val="left"/>
      </w:pPr>
      <w:r>
        <w:rPr/>
        <w:t>2）企业已经与受让方签订了不可撤销的转让协议；</w:t>
      </w:r>
    </w:p>
    <w:p>
      <w:pPr>
        <w:pStyle w:val="BodyText"/>
        <w:spacing w:line="240" w:lineRule="auto" w:before="37"/>
        <w:ind w:right="196"/>
        <w:jc w:val="left"/>
      </w:pPr>
      <w:r>
        <w:rPr/>
        <w:t>3）该项转让很可能在一年内完成。</w:t>
      </w:r>
    </w:p>
    <w:p>
      <w:pPr>
        <w:spacing w:line="240" w:lineRule="auto" w:before="1"/>
        <w:rPr>
          <w:rFonts w:ascii="宋体" w:hAnsi="宋体" w:cs="宋体" w:eastAsia="宋体" w:hint="default"/>
          <w:sz w:val="24"/>
          <w:szCs w:val="24"/>
        </w:rPr>
      </w:pPr>
    </w:p>
    <w:p>
      <w:pPr>
        <w:spacing w:line="610" w:lineRule="atLeast" w:before="0"/>
        <w:ind w:left="574" w:right="196" w:hanging="420"/>
        <w:jc w:val="left"/>
        <w:rPr>
          <w:rFonts w:ascii="宋体" w:hAnsi="宋体" w:cs="宋体" w:eastAsia="宋体" w:hint="default"/>
          <w:sz w:val="21"/>
          <w:szCs w:val="21"/>
        </w:rPr>
      </w:pPr>
      <w:r>
        <w:rPr>
          <w:rFonts w:ascii="宋体" w:hAnsi="宋体" w:cs="宋体" w:eastAsia="宋体" w:hint="default"/>
          <w:b/>
          <w:bCs/>
          <w:sz w:val="21"/>
          <w:szCs w:val="21"/>
        </w:rPr>
        <w:t>（2）持有待售资产的会计处理方法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公司对于持有待售的固定资产，调整该项固定资产的预计净残值，使该项固定资产的预计净残值能够</w:t>
      </w:r>
    </w:p>
    <w:p>
      <w:pPr>
        <w:pStyle w:val="BodyText"/>
        <w:spacing w:line="273" w:lineRule="auto" w:before="37"/>
        <w:ind w:left="153" w:right="102"/>
        <w:jc w:val="left"/>
      </w:pPr>
      <w:r>
        <w:rPr/>
        <w:t>反映其公允价值减去处置费用后的金额，但不得超过符合持有待售条件时该项固定资产的原账面价值，原 </w:t>
      </w:r>
      <w:r>
        <w:rPr>
          <w:spacing w:val="-3"/>
        </w:rPr>
        <w:t>账面价值高于调整后预计净残值的差额，作为资产减值损失计入当期损益。持有待售的固定资产不计折旧，</w:t>
      </w:r>
      <w:r>
        <w:rPr>
          <w:spacing w:val="-92"/>
        </w:rPr>
        <w:t> </w:t>
      </w:r>
      <w:r>
        <w:rPr>
          <w:spacing w:val="-92"/>
        </w:rPr>
      </w:r>
      <w:r>
        <w:rPr/>
        <w:t>按照账面价值与公允价值减去处置费用后的净额孰低进行计量。 符合持有待售条件的无形资产等其他非流动资产，比照上述原则处理。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196"/>
        <w:jc w:val="left"/>
        <w:rPr>
          <w:b w:val="0"/>
          <w:bCs w:val="0"/>
        </w:rPr>
      </w:pPr>
      <w:r>
        <w:rPr/>
        <w:t>30、资产证券化业务</w:t>
      </w:r>
      <w:r>
        <w:rPr>
          <w:b w:val="0"/>
          <w:bCs w:val="0"/>
        </w:rPr>
      </w:r>
    </w:p>
    <w:p>
      <w:pPr>
        <w:spacing w:line="240" w:lineRule="auto" w:before="11"/>
        <w:rPr>
          <w:rFonts w:ascii="宋体" w:hAnsi="宋体" w:cs="宋体" w:eastAsia="宋体" w:hint="default"/>
          <w:b/>
          <w:bCs/>
          <w:sz w:val="25"/>
          <w:szCs w:val="25"/>
        </w:rPr>
      </w:pPr>
    </w:p>
    <w:p>
      <w:pPr>
        <w:tabs>
          <w:tab w:pos="994" w:val="left" w:leader="none"/>
        </w:tabs>
        <w:spacing w:line="535" w:lineRule="auto" w:before="0"/>
        <w:ind w:left="154" w:right="8168" w:firstLine="0"/>
        <w:jc w:val="left"/>
        <w:rPr>
          <w:rFonts w:ascii="宋体" w:hAnsi="宋体" w:cs="宋体" w:eastAsia="宋体" w:hint="default"/>
          <w:sz w:val="21"/>
          <w:szCs w:val="21"/>
        </w:rPr>
      </w:pPr>
      <w:r>
        <w:rPr>
          <w:rFonts w:ascii="宋体" w:hAnsi="宋体" w:cs="宋体" w:eastAsia="宋体" w:hint="default"/>
          <w:sz w:val="21"/>
          <w:szCs w:val="21"/>
        </w:rPr>
        <w:t>□适用</w:t>
        <w:tab/>
        <w:t>√不适用 </w:t>
      </w:r>
      <w:r>
        <w:rPr>
          <w:rFonts w:ascii="宋体" w:hAnsi="宋体" w:cs="宋体" w:eastAsia="宋体" w:hint="default"/>
          <w:b/>
          <w:bCs/>
          <w:sz w:val="21"/>
          <w:szCs w:val="21"/>
        </w:rPr>
        <w:t>31、套期会计</w:t>
      </w:r>
      <w:r>
        <w:rPr>
          <w:rFonts w:ascii="宋体" w:hAnsi="宋体" w:cs="宋体" w:eastAsia="宋体" w:hint="default"/>
          <w:sz w:val="21"/>
          <w:szCs w:val="21"/>
        </w:rPr>
      </w:r>
    </w:p>
    <w:p>
      <w:pPr>
        <w:tabs>
          <w:tab w:pos="994" w:val="left" w:leader="none"/>
        </w:tabs>
        <w:spacing w:line="535" w:lineRule="auto" w:before="80"/>
        <w:ind w:left="154" w:right="5858" w:firstLine="0"/>
        <w:jc w:val="left"/>
        <w:rPr>
          <w:rFonts w:ascii="宋体" w:hAnsi="宋体" w:cs="宋体" w:eastAsia="宋体" w:hint="default"/>
          <w:sz w:val="21"/>
          <w:szCs w:val="21"/>
        </w:rPr>
      </w:pPr>
      <w:r>
        <w:rPr>
          <w:rFonts w:ascii="宋体" w:hAnsi="宋体" w:cs="宋体" w:eastAsia="宋体" w:hint="default"/>
          <w:sz w:val="21"/>
          <w:szCs w:val="21"/>
        </w:rPr>
        <w:t>□适用</w:t>
        <w:tab/>
        <w:t>√不适用 </w:t>
      </w:r>
      <w:r>
        <w:rPr>
          <w:rFonts w:ascii="宋体" w:hAnsi="宋体" w:cs="宋体" w:eastAsia="宋体" w:hint="default"/>
          <w:b/>
          <w:bCs/>
          <w:sz w:val="21"/>
          <w:szCs w:val="21"/>
        </w:rPr>
        <w:t>32、主要会计政策、会计估计的变更</w:t>
      </w:r>
      <w:r>
        <w:rPr>
          <w:rFonts w:ascii="宋体" w:hAnsi="宋体" w:cs="宋体" w:eastAsia="宋体" w:hint="default"/>
          <w:sz w:val="21"/>
          <w:szCs w:val="21"/>
        </w:rPr>
      </w:r>
    </w:p>
    <w:p>
      <w:pPr>
        <w:pStyle w:val="BodyText"/>
        <w:spacing w:line="240" w:lineRule="auto" w:before="81"/>
        <w:ind w:right="196"/>
        <w:jc w:val="left"/>
      </w:pPr>
      <w:r>
        <w:rPr/>
        <w:t>本报告期主要会计政策、会计估计是否变更</w:t>
      </w:r>
    </w:p>
    <w:p>
      <w:pPr>
        <w:spacing w:line="532" w:lineRule="auto" w:before="76"/>
        <w:ind w:left="154" w:right="6789" w:firstLine="0"/>
        <w:jc w:val="left"/>
        <w:rPr>
          <w:rFonts w:ascii="宋体" w:hAnsi="宋体" w:cs="宋体" w:eastAsia="宋体" w:hint="default"/>
          <w:sz w:val="21"/>
          <w:szCs w:val="21"/>
        </w:rPr>
      </w:pPr>
      <w:r>
        <w:rPr>
          <w:rFonts w:ascii="宋体" w:hAnsi="宋体" w:cs="宋体" w:eastAsia="宋体" w:hint="default"/>
          <w:sz w:val="21"/>
          <w:szCs w:val="21"/>
        </w:rPr>
        <w:t>□ 是 √</w:t>
      </w:r>
      <w:r>
        <w:rPr>
          <w:rFonts w:ascii="宋体" w:hAnsi="宋体" w:cs="宋体" w:eastAsia="宋体" w:hint="default"/>
          <w:spacing w:val="-1"/>
          <w:sz w:val="21"/>
          <w:szCs w:val="21"/>
        </w:rPr>
        <w:t> </w:t>
      </w:r>
      <w:r>
        <w:rPr>
          <w:rFonts w:ascii="宋体" w:hAnsi="宋体" w:cs="宋体" w:eastAsia="宋体" w:hint="default"/>
          <w:sz w:val="21"/>
          <w:szCs w:val="21"/>
        </w:rPr>
        <w:t>否</w:t>
      </w:r>
      <w:r>
        <w:rPr>
          <w:rFonts w:ascii="宋体" w:hAnsi="宋体" w:cs="宋体" w:eastAsia="宋体" w:hint="default"/>
          <w:sz w:val="21"/>
          <w:szCs w:val="21"/>
        </w:rPr>
        <w:t> </w:t>
      </w:r>
      <w:r>
        <w:rPr>
          <w:rFonts w:ascii="宋体" w:hAnsi="宋体" w:cs="宋体" w:eastAsia="宋体" w:hint="default"/>
          <w:b/>
          <w:bCs/>
          <w:sz w:val="21"/>
          <w:szCs w:val="21"/>
        </w:rPr>
        <w:t>33、前期会计差错更正</w:t>
      </w:r>
      <w:r>
        <w:rPr>
          <w:rFonts w:ascii="宋体" w:hAnsi="宋体" w:cs="宋体" w:eastAsia="宋体" w:hint="default"/>
          <w:sz w:val="21"/>
          <w:szCs w:val="21"/>
        </w:rPr>
      </w:r>
    </w:p>
    <w:p>
      <w:pPr>
        <w:pStyle w:val="BodyText"/>
        <w:spacing w:line="240" w:lineRule="auto" w:before="83"/>
        <w:ind w:right="196"/>
        <w:jc w:val="left"/>
      </w:pPr>
      <w:r>
        <w:rPr/>
        <w:t>本报告期是否发现前期会计差错</w:t>
      </w:r>
    </w:p>
    <w:p>
      <w:pPr>
        <w:pStyle w:val="BodyText"/>
        <w:spacing w:line="240" w:lineRule="auto" w:before="76"/>
        <w:ind w:right="196"/>
        <w:jc w:val="left"/>
      </w:pPr>
      <w:r>
        <w:rPr/>
        <w:t>□ 是 √</w:t>
      </w:r>
      <w:r>
        <w:rPr>
          <w:spacing w:val="-1"/>
        </w:rPr>
        <w:t> </w:t>
      </w:r>
      <w:r>
        <w:rPr/>
        <w:t>否</w:t>
      </w:r>
    </w:p>
    <w:p>
      <w:pPr>
        <w:spacing w:after="0" w:line="240" w:lineRule="auto"/>
        <w:jc w:val="left"/>
        <w:sectPr>
          <w:pgSz w:w="11910" w:h="16840"/>
          <w:pgMar w:header="877" w:footer="1003" w:top="1100" w:bottom="1200" w:left="980" w:right="920"/>
        </w:sectPr>
      </w:pPr>
    </w:p>
    <w:p>
      <w:pPr>
        <w:spacing w:line="240" w:lineRule="auto" w:before="9"/>
        <w:rPr>
          <w:rFonts w:ascii="宋体" w:hAnsi="宋体" w:cs="宋体" w:eastAsia="宋体" w:hint="default"/>
          <w:sz w:val="20"/>
          <w:szCs w:val="20"/>
        </w:rPr>
      </w:pPr>
    </w:p>
    <w:p>
      <w:pPr>
        <w:pStyle w:val="Heading4"/>
        <w:spacing w:line="240" w:lineRule="auto" w:before="35"/>
        <w:ind w:right="132"/>
        <w:jc w:val="left"/>
        <w:rPr>
          <w:b w:val="0"/>
          <w:bCs w:val="0"/>
        </w:rPr>
      </w:pPr>
      <w:r>
        <w:rPr/>
        <w:t>（1）追溯重述法</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right="132"/>
        <w:jc w:val="left"/>
      </w:pPr>
      <w:r>
        <w:rPr/>
        <w:t>本报告期是否发现采用追溯重述法的前期会计差错</w:t>
      </w:r>
    </w:p>
    <w:p>
      <w:pPr>
        <w:pStyle w:val="BodyText"/>
        <w:spacing w:line="240" w:lineRule="auto" w:before="76"/>
        <w:ind w:right="132"/>
        <w:jc w:val="left"/>
      </w:pPr>
      <w:r>
        <w:rPr/>
        <w:t>□ 是 √</w:t>
      </w:r>
      <w:r>
        <w:rPr>
          <w:spacing w:val="-1"/>
        </w:rPr>
        <w:t> </w:t>
      </w:r>
      <w:r>
        <w:rPr/>
        <w:t>否</w:t>
      </w:r>
    </w:p>
    <w:p>
      <w:pPr>
        <w:spacing w:line="614" w:lineRule="exact" w:before="91"/>
        <w:ind w:left="154" w:right="5150" w:firstLine="0"/>
        <w:jc w:val="left"/>
        <w:rPr>
          <w:rFonts w:ascii="宋体" w:hAnsi="宋体" w:cs="宋体" w:eastAsia="宋体" w:hint="default"/>
          <w:sz w:val="21"/>
          <w:szCs w:val="21"/>
        </w:rPr>
      </w:pPr>
      <w:r>
        <w:rPr>
          <w:rFonts w:ascii="宋体" w:hAnsi="宋体" w:cs="宋体" w:eastAsia="宋体" w:hint="default"/>
          <w:b/>
          <w:bCs/>
          <w:sz w:val="21"/>
          <w:szCs w:val="21"/>
        </w:rPr>
        <w:t>（2）未来适用法</w:t>
      </w:r>
      <w:r>
        <w:rPr>
          <w:rFonts w:ascii="宋体" w:hAnsi="宋体" w:cs="宋体" w:eastAsia="宋体" w:hint="default"/>
          <w:b/>
          <w:bCs/>
          <w:spacing w:val="1"/>
          <w:w w:val="99"/>
          <w:sz w:val="21"/>
          <w:szCs w:val="21"/>
        </w:rPr>
        <w:t> </w:t>
      </w:r>
      <w:r>
        <w:rPr>
          <w:rFonts w:ascii="宋体" w:hAnsi="宋体" w:cs="宋体" w:eastAsia="宋体" w:hint="default"/>
          <w:sz w:val="21"/>
          <w:szCs w:val="21"/>
        </w:rPr>
        <w:t>本报告期是否发现采用未来适用法的前期会计差错</w:t>
      </w:r>
    </w:p>
    <w:p>
      <w:pPr>
        <w:pStyle w:val="BodyText"/>
        <w:spacing w:line="260" w:lineRule="exact"/>
        <w:ind w:right="132"/>
        <w:jc w:val="left"/>
      </w:pPr>
      <w:r>
        <w:rPr/>
        <w:t>□ 是 √</w:t>
      </w:r>
      <w:r>
        <w:rPr>
          <w:spacing w:val="-1"/>
        </w:rPr>
        <w:t> </w:t>
      </w:r>
      <w:r>
        <w:rPr/>
        <w:t>否</w:t>
      </w:r>
    </w:p>
    <w:p>
      <w:pPr>
        <w:spacing w:line="240" w:lineRule="auto" w:before="9"/>
        <w:rPr>
          <w:rFonts w:ascii="宋体" w:hAnsi="宋体" w:cs="宋体" w:eastAsia="宋体" w:hint="default"/>
          <w:sz w:val="25"/>
          <w:szCs w:val="25"/>
        </w:rPr>
      </w:pPr>
    </w:p>
    <w:p>
      <w:pPr>
        <w:pStyle w:val="Heading4"/>
        <w:spacing w:line="240" w:lineRule="auto"/>
        <w:ind w:right="132"/>
        <w:jc w:val="left"/>
        <w:rPr>
          <w:b w:val="0"/>
          <w:bCs w:val="0"/>
        </w:rPr>
      </w:pPr>
      <w:r>
        <w:rPr/>
        <w:t>34、其他主要会计政策、会计估计和财务报表编制方法</w:t>
      </w:r>
      <w:r>
        <w:rPr>
          <w:b w:val="0"/>
          <w:bCs w:val="0"/>
        </w:rPr>
      </w:r>
    </w:p>
    <w:p>
      <w:pPr>
        <w:spacing w:line="240" w:lineRule="auto" w:before="12"/>
        <w:rPr>
          <w:rFonts w:ascii="宋体" w:hAnsi="宋体" w:cs="宋体" w:eastAsia="宋体" w:hint="default"/>
          <w:b/>
          <w:bCs/>
          <w:sz w:val="25"/>
          <w:szCs w:val="25"/>
        </w:rPr>
      </w:pPr>
    </w:p>
    <w:p>
      <w:pPr>
        <w:tabs>
          <w:tab w:pos="994" w:val="left" w:leader="none"/>
        </w:tabs>
        <w:spacing w:line="499" w:lineRule="auto" w:before="0"/>
        <w:ind w:left="154" w:right="7574" w:firstLine="0"/>
        <w:jc w:val="left"/>
        <w:rPr>
          <w:rFonts w:ascii="宋体" w:hAnsi="宋体" w:cs="宋体" w:eastAsia="宋体" w:hint="default"/>
          <w:sz w:val="21"/>
          <w:szCs w:val="21"/>
        </w:rPr>
      </w:pPr>
      <w:r>
        <w:rPr>
          <w:rFonts w:ascii="宋体" w:hAnsi="宋体" w:cs="宋体" w:eastAsia="宋体" w:hint="default"/>
          <w:sz w:val="21"/>
          <w:szCs w:val="21"/>
        </w:rPr>
        <w:t>□适用</w:t>
        <w:tab/>
        <w:t>√不适用 </w:t>
      </w:r>
      <w:r>
        <w:rPr>
          <w:rFonts w:ascii="宋体" w:hAnsi="宋体" w:cs="宋体" w:eastAsia="宋体" w:hint="default"/>
          <w:b/>
          <w:bCs/>
          <w:sz w:val="24"/>
          <w:szCs w:val="24"/>
        </w:rPr>
        <w:t>五、税项</w:t>
      </w:r>
      <w:r>
        <w:rPr>
          <w:rFonts w:ascii="宋体" w:hAnsi="宋体" w:cs="宋体" w:eastAsia="宋体" w:hint="default"/>
          <w:b/>
          <w:bCs/>
          <w:w w:val="99"/>
          <w:sz w:val="24"/>
          <w:szCs w:val="24"/>
        </w:rPr>
        <w:t> </w:t>
      </w:r>
      <w:r>
        <w:rPr>
          <w:rFonts w:ascii="宋体" w:hAnsi="宋体" w:cs="宋体" w:eastAsia="宋体" w:hint="default"/>
          <w:b/>
          <w:bCs/>
          <w:sz w:val="21"/>
          <w:szCs w:val="21"/>
        </w:rPr>
        <w:t>1、公司主要税种和税率</w:t>
      </w:r>
      <w:r>
        <w:rPr>
          <w:rFonts w:ascii="宋体" w:hAnsi="宋体" w:cs="宋体" w:eastAsia="宋体" w:hint="default"/>
          <w:sz w:val="21"/>
          <w:szCs w:val="21"/>
        </w:rPr>
      </w:r>
    </w:p>
    <w:p>
      <w:pPr>
        <w:spacing w:line="240" w:lineRule="auto" w:before="8"/>
        <w:rPr>
          <w:rFonts w:ascii="宋体" w:hAnsi="宋体" w:cs="宋体" w:eastAsia="宋体" w:hint="default"/>
          <w:b/>
          <w:bCs/>
          <w:sz w:val="9"/>
          <w:szCs w:val="9"/>
        </w:rPr>
      </w:pPr>
    </w:p>
    <w:tbl>
      <w:tblPr>
        <w:tblW w:w="0" w:type="auto"/>
        <w:jc w:val="left"/>
        <w:tblInd w:w="138" w:type="dxa"/>
        <w:tblLayout w:type="fixed"/>
        <w:tblCellMar>
          <w:top w:w="0" w:type="dxa"/>
          <w:left w:w="0" w:type="dxa"/>
          <w:bottom w:w="0" w:type="dxa"/>
          <w:right w:w="0" w:type="dxa"/>
        </w:tblCellMar>
        <w:tblLook w:val="01E0"/>
      </w:tblPr>
      <w:tblGrid>
        <w:gridCol w:w="3515"/>
        <w:gridCol w:w="3026"/>
        <w:gridCol w:w="3026"/>
      </w:tblGrid>
      <w:tr>
        <w:trPr>
          <w:trHeight w:val="415" w:hRule="exact"/>
        </w:trPr>
        <w:tc>
          <w:tcPr>
            <w:tcW w:w="3515"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税种</w:t>
            </w:r>
          </w:p>
        </w:tc>
        <w:tc>
          <w:tcPr>
            <w:tcW w:w="3026"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7" w:hRule="exact"/>
        </w:trPr>
        <w:tc>
          <w:tcPr>
            <w:tcW w:w="3515"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应纳税销售收入</w:t>
            </w:r>
          </w:p>
        </w:tc>
        <w:tc>
          <w:tcPr>
            <w:tcW w:w="30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17%</w:t>
            </w:r>
          </w:p>
        </w:tc>
      </w:tr>
      <w:tr>
        <w:trPr>
          <w:trHeight w:val="407" w:hRule="exact"/>
        </w:trPr>
        <w:tc>
          <w:tcPr>
            <w:tcW w:w="3515"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0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z w:val="18"/>
                <w:szCs w:val="18"/>
              </w:rPr>
              <w:t>3%、5%</w:t>
            </w:r>
          </w:p>
        </w:tc>
      </w:tr>
      <w:tr>
        <w:trPr>
          <w:trHeight w:val="407" w:hRule="exact"/>
        </w:trPr>
        <w:tc>
          <w:tcPr>
            <w:tcW w:w="3515"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应纳增值税及营业税额</w:t>
            </w:r>
          </w:p>
        </w:tc>
        <w:tc>
          <w:tcPr>
            <w:tcW w:w="30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w:t>
            </w:r>
          </w:p>
        </w:tc>
      </w:tr>
      <w:tr>
        <w:trPr>
          <w:trHeight w:val="407" w:hRule="exact"/>
        </w:trPr>
        <w:tc>
          <w:tcPr>
            <w:tcW w:w="3515"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应纳增值税及营业税额</w:t>
            </w:r>
          </w:p>
        </w:tc>
        <w:tc>
          <w:tcPr>
            <w:tcW w:w="30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w:t>
            </w:r>
          </w:p>
        </w:tc>
      </w:tr>
      <w:tr>
        <w:trPr>
          <w:trHeight w:val="413" w:hRule="exact"/>
        </w:trPr>
        <w:tc>
          <w:tcPr>
            <w:tcW w:w="3515" w:type="dxa"/>
            <w:tcBorders>
              <w:top w:val="single" w:sz="39" w:space="0" w:color="D3D3D3"/>
              <w:left w:val="single" w:sz="12" w:space="0" w:color="000000"/>
              <w:bottom w:val="single" w:sz="38" w:space="0" w:color="D3D3D3"/>
              <w:right w:val="single" w:sz="6" w:space="0" w:color="000000"/>
            </w:tcBorders>
          </w:tcPr>
          <w:p>
            <w:pPr>
              <w:pStyle w:val="TableParagraph"/>
              <w:tabs>
                <w:tab w:pos="3472" w:val="left" w:leader="none"/>
              </w:tabs>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地方教育费附加</w:t>
              <w:tab/>
            </w:r>
            <w:r>
              <w:rPr>
                <w:rFonts w:ascii="宋体" w:hAnsi="宋体" w:cs="宋体" w:eastAsia="宋体" w:hint="default"/>
                <w:sz w:val="18"/>
                <w:szCs w:val="18"/>
              </w:rPr>
            </w:r>
          </w:p>
        </w:tc>
        <w:tc>
          <w:tcPr>
            <w:tcW w:w="3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应纳增值税及营业税额</w:t>
            </w:r>
          </w:p>
        </w:tc>
        <w:tc>
          <w:tcPr>
            <w:tcW w:w="30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w:t>
            </w:r>
          </w:p>
        </w:tc>
      </w:tr>
      <w:tr>
        <w:trPr>
          <w:trHeight w:val="415" w:hRule="exact"/>
        </w:trPr>
        <w:tc>
          <w:tcPr>
            <w:tcW w:w="3515"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15%</w:t>
            </w:r>
          </w:p>
        </w:tc>
      </w:tr>
    </w:tbl>
    <w:p>
      <w:pPr>
        <w:spacing w:line="240" w:lineRule="auto" w:before="3"/>
        <w:rPr>
          <w:rFonts w:ascii="宋体" w:hAnsi="宋体" w:cs="宋体" w:eastAsia="宋体" w:hint="default"/>
          <w:b/>
          <w:bCs/>
          <w:sz w:val="26"/>
          <w:szCs w:val="26"/>
        </w:rPr>
      </w:pPr>
    </w:p>
    <w:p>
      <w:pPr>
        <w:pStyle w:val="BodyText"/>
        <w:spacing w:line="307" w:lineRule="auto" w:before="35"/>
        <w:ind w:right="2315"/>
        <w:jc w:val="left"/>
      </w:pPr>
      <w:r>
        <w:rPr/>
        <w:t>各分公司、分厂执行的所得税税率 公司及子公司江苏苏源光一科技有限公司均为高新技术企业，所得税税率为15%。</w:t>
      </w:r>
    </w:p>
    <w:p>
      <w:pPr>
        <w:pStyle w:val="BodyText"/>
        <w:spacing w:line="612" w:lineRule="exact" w:before="35"/>
        <w:ind w:left="574" w:right="132" w:hanging="421"/>
        <w:jc w:val="left"/>
      </w:pPr>
      <w:r>
        <w:rPr>
          <w:rFonts w:ascii="宋体" w:hAnsi="宋体" w:cs="宋体" w:eastAsia="宋体" w:hint="default"/>
          <w:b/>
          <w:bCs/>
        </w:rPr>
        <w:t>2、税收优惠及批文</w:t>
      </w:r>
      <w:r>
        <w:rPr>
          <w:rFonts w:ascii="宋体" w:hAnsi="宋体" w:cs="宋体" w:eastAsia="宋体" w:hint="default"/>
          <w:b/>
          <w:bCs/>
          <w:spacing w:val="1"/>
          <w:w w:val="99"/>
        </w:rPr>
        <w:t> </w:t>
      </w:r>
      <w:r>
        <w:rPr>
          <w:spacing w:val="-1"/>
        </w:rPr>
        <w:t>所得税：本公司及子公司江苏苏源光一科技有限公司分别于2011年9月9日及2011年8月2日通过高新技</w:t>
      </w:r>
    </w:p>
    <w:p>
      <w:pPr>
        <w:pStyle w:val="BodyText"/>
        <w:spacing w:line="219" w:lineRule="exact"/>
        <w:ind w:right="0"/>
        <w:jc w:val="left"/>
      </w:pPr>
      <w:r>
        <w:rPr/>
        <w:t>术企业评审，享受高新技术企业所得税优惠政策，有效期三年。本公司及子公司江苏苏源光一科技有限公</w:t>
      </w:r>
    </w:p>
    <w:p>
      <w:pPr>
        <w:pStyle w:val="BodyText"/>
        <w:spacing w:line="240" w:lineRule="auto" w:before="37"/>
        <w:ind w:right="132"/>
        <w:jc w:val="left"/>
      </w:pPr>
      <w:r>
        <w:rPr/>
        <w:t>司在此期间内按15%的税率缴纳企业所得税。</w:t>
      </w:r>
    </w:p>
    <w:p>
      <w:pPr>
        <w:spacing w:line="240" w:lineRule="auto" w:before="9"/>
        <w:rPr>
          <w:rFonts w:ascii="宋体" w:hAnsi="宋体" w:cs="宋体" w:eastAsia="宋体" w:hint="default"/>
          <w:sz w:val="26"/>
          <w:szCs w:val="26"/>
        </w:rPr>
      </w:pPr>
    </w:p>
    <w:p>
      <w:pPr>
        <w:pStyle w:val="BodyText"/>
        <w:spacing w:line="273" w:lineRule="auto"/>
        <w:ind w:right="146" w:firstLine="422"/>
        <w:jc w:val="both"/>
      </w:pPr>
      <w:r>
        <w:rPr/>
        <w:t>增值税：本公司及子公司江苏苏源光一科技有限公司分别于2001年7月28日、2004年10月25日被江苏 省信息产业厅认定为软件企业，根据国务院2011年1月28日下发的《国务院关于印发进一步鼓励软件产业</w:t>
      </w:r>
      <w:r>
        <w:rPr>
          <w:spacing w:val="-36"/>
        </w:rPr>
        <w:t> </w:t>
      </w:r>
      <w:r>
        <w:rPr>
          <w:spacing w:val="-36"/>
        </w:rPr>
      </w:r>
      <w:r>
        <w:rPr/>
        <w:t>和集成电路产业发展若干政策的通知》国发[2011]4号文件，对增值税一般纳税人销售其自行开发生产的</w:t>
      </w:r>
      <w:r>
        <w:rPr>
          <w:spacing w:val="-37"/>
        </w:rPr>
        <w:t> </w:t>
      </w:r>
      <w:r>
        <w:rPr>
          <w:spacing w:val="-37"/>
        </w:rPr>
      </w:r>
      <w:r>
        <w:rPr/>
        <w:t>软件产品，按17％的法定税率征收增值税后，对其增值税实际税负超过3％的部分实行即征即退的增值税</w:t>
      </w:r>
      <w:r>
        <w:rPr>
          <w:spacing w:val="-35"/>
        </w:rPr>
        <w:t> </w:t>
      </w:r>
      <w:r>
        <w:rPr>
          <w:spacing w:val="-35"/>
        </w:rPr>
      </w:r>
      <w:r>
        <w:rPr/>
        <w:t>优惠政策。</w:t>
      </w:r>
    </w:p>
    <w:p>
      <w:pPr>
        <w:spacing w:after="0" w:line="273" w:lineRule="auto"/>
        <w:jc w:val="both"/>
        <w:sectPr>
          <w:pgSz w:w="11910" w:h="16840"/>
          <w:pgMar w:header="877" w:footer="1003" w:top="1100" w:bottom="1200" w:left="980" w:right="980"/>
        </w:sectPr>
      </w:pPr>
    </w:p>
    <w:p>
      <w:pPr>
        <w:spacing w:before="17"/>
        <w:ind w:left="0" w:right="639" w:firstLine="0"/>
        <w:jc w:val="right"/>
        <w:rPr>
          <w:rFonts w:ascii="宋体" w:hAnsi="宋体" w:cs="宋体" w:eastAsia="宋体" w:hint="default"/>
          <w:sz w:val="18"/>
          <w:szCs w:val="18"/>
        </w:rPr>
      </w:pPr>
      <w:r>
        <w:rPr>
          <w:rFonts w:ascii="宋体" w:hAnsi="宋体" w:cs="宋体" w:eastAsia="宋体" w:hint="default"/>
          <w:sz w:val="18"/>
          <w:szCs w:val="18"/>
        </w:rPr>
        <w:t>光一科技股份有限公司</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年度报告全文</w:t>
      </w:r>
    </w:p>
    <w:p>
      <w:pPr>
        <w:spacing w:line="240" w:lineRule="auto" w:before="9"/>
        <w:rPr>
          <w:rFonts w:ascii="宋体" w:hAnsi="宋体" w:cs="宋体" w:eastAsia="宋体" w:hint="default"/>
          <w:sz w:val="3"/>
          <w:szCs w:val="3"/>
        </w:rPr>
      </w:pPr>
    </w:p>
    <w:p>
      <w:pPr>
        <w:spacing w:line="20" w:lineRule="exact"/>
        <w:ind w:left="52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2"/>
        <w:spacing w:line="240" w:lineRule="auto"/>
        <w:ind w:left="559" w:right="10171"/>
        <w:jc w:val="left"/>
        <w:rPr>
          <w:b w:val="0"/>
          <w:bCs w:val="0"/>
        </w:rPr>
      </w:pPr>
      <w:r>
        <w:rPr/>
        <w:t>六、企业合并及合并财务报表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559" w:right="10171"/>
        <w:jc w:val="left"/>
        <w:rPr>
          <w:b w:val="0"/>
          <w:bCs w:val="0"/>
        </w:rPr>
      </w:pPr>
      <w:r>
        <w:rPr/>
        <w:t>1、子公司情况</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left="559" w:right="10171"/>
        <w:jc w:val="left"/>
        <w:rPr>
          <w:b w:val="0"/>
          <w:bCs w:val="0"/>
        </w:rPr>
      </w:pPr>
      <w:r>
        <w:rPr/>
        <w:t>（1）通过设立或投资等方式取得的子公司</w:t>
      </w:r>
      <w:r>
        <w:rPr>
          <w:b w:val="0"/>
          <w:bCs w:val="0"/>
        </w:rPr>
      </w:r>
    </w:p>
    <w:p>
      <w:pPr>
        <w:spacing w:line="240" w:lineRule="auto" w:before="5"/>
        <w:rPr>
          <w:rFonts w:ascii="宋体" w:hAnsi="宋体" w:cs="宋体" w:eastAsia="宋体" w:hint="default"/>
          <w:b/>
          <w:bCs/>
          <w:sz w:val="24"/>
          <w:szCs w:val="24"/>
        </w:rPr>
      </w:pPr>
    </w:p>
    <w:p>
      <w:pPr>
        <w:spacing w:before="44"/>
        <w:ind w:left="0" w:right="738"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112"/>
        <w:gridCol w:w="683"/>
        <w:gridCol w:w="683"/>
        <w:gridCol w:w="926"/>
        <w:gridCol w:w="1134"/>
        <w:gridCol w:w="2268"/>
        <w:gridCol w:w="1276"/>
        <w:gridCol w:w="851"/>
        <w:gridCol w:w="566"/>
        <w:gridCol w:w="709"/>
        <w:gridCol w:w="709"/>
        <w:gridCol w:w="850"/>
        <w:gridCol w:w="1134"/>
        <w:gridCol w:w="1984"/>
      </w:tblGrid>
      <w:tr>
        <w:trPr>
          <w:trHeight w:val="1966" w:hRule="exact"/>
        </w:trPr>
        <w:tc>
          <w:tcPr>
            <w:tcW w:w="1112"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89"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683"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53" w:right="62"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26"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9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13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9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268"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276"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39" w:right="89" w:hanging="450"/>
              <w:jc w:val="left"/>
              <w:rPr>
                <w:rFonts w:ascii="宋体" w:hAnsi="宋体" w:cs="宋体" w:eastAsia="宋体" w:hint="default"/>
                <w:sz w:val="18"/>
                <w:szCs w:val="18"/>
              </w:rPr>
            </w:pPr>
            <w:r>
              <w:rPr>
                <w:rFonts w:ascii="宋体" w:hAnsi="宋体" w:cs="宋体" w:eastAsia="宋体" w:hint="default"/>
                <w:sz w:val="18"/>
                <w:szCs w:val="18"/>
              </w:rPr>
              <w:t>期末实际投资 额</w:t>
            </w:r>
          </w:p>
        </w:tc>
        <w:tc>
          <w:tcPr>
            <w:tcW w:w="851"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8" w:right="55"/>
              <w:jc w:val="both"/>
              <w:rPr>
                <w:rFonts w:ascii="宋体" w:hAnsi="宋体" w:cs="宋体" w:eastAsia="宋体" w:hint="default"/>
                <w:sz w:val="18"/>
                <w:szCs w:val="18"/>
              </w:rPr>
            </w:pPr>
            <w:r>
              <w:rPr>
                <w:rFonts w:ascii="宋体" w:hAnsi="宋体" w:cs="宋体" w:eastAsia="宋体" w:hint="default"/>
                <w:sz w:val="18"/>
                <w:szCs w:val="18"/>
              </w:rPr>
              <w:t>实质上构 成对子公 司净投资 的其他项 目余额</w:t>
            </w:r>
          </w:p>
        </w:tc>
        <w:tc>
          <w:tcPr>
            <w:tcW w:w="566"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6" w:right="95"/>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709"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66" w:right="77" w:hanging="90"/>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709"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76" w:right="76"/>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85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13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9" w:right="108"/>
              <w:jc w:val="both"/>
              <w:rPr>
                <w:rFonts w:ascii="宋体" w:hAnsi="宋体" w:cs="宋体" w:eastAsia="宋体" w:hint="default"/>
                <w:sz w:val="18"/>
                <w:szCs w:val="18"/>
              </w:rPr>
            </w:pPr>
            <w:r>
              <w:rPr>
                <w:rFonts w:ascii="宋体" w:hAnsi="宋体" w:cs="宋体" w:eastAsia="宋体" w:hint="default"/>
                <w:sz w:val="18"/>
                <w:szCs w:val="18"/>
              </w:rPr>
              <w:t>少数股东权 益中用于冲 减少数股东 损益的金额</w:t>
            </w:r>
          </w:p>
        </w:tc>
        <w:tc>
          <w:tcPr>
            <w:tcW w:w="1984"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316" w:lineRule="auto" w:before="51"/>
              <w:ind w:left="83" w:right="76"/>
              <w:jc w:val="center"/>
              <w:rPr>
                <w:rFonts w:ascii="宋体" w:hAnsi="宋体" w:cs="宋体" w:eastAsia="宋体" w:hint="default"/>
                <w:sz w:val="18"/>
                <w:szCs w:val="18"/>
              </w:rPr>
            </w:pPr>
            <w:r>
              <w:rPr>
                <w:rFonts w:ascii="宋体" w:hAnsi="宋体" w:cs="宋体" w:eastAsia="宋体" w:hint="default"/>
                <w:sz w:val="18"/>
                <w:szCs w:val="18"/>
              </w:rPr>
              <w:t>从母公司所有者权益冲 减子公司少数股东分担 的本期亏损超过少数股 东在该子公司年初所有 者权益中所享有份额后 的余额</w:t>
            </w:r>
          </w:p>
        </w:tc>
      </w:tr>
      <w:tr>
        <w:trPr>
          <w:trHeight w:val="368" w:hRule="exact"/>
        </w:trPr>
        <w:tc>
          <w:tcPr>
            <w:tcW w:w="1112" w:type="dxa"/>
            <w:tcBorders>
              <w:top w:val="single" w:sz="6" w:space="0" w:color="000000"/>
              <w:left w:val="single" w:sz="12" w:space="0" w:color="000000"/>
              <w:bottom w:val="nil" w:sz="6" w:space="0" w:color="auto"/>
              <w:right w:val="single" w:sz="6" w:space="0" w:color="000000"/>
            </w:tcBorders>
          </w:tcPr>
          <w:p>
            <w:pPr/>
          </w:p>
        </w:tc>
        <w:tc>
          <w:tcPr>
            <w:tcW w:w="683" w:type="dxa"/>
            <w:tcBorders>
              <w:top w:val="single" w:sz="6" w:space="0" w:color="000000"/>
              <w:left w:val="single" w:sz="6" w:space="0" w:color="000000"/>
              <w:bottom w:val="nil" w:sz="6" w:space="0" w:color="auto"/>
              <w:right w:val="single" w:sz="6" w:space="0" w:color="000000"/>
            </w:tcBorders>
          </w:tcPr>
          <w:p>
            <w:pPr/>
          </w:p>
        </w:tc>
        <w:tc>
          <w:tcPr>
            <w:tcW w:w="683"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226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一般经营项目：电子产品、</w:t>
            </w:r>
          </w:p>
        </w:tc>
        <w:tc>
          <w:tcPr>
            <w:tcW w:w="1276" w:type="dxa"/>
            <w:tcBorders>
              <w:top w:val="single" w:sz="6" w:space="0" w:color="000000"/>
              <w:left w:val="single" w:sz="6" w:space="0" w:color="000000"/>
              <w:bottom w:val="nil" w:sz="6" w:space="0" w:color="auto"/>
              <w:right w:val="single" w:sz="6" w:space="0" w:color="000000"/>
            </w:tcBorders>
          </w:tcPr>
          <w:p>
            <w:pPr/>
          </w:p>
        </w:tc>
        <w:tc>
          <w:tcPr>
            <w:tcW w:w="851" w:type="dxa"/>
            <w:vMerge w:val="restart"/>
            <w:tcBorders>
              <w:top w:val="single" w:sz="6" w:space="0" w:color="000000"/>
              <w:left w:val="single" w:sz="6" w:space="0" w:color="000000"/>
              <w:right w:val="single" w:sz="6" w:space="0" w:color="000000"/>
            </w:tcBorders>
          </w:tcPr>
          <w:p>
            <w:pPr/>
          </w:p>
        </w:tc>
        <w:tc>
          <w:tcPr>
            <w:tcW w:w="566" w:type="dxa"/>
            <w:tcBorders>
              <w:top w:val="single" w:sz="6" w:space="0" w:color="000000"/>
              <w:left w:val="single" w:sz="6" w:space="0" w:color="000000"/>
              <w:bottom w:val="nil" w:sz="6" w:space="0" w:color="auto"/>
              <w:right w:val="single" w:sz="6" w:space="0" w:color="000000"/>
            </w:tcBorders>
          </w:tcPr>
          <w:p>
            <w:pPr/>
          </w:p>
        </w:tc>
        <w:tc>
          <w:tcPr>
            <w:tcW w:w="709" w:type="dxa"/>
            <w:tcBorders>
              <w:top w:val="single" w:sz="6" w:space="0" w:color="000000"/>
              <w:left w:val="single" w:sz="6" w:space="0" w:color="000000"/>
              <w:bottom w:val="nil" w:sz="6" w:space="0" w:color="auto"/>
              <w:right w:val="single" w:sz="6" w:space="0" w:color="000000"/>
            </w:tcBorders>
          </w:tcPr>
          <w:p>
            <w:pPr/>
          </w:p>
        </w:tc>
        <w:tc>
          <w:tcPr>
            <w:tcW w:w="709" w:type="dxa"/>
            <w:tcBorders>
              <w:top w:val="single" w:sz="6" w:space="0" w:color="000000"/>
              <w:left w:val="single" w:sz="6" w:space="0" w:color="000000"/>
              <w:bottom w:val="nil" w:sz="6" w:space="0" w:color="auto"/>
              <w:right w:val="single" w:sz="6" w:space="0" w:color="000000"/>
            </w:tcBorders>
          </w:tcPr>
          <w:p>
            <w:pPr/>
          </w:p>
        </w:tc>
        <w:tc>
          <w:tcPr>
            <w:tcW w:w="850"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984" w:type="dxa"/>
            <w:tcBorders>
              <w:top w:val="single" w:sz="6" w:space="0" w:color="000000"/>
              <w:left w:val="single" w:sz="6" w:space="0" w:color="000000"/>
              <w:bottom w:val="nil" w:sz="6" w:space="0" w:color="auto"/>
              <w:right w:val="single" w:sz="12" w:space="0" w:color="000000"/>
            </w:tcBorders>
          </w:tcPr>
          <w:p>
            <w:pPr/>
          </w:p>
        </w:tc>
      </w:tr>
      <w:tr>
        <w:trPr>
          <w:trHeight w:val="311" w:hRule="exact"/>
        </w:trPr>
        <w:tc>
          <w:tcPr>
            <w:tcW w:w="1112" w:type="dxa"/>
            <w:tcBorders>
              <w:top w:val="nil" w:sz="6" w:space="0" w:color="auto"/>
              <w:left w:val="single" w:sz="12" w:space="0" w:color="000000"/>
              <w:bottom w:val="nil" w:sz="6" w:space="0" w:color="auto"/>
              <w:right w:val="single" w:sz="6" w:space="0" w:color="000000"/>
            </w:tcBorders>
          </w:tcPr>
          <w:p>
            <w:pPr/>
          </w:p>
        </w:tc>
        <w:tc>
          <w:tcPr>
            <w:tcW w:w="683" w:type="dxa"/>
            <w:tcBorders>
              <w:top w:val="nil" w:sz="6" w:space="0" w:color="auto"/>
              <w:left w:val="single" w:sz="6" w:space="0" w:color="000000"/>
              <w:bottom w:val="nil" w:sz="6" w:space="0" w:color="auto"/>
              <w:right w:val="single" w:sz="6" w:space="0" w:color="000000"/>
            </w:tcBorders>
          </w:tcPr>
          <w:p>
            <w:pPr/>
          </w:p>
        </w:tc>
        <w:tc>
          <w:tcPr>
            <w:tcW w:w="683" w:type="dxa"/>
            <w:tcBorders>
              <w:top w:val="nil" w:sz="6" w:space="0" w:color="auto"/>
              <w:left w:val="single" w:sz="6" w:space="0" w:color="000000"/>
              <w:bottom w:val="nil" w:sz="6" w:space="0" w:color="auto"/>
              <w:right w:val="single" w:sz="6" w:space="0" w:color="000000"/>
            </w:tcBorders>
          </w:tcPr>
          <w:p>
            <w:pPr/>
          </w:p>
        </w:tc>
        <w:tc>
          <w:tcPr>
            <w:tcW w:w="926"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226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机电产品、电子计算机应用</w:t>
            </w:r>
          </w:p>
        </w:tc>
        <w:tc>
          <w:tcPr>
            <w:tcW w:w="1276"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566" w:type="dxa"/>
            <w:tcBorders>
              <w:top w:val="nil" w:sz="6" w:space="0" w:color="auto"/>
              <w:left w:val="single" w:sz="6" w:space="0" w:color="000000"/>
              <w:bottom w:val="nil" w:sz="6" w:space="0" w:color="auto"/>
              <w:right w:val="single" w:sz="6" w:space="0" w:color="000000"/>
            </w:tcBorders>
          </w:tcPr>
          <w:p>
            <w:pPr/>
          </w:p>
        </w:tc>
        <w:tc>
          <w:tcPr>
            <w:tcW w:w="709" w:type="dxa"/>
            <w:tcBorders>
              <w:top w:val="nil" w:sz="6" w:space="0" w:color="auto"/>
              <w:left w:val="single" w:sz="6" w:space="0" w:color="000000"/>
              <w:bottom w:val="nil" w:sz="6" w:space="0" w:color="auto"/>
              <w:right w:val="single" w:sz="6" w:space="0" w:color="000000"/>
            </w:tcBorders>
          </w:tcPr>
          <w:p>
            <w:pPr/>
          </w:p>
        </w:tc>
        <w:tc>
          <w:tcPr>
            <w:tcW w:w="709"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984"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112" w:type="dxa"/>
            <w:tcBorders>
              <w:top w:val="nil" w:sz="6" w:space="0" w:color="auto"/>
              <w:left w:val="single" w:sz="12" w:space="0" w:color="000000"/>
              <w:bottom w:val="nil" w:sz="6" w:space="0" w:color="auto"/>
              <w:right w:val="single" w:sz="6" w:space="0" w:color="000000"/>
            </w:tcBorders>
          </w:tcPr>
          <w:p>
            <w:pPr/>
          </w:p>
        </w:tc>
        <w:tc>
          <w:tcPr>
            <w:tcW w:w="683" w:type="dxa"/>
            <w:tcBorders>
              <w:top w:val="nil" w:sz="6" w:space="0" w:color="auto"/>
              <w:left w:val="single" w:sz="6" w:space="0" w:color="000000"/>
              <w:bottom w:val="nil" w:sz="6" w:space="0" w:color="auto"/>
              <w:right w:val="single" w:sz="6" w:space="0" w:color="000000"/>
            </w:tcBorders>
          </w:tcPr>
          <w:p>
            <w:pPr/>
          </w:p>
        </w:tc>
        <w:tc>
          <w:tcPr>
            <w:tcW w:w="683" w:type="dxa"/>
            <w:tcBorders>
              <w:top w:val="nil" w:sz="6" w:space="0" w:color="auto"/>
              <w:left w:val="single" w:sz="6" w:space="0" w:color="000000"/>
              <w:bottom w:val="nil" w:sz="6" w:space="0" w:color="auto"/>
              <w:right w:val="single" w:sz="6" w:space="0" w:color="000000"/>
            </w:tcBorders>
          </w:tcPr>
          <w:p>
            <w:pPr/>
          </w:p>
        </w:tc>
        <w:tc>
          <w:tcPr>
            <w:tcW w:w="926"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226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系统、网络工程的开发、转</w:t>
            </w:r>
          </w:p>
        </w:tc>
        <w:tc>
          <w:tcPr>
            <w:tcW w:w="1276"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566" w:type="dxa"/>
            <w:tcBorders>
              <w:top w:val="nil" w:sz="6" w:space="0" w:color="auto"/>
              <w:left w:val="single" w:sz="6" w:space="0" w:color="000000"/>
              <w:bottom w:val="nil" w:sz="6" w:space="0" w:color="auto"/>
              <w:right w:val="single" w:sz="6" w:space="0" w:color="000000"/>
            </w:tcBorders>
          </w:tcPr>
          <w:p>
            <w:pPr/>
          </w:p>
        </w:tc>
        <w:tc>
          <w:tcPr>
            <w:tcW w:w="709" w:type="dxa"/>
            <w:tcBorders>
              <w:top w:val="nil" w:sz="6" w:space="0" w:color="auto"/>
              <w:left w:val="single" w:sz="6" w:space="0" w:color="000000"/>
              <w:bottom w:val="nil" w:sz="6" w:space="0" w:color="auto"/>
              <w:right w:val="single" w:sz="6" w:space="0" w:color="000000"/>
            </w:tcBorders>
          </w:tcPr>
          <w:p>
            <w:pPr/>
          </w:p>
        </w:tc>
        <w:tc>
          <w:tcPr>
            <w:tcW w:w="709"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984"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112" w:type="dxa"/>
            <w:tcBorders>
              <w:top w:val="nil" w:sz="6" w:space="0" w:color="auto"/>
              <w:left w:val="single" w:sz="12" w:space="0" w:color="000000"/>
              <w:bottom w:val="nil" w:sz="6" w:space="0" w:color="auto"/>
              <w:right w:val="single" w:sz="6" w:space="0" w:color="000000"/>
            </w:tcBorders>
          </w:tcPr>
          <w:p>
            <w:pPr/>
          </w:p>
        </w:tc>
        <w:tc>
          <w:tcPr>
            <w:tcW w:w="683" w:type="dxa"/>
            <w:tcBorders>
              <w:top w:val="nil" w:sz="6" w:space="0" w:color="auto"/>
              <w:left w:val="single" w:sz="6" w:space="0" w:color="000000"/>
              <w:bottom w:val="nil" w:sz="6" w:space="0" w:color="auto"/>
              <w:right w:val="single" w:sz="6" w:space="0" w:color="000000"/>
            </w:tcBorders>
          </w:tcPr>
          <w:p>
            <w:pPr/>
          </w:p>
        </w:tc>
        <w:tc>
          <w:tcPr>
            <w:tcW w:w="683" w:type="dxa"/>
            <w:tcBorders>
              <w:top w:val="nil" w:sz="6" w:space="0" w:color="auto"/>
              <w:left w:val="single" w:sz="6" w:space="0" w:color="000000"/>
              <w:bottom w:val="nil" w:sz="6" w:space="0" w:color="auto"/>
              <w:right w:val="single" w:sz="6" w:space="0" w:color="000000"/>
            </w:tcBorders>
          </w:tcPr>
          <w:p>
            <w:pPr/>
          </w:p>
        </w:tc>
        <w:tc>
          <w:tcPr>
            <w:tcW w:w="926"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226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让工程安装服务；电子计算</w:t>
            </w:r>
          </w:p>
        </w:tc>
        <w:tc>
          <w:tcPr>
            <w:tcW w:w="1276"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566" w:type="dxa"/>
            <w:tcBorders>
              <w:top w:val="nil" w:sz="6" w:space="0" w:color="auto"/>
              <w:left w:val="single" w:sz="6" w:space="0" w:color="000000"/>
              <w:bottom w:val="nil" w:sz="6" w:space="0" w:color="auto"/>
              <w:right w:val="single" w:sz="6" w:space="0" w:color="000000"/>
            </w:tcBorders>
          </w:tcPr>
          <w:p>
            <w:pPr/>
          </w:p>
        </w:tc>
        <w:tc>
          <w:tcPr>
            <w:tcW w:w="709" w:type="dxa"/>
            <w:tcBorders>
              <w:top w:val="nil" w:sz="6" w:space="0" w:color="auto"/>
              <w:left w:val="single" w:sz="6" w:space="0" w:color="000000"/>
              <w:bottom w:val="nil" w:sz="6" w:space="0" w:color="auto"/>
              <w:right w:val="single" w:sz="6" w:space="0" w:color="000000"/>
            </w:tcBorders>
          </w:tcPr>
          <w:p>
            <w:pPr/>
          </w:p>
        </w:tc>
        <w:tc>
          <w:tcPr>
            <w:tcW w:w="709"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984" w:type="dxa"/>
            <w:tcBorders>
              <w:top w:val="nil" w:sz="6" w:space="0" w:color="auto"/>
              <w:left w:val="single" w:sz="6" w:space="0" w:color="000000"/>
              <w:bottom w:val="nil" w:sz="6" w:space="0" w:color="auto"/>
              <w:right w:val="single" w:sz="12" w:space="0" w:color="000000"/>
            </w:tcBorders>
          </w:tcPr>
          <w:p>
            <w:pPr/>
          </w:p>
        </w:tc>
      </w:tr>
      <w:tr>
        <w:trPr>
          <w:trHeight w:val="937" w:hRule="exact"/>
        </w:trPr>
        <w:tc>
          <w:tcPr>
            <w:tcW w:w="1112" w:type="dxa"/>
            <w:tcBorders>
              <w:top w:val="nil" w:sz="6" w:space="0" w:color="auto"/>
              <w:left w:val="single" w:sz="12" w:space="0" w:color="000000"/>
              <w:bottom w:val="nil" w:sz="6" w:space="0" w:color="auto"/>
              <w:right w:val="single" w:sz="6" w:space="0" w:color="000000"/>
            </w:tcBorders>
          </w:tcPr>
          <w:p>
            <w:pPr>
              <w:pStyle w:val="TableParagraph"/>
              <w:spacing w:line="316" w:lineRule="auto" w:before="11"/>
              <w:ind w:left="13" w:right="174"/>
              <w:jc w:val="both"/>
              <w:rPr>
                <w:rFonts w:ascii="宋体" w:hAnsi="宋体" w:cs="宋体" w:eastAsia="宋体" w:hint="default"/>
                <w:sz w:val="18"/>
                <w:szCs w:val="18"/>
              </w:rPr>
            </w:pPr>
            <w:r>
              <w:rPr>
                <w:rFonts w:ascii="宋体" w:hAnsi="宋体" w:cs="宋体" w:eastAsia="宋体" w:hint="default"/>
                <w:sz w:val="18"/>
                <w:szCs w:val="18"/>
              </w:rPr>
              <w:t>江苏苏源光 一科技有限 公司</w:t>
            </w:r>
          </w:p>
        </w:tc>
        <w:tc>
          <w:tcPr>
            <w:tcW w:w="683"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0" w:right="106"/>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工业生产</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sz w:val="18"/>
              </w:rPr>
              <w:t>30,000,000.</w:t>
            </w:r>
          </w:p>
          <w:p>
            <w:pPr>
              <w:pStyle w:val="TableParagraph"/>
              <w:spacing w:line="240" w:lineRule="auto" w:before="76"/>
              <w:ind w:left="20" w:right="0"/>
              <w:jc w:val="left"/>
              <w:rPr>
                <w:rFonts w:ascii="宋体" w:hAnsi="宋体" w:cs="宋体" w:eastAsia="宋体" w:hint="default"/>
                <w:sz w:val="18"/>
                <w:szCs w:val="18"/>
              </w:rPr>
            </w:pPr>
            <w:r>
              <w:rPr>
                <w:rFonts w:ascii="宋体"/>
                <w:sz w:val="18"/>
              </w:rPr>
              <w:t>00</w:t>
            </w:r>
          </w:p>
        </w:tc>
        <w:tc>
          <w:tcPr>
            <w:tcW w:w="2268"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0" w:right="71"/>
              <w:jc w:val="both"/>
              <w:rPr>
                <w:rFonts w:ascii="宋体" w:hAnsi="宋体" w:cs="宋体" w:eastAsia="宋体" w:hint="default"/>
                <w:sz w:val="18"/>
                <w:szCs w:val="18"/>
              </w:rPr>
            </w:pPr>
            <w:r>
              <w:rPr>
                <w:rFonts w:ascii="宋体" w:hAnsi="宋体" w:cs="宋体" w:eastAsia="宋体" w:hint="default"/>
                <w:sz w:val="18"/>
                <w:szCs w:val="18"/>
              </w:rPr>
              <w:t>机软件系统开发、生产、销 售；电子系统产品开发、研 制、销售与工程服务；计算</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0" w:right="0"/>
              <w:jc w:val="left"/>
              <w:rPr>
                <w:rFonts w:ascii="宋体" w:hAnsi="宋体" w:cs="宋体" w:eastAsia="宋体" w:hint="default"/>
                <w:sz w:val="18"/>
                <w:szCs w:val="18"/>
              </w:rPr>
            </w:pPr>
            <w:r>
              <w:rPr>
                <w:rFonts w:ascii="宋体"/>
                <w:sz w:val="18"/>
              </w:rPr>
              <w:t>29,638,200.00</w:t>
            </w:r>
          </w:p>
        </w:tc>
        <w:tc>
          <w:tcPr>
            <w:tcW w:w="851" w:type="dxa"/>
            <w:vMerge/>
            <w:tcBorders>
              <w:left w:val="single" w:sz="6" w:space="0" w:color="000000"/>
              <w:right w:val="single" w:sz="6" w:space="0" w:color="000000"/>
            </w:tcBorders>
          </w:tcPr>
          <w:p>
            <w:pPr/>
          </w:p>
        </w:tc>
        <w:tc>
          <w:tcPr>
            <w:tcW w:w="5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1" w:right="0"/>
              <w:jc w:val="left"/>
              <w:rPr>
                <w:rFonts w:ascii="宋体" w:hAnsi="宋体" w:cs="宋体" w:eastAsia="宋体" w:hint="default"/>
                <w:sz w:val="18"/>
                <w:szCs w:val="18"/>
              </w:rPr>
            </w:pPr>
            <w:r>
              <w:rPr>
                <w:rFonts w:ascii="宋体"/>
                <w:sz w:val="18"/>
              </w:rPr>
              <w:t>100%</w:t>
            </w:r>
          </w:p>
        </w:tc>
        <w:tc>
          <w:tcPr>
            <w:tcW w:w="70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13" w:right="0"/>
              <w:jc w:val="left"/>
              <w:rPr>
                <w:rFonts w:ascii="宋体" w:hAnsi="宋体" w:cs="宋体" w:eastAsia="宋体" w:hint="default"/>
                <w:sz w:val="18"/>
                <w:szCs w:val="18"/>
              </w:rPr>
            </w:pPr>
            <w:r>
              <w:rPr>
                <w:rFonts w:ascii="宋体"/>
                <w:sz w:val="18"/>
              </w:rPr>
              <w:t>100%</w:t>
            </w:r>
          </w:p>
        </w:tc>
        <w:tc>
          <w:tcPr>
            <w:tcW w:w="70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4" w:right="0"/>
              <w:jc w:val="left"/>
              <w:rPr>
                <w:rFonts w:ascii="宋体" w:hAnsi="宋体" w:cs="宋体" w:eastAsia="宋体" w:hint="default"/>
                <w:sz w:val="18"/>
                <w:szCs w:val="18"/>
              </w:rPr>
            </w:pPr>
            <w:r>
              <w:rPr>
                <w:rFonts w:ascii="宋体"/>
                <w:sz w:val="18"/>
              </w:rPr>
              <w:t>0.00</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8" w:right="0"/>
              <w:jc w:val="left"/>
              <w:rPr>
                <w:rFonts w:ascii="宋体" w:hAnsi="宋体" w:cs="宋体" w:eastAsia="宋体" w:hint="default"/>
                <w:sz w:val="18"/>
                <w:szCs w:val="18"/>
              </w:rPr>
            </w:pPr>
            <w:r>
              <w:rPr>
                <w:rFonts w:ascii="宋体"/>
                <w:sz w:val="18"/>
              </w:rPr>
              <w:t>0.00</w:t>
            </w:r>
          </w:p>
        </w:tc>
        <w:tc>
          <w:tcPr>
            <w:tcW w:w="1984" w:type="dxa"/>
            <w:tcBorders>
              <w:top w:val="nil" w:sz="6" w:space="0" w:color="auto"/>
              <w:left w:val="single" w:sz="6" w:space="0" w:color="000000"/>
              <w:bottom w:val="nil" w:sz="6" w:space="0" w:color="auto"/>
              <w:right w:val="single" w:sz="12"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0.00</w:t>
            </w:r>
          </w:p>
        </w:tc>
      </w:tr>
      <w:tr>
        <w:trPr>
          <w:trHeight w:val="311" w:hRule="exact"/>
        </w:trPr>
        <w:tc>
          <w:tcPr>
            <w:tcW w:w="1112" w:type="dxa"/>
            <w:tcBorders>
              <w:top w:val="nil" w:sz="6" w:space="0" w:color="auto"/>
              <w:left w:val="single" w:sz="12" w:space="0" w:color="000000"/>
              <w:bottom w:val="nil" w:sz="6" w:space="0" w:color="auto"/>
              <w:right w:val="single" w:sz="6" w:space="0" w:color="000000"/>
            </w:tcBorders>
          </w:tcPr>
          <w:p>
            <w:pPr/>
          </w:p>
        </w:tc>
        <w:tc>
          <w:tcPr>
            <w:tcW w:w="683" w:type="dxa"/>
            <w:tcBorders>
              <w:top w:val="nil" w:sz="6" w:space="0" w:color="auto"/>
              <w:left w:val="single" w:sz="6" w:space="0" w:color="000000"/>
              <w:bottom w:val="nil" w:sz="6" w:space="0" w:color="auto"/>
              <w:right w:val="single" w:sz="6" w:space="0" w:color="000000"/>
            </w:tcBorders>
          </w:tcPr>
          <w:p>
            <w:pPr/>
          </w:p>
        </w:tc>
        <w:tc>
          <w:tcPr>
            <w:tcW w:w="683" w:type="dxa"/>
            <w:tcBorders>
              <w:top w:val="nil" w:sz="6" w:space="0" w:color="auto"/>
              <w:left w:val="single" w:sz="6" w:space="0" w:color="000000"/>
              <w:bottom w:val="nil" w:sz="6" w:space="0" w:color="auto"/>
              <w:right w:val="single" w:sz="6" w:space="0" w:color="000000"/>
            </w:tcBorders>
          </w:tcPr>
          <w:p>
            <w:pPr/>
          </w:p>
        </w:tc>
        <w:tc>
          <w:tcPr>
            <w:tcW w:w="926"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226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4"/>
                <w:sz w:val="18"/>
                <w:szCs w:val="18"/>
              </w:rPr>
              <w:t>机及配件、家电及配件销售</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851" w:type="dxa"/>
            <w:vMerge/>
            <w:tcBorders>
              <w:left w:val="single" w:sz="6" w:space="0" w:color="000000"/>
              <w:right w:val="single" w:sz="6" w:space="0" w:color="000000"/>
            </w:tcBorders>
          </w:tcPr>
          <w:p>
            <w:pPr/>
          </w:p>
        </w:tc>
        <w:tc>
          <w:tcPr>
            <w:tcW w:w="566" w:type="dxa"/>
            <w:tcBorders>
              <w:top w:val="nil" w:sz="6" w:space="0" w:color="auto"/>
              <w:left w:val="single" w:sz="6" w:space="0" w:color="000000"/>
              <w:bottom w:val="nil" w:sz="6" w:space="0" w:color="auto"/>
              <w:right w:val="single" w:sz="6" w:space="0" w:color="000000"/>
            </w:tcBorders>
          </w:tcPr>
          <w:p>
            <w:pPr/>
          </w:p>
        </w:tc>
        <w:tc>
          <w:tcPr>
            <w:tcW w:w="709" w:type="dxa"/>
            <w:tcBorders>
              <w:top w:val="nil" w:sz="6" w:space="0" w:color="auto"/>
              <w:left w:val="single" w:sz="6" w:space="0" w:color="000000"/>
              <w:bottom w:val="nil" w:sz="6" w:space="0" w:color="auto"/>
              <w:right w:val="single" w:sz="6" w:space="0" w:color="000000"/>
            </w:tcBorders>
          </w:tcPr>
          <w:p>
            <w:pPr/>
          </w:p>
        </w:tc>
        <w:tc>
          <w:tcPr>
            <w:tcW w:w="709"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984"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112" w:type="dxa"/>
            <w:tcBorders>
              <w:top w:val="nil" w:sz="6" w:space="0" w:color="auto"/>
              <w:left w:val="single" w:sz="12" w:space="0" w:color="000000"/>
              <w:bottom w:val="nil" w:sz="6" w:space="0" w:color="auto"/>
              <w:right w:val="single" w:sz="6" w:space="0" w:color="000000"/>
            </w:tcBorders>
          </w:tcPr>
          <w:p>
            <w:pPr/>
          </w:p>
        </w:tc>
        <w:tc>
          <w:tcPr>
            <w:tcW w:w="683" w:type="dxa"/>
            <w:tcBorders>
              <w:top w:val="nil" w:sz="6" w:space="0" w:color="auto"/>
              <w:left w:val="single" w:sz="6" w:space="0" w:color="000000"/>
              <w:bottom w:val="nil" w:sz="6" w:space="0" w:color="auto"/>
              <w:right w:val="single" w:sz="6" w:space="0" w:color="000000"/>
            </w:tcBorders>
          </w:tcPr>
          <w:p>
            <w:pPr/>
          </w:p>
        </w:tc>
        <w:tc>
          <w:tcPr>
            <w:tcW w:w="683" w:type="dxa"/>
            <w:tcBorders>
              <w:top w:val="nil" w:sz="6" w:space="0" w:color="auto"/>
              <w:left w:val="single" w:sz="6" w:space="0" w:color="000000"/>
              <w:bottom w:val="nil" w:sz="6" w:space="0" w:color="auto"/>
              <w:right w:val="single" w:sz="6" w:space="0" w:color="000000"/>
            </w:tcBorders>
          </w:tcPr>
          <w:p>
            <w:pPr/>
          </w:p>
        </w:tc>
        <w:tc>
          <w:tcPr>
            <w:tcW w:w="926"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226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为技术合同签定方代购器</w:t>
            </w:r>
          </w:p>
        </w:tc>
        <w:tc>
          <w:tcPr>
            <w:tcW w:w="1276"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566" w:type="dxa"/>
            <w:tcBorders>
              <w:top w:val="nil" w:sz="6" w:space="0" w:color="auto"/>
              <w:left w:val="single" w:sz="6" w:space="0" w:color="000000"/>
              <w:bottom w:val="nil" w:sz="6" w:space="0" w:color="auto"/>
              <w:right w:val="single" w:sz="6" w:space="0" w:color="000000"/>
            </w:tcBorders>
          </w:tcPr>
          <w:p>
            <w:pPr/>
          </w:p>
        </w:tc>
        <w:tc>
          <w:tcPr>
            <w:tcW w:w="709" w:type="dxa"/>
            <w:tcBorders>
              <w:top w:val="nil" w:sz="6" w:space="0" w:color="auto"/>
              <w:left w:val="single" w:sz="6" w:space="0" w:color="000000"/>
              <w:bottom w:val="nil" w:sz="6" w:space="0" w:color="auto"/>
              <w:right w:val="single" w:sz="6" w:space="0" w:color="000000"/>
            </w:tcBorders>
          </w:tcPr>
          <w:p>
            <w:pPr/>
          </w:p>
        </w:tc>
        <w:tc>
          <w:tcPr>
            <w:tcW w:w="709"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984" w:type="dxa"/>
            <w:tcBorders>
              <w:top w:val="nil" w:sz="6" w:space="0" w:color="auto"/>
              <w:left w:val="single" w:sz="6" w:space="0" w:color="000000"/>
              <w:bottom w:val="nil" w:sz="6" w:space="0" w:color="auto"/>
              <w:right w:val="single" w:sz="12" w:space="0" w:color="000000"/>
            </w:tcBorders>
          </w:tcPr>
          <w:p>
            <w:pPr/>
          </w:p>
        </w:tc>
      </w:tr>
      <w:tr>
        <w:trPr>
          <w:trHeight w:val="313" w:hRule="exact"/>
        </w:trPr>
        <w:tc>
          <w:tcPr>
            <w:tcW w:w="1112" w:type="dxa"/>
            <w:tcBorders>
              <w:top w:val="nil" w:sz="6" w:space="0" w:color="auto"/>
              <w:left w:val="single" w:sz="12" w:space="0" w:color="000000"/>
              <w:bottom w:val="nil" w:sz="6" w:space="0" w:color="auto"/>
              <w:right w:val="single" w:sz="6" w:space="0" w:color="000000"/>
            </w:tcBorders>
          </w:tcPr>
          <w:p>
            <w:pPr/>
          </w:p>
        </w:tc>
        <w:tc>
          <w:tcPr>
            <w:tcW w:w="683" w:type="dxa"/>
            <w:tcBorders>
              <w:top w:val="nil" w:sz="6" w:space="0" w:color="auto"/>
              <w:left w:val="single" w:sz="6" w:space="0" w:color="000000"/>
              <w:bottom w:val="nil" w:sz="6" w:space="0" w:color="auto"/>
              <w:right w:val="single" w:sz="6" w:space="0" w:color="000000"/>
            </w:tcBorders>
          </w:tcPr>
          <w:p>
            <w:pPr/>
          </w:p>
        </w:tc>
        <w:tc>
          <w:tcPr>
            <w:tcW w:w="683" w:type="dxa"/>
            <w:tcBorders>
              <w:top w:val="nil" w:sz="6" w:space="0" w:color="auto"/>
              <w:left w:val="single" w:sz="6" w:space="0" w:color="000000"/>
              <w:bottom w:val="nil" w:sz="6" w:space="0" w:color="auto"/>
              <w:right w:val="single" w:sz="6" w:space="0" w:color="000000"/>
            </w:tcBorders>
          </w:tcPr>
          <w:p>
            <w:pPr/>
          </w:p>
        </w:tc>
        <w:tc>
          <w:tcPr>
            <w:tcW w:w="926"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226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材、设备；电力负荷管理终</w:t>
            </w:r>
          </w:p>
        </w:tc>
        <w:tc>
          <w:tcPr>
            <w:tcW w:w="1276" w:type="dxa"/>
            <w:tcBorders>
              <w:top w:val="nil" w:sz="6" w:space="0" w:color="auto"/>
              <w:left w:val="single" w:sz="6" w:space="0" w:color="000000"/>
              <w:bottom w:val="nil" w:sz="6" w:space="0" w:color="auto"/>
              <w:right w:val="single" w:sz="6" w:space="0" w:color="000000"/>
            </w:tcBorders>
          </w:tcPr>
          <w:p>
            <w:pPr/>
          </w:p>
        </w:tc>
        <w:tc>
          <w:tcPr>
            <w:tcW w:w="851" w:type="dxa"/>
            <w:vMerge/>
            <w:tcBorders>
              <w:left w:val="single" w:sz="6" w:space="0" w:color="000000"/>
              <w:right w:val="single" w:sz="6" w:space="0" w:color="000000"/>
            </w:tcBorders>
          </w:tcPr>
          <w:p>
            <w:pPr/>
          </w:p>
        </w:tc>
        <w:tc>
          <w:tcPr>
            <w:tcW w:w="566" w:type="dxa"/>
            <w:tcBorders>
              <w:top w:val="nil" w:sz="6" w:space="0" w:color="auto"/>
              <w:left w:val="single" w:sz="6" w:space="0" w:color="000000"/>
              <w:bottom w:val="nil" w:sz="6" w:space="0" w:color="auto"/>
              <w:right w:val="single" w:sz="6" w:space="0" w:color="000000"/>
            </w:tcBorders>
          </w:tcPr>
          <w:p>
            <w:pPr/>
          </w:p>
        </w:tc>
        <w:tc>
          <w:tcPr>
            <w:tcW w:w="709" w:type="dxa"/>
            <w:tcBorders>
              <w:top w:val="nil" w:sz="6" w:space="0" w:color="auto"/>
              <w:left w:val="single" w:sz="6" w:space="0" w:color="000000"/>
              <w:bottom w:val="nil" w:sz="6" w:space="0" w:color="auto"/>
              <w:right w:val="single" w:sz="6" w:space="0" w:color="000000"/>
            </w:tcBorders>
          </w:tcPr>
          <w:p>
            <w:pPr/>
          </w:p>
        </w:tc>
        <w:tc>
          <w:tcPr>
            <w:tcW w:w="709"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984" w:type="dxa"/>
            <w:tcBorders>
              <w:top w:val="nil" w:sz="6" w:space="0" w:color="auto"/>
              <w:left w:val="single" w:sz="6" w:space="0" w:color="000000"/>
              <w:bottom w:val="nil" w:sz="6" w:space="0" w:color="auto"/>
              <w:right w:val="single" w:sz="12" w:space="0" w:color="000000"/>
            </w:tcBorders>
          </w:tcPr>
          <w:p>
            <w:pPr/>
          </w:p>
        </w:tc>
      </w:tr>
      <w:tr>
        <w:trPr>
          <w:trHeight w:val="366" w:hRule="exact"/>
        </w:trPr>
        <w:tc>
          <w:tcPr>
            <w:tcW w:w="1112" w:type="dxa"/>
            <w:tcBorders>
              <w:top w:val="nil" w:sz="6" w:space="0" w:color="auto"/>
              <w:left w:val="single" w:sz="12" w:space="0" w:color="000000"/>
              <w:bottom w:val="single" w:sz="12" w:space="0" w:color="000000"/>
              <w:right w:val="single" w:sz="6" w:space="0" w:color="000000"/>
            </w:tcBorders>
          </w:tcPr>
          <w:p>
            <w:pPr/>
          </w:p>
        </w:tc>
        <w:tc>
          <w:tcPr>
            <w:tcW w:w="683" w:type="dxa"/>
            <w:tcBorders>
              <w:top w:val="nil" w:sz="6" w:space="0" w:color="auto"/>
              <w:left w:val="single" w:sz="6" w:space="0" w:color="000000"/>
              <w:bottom w:val="single" w:sz="12" w:space="0" w:color="000000"/>
              <w:right w:val="single" w:sz="6" w:space="0" w:color="000000"/>
            </w:tcBorders>
          </w:tcPr>
          <w:p>
            <w:pPr/>
          </w:p>
        </w:tc>
        <w:tc>
          <w:tcPr>
            <w:tcW w:w="683" w:type="dxa"/>
            <w:tcBorders>
              <w:top w:val="nil" w:sz="6" w:space="0" w:color="auto"/>
              <w:left w:val="single" w:sz="6" w:space="0" w:color="000000"/>
              <w:bottom w:val="single" w:sz="12" w:space="0" w:color="000000"/>
              <w:right w:val="single" w:sz="6" w:space="0" w:color="000000"/>
            </w:tcBorders>
          </w:tcPr>
          <w:p>
            <w:pPr/>
          </w:p>
        </w:tc>
        <w:tc>
          <w:tcPr>
            <w:tcW w:w="926" w:type="dxa"/>
            <w:tcBorders>
              <w:top w:val="nil" w:sz="6" w:space="0" w:color="auto"/>
              <w:left w:val="single" w:sz="6" w:space="0" w:color="000000"/>
              <w:bottom w:val="single" w:sz="12" w:space="0" w:color="000000"/>
              <w:right w:val="single" w:sz="6" w:space="0" w:color="000000"/>
            </w:tcBorders>
          </w:tcPr>
          <w:p>
            <w:pPr/>
          </w:p>
        </w:tc>
        <w:tc>
          <w:tcPr>
            <w:tcW w:w="1134" w:type="dxa"/>
            <w:tcBorders>
              <w:top w:val="nil" w:sz="6" w:space="0" w:color="auto"/>
              <w:left w:val="single" w:sz="6" w:space="0" w:color="000000"/>
              <w:bottom w:val="single" w:sz="12" w:space="0" w:color="000000"/>
              <w:right w:val="single" w:sz="6" w:space="0" w:color="000000"/>
            </w:tcBorders>
          </w:tcPr>
          <w:p>
            <w:pPr/>
          </w:p>
        </w:tc>
        <w:tc>
          <w:tcPr>
            <w:tcW w:w="226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端、配变监测终端生产。</w:t>
            </w:r>
          </w:p>
        </w:tc>
        <w:tc>
          <w:tcPr>
            <w:tcW w:w="1276" w:type="dxa"/>
            <w:tcBorders>
              <w:top w:val="nil" w:sz="6" w:space="0" w:color="auto"/>
              <w:left w:val="single" w:sz="6" w:space="0" w:color="000000"/>
              <w:bottom w:val="single" w:sz="12" w:space="0" w:color="000000"/>
              <w:right w:val="single" w:sz="6" w:space="0" w:color="000000"/>
            </w:tcBorders>
          </w:tcPr>
          <w:p>
            <w:pPr/>
          </w:p>
        </w:tc>
        <w:tc>
          <w:tcPr>
            <w:tcW w:w="851" w:type="dxa"/>
            <w:vMerge/>
            <w:tcBorders>
              <w:left w:val="single" w:sz="6" w:space="0" w:color="000000"/>
              <w:bottom w:val="single" w:sz="12" w:space="0" w:color="000000"/>
              <w:right w:val="single" w:sz="6" w:space="0" w:color="000000"/>
            </w:tcBorders>
          </w:tcPr>
          <w:p>
            <w:pPr/>
          </w:p>
        </w:tc>
        <w:tc>
          <w:tcPr>
            <w:tcW w:w="566" w:type="dxa"/>
            <w:tcBorders>
              <w:top w:val="nil" w:sz="6" w:space="0" w:color="auto"/>
              <w:left w:val="single" w:sz="6" w:space="0" w:color="000000"/>
              <w:bottom w:val="single" w:sz="12" w:space="0" w:color="000000"/>
              <w:right w:val="single" w:sz="6" w:space="0" w:color="000000"/>
            </w:tcBorders>
          </w:tcPr>
          <w:p>
            <w:pPr/>
          </w:p>
        </w:tc>
        <w:tc>
          <w:tcPr>
            <w:tcW w:w="709" w:type="dxa"/>
            <w:tcBorders>
              <w:top w:val="nil" w:sz="6" w:space="0" w:color="auto"/>
              <w:left w:val="single" w:sz="6" w:space="0" w:color="000000"/>
              <w:bottom w:val="single" w:sz="12" w:space="0" w:color="000000"/>
              <w:right w:val="single" w:sz="6" w:space="0" w:color="000000"/>
            </w:tcBorders>
          </w:tcPr>
          <w:p>
            <w:pPr/>
          </w:p>
        </w:tc>
        <w:tc>
          <w:tcPr>
            <w:tcW w:w="709" w:type="dxa"/>
            <w:tcBorders>
              <w:top w:val="nil" w:sz="6" w:space="0" w:color="auto"/>
              <w:left w:val="single" w:sz="6" w:space="0" w:color="000000"/>
              <w:bottom w:val="single" w:sz="12" w:space="0" w:color="000000"/>
              <w:right w:val="single" w:sz="6" w:space="0" w:color="000000"/>
            </w:tcBorders>
          </w:tcPr>
          <w:p>
            <w:pPr/>
          </w:p>
        </w:tc>
        <w:tc>
          <w:tcPr>
            <w:tcW w:w="850" w:type="dxa"/>
            <w:tcBorders>
              <w:top w:val="nil" w:sz="6" w:space="0" w:color="auto"/>
              <w:left w:val="single" w:sz="6" w:space="0" w:color="000000"/>
              <w:bottom w:val="single" w:sz="12" w:space="0" w:color="000000"/>
              <w:right w:val="single" w:sz="6" w:space="0" w:color="000000"/>
            </w:tcBorders>
          </w:tcPr>
          <w:p>
            <w:pPr/>
          </w:p>
        </w:tc>
        <w:tc>
          <w:tcPr>
            <w:tcW w:w="1134" w:type="dxa"/>
            <w:tcBorders>
              <w:top w:val="nil" w:sz="6" w:space="0" w:color="auto"/>
              <w:left w:val="single" w:sz="6" w:space="0" w:color="000000"/>
              <w:bottom w:val="single" w:sz="12" w:space="0" w:color="000000"/>
              <w:right w:val="single" w:sz="6" w:space="0" w:color="000000"/>
            </w:tcBorders>
          </w:tcPr>
          <w:p>
            <w:pPr/>
          </w:p>
        </w:tc>
        <w:tc>
          <w:tcPr>
            <w:tcW w:w="1984" w:type="dxa"/>
            <w:tcBorders>
              <w:top w:val="nil" w:sz="6" w:space="0" w:color="auto"/>
              <w:left w:val="single" w:sz="6" w:space="0" w:color="000000"/>
              <w:bottom w:val="single" w:sz="12" w:space="0" w:color="000000"/>
              <w:right w:val="single" w:sz="12" w:space="0" w:color="000000"/>
            </w:tcBorders>
          </w:tcPr>
          <w:p>
            <w:pPr/>
          </w:p>
        </w:tc>
      </w:tr>
    </w:tbl>
    <w:p>
      <w:pPr>
        <w:spacing w:line="240" w:lineRule="auto" w:before="3"/>
        <w:rPr>
          <w:rFonts w:ascii="宋体" w:hAnsi="宋体" w:cs="宋体" w:eastAsia="宋体" w:hint="default"/>
          <w:sz w:val="26"/>
          <w:szCs w:val="26"/>
        </w:rPr>
      </w:pPr>
    </w:p>
    <w:p>
      <w:pPr>
        <w:pStyle w:val="BodyText"/>
        <w:spacing w:line="307" w:lineRule="auto" w:before="35"/>
        <w:ind w:left="559" w:right="10171"/>
        <w:jc w:val="left"/>
      </w:pPr>
      <w:r>
        <w:rPr/>
        <w:pict>
          <v:group style="position:absolute;margin-left:391.311005pt;margin-top:-194.246323pt;width:63.1pt;height:175.6pt;mso-position-horizontal-relative:page;mso-position-vertical-relative:paragraph;z-index:-655696" coordorigin="7826,-3885" coordsize="1262,3512">
            <v:group style="position:absolute;left:7826;top:-3885;width:1262;height:3512" coordorigin="7826,-3885" coordsize="1262,3512">
              <v:shape style="position:absolute;left:7826;top:-3885;width:1262;height:3512" coordorigin="7826,-3885" coordsize="1262,3512" path="m7826,-3885l7826,-374,9087,-374,9087,-3885,7826,-3885xe" filled="true" fillcolor="#ffffff" stroked="false">
                <v:path arrowok="t"/>
                <v:fill type="solid"/>
              </v:shape>
            </v:group>
            <v:group style="position:absolute;left:7847;top:-2325;width:1221;height:392" coordorigin="7847,-2325" coordsize="1221,392">
              <v:shape style="position:absolute;left:7847;top:-2325;width:1221;height:392" coordorigin="7847,-2325" coordsize="1221,392" path="m7847,-2325l7847,-1934,9067,-1934,9067,-2325,7847,-2325xe" filled="true" fillcolor="#ffffff" stroked="false">
                <v:path arrowok="t"/>
                <v:fill type="solid"/>
              </v:shape>
            </v:group>
            <w10:wrap type="none"/>
          </v:group>
        </w:pict>
      </w:r>
      <w:r>
        <w:rPr/>
        <w:t>通过设立或投资等方式取得的子公司的其他说明 无</w:t>
      </w:r>
    </w:p>
    <w:p>
      <w:pPr>
        <w:spacing w:before="110"/>
        <w:ind w:left="0" w:right="639" w:firstLine="0"/>
        <w:jc w:val="right"/>
        <w:rPr>
          <w:rFonts w:ascii="宋体" w:hAnsi="宋体" w:cs="宋体" w:eastAsia="宋体" w:hint="default"/>
          <w:sz w:val="18"/>
          <w:szCs w:val="18"/>
        </w:rPr>
      </w:pPr>
      <w:r>
        <w:rPr>
          <w:rFonts w:ascii="宋体"/>
          <w:sz w:val="18"/>
        </w:rPr>
        <w:t>91</w:t>
      </w:r>
    </w:p>
    <w:p>
      <w:pPr>
        <w:spacing w:after="0"/>
        <w:jc w:val="right"/>
        <w:rPr>
          <w:rFonts w:ascii="宋体" w:hAnsi="宋体" w:cs="宋体" w:eastAsia="宋体" w:hint="default"/>
          <w:sz w:val="18"/>
          <w:szCs w:val="18"/>
        </w:rPr>
        <w:sectPr>
          <w:headerReference w:type="default" r:id="rId20"/>
          <w:footerReference w:type="default" r:id="rId21"/>
          <w:pgSz w:w="16840" w:h="11910" w:orient="landscape"/>
          <w:pgMar w:header="0" w:footer="0" w:top="800" w:bottom="280" w:left="880" w:right="8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4"/>
        <w:spacing w:line="240" w:lineRule="auto" w:before="35"/>
        <w:ind w:right="132"/>
        <w:jc w:val="left"/>
        <w:rPr>
          <w:b w:val="0"/>
          <w:bCs w:val="0"/>
        </w:rPr>
      </w:pPr>
      <w:r>
        <w:rPr/>
        <w:t>（2）同一控制下企业合并取得的子公司</w:t>
      </w:r>
      <w:r>
        <w:rPr>
          <w:b w:val="0"/>
          <w:bCs w:val="0"/>
        </w:rPr>
      </w:r>
    </w:p>
    <w:p>
      <w:pPr>
        <w:spacing w:line="240" w:lineRule="auto" w:before="11"/>
        <w:rPr>
          <w:rFonts w:ascii="宋体" w:hAnsi="宋体" w:cs="宋体" w:eastAsia="宋体" w:hint="default"/>
          <w:b/>
          <w:bCs/>
          <w:sz w:val="25"/>
          <w:szCs w:val="25"/>
        </w:rPr>
      </w:pPr>
    </w:p>
    <w:p>
      <w:pPr>
        <w:pStyle w:val="BodyText"/>
        <w:tabs>
          <w:tab w:pos="994" w:val="left" w:leader="none"/>
        </w:tabs>
        <w:spacing w:line="240" w:lineRule="auto"/>
        <w:ind w:right="132"/>
        <w:jc w:val="left"/>
      </w:pPr>
      <w:r>
        <w:rPr/>
        <w:t>□适用</w:t>
        <w:tab/>
        <w:t>√不适用</w:t>
      </w:r>
    </w:p>
    <w:p>
      <w:pPr>
        <w:spacing w:line="240" w:lineRule="auto" w:before="9"/>
        <w:rPr>
          <w:rFonts w:ascii="宋体" w:hAnsi="宋体" w:cs="宋体" w:eastAsia="宋体" w:hint="default"/>
          <w:sz w:val="25"/>
          <w:szCs w:val="25"/>
        </w:rPr>
      </w:pPr>
    </w:p>
    <w:p>
      <w:pPr>
        <w:pStyle w:val="Heading4"/>
        <w:spacing w:line="240" w:lineRule="auto"/>
        <w:ind w:right="132"/>
        <w:jc w:val="left"/>
        <w:rPr>
          <w:b w:val="0"/>
          <w:bCs w:val="0"/>
        </w:rPr>
      </w:pPr>
      <w:r>
        <w:rPr/>
        <w:t>（3）非同一控制下企业合并取得的子公司</w:t>
      </w:r>
      <w:r>
        <w:rPr>
          <w:b w:val="0"/>
          <w:bCs w:val="0"/>
        </w:rPr>
      </w:r>
    </w:p>
    <w:p>
      <w:pPr>
        <w:spacing w:line="240" w:lineRule="auto" w:before="12"/>
        <w:rPr>
          <w:rFonts w:ascii="宋体" w:hAnsi="宋体" w:cs="宋体" w:eastAsia="宋体" w:hint="default"/>
          <w:b/>
          <w:bCs/>
          <w:sz w:val="25"/>
          <w:szCs w:val="25"/>
        </w:rPr>
      </w:pPr>
    </w:p>
    <w:p>
      <w:pPr>
        <w:tabs>
          <w:tab w:pos="994" w:val="left" w:leader="none"/>
        </w:tabs>
        <w:spacing w:line="532" w:lineRule="auto" w:before="0"/>
        <w:ind w:left="154" w:right="3360" w:firstLine="0"/>
        <w:jc w:val="left"/>
        <w:rPr>
          <w:rFonts w:ascii="宋体" w:hAnsi="宋体" w:cs="宋体" w:eastAsia="宋体" w:hint="default"/>
          <w:sz w:val="21"/>
          <w:szCs w:val="21"/>
        </w:rPr>
      </w:pPr>
      <w:r>
        <w:rPr>
          <w:rFonts w:ascii="宋体" w:hAnsi="宋体" w:cs="宋体" w:eastAsia="宋体" w:hint="default"/>
          <w:sz w:val="21"/>
          <w:szCs w:val="21"/>
        </w:rPr>
        <w:t>□适用</w:t>
        <w:tab/>
        <w:t>√不适用 </w:t>
      </w:r>
      <w:r>
        <w:rPr>
          <w:rFonts w:ascii="宋体" w:hAnsi="宋体" w:cs="宋体" w:eastAsia="宋体" w:hint="default"/>
          <w:b/>
          <w:bCs/>
          <w:sz w:val="21"/>
          <w:szCs w:val="21"/>
        </w:rPr>
        <w:t>2、特殊目的主体或通过受托经营或承租等方式形成控制权的经营实体</w:t>
      </w:r>
      <w:r>
        <w:rPr>
          <w:rFonts w:ascii="宋体" w:hAnsi="宋体" w:cs="宋体" w:eastAsia="宋体" w:hint="default"/>
          <w:sz w:val="21"/>
          <w:szCs w:val="21"/>
        </w:rPr>
      </w:r>
    </w:p>
    <w:p>
      <w:pPr>
        <w:tabs>
          <w:tab w:pos="994" w:val="left" w:leader="none"/>
        </w:tabs>
        <w:spacing w:line="535" w:lineRule="auto" w:before="83"/>
        <w:ind w:left="154" w:right="7153" w:firstLine="0"/>
        <w:jc w:val="left"/>
        <w:rPr>
          <w:rFonts w:ascii="宋体" w:hAnsi="宋体" w:cs="宋体" w:eastAsia="宋体" w:hint="default"/>
          <w:sz w:val="21"/>
          <w:szCs w:val="21"/>
        </w:rPr>
      </w:pPr>
      <w:r>
        <w:rPr>
          <w:rFonts w:ascii="宋体" w:hAnsi="宋体" w:cs="宋体" w:eastAsia="宋体" w:hint="default"/>
          <w:sz w:val="21"/>
          <w:szCs w:val="21"/>
        </w:rPr>
        <w:t>□适用</w:t>
        <w:tab/>
        <w:t>√不适用 </w:t>
      </w:r>
      <w:r>
        <w:rPr>
          <w:rFonts w:ascii="宋体" w:hAnsi="宋体" w:cs="宋体" w:eastAsia="宋体" w:hint="default"/>
          <w:b/>
          <w:bCs/>
          <w:sz w:val="21"/>
          <w:szCs w:val="21"/>
        </w:rPr>
        <w:t>3、合并范围发生变更的说明</w:t>
      </w:r>
      <w:r>
        <w:rPr>
          <w:rFonts w:ascii="宋体" w:hAnsi="宋体" w:cs="宋体" w:eastAsia="宋体" w:hint="default"/>
          <w:sz w:val="21"/>
          <w:szCs w:val="21"/>
        </w:rPr>
      </w:r>
    </w:p>
    <w:p>
      <w:pPr>
        <w:spacing w:line="604" w:lineRule="auto" w:before="157"/>
        <w:ind w:left="154" w:right="3129"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4、报告期内新纳入合并范围的主体和报告期内不再纳入合并范围的主体</w:t>
      </w:r>
      <w:r>
        <w:rPr>
          <w:rFonts w:ascii="宋体" w:hAnsi="宋体" w:cs="宋体" w:eastAsia="宋体" w:hint="default"/>
          <w:sz w:val="21"/>
          <w:szCs w:val="21"/>
        </w:rPr>
      </w:r>
    </w:p>
    <w:p>
      <w:pPr>
        <w:spacing w:line="604" w:lineRule="auto" w:before="96"/>
        <w:ind w:left="154" w:right="6080"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5、报告期内发生的同一控制下企业合并</w:t>
      </w:r>
      <w:r>
        <w:rPr>
          <w:rFonts w:ascii="宋体" w:hAnsi="宋体" w:cs="宋体" w:eastAsia="宋体" w:hint="default"/>
          <w:sz w:val="21"/>
          <w:szCs w:val="21"/>
        </w:rPr>
      </w:r>
    </w:p>
    <w:p>
      <w:pPr>
        <w:spacing w:line="604" w:lineRule="auto" w:before="96"/>
        <w:ind w:left="154" w:right="5869"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6、报告期内发生的非同一控制下企业合并</w:t>
      </w:r>
      <w:r>
        <w:rPr>
          <w:rFonts w:ascii="宋体" w:hAnsi="宋体" w:cs="宋体" w:eastAsia="宋体" w:hint="default"/>
          <w:sz w:val="21"/>
          <w:szCs w:val="21"/>
        </w:rPr>
      </w:r>
    </w:p>
    <w:p>
      <w:pPr>
        <w:spacing w:line="604" w:lineRule="auto" w:before="97"/>
        <w:ind w:left="154" w:right="523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7、报告期内出售丧失控制权的股权而减少子公司</w:t>
      </w:r>
      <w:r>
        <w:rPr>
          <w:rFonts w:ascii="宋体" w:hAnsi="宋体" w:cs="宋体" w:eastAsia="宋体" w:hint="default"/>
          <w:sz w:val="21"/>
          <w:szCs w:val="21"/>
        </w:rPr>
      </w:r>
    </w:p>
    <w:p>
      <w:pPr>
        <w:spacing w:line="604" w:lineRule="auto" w:before="96"/>
        <w:ind w:left="154" w:right="713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8、报告期内发生的反向购买</w:t>
      </w:r>
      <w:r>
        <w:rPr>
          <w:rFonts w:ascii="宋体" w:hAnsi="宋体" w:cs="宋体" w:eastAsia="宋体" w:hint="default"/>
          <w:sz w:val="21"/>
          <w:szCs w:val="21"/>
        </w:rPr>
      </w:r>
    </w:p>
    <w:p>
      <w:pPr>
        <w:spacing w:line="532" w:lineRule="auto" w:before="19"/>
        <w:ind w:left="154" w:right="713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9、本报告期发生的吸收合并</w:t>
      </w:r>
      <w:r>
        <w:rPr>
          <w:rFonts w:ascii="宋体" w:hAnsi="宋体" w:cs="宋体" w:eastAsia="宋体" w:hint="default"/>
          <w:sz w:val="21"/>
          <w:szCs w:val="21"/>
        </w:rPr>
      </w:r>
    </w:p>
    <w:p>
      <w:pPr>
        <w:pStyle w:val="BodyText"/>
        <w:spacing w:line="240" w:lineRule="auto" w:before="83"/>
        <w:ind w:right="132"/>
        <w:jc w:val="left"/>
      </w:pPr>
      <w:r>
        <w:rPr/>
        <w:t>□ 适用 √</w:t>
      </w:r>
      <w:r>
        <w:rPr>
          <w:spacing w:val="-2"/>
        </w:rPr>
        <w:t> </w:t>
      </w:r>
      <w:r>
        <w:rPr/>
        <w:t>不适用</w:t>
      </w:r>
    </w:p>
    <w:p>
      <w:pPr>
        <w:spacing w:after="0" w:line="240" w:lineRule="auto"/>
        <w:jc w:val="left"/>
        <w:sectPr>
          <w:footerReference w:type="default" r:id="rId22"/>
          <w:pgSz w:w="11910" w:h="16840"/>
          <w:pgMar w:footer="1003" w:header="0" w:top="1100" w:bottom="1200" w:left="980" w:right="980"/>
          <w:pgNumType w:start="92"/>
        </w:sectPr>
      </w:pPr>
    </w:p>
    <w:p>
      <w:pPr>
        <w:spacing w:line="240" w:lineRule="auto" w:before="9"/>
        <w:rPr>
          <w:rFonts w:ascii="宋体" w:hAnsi="宋体" w:cs="宋体" w:eastAsia="宋体" w:hint="default"/>
          <w:sz w:val="20"/>
          <w:szCs w:val="20"/>
        </w:rPr>
      </w:pPr>
    </w:p>
    <w:p>
      <w:pPr>
        <w:pStyle w:val="Heading4"/>
        <w:spacing w:line="240" w:lineRule="auto" w:before="35"/>
        <w:ind w:right="132"/>
        <w:jc w:val="left"/>
        <w:rPr>
          <w:b w:val="0"/>
          <w:bCs w:val="0"/>
        </w:rPr>
      </w:pPr>
      <w:r>
        <w:rPr/>
        <w:t>10、境外经营实体主要报表项目的折算汇率</w:t>
      </w:r>
      <w:r>
        <w:rPr>
          <w:b w:val="0"/>
          <w:bCs w:val="0"/>
        </w:rPr>
      </w:r>
    </w:p>
    <w:p>
      <w:pPr>
        <w:spacing w:line="240" w:lineRule="auto" w:before="12"/>
        <w:rPr>
          <w:rFonts w:ascii="宋体" w:hAnsi="宋体" w:cs="宋体" w:eastAsia="宋体" w:hint="default"/>
          <w:b/>
          <w:bCs/>
          <w:sz w:val="25"/>
          <w:szCs w:val="25"/>
        </w:rPr>
      </w:pPr>
    </w:p>
    <w:p>
      <w:pPr>
        <w:spacing w:line="499" w:lineRule="auto" w:before="0"/>
        <w:ind w:left="154" w:right="639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4"/>
          <w:szCs w:val="24"/>
        </w:rPr>
        <w:t>七、合并财务报表主要项目注释</w:t>
      </w:r>
      <w:r>
        <w:rPr>
          <w:rFonts w:ascii="宋体" w:hAnsi="宋体" w:cs="宋体" w:eastAsia="宋体" w:hint="default"/>
          <w:b/>
          <w:bCs/>
          <w:w w:val="99"/>
          <w:sz w:val="24"/>
          <w:szCs w:val="24"/>
        </w:rPr>
        <w:t> </w:t>
      </w:r>
      <w:r>
        <w:rPr>
          <w:rFonts w:ascii="宋体" w:hAnsi="宋体" w:cs="宋体" w:eastAsia="宋体" w:hint="default"/>
          <w:b/>
          <w:bCs/>
          <w:sz w:val="21"/>
          <w:szCs w:val="21"/>
        </w:rPr>
        <w:t>1、货币资金</w:t>
      </w:r>
      <w:r>
        <w:rPr>
          <w:rFonts w:ascii="宋体" w:hAnsi="宋体" w:cs="宋体" w:eastAsia="宋体" w:hint="default"/>
          <w:sz w:val="21"/>
          <w:szCs w:val="21"/>
        </w:rPr>
      </w:r>
    </w:p>
    <w:p>
      <w:pPr>
        <w:spacing w:before="137"/>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999"/>
        <w:gridCol w:w="1327"/>
        <w:gridCol w:w="930"/>
        <w:gridCol w:w="1462"/>
        <w:gridCol w:w="1328"/>
        <w:gridCol w:w="929"/>
        <w:gridCol w:w="1593"/>
      </w:tblGrid>
      <w:tr>
        <w:trPr>
          <w:trHeight w:val="414" w:hRule="exact"/>
        </w:trPr>
        <w:tc>
          <w:tcPr>
            <w:tcW w:w="1999" w:type="dxa"/>
            <w:vMerge w:val="restart"/>
            <w:tcBorders>
              <w:top w:val="single" w:sz="12" w:space="0" w:color="000000"/>
              <w:left w:val="single" w:sz="12" w:space="0" w:color="000000"/>
              <w:right w:val="single" w:sz="6" w:space="0" w:color="000000"/>
            </w:tcBorders>
            <w:shd w:val="clear" w:color="auto" w:fill="D3D3D3"/>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9" w:hRule="exact"/>
        </w:trPr>
        <w:tc>
          <w:tcPr>
            <w:tcW w:w="1999" w:type="dxa"/>
            <w:vMerge/>
            <w:tcBorders>
              <w:left w:val="single" w:sz="12" w:space="0" w:color="000000"/>
              <w:bottom w:val="single" w:sz="6" w:space="0" w:color="000000"/>
              <w:right w:val="single" w:sz="6" w:space="0" w:color="000000"/>
            </w:tcBorders>
            <w:shd w:val="clear" w:color="auto" w:fill="D3D3D3"/>
          </w:tcPr>
          <w:p>
            <w:pPr/>
          </w:p>
        </w:tc>
        <w:tc>
          <w:tcPr>
            <w:tcW w:w="132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93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46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929"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593"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2"/>
              <w:ind w:left="339"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15" w:hRule="exact"/>
        </w:trPr>
        <w:tc>
          <w:tcPr>
            <w:tcW w:w="199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9"/>
              <w:ind w:left="1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32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c>
          <w:tcPr>
            <w:tcW w:w="93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8"/>
              <w:jc w:val="right"/>
              <w:rPr>
                <w:rFonts w:ascii="宋体" w:hAnsi="宋体" w:cs="宋体" w:eastAsia="宋体" w:hint="default"/>
                <w:sz w:val="18"/>
                <w:szCs w:val="18"/>
              </w:rPr>
            </w:pPr>
            <w:r>
              <w:rPr>
                <w:rFonts w:ascii="宋体"/>
                <w:sz w:val="18"/>
              </w:rPr>
              <w:t>6,664.13</w:t>
            </w:r>
          </w:p>
        </w:tc>
        <w:tc>
          <w:tcPr>
            <w:tcW w:w="132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9"/>
              <w:ind w:left="1" w:right="0"/>
              <w:jc w:val="center"/>
              <w:rPr>
                <w:rFonts w:ascii="宋体" w:hAnsi="宋体" w:cs="宋体" w:eastAsia="宋体" w:hint="default"/>
                <w:sz w:val="18"/>
                <w:szCs w:val="18"/>
              </w:rPr>
            </w:pPr>
            <w:r>
              <w:rPr>
                <w:rFonts w:ascii="宋体"/>
                <w:sz w:val="18"/>
              </w:rPr>
              <w:t>--</w:t>
            </w:r>
          </w:p>
        </w:tc>
        <w:tc>
          <w:tcPr>
            <w:tcW w:w="929"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11"/>
              <w:jc w:val="right"/>
              <w:rPr>
                <w:rFonts w:ascii="宋体" w:hAnsi="宋体" w:cs="宋体" w:eastAsia="宋体" w:hint="default"/>
                <w:sz w:val="18"/>
                <w:szCs w:val="18"/>
              </w:rPr>
            </w:pPr>
            <w:r>
              <w:rPr>
                <w:rFonts w:ascii="宋体"/>
                <w:sz w:val="18"/>
              </w:rPr>
              <w:t>88,110.28</w:t>
            </w:r>
          </w:p>
        </w:tc>
      </w:tr>
      <w:tr>
        <w:trPr>
          <w:trHeight w:val="407" w:hRule="exact"/>
        </w:trPr>
        <w:tc>
          <w:tcPr>
            <w:tcW w:w="199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93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6,664.13</w:t>
            </w:r>
          </w:p>
        </w:tc>
        <w:tc>
          <w:tcPr>
            <w:tcW w:w="132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929"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88,110.28</w:t>
            </w:r>
          </w:p>
        </w:tc>
      </w:tr>
      <w:tr>
        <w:trPr>
          <w:trHeight w:val="407" w:hRule="exact"/>
        </w:trPr>
        <w:tc>
          <w:tcPr>
            <w:tcW w:w="199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93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455,499,692.62</w:t>
            </w:r>
          </w:p>
        </w:tc>
        <w:tc>
          <w:tcPr>
            <w:tcW w:w="132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929"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81,807,211.40</w:t>
            </w:r>
          </w:p>
        </w:tc>
      </w:tr>
      <w:tr>
        <w:trPr>
          <w:trHeight w:val="407" w:hRule="exact"/>
        </w:trPr>
        <w:tc>
          <w:tcPr>
            <w:tcW w:w="199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93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455,499,692.62</w:t>
            </w:r>
          </w:p>
        </w:tc>
        <w:tc>
          <w:tcPr>
            <w:tcW w:w="132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929"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81,807,211.40</w:t>
            </w:r>
          </w:p>
        </w:tc>
      </w:tr>
      <w:tr>
        <w:trPr>
          <w:trHeight w:val="407" w:hRule="exact"/>
        </w:trPr>
        <w:tc>
          <w:tcPr>
            <w:tcW w:w="199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93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18,672,294.07</w:t>
            </w:r>
          </w:p>
        </w:tc>
        <w:tc>
          <w:tcPr>
            <w:tcW w:w="132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c>
          <w:tcPr>
            <w:tcW w:w="929"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9,938,509.05</w:t>
            </w:r>
          </w:p>
        </w:tc>
      </w:tr>
      <w:tr>
        <w:trPr>
          <w:trHeight w:val="407" w:hRule="exact"/>
        </w:trPr>
        <w:tc>
          <w:tcPr>
            <w:tcW w:w="199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93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18,672,294.07</w:t>
            </w:r>
          </w:p>
        </w:tc>
        <w:tc>
          <w:tcPr>
            <w:tcW w:w="132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c>
          <w:tcPr>
            <w:tcW w:w="929"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9,938,509.05</w:t>
            </w:r>
          </w:p>
        </w:tc>
      </w:tr>
      <w:tr>
        <w:trPr>
          <w:trHeight w:val="415" w:hRule="exact"/>
        </w:trPr>
        <w:tc>
          <w:tcPr>
            <w:tcW w:w="1999"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930"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4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474,178,650.82</w:t>
            </w:r>
          </w:p>
        </w:tc>
        <w:tc>
          <w:tcPr>
            <w:tcW w:w="1328"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c>
          <w:tcPr>
            <w:tcW w:w="929"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5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91,833,830.73</w:t>
            </w:r>
          </w:p>
        </w:tc>
      </w:tr>
    </w:tbl>
    <w:p>
      <w:pPr>
        <w:pStyle w:val="BodyText"/>
        <w:spacing w:line="307" w:lineRule="auto" w:before="26"/>
        <w:ind w:right="1370"/>
        <w:jc w:val="left"/>
      </w:pPr>
      <w:r>
        <w:rPr/>
        <w:t>如有因抵押、质押或冻结等对使用有限制、存放在境外、有潜在回收风险的款项应单独说明 无用于担保的资产。</w:t>
      </w:r>
    </w:p>
    <w:p>
      <w:pPr>
        <w:pStyle w:val="BodyText"/>
        <w:spacing w:line="240" w:lineRule="auto" w:before="19"/>
        <w:ind w:right="132"/>
        <w:jc w:val="left"/>
      </w:pPr>
      <w:r>
        <w:rPr/>
        <w:t>所有权受到限制的资产说明：其他货币资金为履约保证金。</w:t>
      </w:r>
    </w:p>
    <w:p>
      <w:pPr>
        <w:pStyle w:val="BodyText"/>
        <w:spacing w:line="273" w:lineRule="auto" w:before="75"/>
        <w:ind w:right="274"/>
        <w:jc w:val="left"/>
      </w:pPr>
      <w:r>
        <w:rPr/>
        <w:t>货币资金年末数比年初数增加</w:t>
      </w:r>
      <w:r>
        <w:rPr>
          <w:spacing w:val="-55"/>
        </w:rPr>
        <w:t> </w:t>
      </w:r>
      <w:r>
        <w:rPr/>
        <w:t>382,344,820.09</w:t>
      </w:r>
      <w:r>
        <w:rPr>
          <w:spacing w:val="-54"/>
        </w:rPr>
        <w:t> </w:t>
      </w:r>
      <w:r>
        <w:rPr/>
        <w:t>元，增加比例为</w:t>
      </w:r>
      <w:r>
        <w:rPr>
          <w:spacing w:val="-55"/>
        </w:rPr>
        <w:t> </w:t>
      </w:r>
      <w:r>
        <w:rPr/>
        <w:t>416.34%，增加的主要原因为公司发行股</w:t>
      </w:r>
      <w:r>
        <w:rPr/>
        <w:t> 票收到募集资金所致。</w:t>
      </w:r>
    </w:p>
    <w:p>
      <w:pPr>
        <w:spacing w:line="240" w:lineRule="auto" w:before="6"/>
        <w:rPr>
          <w:rFonts w:ascii="宋体" w:hAnsi="宋体" w:cs="宋体" w:eastAsia="宋体" w:hint="default"/>
          <w:sz w:val="23"/>
          <w:szCs w:val="23"/>
        </w:rPr>
      </w:pPr>
    </w:p>
    <w:p>
      <w:pPr>
        <w:pStyle w:val="Heading4"/>
        <w:spacing w:line="240" w:lineRule="auto"/>
        <w:ind w:right="132"/>
        <w:jc w:val="left"/>
        <w:rPr>
          <w:b w:val="0"/>
          <w:bCs w:val="0"/>
        </w:rPr>
      </w:pPr>
      <w:r>
        <w:rPr/>
        <w:t>2、交易性金融资产</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32"/>
        <w:jc w:val="left"/>
        <w:rPr>
          <w:b w:val="0"/>
          <w:bCs w:val="0"/>
        </w:rPr>
      </w:pPr>
      <w:r>
        <w:rPr/>
        <w:t>（1）交易性金融资产</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32"/>
        <w:jc w:val="left"/>
        <w:rPr>
          <w:b w:val="0"/>
          <w:bCs w:val="0"/>
        </w:rPr>
      </w:pPr>
      <w:r>
        <w:rPr/>
        <w:t>（2）变现有限制的交易性金融资产</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32"/>
        <w:jc w:val="left"/>
        <w:rPr>
          <w:b w:val="0"/>
          <w:bCs w:val="0"/>
        </w:rPr>
      </w:pPr>
      <w:r>
        <w:rPr/>
        <w:t>（3）套期工具及对相关套期交易的说明</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after="0" w:line="240" w:lineRule="auto"/>
        <w:jc w:val="left"/>
        <w:sectPr>
          <w:pgSz w:w="11910" w:h="16840"/>
          <w:pgMar w:header="0" w:footer="1003" w:top="1100" w:bottom="1200" w:left="980" w:right="980"/>
        </w:sectPr>
      </w:pPr>
    </w:p>
    <w:p>
      <w:pPr>
        <w:spacing w:line="240" w:lineRule="auto" w:before="9"/>
        <w:rPr>
          <w:rFonts w:ascii="宋体" w:hAnsi="宋体" w:cs="宋体" w:eastAsia="宋体" w:hint="default"/>
          <w:sz w:val="20"/>
          <w:szCs w:val="20"/>
        </w:rPr>
      </w:pPr>
    </w:p>
    <w:p>
      <w:pPr>
        <w:pStyle w:val="Heading4"/>
        <w:spacing w:line="240" w:lineRule="auto" w:before="35"/>
        <w:ind w:right="441"/>
        <w:jc w:val="left"/>
        <w:rPr>
          <w:b w:val="0"/>
          <w:bCs w:val="0"/>
        </w:rPr>
      </w:pPr>
      <w:r>
        <w:rPr/>
        <w:t>3、应收票据</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441"/>
        <w:jc w:val="left"/>
        <w:rPr>
          <w:b w:val="0"/>
          <w:bCs w:val="0"/>
        </w:rPr>
      </w:pPr>
      <w:r>
        <w:rPr/>
        <w:t>（1）应收票据的分类</w:t>
      </w:r>
      <w:r>
        <w:rPr>
          <w:b w:val="0"/>
          <w:bCs w:val="0"/>
        </w:rPr>
      </w:r>
    </w:p>
    <w:p>
      <w:pPr>
        <w:spacing w:line="240" w:lineRule="auto" w:before="5"/>
        <w:rPr>
          <w:rFonts w:ascii="宋体" w:hAnsi="宋体" w:cs="宋体" w:eastAsia="宋体" w:hint="default"/>
          <w:b/>
          <w:bCs/>
          <w:sz w:val="24"/>
          <w:szCs w:val="24"/>
        </w:rPr>
      </w:pPr>
    </w:p>
    <w:p>
      <w:pPr>
        <w:spacing w:before="44"/>
        <w:ind w:left="0" w:right="38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988"/>
        <w:gridCol w:w="2658"/>
        <w:gridCol w:w="2921"/>
      </w:tblGrid>
      <w:tr>
        <w:trPr>
          <w:trHeight w:val="415" w:hRule="exact"/>
        </w:trPr>
        <w:tc>
          <w:tcPr>
            <w:tcW w:w="3988"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种类</w:t>
            </w:r>
          </w:p>
        </w:tc>
        <w:tc>
          <w:tcPr>
            <w:tcW w:w="2658"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7" w:hRule="exact"/>
        </w:trPr>
        <w:tc>
          <w:tcPr>
            <w:tcW w:w="39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0.00</w:t>
            </w:r>
          </w:p>
        </w:tc>
        <w:tc>
          <w:tcPr>
            <w:tcW w:w="29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692,200.00</w:t>
            </w:r>
          </w:p>
        </w:tc>
      </w:tr>
      <w:tr>
        <w:trPr>
          <w:trHeight w:val="415" w:hRule="exact"/>
        </w:trPr>
        <w:tc>
          <w:tcPr>
            <w:tcW w:w="3988"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8" w:type="dxa"/>
            <w:tcBorders>
              <w:top w:val="single" w:sz="6" w:space="0" w:color="000000"/>
              <w:left w:val="single" w:sz="6" w:space="0" w:color="000000"/>
              <w:bottom w:val="single" w:sz="12" w:space="0" w:color="000000"/>
              <w:right w:val="single" w:sz="6" w:space="0" w:color="000000"/>
            </w:tcBorders>
          </w:tcPr>
          <w:p>
            <w:pPr/>
          </w:p>
        </w:tc>
        <w:tc>
          <w:tcPr>
            <w:tcW w:w="292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692,200.00</w:t>
            </w:r>
          </w:p>
        </w:tc>
      </w:tr>
    </w:tbl>
    <w:p>
      <w:pPr>
        <w:spacing w:line="240" w:lineRule="auto" w:before="2"/>
        <w:rPr>
          <w:rFonts w:ascii="宋体" w:hAnsi="宋体" w:cs="宋体" w:eastAsia="宋体" w:hint="default"/>
          <w:sz w:val="19"/>
          <w:szCs w:val="19"/>
        </w:rPr>
      </w:pPr>
    </w:p>
    <w:p>
      <w:pPr>
        <w:pStyle w:val="Heading4"/>
        <w:spacing w:line="240" w:lineRule="auto" w:before="35"/>
        <w:ind w:right="441"/>
        <w:jc w:val="left"/>
        <w:rPr>
          <w:b w:val="0"/>
          <w:bCs w:val="0"/>
        </w:rPr>
      </w:pPr>
      <w:r>
        <w:rPr/>
        <w:t>（2）期末已质押的应收票据情况</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right="441"/>
        <w:jc w:val="left"/>
      </w:pPr>
      <w:r>
        <w:rPr/>
        <w:t>□ 适用 √</w:t>
      </w:r>
      <w:r>
        <w:rPr>
          <w:spacing w:val="-2"/>
        </w:rPr>
        <w:t> </w:t>
      </w:r>
      <w:r>
        <w:rPr/>
        <w:t>不适用</w:t>
      </w:r>
    </w:p>
    <w:p>
      <w:pPr>
        <w:spacing w:line="240" w:lineRule="auto" w:before="9"/>
        <w:rPr>
          <w:rFonts w:ascii="宋体" w:hAnsi="宋体" w:cs="宋体" w:eastAsia="宋体" w:hint="default"/>
          <w:sz w:val="25"/>
          <w:szCs w:val="25"/>
        </w:rPr>
      </w:pPr>
    </w:p>
    <w:p>
      <w:pPr>
        <w:pStyle w:val="Heading4"/>
        <w:spacing w:line="273" w:lineRule="auto"/>
        <w:ind w:right="441"/>
        <w:jc w:val="left"/>
        <w:rPr>
          <w:b w:val="0"/>
          <w:bCs w:val="0"/>
        </w:rPr>
      </w:pPr>
      <w:r>
        <w:rPr>
          <w:spacing w:val="-1"/>
          <w:w w:val="95"/>
        </w:rPr>
        <w:t>（3）因出票人无力履约而将票据转为应收账款的票据，以及期末公司已经背书给他方但尚未到期的票据</w:t>
      </w:r>
      <w:r>
        <w:rPr>
          <w:spacing w:val="1"/>
          <w:w w:val="95"/>
        </w:rPr>
        <w:t>   </w:t>
      </w:r>
      <w:r>
        <w:rPr>
          <w:spacing w:val="60"/>
          <w:w w:val="95"/>
        </w:rPr>
        <w:t> </w:t>
      </w:r>
      <w:r>
        <w:rPr>
          <w:spacing w:val="60"/>
          <w:w w:val="95"/>
        </w:rPr>
      </w:r>
      <w:r>
        <w:rPr/>
        <w:t>情况</w:t>
      </w:r>
      <w:r>
        <w:rPr>
          <w:b w:val="0"/>
          <w:bCs w:val="0"/>
        </w:rPr>
      </w:r>
    </w:p>
    <w:p>
      <w:pPr>
        <w:spacing w:line="240" w:lineRule="auto" w:before="8"/>
        <w:rPr>
          <w:rFonts w:ascii="宋体" w:hAnsi="宋体" w:cs="宋体" w:eastAsia="宋体" w:hint="default"/>
          <w:b/>
          <w:bCs/>
          <w:sz w:val="23"/>
          <w:szCs w:val="23"/>
        </w:rPr>
      </w:pPr>
    </w:p>
    <w:p>
      <w:pPr>
        <w:spacing w:line="532" w:lineRule="auto" w:before="0"/>
        <w:ind w:left="154" w:right="812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4、应收股利</w:t>
      </w:r>
      <w:r>
        <w:rPr>
          <w:rFonts w:ascii="宋体" w:hAnsi="宋体" w:cs="宋体" w:eastAsia="宋体" w:hint="default"/>
          <w:sz w:val="21"/>
          <w:szCs w:val="21"/>
        </w:rPr>
      </w:r>
    </w:p>
    <w:p>
      <w:pPr>
        <w:spacing w:line="532" w:lineRule="auto" w:before="83"/>
        <w:ind w:left="154" w:right="812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5、应收利息</w:t>
      </w:r>
      <w:r>
        <w:rPr>
          <w:rFonts w:ascii="宋体" w:hAnsi="宋体" w:cs="宋体" w:eastAsia="宋体" w:hint="default"/>
          <w:sz w:val="21"/>
          <w:szCs w:val="21"/>
        </w:rPr>
      </w:r>
    </w:p>
    <w:p>
      <w:pPr>
        <w:spacing w:line="532" w:lineRule="auto" w:before="83"/>
        <w:ind w:left="154" w:right="812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6、应收账款</w:t>
      </w:r>
      <w:r>
        <w:rPr>
          <w:rFonts w:ascii="宋体" w:hAnsi="宋体" w:cs="宋体" w:eastAsia="宋体" w:hint="default"/>
          <w:sz w:val="21"/>
          <w:szCs w:val="21"/>
        </w:rPr>
      </w:r>
    </w:p>
    <w:p>
      <w:pPr>
        <w:pStyle w:val="Heading4"/>
        <w:spacing w:line="240" w:lineRule="auto" w:before="83"/>
        <w:ind w:right="441"/>
        <w:jc w:val="left"/>
        <w:rPr>
          <w:b w:val="0"/>
          <w:bCs w:val="0"/>
        </w:rPr>
      </w:pPr>
      <w:r>
        <w:rPr/>
        <w:t>（1）应收账款按种类披露</w:t>
      </w:r>
      <w:r>
        <w:rPr>
          <w:b w:val="0"/>
          <w:bCs w:val="0"/>
        </w:rPr>
      </w:r>
    </w:p>
    <w:p>
      <w:pPr>
        <w:spacing w:line="240" w:lineRule="auto" w:before="11"/>
        <w:rPr>
          <w:rFonts w:ascii="宋体" w:hAnsi="宋体" w:cs="宋体" w:eastAsia="宋体" w:hint="default"/>
          <w:b/>
          <w:bCs/>
          <w:sz w:val="27"/>
          <w:szCs w:val="27"/>
        </w:rPr>
      </w:pPr>
    </w:p>
    <w:p>
      <w:pPr>
        <w:spacing w:before="0"/>
        <w:ind w:left="0" w:right="38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001"/>
        <w:gridCol w:w="1543"/>
        <w:gridCol w:w="568"/>
        <w:gridCol w:w="1276"/>
        <w:gridCol w:w="425"/>
        <w:gridCol w:w="1418"/>
        <w:gridCol w:w="568"/>
        <w:gridCol w:w="1274"/>
        <w:gridCol w:w="709"/>
      </w:tblGrid>
      <w:tr>
        <w:trPr>
          <w:trHeight w:val="415" w:hRule="exact"/>
        </w:trPr>
        <w:tc>
          <w:tcPr>
            <w:tcW w:w="2001" w:type="dxa"/>
            <w:vMerge w:val="restart"/>
            <w:tcBorders>
              <w:top w:val="single" w:sz="12" w:space="0" w:color="000000"/>
              <w:left w:val="single" w:sz="12"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种类</w:t>
            </w:r>
          </w:p>
        </w:tc>
        <w:tc>
          <w:tcPr>
            <w:tcW w:w="3811" w:type="dxa"/>
            <w:gridSpan w:val="4"/>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9" w:type="dxa"/>
            <w:gridSpan w:val="4"/>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7" w:hRule="exact"/>
        </w:trPr>
        <w:tc>
          <w:tcPr>
            <w:tcW w:w="2001" w:type="dxa"/>
            <w:vMerge/>
            <w:tcBorders>
              <w:left w:val="single" w:sz="12" w:space="0" w:color="000000"/>
              <w:right w:val="single" w:sz="6" w:space="0" w:color="000000"/>
            </w:tcBorders>
            <w:shd w:val="clear" w:color="auto" w:fill="D3D3D3"/>
          </w:tcPr>
          <w:p>
            <w:pPr/>
          </w:p>
        </w:tc>
        <w:tc>
          <w:tcPr>
            <w:tcW w:w="2111" w:type="dxa"/>
            <w:gridSpan w:val="2"/>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6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0" w:type="dxa"/>
            <w:gridSpan w:val="2"/>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48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6" w:type="dxa"/>
            <w:gridSpan w:val="2"/>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6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3" w:type="dxa"/>
            <w:gridSpan w:val="2"/>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2"/>
              <w:ind w:left="62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6" w:hRule="exact"/>
        </w:trPr>
        <w:tc>
          <w:tcPr>
            <w:tcW w:w="2001" w:type="dxa"/>
            <w:vMerge/>
            <w:tcBorders>
              <w:left w:val="single" w:sz="12" w:space="0" w:color="000000"/>
              <w:bottom w:val="single" w:sz="6" w:space="0" w:color="000000"/>
              <w:right w:val="single" w:sz="6" w:space="0" w:color="000000"/>
            </w:tcBorders>
            <w:shd w:val="clear" w:color="auto" w:fill="D3D3D3"/>
          </w:tcPr>
          <w:p>
            <w:pPr/>
          </w:p>
        </w:tc>
        <w:tc>
          <w:tcPr>
            <w:tcW w:w="1543"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425"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比例</w:t>
            </w:r>
          </w:p>
        </w:tc>
        <w:tc>
          <w:tcPr>
            <w:tcW w:w="141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20" w:hRule="exact"/>
        </w:trPr>
        <w:tc>
          <w:tcPr>
            <w:tcW w:w="2001"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6" w:lineRule="auto" w:before="52"/>
              <w:ind w:left="13" w:right="163"/>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0%</w:t>
            </w:r>
          </w:p>
        </w:tc>
      </w:tr>
      <w:tr>
        <w:trPr>
          <w:trHeight w:val="407" w:hRule="exact"/>
        </w:trPr>
        <w:tc>
          <w:tcPr>
            <w:tcW w:w="9781" w:type="dxa"/>
            <w:gridSpan w:val="9"/>
            <w:tcBorders>
              <w:top w:val="single" w:sz="6" w:space="0" w:color="000000"/>
              <w:left w:val="single" w:sz="12" w:space="0" w:color="000000"/>
              <w:bottom w:val="single" w:sz="6" w:space="0" w:color="000000"/>
              <w:right w:val="single" w:sz="12"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9" w:hRule="exact"/>
        </w:trPr>
        <w:tc>
          <w:tcPr>
            <w:tcW w:w="2001"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163"/>
              <w:jc w:val="left"/>
              <w:rPr>
                <w:rFonts w:ascii="宋体" w:hAnsi="宋体" w:cs="宋体" w:eastAsia="宋体" w:hint="default"/>
                <w:sz w:val="18"/>
                <w:szCs w:val="18"/>
              </w:rPr>
            </w:pPr>
            <w:r>
              <w:rPr>
                <w:rFonts w:ascii="宋体" w:hAnsi="宋体" w:cs="宋体" w:eastAsia="宋体" w:hint="default"/>
                <w:sz w:val="18"/>
                <w:szCs w:val="18"/>
              </w:rPr>
              <w:t>以账龄为信用风险特征 划分组合的应收账款</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124,916,431.47</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6,749,788.78</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113,578,408.58</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5,371,516.52</w:t>
            </w:r>
          </w:p>
        </w:tc>
        <w:tc>
          <w:tcPr>
            <w:tcW w:w="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4.73%</w:t>
            </w:r>
          </w:p>
        </w:tc>
      </w:tr>
      <w:tr>
        <w:trPr>
          <w:trHeight w:val="407" w:hRule="exact"/>
        </w:trPr>
        <w:tc>
          <w:tcPr>
            <w:tcW w:w="2001"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124,916,431.47</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6,749,788.78</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113,578,408.58</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5,371,516.52</w:t>
            </w:r>
          </w:p>
        </w:tc>
        <w:tc>
          <w:tcPr>
            <w:tcW w:w="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4.73%</w:t>
            </w:r>
          </w:p>
        </w:tc>
      </w:tr>
      <w:tr>
        <w:trPr>
          <w:trHeight w:val="415" w:hRule="exact"/>
        </w:trPr>
        <w:tc>
          <w:tcPr>
            <w:tcW w:w="2001"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71"/>
              <w:ind w:left="13" w:right="0"/>
              <w:jc w:val="left"/>
              <w:rPr>
                <w:rFonts w:ascii="宋体" w:hAnsi="宋体" w:cs="宋体" w:eastAsia="宋体" w:hint="default"/>
                <w:sz w:val="18"/>
                <w:szCs w:val="18"/>
              </w:rPr>
            </w:pPr>
            <w:r>
              <w:rPr>
                <w:rFonts w:ascii="宋体" w:hAnsi="宋体" w:cs="宋体" w:eastAsia="宋体" w:hint="default"/>
                <w:sz w:val="18"/>
                <w:szCs w:val="18"/>
              </w:rPr>
              <w:t>单项金额虽不重大但单</w:t>
            </w:r>
          </w:p>
        </w:tc>
        <w:tc>
          <w:tcPr>
            <w:tcW w:w="15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0.00</w:t>
            </w:r>
          </w:p>
        </w:tc>
        <w:tc>
          <w:tcPr>
            <w:tcW w:w="5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0.00</w:t>
            </w:r>
          </w:p>
        </w:tc>
        <w:tc>
          <w:tcPr>
            <w:tcW w:w="4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0.00</w:t>
            </w:r>
          </w:p>
        </w:tc>
        <w:tc>
          <w:tcPr>
            <w:tcW w:w="5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0.00</w:t>
            </w:r>
          </w:p>
        </w:tc>
        <w:tc>
          <w:tcPr>
            <w:tcW w:w="70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1910" w:h="16840"/>
          <w:pgMar w:header="0" w:footer="1003" w:top="1100" w:bottom="1200" w:left="980" w:right="84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2001"/>
        <w:gridCol w:w="1543"/>
        <w:gridCol w:w="568"/>
        <w:gridCol w:w="1276"/>
        <w:gridCol w:w="425"/>
        <w:gridCol w:w="1418"/>
        <w:gridCol w:w="568"/>
        <w:gridCol w:w="1274"/>
        <w:gridCol w:w="709"/>
      </w:tblGrid>
      <w:tr>
        <w:trPr>
          <w:trHeight w:val="686" w:hRule="exact"/>
        </w:trPr>
        <w:tc>
          <w:tcPr>
            <w:tcW w:w="2001"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319" w:lineRule="auto" w:before="10"/>
              <w:ind w:left="13" w:right="163"/>
              <w:jc w:val="left"/>
              <w:rPr>
                <w:rFonts w:ascii="宋体" w:hAnsi="宋体" w:cs="宋体" w:eastAsia="宋体" w:hint="default"/>
                <w:sz w:val="18"/>
                <w:szCs w:val="18"/>
              </w:rPr>
            </w:pPr>
            <w:r>
              <w:rPr>
                <w:rFonts w:ascii="宋体" w:hAnsi="宋体" w:cs="宋体" w:eastAsia="宋体" w:hint="default"/>
                <w:sz w:val="18"/>
                <w:szCs w:val="18"/>
              </w:rPr>
              <w:t>项计提坏账准备的应收 账款</w:t>
            </w:r>
          </w:p>
        </w:tc>
        <w:tc>
          <w:tcPr>
            <w:tcW w:w="1543" w:type="dxa"/>
            <w:tcBorders>
              <w:top w:val="single" w:sz="12" w:space="0" w:color="000000"/>
              <w:left w:val="single" w:sz="6" w:space="0" w:color="000000"/>
              <w:bottom w:val="single" w:sz="6" w:space="0" w:color="000000"/>
              <w:right w:val="single" w:sz="6" w:space="0" w:color="000000"/>
            </w:tcBorders>
          </w:tcPr>
          <w:p>
            <w:pPr/>
          </w:p>
        </w:tc>
        <w:tc>
          <w:tcPr>
            <w:tcW w:w="568" w:type="dxa"/>
            <w:tcBorders>
              <w:top w:val="single" w:sz="12" w:space="0" w:color="000000"/>
              <w:left w:val="single" w:sz="6" w:space="0" w:color="000000"/>
              <w:bottom w:val="single" w:sz="6" w:space="0" w:color="000000"/>
              <w:right w:val="single" w:sz="6" w:space="0" w:color="000000"/>
            </w:tcBorders>
          </w:tcPr>
          <w:p>
            <w:pPr/>
          </w:p>
        </w:tc>
        <w:tc>
          <w:tcPr>
            <w:tcW w:w="1276" w:type="dxa"/>
            <w:tcBorders>
              <w:top w:val="single" w:sz="12" w:space="0" w:color="000000"/>
              <w:left w:val="single" w:sz="6" w:space="0" w:color="000000"/>
              <w:bottom w:val="single" w:sz="6" w:space="0" w:color="000000"/>
              <w:right w:val="single" w:sz="6" w:space="0" w:color="000000"/>
            </w:tcBorders>
          </w:tcPr>
          <w:p>
            <w:pPr/>
          </w:p>
        </w:tc>
        <w:tc>
          <w:tcPr>
            <w:tcW w:w="425" w:type="dxa"/>
            <w:tcBorders>
              <w:top w:val="single" w:sz="12" w:space="0" w:color="000000"/>
              <w:left w:val="single" w:sz="6" w:space="0" w:color="000000"/>
              <w:bottom w:val="single" w:sz="6" w:space="0" w:color="000000"/>
              <w:right w:val="single" w:sz="6" w:space="0" w:color="000000"/>
            </w:tcBorders>
          </w:tcPr>
          <w:p>
            <w:pPr/>
          </w:p>
        </w:tc>
        <w:tc>
          <w:tcPr>
            <w:tcW w:w="1418" w:type="dxa"/>
            <w:tcBorders>
              <w:top w:val="single" w:sz="12" w:space="0" w:color="000000"/>
              <w:left w:val="single" w:sz="6" w:space="0" w:color="000000"/>
              <w:bottom w:val="single" w:sz="6" w:space="0" w:color="000000"/>
              <w:right w:val="single" w:sz="6" w:space="0" w:color="000000"/>
            </w:tcBorders>
          </w:tcPr>
          <w:p>
            <w:pPr/>
          </w:p>
        </w:tc>
        <w:tc>
          <w:tcPr>
            <w:tcW w:w="568" w:type="dxa"/>
            <w:tcBorders>
              <w:top w:val="single" w:sz="12" w:space="0" w:color="000000"/>
              <w:left w:val="single" w:sz="6" w:space="0" w:color="000000"/>
              <w:bottom w:val="single" w:sz="6" w:space="0" w:color="000000"/>
              <w:right w:val="single" w:sz="6" w:space="0" w:color="000000"/>
            </w:tcBorders>
          </w:tcPr>
          <w:p>
            <w:pPr/>
          </w:p>
        </w:tc>
        <w:tc>
          <w:tcPr>
            <w:tcW w:w="1274" w:type="dxa"/>
            <w:tcBorders>
              <w:top w:val="single" w:sz="12" w:space="0" w:color="000000"/>
              <w:left w:val="single" w:sz="6" w:space="0" w:color="000000"/>
              <w:bottom w:val="single" w:sz="6" w:space="0" w:color="000000"/>
              <w:right w:val="single" w:sz="6" w:space="0" w:color="000000"/>
            </w:tcBorders>
          </w:tcPr>
          <w:p>
            <w:pPr/>
          </w:p>
        </w:tc>
        <w:tc>
          <w:tcPr>
            <w:tcW w:w="709" w:type="dxa"/>
            <w:tcBorders>
              <w:top w:val="single" w:sz="12" w:space="0" w:color="000000"/>
              <w:left w:val="single" w:sz="6" w:space="0" w:color="000000"/>
              <w:bottom w:val="single" w:sz="6" w:space="0" w:color="000000"/>
              <w:right w:val="single" w:sz="12" w:space="0" w:color="000000"/>
            </w:tcBorders>
          </w:tcPr>
          <w:p>
            <w:pPr/>
          </w:p>
        </w:tc>
      </w:tr>
      <w:tr>
        <w:trPr>
          <w:trHeight w:val="415" w:hRule="exact"/>
        </w:trPr>
        <w:tc>
          <w:tcPr>
            <w:tcW w:w="2001"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48" w:right="0"/>
              <w:jc w:val="left"/>
              <w:rPr>
                <w:rFonts w:ascii="宋体" w:hAnsi="宋体" w:cs="宋体" w:eastAsia="宋体" w:hint="default"/>
                <w:sz w:val="18"/>
                <w:szCs w:val="18"/>
              </w:rPr>
            </w:pPr>
            <w:r>
              <w:rPr>
                <w:rFonts w:ascii="宋体"/>
                <w:sz w:val="18"/>
              </w:rPr>
              <w:t>124,916,431.47</w:t>
            </w:r>
          </w:p>
        </w:tc>
        <w:tc>
          <w:tcPr>
            <w:tcW w:w="568"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160" w:right="0"/>
              <w:jc w:val="left"/>
              <w:rPr>
                <w:rFonts w:ascii="宋体" w:hAnsi="宋体" w:cs="宋体" w:eastAsia="宋体" w:hint="default"/>
                <w:sz w:val="18"/>
                <w:szCs w:val="18"/>
              </w:rPr>
            </w:pPr>
            <w:r>
              <w:rPr>
                <w:rFonts w:ascii="宋体"/>
                <w:sz w:val="18"/>
              </w:rPr>
              <w:t>6,749,788.78</w:t>
            </w:r>
          </w:p>
        </w:tc>
        <w:tc>
          <w:tcPr>
            <w:tcW w:w="425"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2"/>
              <w:ind w:left="115" w:right="0"/>
              <w:jc w:val="left"/>
              <w:rPr>
                <w:rFonts w:ascii="宋体" w:hAnsi="宋体" w:cs="宋体" w:eastAsia="宋体" w:hint="default"/>
                <w:sz w:val="18"/>
                <w:szCs w:val="18"/>
              </w:rPr>
            </w:pPr>
            <w:r>
              <w:rPr>
                <w:rFonts w:ascii="宋体"/>
                <w:sz w:val="18"/>
              </w:rPr>
              <w:t>--</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123" w:right="0"/>
              <w:jc w:val="left"/>
              <w:rPr>
                <w:rFonts w:ascii="宋体" w:hAnsi="宋体" w:cs="宋体" w:eastAsia="宋体" w:hint="default"/>
                <w:sz w:val="18"/>
                <w:szCs w:val="18"/>
              </w:rPr>
            </w:pPr>
            <w:r>
              <w:rPr>
                <w:rFonts w:ascii="宋体"/>
                <w:sz w:val="18"/>
              </w:rPr>
              <w:t>113,578,408.58</w:t>
            </w:r>
          </w:p>
        </w:tc>
        <w:tc>
          <w:tcPr>
            <w:tcW w:w="568"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159" w:right="0"/>
              <w:jc w:val="left"/>
              <w:rPr>
                <w:rFonts w:ascii="宋体" w:hAnsi="宋体" w:cs="宋体" w:eastAsia="宋体" w:hint="default"/>
                <w:sz w:val="18"/>
                <w:szCs w:val="18"/>
              </w:rPr>
            </w:pPr>
            <w:r>
              <w:rPr>
                <w:rFonts w:ascii="宋体"/>
                <w:sz w:val="18"/>
              </w:rPr>
              <w:t>5,371,516.52</w:t>
            </w:r>
          </w:p>
        </w:tc>
        <w:tc>
          <w:tcPr>
            <w:tcW w:w="709" w:type="dxa"/>
            <w:tcBorders>
              <w:top w:val="single" w:sz="6" w:space="0" w:color="000000"/>
              <w:left w:val="single" w:sz="6" w:space="0" w:color="000000"/>
              <w:bottom w:val="single" w:sz="12" w:space="0" w:color="000000"/>
              <w:right w:val="single" w:sz="12" w:space="0" w:color="000000"/>
            </w:tcBorders>
            <w:shd w:val="clear" w:color="auto" w:fill="D3D3D3"/>
          </w:tcPr>
          <w:p>
            <w:pPr>
              <w:pStyle w:val="TableParagraph"/>
              <w:spacing w:line="240" w:lineRule="auto" w:before="52"/>
              <w:ind w:left="7" w:right="0"/>
              <w:jc w:val="center"/>
              <w:rPr>
                <w:rFonts w:ascii="宋体" w:hAnsi="宋体" w:cs="宋体" w:eastAsia="宋体" w:hint="default"/>
                <w:sz w:val="18"/>
                <w:szCs w:val="18"/>
              </w:rPr>
            </w:pPr>
            <w:r>
              <w:rPr>
                <w:rFonts w:ascii="宋体"/>
                <w:sz w:val="18"/>
              </w:rPr>
              <w:t>--</w:t>
            </w:r>
          </w:p>
        </w:tc>
      </w:tr>
    </w:tbl>
    <w:p>
      <w:pPr>
        <w:pStyle w:val="BodyText"/>
        <w:spacing w:line="240" w:lineRule="auto" w:before="63"/>
        <w:ind w:right="441"/>
        <w:jc w:val="left"/>
      </w:pPr>
      <w:r>
        <w:rPr/>
        <w:t>期末单项金额重大并单项计提坏账准备的应收账款</w:t>
      </w:r>
    </w:p>
    <w:p>
      <w:pPr>
        <w:spacing w:line="240" w:lineRule="auto" w:before="10"/>
        <w:rPr>
          <w:rFonts w:ascii="宋体" w:hAnsi="宋体" w:cs="宋体" w:eastAsia="宋体" w:hint="default"/>
          <w:sz w:val="14"/>
          <w:szCs w:val="14"/>
        </w:rPr>
      </w:pPr>
    </w:p>
    <w:p>
      <w:pPr>
        <w:pStyle w:val="BodyText"/>
        <w:spacing w:line="408" w:lineRule="auto"/>
        <w:ind w:right="5500"/>
        <w:jc w:val="left"/>
      </w:pPr>
      <w:r>
        <w:rPr/>
        <w:t>□ 适用 √</w:t>
      </w:r>
      <w:r>
        <w:rPr>
          <w:spacing w:val="-2"/>
        </w:rPr>
        <w:t> </w:t>
      </w:r>
      <w:r>
        <w:rPr/>
        <w:t>不适用</w:t>
      </w:r>
      <w:r>
        <w:rPr/>
        <w:t> 组合中，按账龄分析法计提坏账准备的应收账款</w:t>
      </w:r>
    </w:p>
    <w:p>
      <w:pPr>
        <w:pStyle w:val="BodyText"/>
        <w:spacing w:line="240" w:lineRule="auto" w:before="46"/>
        <w:ind w:right="441"/>
        <w:jc w:val="left"/>
      </w:pPr>
      <w:r>
        <w:rPr/>
        <w:t>√ 适用 □</w:t>
      </w:r>
      <w:r>
        <w:rPr>
          <w:spacing w:val="-2"/>
        </w:rPr>
        <w:t> </w:t>
      </w:r>
      <w:r>
        <w:rPr/>
        <w:t>不适用</w:t>
      </w:r>
    </w:p>
    <w:p>
      <w:pPr>
        <w:spacing w:line="240" w:lineRule="auto" w:before="6"/>
        <w:rPr>
          <w:rFonts w:ascii="宋体" w:hAnsi="宋体" w:cs="宋体" w:eastAsia="宋体" w:hint="default"/>
          <w:sz w:val="10"/>
          <w:szCs w:val="10"/>
        </w:rPr>
      </w:pPr>
    </w:p>
    <w:p>
      <w:pPr>
        <w:spacing w:before="44"/>
        <w:ind w:left="0" w:right="38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467"/>
        <w:gridCol w:w="1594"/>
        <w:gridCol w:w="929"/>
        <w:gridCol w:w="1727"/>
        <w:gridCol w:w="1462"/>
        <w:gridCol w:w="929"/>
        <w:gridCol w:w="1461"/>
      </w:tblGrid>
      <w:tr>
        <w:trPr>
          <w:trHeight w:val="415" w:hRule="exact"/>
        </w:trPr>
        <w:tc>
          <w:tcPr>
            <w:tcW w:w="1467" w:type="dxa"/>
            <w:vMerge w:val="restart"/>
            <w:tcBorders>
              <w:top w:val="single" w:sz="12" w:space="0" w:color="000000"/>
              <w:left w:val="single" w:sz="12"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4249" w:type="dxa"/>
            <w:gridSpan w:val="3"/>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7" w:hRule="exact"/>
        </w:trPr>
        <w:tc>
          <w:tcPr>
            <w:tcW w:w="1467" w:type="dxa"/>
            <w:vMerge/>
            <w:tcBorders>
              <w:left w:val="single" w:sz="12" w:space="0" w:color="000000"/>
              <w:right w:val="single" w:sz="6" w:space="0" w:color="000000"/>
            </w:tcBorders>
            <w:shd w:val="clear" w:color="auto" w:fill="D3D3D3"/>
          </w:tcPr>
          <w:p>
            <w:pPr/>
          </w:p>
        </w:tc>
        <w:tc>
          <w:tcPr>
            <w:tcW w:w="2522" w:type="dxa"/>
            <w:gridSpan w:val="2"/>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vMerge w:val="restart"/>
            <w:tcBorders>
              <w:top w:val="single" w:sz="6" w:space="0" w:color="000000"/>
              <w:left w:val="single" w:sz="6" w:space="0" w:color="000000"/>
              <w:right w:val="single" w:sz="6"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gridSpan w:val="2"/>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1" w:type="dxa"/>
            <w:vMerge w:val="restart"/>
            <w:tcBorders>
              <w:top w:val="single" w:sz="6" w:space="0" w:color="000000"/>
              <w:left w:val="single" w:sz="6" w:space="0" w:color="000000"/>
              <w:right w:val="single" w:sz="12"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7" w:hRule="exact"/>
        </w:trPr>
        <w:tc>
          <w:tcPr>
            <w:tcW w:w="1467" w:type="dxa"/>
            <w:vMerge/>
            <w:tcBorders>
              <w:left w:val="single" w:sz="12" w:space="0" w:color="000000"/>
              <w:bottom w:val="single" w:sz="6" w:space="0" w:color="000000"/>
              <w:right w:val="single" w:sz="6" w:space="0" w:color="000000"/>
            </w:tcBorders>
            <w:shd w:val="clear" w:color="auto" w:fill="D3D3D3"/>
          </w:tcPr>
          <w:p>
            <w:pPr/>
          </w:p>
        </w:tc>
        <w:tc>
          <w:tcPr>
            <w:tcW w:w="159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727" w:type="dxa"/>
            <w:vMerge/>
            <w:tcBorders>
              <w:left w:val="single" w:sz="6" w:space="0" w:color="000000"/>
              <w:bottom w:val="single" w:sz="6" w:space="0" w:color="000000"/>
              <w:right w:val="single" w:sz="6" w:space="0" w:color="000000"/>
            </w:tcBorders>
            <w:shd w:val="clear" w:color="auto" w:fill="D3D3D3"/>
          </w:tcPr>
          <w:p>
            <w:pPr/>
          </w:p>
        </w:tc>
        <w:tc>
          <w:tcPr>
            <w:tcW w:w="146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61" w:type="dxa"/>
            <w:vMerge/>
            <w:tcBorders>
              <w:left w:val="single" w:sz="6" w:space="0" w:color="000000"/>
              <w:bottom w:val="single" w:sz="6" w:space="0" w:color="000000"/>
              <w:right w:val="single" w:sz="12" w:space="0" w:color="000000"/>
            </w:tcBorders>
            <w:shd w:val="clear" w:color="auto" w:fill="D3D3D3"/>
          </w:tcPr>
          <w:p>
            <w:pPr/>
          </w:p>
        </w:tc>
      </w:tr>
      <w:tr>
        <w:trPr>
          <w:trHeight w:val="407" w:hRule="exact"/>
        </w:trPr>
        <w:tc>
          <w:tcPr>
            <w:tcW w:w="9568" w:type="dxa"/>
            <w:gridSpan w:val="7"/>
            <w:tcBorders>
              <w:top w:val="single" w:sz="6" w:space="0" w:color="000000"/>
              <w:left w:val="single" w:sz="12" w:space="0" w:color="000000"/>
              <w:bottom w:val="single" w:sz="6" w:space="0" w:color="000000"/>
              <w:right w:val="single" w:sz="12"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r>
      <w:tr>
        <w:trPr>
          <w:trHeight w:val="406" w:hRule="exact"/>
        </w:trPr>
        <w:tc>
          <w:tcPr>
            <w:tcW w:w="1467"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929"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72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c>
          <w:tcPr>
            <w:tcW w:w="146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929"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461"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2"/>
              <w:ind w:left="5" w:right="0"/>
              <w:jc w:val="center"/>
              <w:rPr>
                <w:rFonts w:ascii="宋体" w:hAnsi="宋体" w:cs="宋体" w:eastAsia="宋体" w:hint="default"/>
                <w:sz w:val="18"/>
                <w:szCs w:val="18"/>
              </w:rPr>
            </w:pPr>
            <w:r>
              <w:rPr>
                <w:rFonts w:ascii="宋体"/>
                <w:sz w:val="18"/>
              </w:rPr>
              <w:t>--</w:t>
            </w:r>
          </w:p>
        </w:tc>
      </w:tr>
      <w:tr>
        <w:trPr>
          <w:trHeight w:val="408" w:hRule="exact"/>
        </w:trPr>
        <w:tc>
          <w:tcPr>
            <w:tcW w:w="1467" w:type="dxa"/>
            <w:tcBorders>
              <w:top w:val="single" w:sz="6" w:space="0" w:color="000000"/>
              <w:left w:val="single" w:sz="12"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111,997,568.59</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89.66%</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3,359,927.06</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106,261,658.77</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93.56%</w:t>
            </w:r>
          </w:p>
        </w:tc>
        <w:tc>
          <w:tcPr>
            <w:tcW w:w="14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3,187,849.76</w:t>
            </w:r>
          </w:p>
        </w:tc>
      </w:tr>
      <w:tr>
        <w:trPr>
          <w:trHeight w:val="407" w:hRule="exact"/>
        </w:trPr>
        <w:tc>
          <w:tcPr>
            <w:tcW w:w="1467"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111,997,568.59</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89.66%</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3,359,927.06</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106,261,658.77</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93.56%</w:t>
            </w:r>
          </w:p>
        </w:tc>
        <w:tc>
          <w:tcPr>
            <w:tcW w:w="14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3,187,849.76</w:t>
            </w:r>
          </w:p>
        </w:tc>
      </w:tr>
      <w:tr>
        <w:trPr>
          <w:trHeight w:val="407" w:hRule="exact"/>
        </w:trPr>
        <w:tc>
          <w:tcPr>
            <w:tcW w:w="1467"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pacing w:val="33"/>
                <w:sz w:val="18"/>
                <w:szCs w:val="18"/>
              </w:rPr>
              <w:t>1至2年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8,899,957.63</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7.12%</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889,995.76</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3,396,164.47</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2.99%</w:t>
            </w:r>
          </w:p>
        </w:tc>
        <w:tc>
          <w:tcPr>
            <w:tcW w:w="14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339,616.45</w:t>
            </w:r>
          </w:p>
        </w:tc>
      </w:tr>
      <w:tr>
        <w:trPr>
          <w:trHeight w:val="407" w:hRule="exact"/>
        </w:trPr>
        <w:tc>
          <w:tcPr>
            <w:tcW w:w="1467"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pacing w:val="33"/>
                <w:sz w:val="18"/>
                <w:szCs w:val="18"/>
              </w:rPr>
              <w:t>2至3年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483,029.51</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0.39%</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144,908.85</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2,111,254.20</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1.86%</w:t>
            </w:r>
          </w:p>
        </w:tc>
        <w:tc>
          <w:tcPr>
            <w:tcW w:w="14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633,376.26</w:t>
            </w:r>
          </w:p>
        </w:tc>
      </w:tr>
      <w:tr>
        <w:trPr>
          <w:trHeight w:val="407" w:hRule="exact"/>
        </w:trPr>
        <w:tc>
          <w:tcPr>
            <w:tcW w:w="1467"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3,535,875.74</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2.83%</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2,354,957.10</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1,809,331.14</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1.59%</w:t>
            </w:r>
          </w:p>
        </w:tc>
        <w:tc>
          <w:tcPr>
            <w:tcW w:w="14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1,210,674.05</w:t>
            </w:r>
          </w:p>
        </w:tc>
      </w:tr>
      <w:tr>
        <w:trPr>
          <w:trHeight w:val="407" w:hRule="exact"/>
        </w:trPr>
        <w:tc>
          <w:tcPr>
            <w:tcW w:w="1467"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pacing w:val="33"/>
                <w:sz w:val="18"/>
                <w:szCs w:val="18"/>
              </w:rPr>
              <w:t>3至4年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2,076,544.60</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1.66%</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1,038,272.30</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728,005.43</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0.64%</w:t>
            </w:r>
          </w:p>
        </w:tc>
        <w:tc>
          <w:tcPr>
            <w:tcW w:w="14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364,002.72</w:t>
            </w:r>
          </w:p>
        </w:tc>
      </w:tr>
      <w:tr>
        <w:trPr>
          <w:trHeight w:val="408" w:hRule="exact"/>
        </w:trPr>
        <w:tc>
          <w:tcPr>
            <w:tcW w:w="1467"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pacing w:val="33"/>
                <w:sz w:val="18"/>
                <w:szCs w:val="18"/>
              </w:rPr>
              <w:t>4至5年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475,487.79</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0.38%</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332,841.45</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782,181.26</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0.69%</w:t>
            </w:r>
          </w:p>
        </w:tc>
        <w:tc>
          <w:tcPr>
            <w:tcW w:w="14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547,526.88</w:t>
            </w:r>
          </w:p>
        </w:tc>
      </w:tr>
      <w:tr>
        <w:trPr>
          <w:trHeight w:val="407" w:hRule="exact"/>
        </w:trPr>
        <w:tc>
          <w:tcPr>
            <w:tcW w:w="1467"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983,843.35</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0.79%</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983,843.35</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299,144.45</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0.26%</w:t>
            </w:r>
          </w:p>
        </w:tc>
        <w:tc>
          <w:tcPr>
            <w:tcW w:w="14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299,144.45</w:t>
            </w:r>
          </w:p>
        </w:tc>
      </w:tr>
      <w:tr>
        <w:trPr>
          <w:trHeight w:val="415" w:hRule="exact"/>
        </w:trPr>
        <w:tc>
          <w:tcPr>
            <w:tcW w:w="1467"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124,916,431.47</w:t>
            </w:r>
          </w:p>
        </w:tc>
        <w:tc>
          <w:tcPr>
            <w:tcW w:w="929"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7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6,749,788.78</w:t>
            </w:r>
          </w:p>
        </w:tc>
        <w:tc>
          <w:tcPr>
            <w:tcW w:w="14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113,578,408.58</w:t>
            </w:r>
          </w:p>
        </w:tc>
        <w:tc>
          <w:tcPr>
            <w:tcW w:w="929"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46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5,371,516.52</w:t>
            </w:r>
          </w:p>
        </w:tc>
      </w:tr>
    </w:tbl>
    <w:p>
      <w:pPr>
        <w:pStyle w:val="BodyText"/>
        <w:spacing w:line="240" w:lineRule="auto" w:before="63"/>
        <w:ind w:right="441"/>
        <w:jc w:val="left"/>
      </w:pPr>
      <w:r>
        <w:rPr/>
        <w:t>组合中，采用余额百分比法计提坏账准备的应收账款</w:t>
      </w:r>
    </w:p>
    <w:p>
      <w:pPr>
        <w:spacing w:line="240" w:lineRule="auto" w:before="10"/>
        <w:rPr>
          <w:rFonts w:ascii="宋体" w:hAnsi="宋体" w:cs="宋体" w:eastAsia="宋体" w:hint="default"/>
          <w:sz w:val="14"/>
          <w:szCs w:val="14"/>
        </w:rPr>
      </w:pPr>
    </w:p>
    <w:p>
      <w:pPr>
        <w:pStyle w:val="BodyText"/>
        <w:spacing w:line="408" w:lineRule="auto"/>
        <w:ind w:right="5500"/>
        <w:jc w:val="left"/>
      </w:pPr>
      <w:r>
        <w:rPr/>
        <w:t>□ 适用 √</w:t>
      </w:r>
      <w:r>
        <w:rPr>
          <w:spacing w:val="-2"/>
        </w:rPr>
        <w:t> </w:t>
      </w:r>
      <w:r>
        <w:rPr/>
        <w:t>不适用</w:t>
      </w:r>
      <w:r>
        <w:rPr/>
        <w:t> 组合中，采用其他方法计提坏账准备的应收账款</w:t>
      </w:r>
    </w:p>
    <w:p>
      <w:pPr>
        <w:pStyle w:val="BodyText"/>
        <w:spacing w:line="408" w:lineRule="auto" w:before="46"/>
        <w:ind w:right="4870"/>
        <w:jc w:val="left"/>
      </w:pPr>
      <w:r>
        <w:rPr/>
        <w:t>□ 适用 √</w:t>
      </w:r>
      <w:r>
        <w:rPr>
          <w:spacing w:val="-2"/>
        </w:rPr>
        <w:t> </w:t>
      </w:r>
      <w:r>
        <w:rPr/>
        <w:t>不适用</w:t>
      </w:r>
      <w:r>
        <w:rPr/>
        <w:t> 期末单项金额虽不重大但单项计提坏账准备的应收账款</w:t>
      </w:r>
    </w:p>
    <w:p>
      <w:pPr>
        <w:pStyle w:val="BodyText"/>
        <w:spacing w:line="240" w:lineRule="auto" w:before="46"/>
        <w:ind w:right="441"/>
        <w:jc w:val="left"/>
      </w:pPr>
      <w:r>
        <w:rPr/>
        <w:t>□ 适用 √</w:t>
      </w:r>
      <w:r>
        <w:rPr>
          <w:spacing w:val="-2"/>
        </w:rPr>
        <w:t> </w:t>
      </w:r>
      <w:r>
        <w:rPr/>
        <w:t>不适用</w:t>
      </w:r>
    </w:p>
    <w:p>
      <w:pPr>
        <w:spacing w:line="240" w:lineRule="auto" w:before="0"/>
        <w:rPr>
          <w:rFonts w:ascii="宋体" w:hAnsi="宋体" w:cs="宋体" w:eastAsia="宋体" w:hint="default"/>
          <w:sz w:val="20"/>
          <w:szCs w:val="20"/>
        </w:rPr>
      </w:pPr>
    </w:p>
    <w:p>
      <w:pPr>
        <w:pStyle w:val="Heading4"/>
        <w:spacing w:line="240" w:lineRule="auto" w:before="154"/>
        <w:ind w:right="441"/>
        <w:jc w:val="left"/>
        <w:rPr>
          <w:b w:val="0"/>
          <w:bCs w:val="0"/>
        </w:rPr>
      </w:pPr>
      <w:r>
        <w:rPr/>
        <w:t>（2）本报告期转回或收回的应收账款情况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3"/>
        <w:ind w:right="441"/>
        <w:jc w:val="left"/>
      </w:pPr>
      <w:r>
        <w:rPr/>
        <w:t>□ 适用 √</w:t>
      </w:r>
      <w:r>
        <w:rPr>
          <w:spacing w:val="-2"/>
        </w:rPr>
        <w:t> </w:t>
      </w:r>
      <w:r>
        <w:rPr/>
        <w:t>不适用</w:t>
      </w:r>
    </w:p>
    <w:p>
      <w:pPr>
        <w:spacing w:after="0" w:line="240" w:lineRule="auto"/>
        <w:jc w:val="left"/>
        <w:sectPr>
          <w:pgSz w:w="11910" w:h="16840"/>
          <w:pgMar w:header="0" w:footer="1003" w:top="1100" w:bottom="1200" w:left="980" w:right="840"/>
        </w:sectPr>
      </w:pPr>
    </w:p>
    <w:p>
      <w:pPr>
        <w:spacing w:line="240" w:lineRule="auto" w:before="10"/>
        <w:rPr>
          <w:rFonts w:ascii="宋体" w:hAnsi="宋体" w:cs="宋体" w:eastAsia="宋体" w:hint="default"/>
          <w:sz w:val="20"/>
          <w:szCs w:val="20"/>
        </w:rPr>
      </w:pPr>
    </w:p>
    <w:p>
      <w:pPr>
        <w:pStyle w:val="Heading4"/>
        <w:spacing w:line="240" w:lineRule="auto" w:before="35"/>
        <w:ind w:right="132"/>
        <w:jc w:val="left"/>
        <w:rPr>
          <w:b w:val="0"/>
          <w:bCs w:val="0"/>
        </w:rPr>
      </w:pPr>
      <w:r>
        <w:rPr/>
        <w:t>（3）本报告期实际核销的应收账款情况</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32"/>
        <w:jc w:val="left"/>
        <w:rPr>
          <w:b w:val="0"/>
          <w:bCs w:val="0"/>
        </w:rPr>
      </w:pPr>
      <w:r>
        <w:rPr/>
        <w:t>（4）本报告期应收账款中持有公司</w:t>
      </w:r>
      <w:r>
        <w:rPr>
          <w:spacing w:val="-58"/>
        </w:rPr>
        <w:t> </w:t>
      </w:r>
      <w:r>
        <w:rPr/>
        <w:t>5％（含</w:t>
      </w:r>
      <w:r>
        <w:rPr>
          <w:spacing w:val="-58"/>
        </w:rPr>
        <w:t> </w:t>
      </w:r>
      <w:r>
        <w:rPr/>
        <w:t>5％）以上表决权股份的股东单位情况</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32"/>
        <w:jc w:val="left"/>
        <w:rPr>
          <w:b w:val="0"/>
          <w:bCs w:val="0"/>
        </w:rPr>
      </w:pPr>
      <w:r>
        <w:rPr/>
        <w:t>（5）应收账款中金额前五名单位情况</w:t>
      </w:r>
      <w:r>
        <w:rPr>
          <w:b w:val="0"/>
          <w:bCs w:val="0"/>
        </w:rPr>
      </w:r>
    </w:p>
    <w:p>
      <w:pPr>
        <w:spacing w:line="240" w:lineRule="auto" w:before="7"/>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119"/>
        <w:gridCol w:w="1417"/>
        <w:gridCol w:w="1843"/>
        <w:gridCol w:w="1277"/>
        <w:gridCol w:w="1913"/>
      </w:tblGrid>
      <w:tr>
        <w:trPr>
          <w:trHeight w:val="413" w:hRule="exact"/>
        </w:trPr>
        <w:tc>
          <w:tcPr>
            <w:tcW w:w="3119"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7"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843"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3"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占应收账款总额的比例</w:t>
            </w:r>
          </w:p>
        </w:tc>
      </w:tr>
      <w:tr>
        <w:trPr>
          <w:trHeight w:val="407"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江苏省电力公司物资采购与配送中心</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32,642,920.52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26.13%</w:t>
            </w:r>
          </w:p>
        </w:tc>
      </w:tr>
      <w:tr>
        <w:trPr>
          <w:trHeight w:val="408"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浙江浙电物资经贸有限公司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16,172,023.00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12.95%</w:t>
            </w:r>
          </w:p>
        </w:tc>
      </w:tr>
      <w:tr>
        <w:trPr>
          <w:trHeight w:val="407"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山东电力集团公司物资供应公司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14,378,373.52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11.51%</w:t>
            </w:r>
          </w:p>
        </w:tc>
      </w:tr>
      <w:tr>
        <w:trPr>
          <w:trHeight w:val="407"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浙江省电力物资供应公司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7,802,435.40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6.25%</w:t>
            </w:r>
          </w:p>
        </w:tc>
      </w:tr>
      <w:tr>
        <w:trPr>
          <w:trHeight w:val="407"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浙江华立科技有限公司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7,328,438.00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5.87%</w:t>
            </w:r>
          </w:p>
        </w:tc>
      </w:tr>
      <w:tr>
        <w:trPr>
          <w:trHeight w:val="415" w:hRule="exact"/>
        </w:trPr>
        <w:tc>
          <w:tcPr>
            <w:tcW w:w="3119"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78,324,190.44</w:t>
            </w:r>
          </w:p>
        </w:tc>
        <w:tc>
          <w:tcPr>
            <w:tcW w:w="1277"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62.71%</w:t>
            </w:r>
          </w:p>
        </w:tc>
      </w:tr>
    </w:tbl>
    <w:p>
      <w:pPr>
        <w:spacing w:line="240" w:lineRule="auto" w:before="2"/>
        <w:rPr>
          <w:rFonts w:ascii="宋体" w:hAnsi="宋体" w:cs="宋体" w:eastAsia="宋体" w:hint="default"/>
          <w:sz w:val="19"/>
          <w:szCs w:val="19"/>
        </w:rPr>
      </w:pPr>
    </w:p>
    <w:p>
      <w:pPr>
        <w:pStyle w:val="Heading4"/>
        <w:spacing w:line="240" w:lineRule="auto" w:before="35"/>
        <w:ind w:right="132"/>
        <w:jc w:val="left"/>
        <w:rPr>
          <w:b w:val="0"/>
          <w:bCs w:val="0"/>
        </w:rPr>
      </w:pPr>
      <w:r>
        <w:rPr/>
        <w:t>（6）应收关联方账款情况</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32"/>
        <w:jc w:val="left"/>
        <w:rPr>
          <w:b w:val="0"/>
          <w:bCs w:val="0"/>
        </w:rPr>
      </w:pPr>
      <w:r>
        <w:rPr/>
        <w:t>（7）终止确认的应收款项情况</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32"/>
        <w:jc w:val="left"/>
        <w:rPr>
          <w:b w:val="0"/>
          <w:bCs w:val="0"/>
        </w:rPr>
      </w:pPr>
      <w:r>
        <w:rPr/>
        <w:t>（8）以应收款项为标的进行证券化的，列示继续涉入形成的资产、负债的金额</w:t>
      </w:r>
      <w:r>
        <w:rPr>
          <w:b w:val="0"/>
          <w:bCs w:val="0"/>
        </w:rPr>
      </w:r>
    </w:p>
    <w:p>
      <w:pPr>
        <w:spacing w:line="240" w:lineRule="auto" w:before="11"/>
        <w:rPr>
          <w:rFonts w:ascii="宋体" w:hAnsi="宋体" w:cs="宋体" w:eastAsia="宋体" w:hint="default"/>
          <w:b/>
          <w:bCs/>
          <w:sz w:val="25"/>
          <w:szCs w:val="25"/>
        </w:rPr>
      </w:pPr>
    </w:p>
    <w:p>
      <w:pPr>
        <w:spacing w:line="535" w:lineRule="auto" w:before="0"/>
        <w:ind w:left="154" w:right="79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7、其他应收款</w:t>
      </w:r>
      <w:r>
        <w:rPr>
          <w:rFonts w:ascii="宋体" w:hAnsi="宋体" w:cs="宋体" w:eastAsia="宋体" w:hint="default"/>
          <w:sz w:val="21"/>
          <w:szCs w:val="21"/>
        </w:rPr>
      </w:r>
    </w:p>
    <w:p>
      <w:pPr>
        <w:pStyle w:val="Heading4"/>
        <w:spacing w:line="240" w:lineRule="auto" w:before="81"/>
        <w:ind w:right="132"/>
        <w:jc w:val="left"/>
        <w:rPr>
          <w:b w:val="0"/>
          <w:bCs w:val="0"/>
        </w:rPr>
      </w:pPr>
      <w:r>
        <w:rPr/>
        <w:t>（1）其他应收款按种类披露</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903"/>
        <w:gridCol w:w="1058"/>
        <w:gridCol w:w="792"/>
        <w:gridCol w:w="1057"/>
        <w:gridCol w:w="794"/>
        <w:gridCol w:w="1058"/>
        <w:gridCol w:w="925"/>
        <w:gridCol w:w="1190"/>
        <w:gridCol w:w="790"/>
      </w:tblGrid>
      <w:tr>
        <w:trPr>
          <w:trHeight w:val="415" w:hRule="exact"/>
        </w:trPr>
        <w:tc>
          <w:tcPr>
            <w:tcW w:w="1903" w:type="dxa"/>
            <w:vMerge w:val="restart"/>
            <w:tcBorders>
              <w:top w:val="single" w:sz="12" w:space="0" w:color="000000"/>
              <w:left w:val="single" w:sz="12"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4" w:type="dxa"/>
            <w:gridSpan w:val="4"/>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7" w:hRule="exact"/>
        </w:trPr>
        <w:tc>
          <w:tcPr>
            <w:tcW w:w="1903" w:type="dxa"/>
            <w:vMerge/>
            <w:tcBorders>
              <w:left w:val="single" w:sz="12" w:space="0" w:color="000000"/>
              <w:right w:val="single" w:sz="6" w:space="0" w:color="000000"/>
            </w:tcBorders>
            <w:shd w:val="clear" w:color="auto" w:fill="D3D3D3"/>
          </w:tcPr>
          <w:p>
            <w:pPr/>
          </w:p>
        </w:tc>
        <w:tc>
          <w:tcPr>
            <w:tcW w:w="1850" w:type="dxa"/>
            <w:gridSpan w:val="2"/>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2" w:type="dxa"/>
            <w:gridSpan w:val="2"/>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55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4" w:type="dxa"/>
            <w:gridSpan w:val="2"/>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6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62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7" w:hRule="exact"/>
        </w:trPr>
        <w:tc>
          <w:tcPr>
            <w:tcW w:w="1903" w:type="dxa"/>
            <w:vMerge/>
            <w:tcBorders>
              <w:left w:val="single" w:sz="12" w:space="0" w:color="000000"/>
              <w:bottom w:val="single" w:sz="6" w:space="0" w:color="000000"/>
              <w:right w:val="single" w:sz="6" w:space="0" w:color="000000"/>
            </w:tcBorders>
            <w:shd w:val="clear" w:color="auto" w:fill="D3D3D3"/>
          </w:tcPr>
          <w:p>
            <w:pPr/>
          </w:p>
        </w:tc>
        <w:tc>
          <w:tcPr>
            <w:tcW w:w="105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20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5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21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5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5"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9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20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687" w:hRule="exact"/>
        </w:trPr>
        <w:tc>
          <w:tcPr>
            <w:tcW w:w="1903"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316" w:lineRule="auto" w:before="51"/>
              <w:ind w:left="13" w:right="65"/>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提坏账准备的其他应收</w:t>
            </w:r>
          </w:p>
        </w:tc>
        <w:tc>
          <w:tcPr>
            <w:tcW w:w="10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62" w:right="0"/>
              <w:jc w:val="left"/>
              <w:rPr>
                <w:rFonts w:ascii="宋体" w:hAnsi="宋体" w:cs="宋体" w:eastAsia="宋体" w:hint="default"/>
                <w:sz w:val="18"/>
                <w:szCs w:val="18"/>
              </w:rPr>
            </w:pPr>
            <w:r>
              <w:rPr>
                <w:rFonts w:ascii="宋体"/>
                <w:sz w:val="18"/>
              </w:rPr>
              <w:t>0.00</w:t>
            </w:r>
          </w:p>
        </w:tc>
        <w:tc>
          <w:tcPr>
            <w:tcW w:w="7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10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62" w:right="0"/>
              <w:jc w:val="left"/>
              <w:rPr>
                <w:rFonts w:ascii="宋体" w:hAnsi="宋体" w:cs="宋体" w:eastAsia="宋体" w:hint="default"/>
                <w:sz w:val="18"/>
                <w:szCs w:val="18"/>
              </w:rPr>
            </w:pPr>
            <w:r>
              <w:rPr>
                <w:rFonts w:ascii="宋体"/>
                <w:sz w:val="18"/>
              </w:rPr>
              <w:t>0.00</w:t>
            </w:r>
          </w:p>
        </w:tc>
        <w:tc>
          <w:tcPr>
            <w:tcW w:w="7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0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62" w:right="0"/>
              <w:jc w:val="left"/>
              <w:rPr>
                <w:rFonts w:ascii="宋体" w:hAnsi="宋体" w:cs="宋体" w:eastAsia="宋体" w:hint="default"/>
                <w:sz w:val="18"/>
                <w:szCs w:val="18"/>
              </w:rPr>
            </w:pPr>
            <w:r>
              <w:rPr>
                <w:rFonts w:ascii="宋体"/>
                <w:sz w:val="18"/>
              </w:rPr>
              <w:t>0.00</w:t>
            </w:r>
          </w:p>
        </w:tc>
        <w:tc>
          <w:tcPr>
            <w:tcW w:w="9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79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1910" w:h="16840"/>
          <w:pgMar w:header="0" w:footer="1003" w:top="1100" w:bottom="1200" w:left="980" w:right="98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1903"/>
        <w:gridCol w:w="1058"/>
        <w:gridCol w:w="158"/>
        <w:gridCol w:w="634"/>
        <w:gridCol w:w="1057"/>
        <w:gridCol w:w="794"/>
        <w:gridCol w:w="1058"/>
        <w:gridCol w:w="283"/>
        <w:gridCol w:w="642"/>
        <w:gridCol w:w="1190"/>
        <w:gridCol w:w="790"/>
      </w:tblGrid>
      <w:tr>
        <w:trPr>
          <w:trHeight w:val="374" w:hRule="exact"/>
        </w:trPr>
        <w:tc>
          <w:tcPr>
            <w:tcW w:w="1903"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058" w:type="dxa"/>
            <w:tcBorders>
              <w:top w:val="single" w:sz="12" w:space="0" w:color="000000"/>
              <w:left w:val="single" w:sz="6" w:space="0" w:color="000000"/>
              <w:bottom w:val="single" w:sz="6" w:space="0" w:color="000000"/>
              <w:right w:val="single" w:sz="6" w:space="0" w:color="000000"/>
            </w:tcBorders>
          </w:tcPr>
          <w:p>
            <w:pPr/>
          </w:p>
        </w:tc>
        <w:tc>
          <w:tcPr>
            <w:tcW w:w="792" w:type="dxa"/>
            <w:gridSpan w:val="2"/>
            <w:tcBorders>
              <w:top w:val="single" w:sz="12" w:space="0" w:color="000000"/>
              <w:left w:val="single" w:sz="6" w:space="0" w:color="000000"/>
              <w:bottom w:val="single" w:sz="6" w:space="0" w:color="000000"/>
              <w:right w:val="single" w:sz="6" w:space="0" w:color="000000"/>
            </w:tcBorders>
          </w:tcPr>
          <w:p>
            <w:pPr/>
          </w:p>
        </w:tc>
        <w:tc>
          <w:tcPr>
            <w:tcW w:w="1057" w:type="dxa"/>
            <w:tcBorders>
              <w:top w:val="single" w:sz="12" w:space="0" w:color="000000"/>
              <w:left w:val="single" w:sz="6" w:space="0" w:color="000000"/>
              <w:bottom w:val="single" w:sz="6" w:space="0" w:color="000000"/>
              <w:right w:val="single" w:sz="6" w:space="0" w:color="000000"/>
            </w:tcBorders>
          </w:tcPr>
          <w:p>
            <w:pPr/>
          </w:p>
        </w:tc>
        <w:tc>
          <w:tcPr>
            <w:tcW w:w="794" w:type="dxa"/>
            <w:tcBorders>
              <w:top w:val="single" w:sz="12" w:space="0" w:color="000000"/>
              <w:left w:val="single" w:sz="6" w:space="0" w:color="000000"/>
              <w:bottom w:val="single" w:sz="6" w:space="0" w:color="000000"/>
              <w:right w:val="single" w:sz="6" w:space="0" w:color="000000"/>
            </w:tcBorders>
          </w:tcPr>
          <w:p>
            <w:pPr/>
          </w:p>
        </w:tc>
        <w:tc>
          <w:tcPr>
            <w:tcW w:w="1058" w:type="dxa"/>
            <w:tcBorders>
              <w:top w:val="single" w:sz="12" w:space="0" w:color="000000"/>
              <w:left w:val="single" w:sz="6" w:space="0" w:color="000000"/>
              <w:bottom w:val="single" w:sz="6" w:space="0" w:color="000000"/>
              <w:right w:val="single" w:sz="6" w:space="0" w:color="000000"/>
            </w:tcBorders>
          </w:tcPr>
          <w:p>
            <w:pPr/>
          </w:p>
        </w:tc>
        <w:tc>
          <w:tcPr>
            <w:tcW w:w="925" w:type="dxa"/>
            <w:gridSpan w:val="2"/>
            <w:tcBorders>
              <w:top w:val="single" w:sz="12" w:space="0" w:color="000000"/>
              <w:left w:val="single" w:sz="6" w:space="0" w:color="000000"/>
              <w:bottom w:val="single" w:sz="6" w:space="0" w:color="000000"/>
              <w:right w:val="single" w:sz="6" w:space="0" w:color="000000"/>
            </w:tcBorders>
          </w:tcPr>
          <w:p>
            <w:pPr/>
          </w:p>
        </w:tc>
        <w:tc>
          <w:tcPr>
            <w:tcW w:w="1190" w:type="dxa"/>
            <w:tcBorders>
              <w:top w:val="single" w:sz="12" w:space="0" w:color="000000"/>
              <w:left w:val="single" w:sz="6" w:space="0" w:color="000000"/>
              <w:bottom w:val="single" w:sz="6" w:space="0" w:color="000000"/>
              <w:right w:val="single" w:sz="6" w:space="0" w:color="000000"/>
            </w:tcBorders>
          </w:tcPr>
          <w:p>
            <w:pPr/>
          </w:p>
        </w:tc>
        <w:tc>
          <w:tcPr>
            <w:tcW w:w="790" w:type="dxa"/>
            <w:tcBorders>
              <w:top w:val="single" w:sz="12" w:space="0" w:color="000000"/>
              <w:left w:val="single" w:sz="6" w:space="0" w:color="000000"/>
              <w:bottom w:val="single" w:sz="6" w:space="0" w:color="000000"/>
              <w:right w:val="single" w:sz="12" w:space="0" w:color="000000"/>
            </w:tcBorders>
          </w:tcPr>
          <w:p>
            <w:pPr/>
          </w:p>
        </w:tc>
      </w:tr>
      <w:tr>
        <w:trPr>
          <w:trHeight w:val="406" w:hRule="exact"/>
        </w:trPr>
        <w:tc>
          <w:tcPr>
            <w:tcW w:w="9569" w:type="dxa"/>
            <w:gridSpan w:val="11"/>
            <w:tcBorders>
              <w:top w:val="single" w:sz="6" w:space="0" w:color="000000"/>
              <w:left w:val="single" w:sz="12" w:space="0" w:color="000000"/>
              <w:bottom w:val="single" w:sz="6" w:space="0" w:color="000000"/>
              <w:right w:val="single" w:sz="12"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20" w:hRule="exact"/>
        </w:trPr>
        <w:tc>
          <w:tcPr>
            <w:tcW w:w="1903"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65"/>
              <w:jc w:val="left"/>
              <w:rPr>
                <w:rFonts w:ascii="宋体" w:hAnsi="宋体" w:cs="宋体" w:eastAsia="宋体" w:hint="default"/>
                <w:sz w:val="18"/>
                <w:szCs w:val="18"/>
              </w:rPr>
            </w:pPr>
            <w:r>
              <w:rPr>
                <w:rFonts w:ascii="宋体" w:hAnsi="宋体" w:cs="宋体" w:eastAsia="宋体" w:hint="default"/>
                <w:sz w:val="18"/>
                <w:szCs w:val="18"/>
              </w:rPr>
              <w:t>以账龄为信用风险特征 划分组合的应收账款</w:t>
            </w:r>
          </w:p>
        </w:tc>
        <w:tc>
          <w:tcPr>
            <w:tcW w:w="12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sz w:val="18"/>
              </w:rPr>
              <w:t>4,451,164.49</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675,446.16</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15.17%</w:t>
            </w:r>
          </w:p>
        </w:tc>
        <w:tc>
          <w:tcPr>
            <w:tcW w:w="13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sz w:val="18"/>
              </w:rPr>
              <w:t>8,528,536.96</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640,460.27</w:t>
            </w:r>
          </w:p>
        </w:tc>
        <w:tc>
          <w:tcPr>
            <w:tcW w:w="7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
              <w:jc w:val="right"/>
              <w:rPr>
                <w:rFonts w:ascii="宋体" w:hAnsi="宋体" w:cs="宋体" w:eastAsia="宋体" w:hint="default"/>
                <w:sz w:val="18"/>
                <w:szCs w:val="18"/>
              </w:rPr>
            </w:pPr>
            <w:r>
              <w:rPr>
                <w:rFonts w:ascii="宋体"/>
                <w:sz w:val="18"/>
              </w:rPr>
              <w:t>7.51%</w:t>
            </w:r>
          </w:p>
        </w:tc>
      </w:tr>
      <w:tr>
        <w:trPr>
          <w:trHeight w:val="407" w:hRule="exact"/>
        </w:trPr>
        <w:tc>
          <w:tcPr>
            <w:tcW w:w="190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4,451,164.49</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w:t>
            </w: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675,446.16</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15.17%</w:t>
            </w:r>
          </w:p>
        </w:tc>
        <w:tc>
          <w:tcPr>
            <w:tcW w:w="13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26" w:right="0"/>
              <w:jc w:val="left"/>
              <w:rPr>
                <w:rFonts w:ascii="宋体" w:hAnsi="宋体" w:cs="宋体" w:eastAsia="宋体" w:hint="default"/>
                <w:sz w:val="18"/>
                <w:szCs w:val="18"/>
              </w:rPr>
            </w:pPr>
            <w:r>
              <w:rPr>
                <w:rFonts w:ascii="宋体"/>
                <w:sz w:val="18"/>
              </w:rPr>
              <w:t>8,528,536.96</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640,460.27</w:t>
            </w:r>
          </w:p>
        </w:tc>
        <w:tc>
          <w:tcPr>
            <w:tcW w:w="7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7.51%</w:t>
            </w:r>
          </w:p>
        </w:tc>
      </w:tr>
      <w:tr>
        <w:trPr>
          <w:trHeight w:val="1031" w:hRule="exact"/>
        </w:trPr>
        <w:tc>
          <w:tcPr>
            <w:tcW w:w="190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9" w:lineRule="auto" w:before="51"/>
              <w:ind w:left="13" w:right="65"/>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项计提坏账准备的其他 应收款</w:t>
            </w:r>
          </w:p>
        </w:tc>
        <w:tc>
          <w:tcPr>
            <w:tcW w:w="12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0.00</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w:t>
            </w: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0.00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w:t>
            </w:r>
          </w:p>
        </w:tc>
        <w:tc>
          <w:tcPr>
            <w:tcW w:w="13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0.00</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0.00</w:t>
            </w:r>
          </w:p>
        </w:tc>
        <w:tc>
          <w:tcPr>
            <w:tcW w:w="7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
              <w:jc w:val="right"/>
              <w:rPr>
                <w:rFonts w:ascii="宋体" w:hAnsi="宋体" w:cs="宋体" w:eastAsia="宋体" w:hint="default"/>
                <w:sz w:val="18"/>
                <w:szCs w:val="18"/>
              </w:rPr>
            </w:pPr>
            <w:r>
              <w:rPr>
                <w:rFonts w:ascii="宋体"/>
                <w:sz w:val="18"/>
              </w:rPr>
              <w:t>0%</w:t>
            </w:r>
          </w:p>
        </w:tc>
      </w:tr>
      <w:tr>
        <w:trPr>
          <w:trHeight w:val="415" w:hRule="exact"/>
        </w:trPr>
        <w:tc>
          <w:tcPr>
            <w:tcW w:w="1903"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7"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4,451,164.49</w:t>
            </w:r>
          </w:p>
        </w:tc>
        <w:tc>
          <w:tcPr>
            <w:tcW w:w="634"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0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675,446.16</w:t>
            </w:r>
          </w:p>
        </w:tc>
        <w:tc>
          <w:tcPr>
            <w:tcW w:w="794"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342"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26" w:right="0"/>
              <w:jc w:val="left"/>
              <w:rPr>
                <w:rFonts w:ascii="宋体" w:hAnsi="宋体" w:cs="宋体" w:eastAsia="宋体" w:hint="default"/>
                <w:sz w:val="18"/>
                <w:szCs w:val="18"/>
              </w:rPr>
            </w:pPr>
            <w:r>
              <w:rPr>
                <w:rFonts w:ascii="宋体"/>
                <w:sz w:val="18"/>
              </w:rPr>
              <w:t>8,528,536.96</w:t>
            </w:r>
          </w:p>
        </w:tc>
        <w:tc>
          <w:tcPr>
            <w:tcW w:w="642"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640,460.27</w:t>
            </w:r>
          </w:p>
        </w:tc>
        <w:tc>
          <w:tcPr>
            <w:tcW w:w="790" w:type="dxa"/>
            <w:tcBorders>
              <w:top w:val="single" w:sz="6" w:space="0" w:color="000000"/>
              <w:left w:val="single" w:sz="6" w:space="0" w:color="000000"/>
              <w:bottom w:val="single" w:sz="12" w:space="0" w:color="000000"/>
              <w:right w:val="single" w:sz="12" w:space="0" w:color="000000"/>
            </w:tcBorders>
            <w:shd w:val="clear" w:color="auto" w:fill="D3D3D3"/>
          </w:tcPr>
          <w:p>
            <w:pPr>
              <w:pStyle w:val="TableParagraph"/>
              <w:spacing w:line="240" w:lineRule="auto" w:before="51"/>
              <w:ind w:left="7" w:right="0"/>
              <w:jc w:val="center"/>
              <w:rPr>
                <w:rFonts w:ascii="宋体" w:hAnsi="宋体" w:cs="宋体" w:eastAsia="宋体" w:hint="default"/>
                <w:sz w:val="18"/>
                <w:szCs w:val="18"/>
              </w:rPr>
            </w:pPr>
            <w:r>
              <w:rPr>
                <w:rFonts w:ascii="宋体"/>
                <w:sz w:val="18"/>
              </w:rPr>
              <w:t>--</w:t>
            </w:r>
          </w:p>
        </w:tc>
      </w:tr>
    </w:tbl>
    <w:p>
      <w:pPr>
        <w:pStyle w:val="BodyText"/>
        <w:spacing w:line="307" w:lineRule="auto" w:before="26"/>
        <w:ind w:left="574" w:right="322" w:hanging="420"/>
        <w:jc w:val="left"/>
      </w:pPr>
      <w:r>
        <w:rPr/>
        <w:t>其他应收款种类的说明 单项金额重大的判断依据或金额标准：公司单项金额重大的应收款项指单笔金额为</w:t>
      </w:r>
      <w:r>
        <w:rPr>
          <w:spacing w:val="-54"/>
        </w:rPr>
        <w:t> </w:t>
      </w:r>
      <w:r>
        <w:rPr/>
        <w:t>100</w:t>
      </w:r>
      <w:r>
        <w:rPr>
          <w:spacing w:val="-53"/>
        </w:rPr>
        <w:t> </w:t>
      </w:r>
      <w:r>
        <w:rPr/>
        <w:t>万元以上的</w:t>
      </w:r>
    </w:p>
    <w:p>
      <w:pPr>
        <w:pStyle w:val="BodyText"/>
        <w:spacing w:line="254" w:lineRule="exact"/>
        <w:ind w:right="132"/>
        <w:jc w:val="left"/>
      </w:pPr>
      <w:r>
        <w:rPr/>
        <w:t>客户应收账款及单笔金额为</w:t>
      </w:r>
      <w:r>
        <w:rPr>
          <w:spacing w:val="-65"/>
        </w:rPr>
        <w:t> </w:t>
      </w:r>
      <w:r>
        <w:rPr/>
        <w:t>10</w:t>
      </w:r>
      <w:r>
        <w:rPr>
          <w:spacing w:val="-64"/>
        </w:rPr>
        <w:t> </w:t>
      </w:r>
      <w:r>
        <w:rPr/>
        <w:t>万元以上的其他应收款</w:t>
      </w:r>
    </w:p>
    <w:p>
      <w:pPr>
        <w:pStyle w:val="BodyText"/>
        <w:spacing w:line="273" w:lineRule="auto" w:before="75"/>
        <w:ind w:right="338" w:firstLine="420"/>
        <w:jc w:val="both"/>
      </w:pPr>
      <w:r>
        <w:rPr/>
        <w:t>单项金额重大并单项计提坏账准备的计提方法：单独进行减值测试，根据其未来现金流量现值低于 其账面价值的差额，确认减值损失，计提坏账准备</w:t>
      </w:r>
    </w:p>
    <w:p>
      <w:pPr>
        <w:pStyle w:val="BodyText"/>
        <w:spacing w:line="307" w:lineRule="auto" w:before="47"/>
        <w:ind w:left="574" w:right="322"/>
        <w:jc w:val="left"/>
      </w:pPr>
      <w:r>
        <w:rPr/>
        <w:t>单项金额虽不重大但单项计提坏账准备的应收账款： 单项计提坏账准备的理由：有明显特征表明该等应收款项难以收回，期末余额为</w:t>
      </w:r>
      <w:r>
        <w:rPr>
          <w:spacing w:val="-54"/>
        </w:rPr>
        <w:t> </w:t>
      </w:r>
      <w:r>
        <w:rPr/>
        <w:t>100</w:t>
      </w:r>
      <w:r>
        <w:rPr>
          <w:spacing w:val="-53"/>
        </w:rPr>
        <w:t> </w:t>
      </w:r>
      <w:r>
        <w:rPr/>
        <w:t>万元以下的应</w:t>
      </w:r>
    </w:p>
    <w:p>
      <w:pPr>
        <w:pStyle w:val="BodyText"/>
        <w:spacing w:line="254" w:lineRule="exact"/>
        <w:ind w:right="132"/>
        <w:jc w:val="left"/>
      </w:pPr>
      <w:r>
        <w:rPr/>
        <w:t>收款项</w:t>
      </w:r>
    </w:p>
    <w:p>
      <w:pPr>
        <w:pStyle w:val="BodyText"/>
        <w:spacing w:line="273" w:lineRule="auto" w:before="75"/>
        <w:ind w:right="338" w:firstLine="420"/>
        <w:jc w:val="both"/>
      </w:pPr>
      <w:r>
        <w:rPr/>
        <w:t>坏账准备的计提方法：单独进行减值测试，根据其未来现金流量现值低于其账面价值的差额，确认 减值损失，计提坏账准备；经单独测试未减值的应收款项，采用账龄分析法，按应收款项的账龄和规定 的提取比例确认减值损失，计提坏账准备。</w:t>
      </w:r>
    </w:p>
    <w:p>
      <w:pPr>
        <w:spacing w:line="240" w:lineRule="auto" w:before="0"/>
        <w:rPr>
          <w:rFonts w:ascii="宋体" w:hAnsi="宋体" w:cs="宋体" w:eastAsia="宋体" w:hint="default"/>
          <w:sz w:val="20"/>
          <w:szCs w:val="20"/>
        </w:rPr>
      </w:pPr>
    </w:p>
    <w:p>
      <w:pPr>
        <w:pStyle w:val="BodyText"/>
        <w:spacing w:line="240" w:lineRule="auto" w:before="174"/>
        <w:ind w:right="132"/>
        <w:jc w:val="left"/>
      </w:pPr>
      <w:r>
        <w:rPr/>
        <w:t>期末单项金额重大并单项计提坏账准备的其他应收款</w:t>
      </w:r>
    </w:p>
    <w:p>
      <w:pPr>
        <w:spacing w:line="240" w:lineRule="auto" w:before="10"/>
        <w:rPr>
          <w:rFonts w:ascii="宋体" w:hAnsi="宋体" w:cs="宋体" w:eastAsia="宋体" w:hint="default"/>
          <w:sz w:val="14"/>
          <w:szCs w:val="14"/>
        </w:rPr>
      </w:pPr>
    </w:p>
    <w:p>
      <w:pPr>
        <w:pStyle w:val="BodyText"/>
        <w:spacing w:line="408" w:lineRule="auto"/>
        <w:ind w:right="4940"/>
        <w:jc w:val="left"/>
      </w:pPr>
      <w:r>
        <w:rPr/>
        <w:t>□ 适用 √</w:t>
      </w:r>
      <w:r>
        <w:rPr>
          <w:spacing w:val="-2"/>
        </w:rPr>
        <w:t> </w:t>
      </w:r>
      <w:r>
        <w:rPr/>
        <w:t>不适用</w:t>
      </w:r>
      <w:r>
        <w:rPr/>
        <w:t> 组合中，采用账龄分析法计提坏账准备的其他应收款</w:t>
      </w:r>
    </w:p>
    <w:p>
      <w:pPr>
        <w:pStyle w:val="BodyText"/>
        <w:spacing w:line="240" w:lineRule="auto" w:before="46"/>
        <w:ind w:right="132"/>
        <w:jc w:val="left"/>
      </w:pPr>
      <w:r>
        <w:rPr/>
        <w:t>√ 适用 □</w:t>
      </w:r>
      <w:r>
        <w:rPr>
          <w:spacing w:val="-2"/>
        </w:rPr>
        <w:t> </w:t>
      </w:r>
      <w:r>
        <w:rPr/>
        <w:t>不适用</w:t>
      </w:r>
    </w:p>
    <w:p>
      <w:pPr>
        <w:spacing w:line="240" w:lineRule="auto" w:before="11"/>
        <w:rPr>
          <w:rFonts w:ascii="宋体" w:hAnsi="宋体" w:cs="宋体" w:eastAsia="宋体" w:hint="default"/>
          <w:sz w:val="13"/>
          <w:szCs w:val="13"/>
        </w:rPr>
      </w:pPr>
    </w:p>
    <w:p>
      <w:pPr>
        <w:spacing w:before="0"/>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847"/>
        <w:gridCol w:w="1841"/>
        <w:gridCol w:w="659"/>
        <w:gridCol w:w="1447"/>
        <w:gridCol w:w="1450"/>
        <w:gridCol w:w="656"/>
        <w:gridCol w:w="1667"/>
      </w:tblGrid>
      <w:tr>
        <w:trPr>
          <w:trHeight w:val="415" w:hRule="exact"/>
        </w:trPr>
        <w:tc>
          <w:tcPr>
            <w:tcW w:w="1847" w:type="dxa"/>
            <w:vMerge w:val="restart"/>
            <w:tcBorders>
              <w:top w:val="single" w:sz="12" w:space="0" w:color="000000"/>
              <w:left w:val="single" w:sz="12"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6"/>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3" w:type="dxa"/>
            <w:gridSpan w:val="3"/>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7" w:hRule="exact"/>
        </w:trPr>
        <w:tc>
          <w:tcPr>
            <w:tcW w:w="1847" w:type="dxa"/>
            <w:vMerge/>
            <w:tcBorders>
              <w:left w:val="single" w:sz="12" w:space="0" w:color="000000"/>
              <w:right w:val="single" w:sz="6" w:space="0" w:color="000000"/>
            </w:tcBorders>
            <w:shd w:val="clear" w:color="auto" w:fill="D3D3D3"/>
          </w:tcPr>
          <w:p>
            <w:pPr/>
          </w:p>
        </w:tc>
        <w:tc>
          <w:tcPr>
            <w:tcW w:w="2500" w:type="dxa"/>
            <w:gridSpan w:val="2"/>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7" w:type="dxa"/>
            <w:vMerge w:val="restart"/>
            <w:tcBorders>
              <w:top w:val="single" w:sz="6" w:space="0" w:color="000000"/>
              <w:left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6" w:type="dxa"/>
            <w:gridSpan w:val="2"/>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7" w:type="dxa"/>
            <w:vMerge w:val="restart"/>
            <w:tcBorders>
              <w:top w:val="single" w:sz="6" w:space="0" w:color="000000"/>
              <w:left w:val="single" w:sz="6" w:space="0" w:color="000000"/>
              <w:right w:val="single" w:sz="12"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9" w:hRule="exact"/>
        </w:trPr>
        <w:tc>
          <w:tcPr>
            <w:tcW w:w="1847" w:type="dxa"/>
            <w:vMerge/>
            <w:tcBorders>
              <w:left w:val="single" w:sz="12" w:space="0" w:color="000000"/>
              <w:bottom w:val="single" w:sz="6" w:space="0" w:color="000000"/>
              <w:right w:val="single" w:sz="6" w:space="0" w:color="000000"/>
            </w:tcBorders>
            <w:shd w:val="clear" w:color="auto" w:fill="D3D3D3"/>
          </w:tcPr>
          <w:p>
            <w:pPr/>
          </w:p>
        </w:tc>
        <w:tc>
          <w:tcPr>
            <w:tcW w:w="1841"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9" w:lineRule="auto" w:before="51"/>
              <w:ind w:left="187" w:right="139" w:hanging="45"/>
              <w:jc w:val="left"/>
              <w:rPr>
                <w:rFonts w:ascii="宋体" w:hAnsi="宋体" w:cs="宋体" w:eastAsia="宋体" w:hint="default"/>
                <w:sz w:val="18"/>
                <w:szCs w:val="18"/>
              </w:rPr>
            </w:pPr>
            <w:r>
              <w:rPr>
                <w:rFonts w:ascii="宋体" w:hAnsi="宋体" w:cs="宋体" w:eastAsia="宋体" w:hint="default"/>
                <w:sz w:val="18"/>
                <w:szCs w:val="18"/>
              </w:rPr>
              <w:t>比例 (%)</w:t>
            </w:r>
          </w:p>
        </w:tc>
        <w:tc>
          <w:tcPr>
            <w:tcW w:w="1447" w:type="dxa"/>
            <w:vMerge/>
            <w:tcBorders>
              <w:left w:val="single" w:sz="6" w:space="0" w:color="000000"/>
              <w:bottom w:val="single" w:sz="6" w:space="0" w:color="000000"/>
              <w:right w:val="single" w:sz="6" w:space="0" w:color="000000"/>
            </w:tcBorders>
            <w:shd w:val="clear" w:color="auto" w:fill="D3D3D3"/>
          </w:tcPr>
          <w:p>
            <w:pPr/>
          </w:p>
        </w:tc>
        <w:tc>
          <w:tcPr>
            <w:tcW w:w="145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9" w:lineRule="auto" w:before="51"/>
              <w:ind w:left="186" w:right="139"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667" w:type="dxa"/>
            <w:vMerge/>
            <w:tcBorders>
              <w:left w:val="single" w:sz="6" w:space="0" w:color="000000"/>
              <w:bottom w:val="single" w:sz="6" w:space="0" w:color="000000"/>
              <w:right w:val="single" w:sz="12" w:space="0" w:color="000000"/>
            </w:tcBorders>
            <w:shd w:val="clear" w:color="auto" w:fill="D3D3D3"/>
          </w:tcPr>
          <w:p>
            <w:pPr/>
          </w:p>
        </w:tc>
      </w:tr>
      <w:tr>
        <w:trPr>
          <w:trHeight w:val="407" w:hRule="exact"/>
        </w:trPr>
        <w:tc>
          <w:tcPr>
            <w:tcW w:w="9568" w:type="dxa"/>
            <w:gridSpan w:val="7"/>
            <w:tcBorders>
              <w:top w:val="single" w:sz="6" w:space="0" w:color="000000"/>
              <w:left w:val="single" w:sz="12" w:space="0" w:color="000000"/>
              <w:bottom w:val="single" w:sz="6" w:space="0" w:color="000000"/>
              <w:right w:val="single" w:sz="12"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r>
      <w:tr>
        <w:trPr>
          <w:trHeight w:val="406" w:hRule="exact"/>
        </w:trPr>
        <w:tc>
          <w:tcPr>
            <w:tcW w:w="1847"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6" w:space="0" w:color="000000"/>
              <w:left w:val="single" w:sz="6" w:space="0" w:color="000000"/>
              <w:bottom w:val="single" w:sz="6" w:space="0" w:color="000000"/>
              <w:right w:val="single" w:sz="6" w:space="0" w:color="000000"/>
            </w:tcBorders>
            <w:shd w:val="clear" w:color="auto" w:fill="D3D3D3"/>
          </w:tcPr>
          <w:p>
            <w:pPr/>
          </w:p>
        </w:tc>
        <w:tc>
          <w:tcPr>
            <w:tcW w:w="659" w:type="dxa"/>
            <w:tcBorders>
              <w:top w:val="single" w:sz="6" w:space="0" w:color="000000"/>
              <w:left w:val="single" w:sz="6" w:space="0" w:color="000000"/>
              <w:bottom w:val="single" w:sz="6" w:space="0" w:color="000000"/>
              <w:right w:val="single" w:sz="6" w:space="0" w:color="000000"/>
            </w:tcBorders>
            <w:shd w:val="clear" w:color="auto" w:fill="D3D3D3"/>
          </w:tcPr>
          <w:p>
            <w:pPr/>
          </w:p>
        </w:tc>
        <w:tc>
          <w:tcPr>
            <w:tcW w:w="1447" w:type="dxa"/>
            <w:tcBorders>
              <w:top w:val="single" w:sz="6" w:space="0" w:color="000000"/>
              <w:left w:val="single" w:sz="6" w:space="0" w:color="000000"/>
              <w:bottom w:val="single" w:sz="6" w:space="0" w:color="000000"/>
              <w:right w:val="single" w:sz="6" w:space="0" w:color="000000"/>
            </w:tcBorders>
            <w:shd w:val="clear" w:color="auto" w:fill="D3D3D3"/>
          </w:tcPr>
          <w:p>
            <w:pPr/>
          </w:p>
        </w:tc>
        <w:tc>
          <w:tcPr>
            <w:tcW w:w="1450" w:type="dxa"/>
            <w:tcBorders>
              <w:top w:val="single" w:sz="6" w:space="0" w:color="000000"/>
              <w:left w:val="single" w:sz="6" w:space="0" w:color="000000"/>
              <w:bottom w:val="single" w:sz="6" w:space="0" w:color="000000"/>
              <w:right w:val="single" w:sz="6" w:space="0" w:color="000000"/>
            </w:tcBorders>
            <w:shd w:val="clear" w:color="auto" w:fill="D3D3D3"/>
          </w:tcPr>
          <w:p>
            <w:pPr/>
          </w:p>
        </w:tc>
        <w:tc>
          <w:tcPr>
            <w:tcW w:w="656" w:type="dxa"/>
            <w:tcBorders>
              <w:top w:val="single" w:sz="6" w:space="0" w:color="000000"/>
              <w:left w:val="single" w:sz="6" w:space="0" w:color="000000"/>
              <w:bottom w:val="single" w:sz="6" w:space="0" w:color="000000"/>
              <w:right w:val="single" w:sz="6" w:space="0" w:color="000000"/>
            </w:tcBorders>
            <w:shd w:val="clear" w:color="auto" w:fill="D3D3D3"/>
          </w:tcPr>
          <w:p>
            <w:pPr/>
          </w:p>
        </w:tc>
        <w:tc>
          <w:tcPr>
            <w:tcW w:w="1667" w:type="dxa"/>
            <w:tcBorders>
              <w:top w:val="single" w:sz="6" w:space="0" w:color="000000"/>
              <w:left w:val="single" w:sz="6" w:space="0" w:color="000000"/>
              <w:bottom w:val="single" w:sz="6" w:space="0" w:color="000000"/>
              <w:right w:val="single" w:sz="12" w:space="0" w:color="000000"/>
            </w:tcBorders>
            <w:shd w:val="clear" w:color="auto" w:fill="D3D3D3"/>
          </w:tcPr>
          <w:p>
            <w:pPr/>
          </w:p>
        </w:tc>
      </w:tr>
      <w:tr>
        <w:trPr>
          <w:trHeight w:val="408" w:hRule="exact"/>
        </w:trPr>
        <w:tc>
          <w:tcPr>
            <w:tcW w:w="1847" w:type="dxa"/>
            <w:tcBorders>
              <w:top w:val="single" w:sz="6" w:space="0" w:color="000000"/>
              <w:left w:val="single" w:sz="12"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3,411,918.88</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63" w:right="0"/>
              <w:jc w:val="center"/>
              <w:rPr>
                <w:rFonts w:ascii="宋体" w:hAnsi="宋体" w:cs="宋体" w:eastAsia="宋体" w:hint="default"/>
                <w:sz w:val="18"/>
                <w:szCs w:val="18"/>
              </w:rPr>
            </w:pPr>
            <w:r>
              <w:rPr>
                <w:rFonts w:ascii="宋体"/>
                <w:sz w:val="18"/>
              </w:rPr>
              <w:t>76.64%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102,357.57</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7,549,961.06</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88.53%</w:t>
            </w:r>
          </w:p>
        </w:tc>
        <w:tc>
          <w:tcPr>
            <w:tcW w:w="16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226,498.83</w:t>
            </w:r>
          </w:p>
        </w:tc>
      </w:tr>
      <w:tr>
        <w:trPr>
          <w:trHeight w:val="407" w:hRule="exact"/>
        </w:trPr>
        <w:tc>
          <w:tcPr>
            <w:tcW w:w="1847"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3,411,918.88</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63" w:right="0"/>
              <w:jc w:val="center"/>
              <w:rPr>
                <w:rFonts w:ascii="宋体" w:hAnsi="宋体" w:cs="宋体" w:eastAsia="宋体" w:hint="default"/>
                <w:sz w:val="18"/>
                <w:szCs w:val="18"/>
              </w:rPr>
            </w:pPr>
            <w:r>
              <w:rPr>
                <w:rFonts w:ascii="宋体"/>
                <w:sz w:val="18"/>
              </w:rPr>
              <w:t>76.64%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102,357.57</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7,549,961.06</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88.53%</w:t>
            </w:r>
          </w:p>
        </w:tc>
        <w:tc>
          <w:tcPr>
            <w:tcW w:w="16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226,498.83</w:t>
            </w:r>
          </w:p>
        </w:tc>
      </w:tr>
      <w:tr>
        <w:trPr>
          <w:trHeight w:val="407" w:hRule="exact"/>
        </w:trPr>
        <w:tc>
          <w:tcPr>
            <w:tcW w:w="1847"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pacing w:val="33"/>
                <w:sz w:val="18"/>
                <w:szCs w:val="18"/>
              </w:rPr>
              <w:t>1至2年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168,144.71</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53" w:right="0"/>
              <w:jc w:val="center"/>
              <w:rPr>
                <w:rFonts w:ascii="宋体" w:hAnsi="宋体" w:cs="宋体" w:eastAsia="宋体" w:hint="default"/>
                <w:sz w:val="18"/>
                <w:szCs w:val="18"/>
              </w:rPr>
            </w:pPr>
            <w:r>
              <w:rPr>
                <w:rFonts w:ascii="宋体"/>
                <w:sz w:val="18"/>
              </w:rPr>
              <w:t>3.78%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16,814.47</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231,629.76</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2.72%</w:t>
            </w:r>
          </w:p>
        </w:tc>
        <w:tc>
          <w:tcPr>
            <w:tcW w:w="16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23,162.98</w:t>
            </w:r>
          </w:p>
        </w:tc>
      </w:tr>
      <w:tr>
        <w:trPr>
          <w:trHeight w:val="415" w:hRule="exact"/>
        </w:trPr>
        <w:tc>
          <w:tcPr>
            <w:tcW w:w="1847"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pacing w:val="33"/>
                <w:sz w:val="18"/>
                <w:szCs w:val="18"/>
              </w:rPr>
              <w:t>2至3年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8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224,154.76</w:t>
            </w:r>
          </w:p>
        </w:tc>
        <w:tc>
          <w:tcPr>
            <w:tcW w:w="6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153" w:right="0"/>
              <w:jc w:val="center"/>
              <w:rPr>
                <w:rFonts w:ascii="宋体" w:hAnsi="宋体" w:cs="宋体" w:eastAsia="宋体" w:hint="default"/>
                <w:sz w:val="18"/>
                <w:szCs w:val="18"/>
              </w:rPr>
            </w:pPr>
            <w:r>
              <w:rPr>
                <w:rFonts w:ascii="宋体"/>
                <w:sz w:val="18"/>
              </w:rPr>
              <w:t>5.04%</w:t>
            </w:r>
          </w:p>
        </w:tc>
        <w:tc>
          <w:tcPr>
            <w:tcW w:w="14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67,246.43</w:t>
            </w:r>
          </w:p>
        </w:tc>
        <w:tc>
          <w:tcPr>
            <w:tcW w:w="14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101,773.04</w:t>
            </w:r>
          </w:p>
        </w:tc>
        <w:tc>
          <w:tcPr>
            <w:tcW w:w="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1.19%</w:t>
            </w:r>
          </w:p>
        </w:tc>
        <w:tc>
          <w:tcPr>
            <w:tcW w:w="166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30,531.91</w:t>
            </w:r>
          </w:p>
        </w:tc>
      </w:tr>
    </w:tbl>
    <w:p>
      <w:pPr>
        <w:spacing w:after="0" w:line="240" w:lineRule="auto"/>
        <w:jc w:val="right"/>
        <w:rPr>
          <w:rFonts w:ascii="宋体" w:hAnsi="宋体" w:cs="宋体" w:eastAsia="宋体" w:hint="default"/>
          <w:sz w:val="18"/>
          <w:szCs w:val="18"/>
        </w:rPr>
        <w:sectPr>
          <w:pgSz w:w="11910" w:h="16840"/>
          <w:pgMar w:header="0" w:footer="1003" w:top="1100" w:bottom="1200" w:left="980" w:right="98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1847"/>
        <w:gridCol w:w="1841"/>
        <w:gridCol w:w="659"/>
        <w:gridCol w:w="1447"/>
        <w:gridCol w:w="1450"/>
        <w:gridCol w:w="656"/>
        <w:gridCol w:w="1667"/>
      </w:tblGrid>
      <w:tr>
        <w:trPr>
          <w:trHeight w:val="415" w:hRule="exact"/>
        </w:trPr>
        <w:tc>
          <w:tcPr>
            <w:tcW w:w="1847"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84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646,946.14</w:t>
            </w:r>
          </w:p>
        </w:tc>
        <w:tc>
          <w:tcPr>
            <w:tcW w:w="6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14.53%</w:t>
            </w:r>
          </w:p>
        </w:tc>
        <w:tc>
          <w:tcPr>
            <w:tcW w:w="14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489,027.69</w:t>
            </w:r>
          </w:p>
        </w:tc>
        <w:tc>
          <w:tcPr>
            <w:tcW w:w="14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645,173.10</w:t>
            </w:r>
          </w:p>
        </w:tc>
        <w:tc>
          <w:tcPr>
            <w:tcW w:w="6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7.56%</w:t>
            </w:r>
          </w:p>
        </w:tc>
        <w:tc>
          <w:tcPr>
            <w:tcW w:w="166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360,266.55</w:t>
            </w:r>
          </w:p>
        </w:tc>
      </w:tr>
      <w:tr>
        <w:trPr>
          <w:trHeight w:val="407" w:hRule="exact"/>
        </w:trPr>
        <w:tc>
          <w:tcPr>
            <w:tcW w:w="1847"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pacing w:val="33"/>
                <w:sz w:val="18"/>
                <w:szCs w:val="18"/>
              </w:rPr>
              <w:t>3至4年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101,773.04</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2.29%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50,886.52</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456,773.10</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5.35%</w:t>
            </w:r>
          </w:p>
        </w:tc>
        <w:tc>
          <w:tcPr>
            <w:tcW w:w="16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228,386.55</w:t>
            </w:r>
          </w:p>
        </w:tc>
      </w:tr>
      <w:tr>
        <w:trPr>
          <w:trHeight w:val="407" w:hRule="exact"/>
        </w:trPr>
        <w:tc>
          <w:tcPr>
            <w:tcW w:w="1847"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pacing w:val="33"/>
                <w:sz w:val="18"/>
                <w:szCs w:val="18"/>
              </w:rPr>
              <w:t>4至5年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356,773.10</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8.02%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249,741.17</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188,400.00</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2.21%</w:t>
            </w:r>
          </w:p>
        </w:tc>
        <w:tc>
          <w:tcPr>
            <w:tcW w:w="16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131,880.00</w:t>
            </w:r>
          </w:p>
        </w:tc>
      </w:tr>
      <w:tr>
        <w:trPr>
          <w:trHeight w:val="407" w:hRule="exact"/>
        </w:trPr>
        <w:tc>
          <w:tcPr>
            <w:tcW w:w="1847"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188,400.00</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4.23%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188,400.00</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6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0.00</w:t>
            </w:r>
          </w:p>
        </w:tc>
      </w:tr>
      <w:tr>
        <w:trPr>
          <w:trHeight w:val="415" w:hRule="exact"/>
        </w:trPr>
        <w:tc>
          <w:tcPr>
            <w:tcW w:w="1847"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4,451,164.49</w:t>
            </w:r>
          </w:p>
        </w:tc>
        <w:tc>
          <w:tcPr>
            <w:tcW w:w="659"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c>
          <w:tcPr>
            <w:tcW w:w="14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675,446.16</w:t>
            </w:r>
          </w:p>
        </w:tc>
        <w:tc>
          <w:tcPr>
            <w:tcW w:w="14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8,528,536.96</w:t>
            </w:r>
          </w:p>
        </w:tc>
        <w:tc>
          <w:tcPr>
            <w:tcW w:w="656"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66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640,460.27</w:t>
            </w:r>
          </w:p>
        </w:tc>
      </w:tr>
    </w:tbl>
    <w:p>
      <w:pPr>
        <w:pStyle w:val="BodyText"/>
        <w:spacing w:line="240" w:lineRule="auto" w:before="63"/>
        <w:ind w:right="132"/>
        <w:jc w:val="left"/>
      </w:pPr>
      <w:r>
        <w:rPr/>
        <w:t>组合中，采用余额百分比法计提坏账准备的其他应收款</w:t>
      </w:r>
    </w:p>
    <w:p>
      <w:pPr>
        <w:spacing w:line="240" w:lineRule="auto" w:before="10"/>
        <w:rPr>
          <w:rFonts w:ascii="宋体" w:hAnsi="宋体" w:cs="宋体" w:eastAsia="宋体" w:hint="default"/>
          <w:sz w:val="14"/>
          <w:szCs w:val="14"/>
        </w:rPr>
      </w:pPr>
    </w:p>
    <w:p>
      <w:pPr>
        <w:pStyle w:val="BodyText"/>
        <w:spacing w:line="408" w:lineRule="auto"/>
        <w:ind w:right="5150"/>
        <w:jc w:val="left"/>
      </w:pPr>
      <w:r>
        <w:rPr/>
        <w:t>□ 适用 √</w:t>
      </w:r>
      <w:r>
        <w:rPr>
          <w:spacing w:val="-2"/>
        </w:rPr>
        <w:t> </w:t>
      </w:r>
      <w:r>
        <w:rPr/>
        <w:t>不适用</w:t>
      </w:r>
      <w:r>
        <w:rPr/>
        <w:t> 组合中，采用其他方法计提坏账准备的其他应收款</w:t>
      </w:r>
    </w:p>
    <w:p>
      <w:pPr>
        <w:pStyle w:val="BodyText"/>
        <w:spacing w:line="408" w:lineRule="auto" w:before="46"/>
        <w:ind w:right="4520"/>
        <w:jc w:val="left"/>
      </w:pPr>
      <w:r>
        <w:rPr/>
        <w:t>□ 适用 √</w:t>
      </w:r>
      <w:r>
        <w:rPr>
          <w:spacing w:val="-2"/>
        </w:rPr>
        <w:t> </w:t>
      </w:r>
      <w:r>
        <w:rPr/>
        <w:t>不适用</w:t>
      </w:r>
      <w:r>
        <w:rPr/>
        <w:t> 期末单项金额虽不重大但单项计提坏账准备的其他应收款</w:t>
      </w:r>
    </w:p>
    <w:p>
      <w:pPr>
        <w:pStyle w:val="BodyText"/>
        <w:spacing w:line="240" w:lineRule="auto" w:before="46"/>
        <w:ind w:right="132"/>
        <w:jc w:val="left"/>
      </w:pPr>
      <w:r>
        <w:rPr/>
        <w:t>□ 适用 √</w:t>
      </w:r>
      <w:r>
        <w:rPr>
          <w:spacing w:val="-2"/>
        </w:rPr>
        <w:t> </w:t>
      </w:r>
      <w:r>
        <w:rPr/>
        <w:t>不适用</w:t>
      </w:r>
    </w:p>
    <w:p>
      <w:pPr>
        <w:spacing w:line="240" w:lineRule="auto" w:before="0"/>
        <w:rPr>
          <w:rFonts w:ascii="宋体" w:hAnsi="宋体" w:cs="宋体" w:eastAsia="宋体" w:hint="default"/>
          <w:sz w:val="20"/>
          <w:szCs w:val="20"/>
        </w:rPr>
      </w:pPr>
    </w:p>
    <w:p>
      <w:pPr>
        <w:pStyle w:val="Heading4"/>
        <w:spacing w:line="240" w:lineRule="auto" w:before="154"/>
        <w:ind w:right="132"/>
        <w:jc w:val="left"/>
        <w:rPr>
          <w:b w:val="0"/>
          <w:bCs w:val="0"/>
        </w:rPr>
      </w:pPr>
      <w:r>
        <w:rPr/>
        <w:t>（2）本报告期转回或收回的其他应收款情况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3"/>
        <w:ind w:right="132"/>
        <w:jc w:val="left"/>
      </w:pPr>
      <w:r>
        <w:rPr/>
        <w:t>□ 适用 √</w:t>
      </w:r>
      <w:r>
        <w:rPr>
          <w:spacing w:val="-2"/>
        </w:rPr>
        <w:t> </w:t>
      </w:r>
      <w:r>
        <w:rPr/>
        <w:t>不适用</w:t>
      </w:r>
    </w:p>
    <w:p>
      <w:pPr>
        <w:spacing w:line="240" w:lineRule="auto" w:before="0"/>
        <w:rPr>
          <w:rFonts w:ascii="宋体" w:hAnsi="宋体" w:cs="宋体" w:eastAsia="宋体" w:hint="default"/>
          <w:sz w:val="20"/>
          <w:szCs w:val="20"/>
        </w:rPr>
      </w:pPr>
    </w:p>
    <w:p>
      <w:pPr>
        <w:pStyle w:val="Heading4"/>
        <w:spacing w:line="240" w:lineRule="auto" w:before="154"/>
        <w:ind w:right="132"/>
        <w:jc w:val="left"/>
        <w:rPr>
          <w:b w:val="0"/>
          <w:bCs w:val="0"/>
        </w:rPr>
      </w:pPr>
      <w:r>
        <w:rPr/>
        <w:t>（3）本报告期实际核销的其他应收款情况</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32"/>
        <w:jc w:val="left"/>
        <w:rPr>
          <w:b w:val="0"/>
          <w:bCs w:val="0"/>
        </w:rPr>
      </w:pPr>
      <w:r>
        <w:rPr/>
        <w:t>（4）本报告期其他应收款中持有公司</w:t>
      </w:r>
      <w:r>
        <w:rPr>
          <w:spacing w:val="-57"/>
        </w:rPr>
        <w:t> </w:t>
      </w:r>
      <w:r>
        <w:rPr/>
        <w:t>5％（含</w:t>
      </w:r>
      <w:r>
        <w:rPr>
          <w:spacing w:val="-59"/>
        </w:rPr>
        <w:t> </w:t>
      </w:r>
      <w:r>
        <w:rPr/>
        <w:t>5％）以上表决权股份的股东单位情况</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32"/>
        <w:jc w:val="left"/>
        <w:rPr>
          <w:b w:val="0"/>
          <w:bCs w:val="0"/>
        </w:rPr>
      </w:pPr>
      <w:r>
        <w:rPr/>
        <w:t>（5）金额较大的其他应收款的性质或内容</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32"/>
        <w:jc w:val="left"/>
        <w:rPr>
          <w:b w:val="0"/>
          <w:bCs w:val="0"/>
        </w:rPr>
      </w:pPr>
      <w:r>
        <w:rPr/>
        <w:t>（6）其他应收款金额前五名单位情况</w:t>
      </w:r>
      <w:r>
        <w:rPr>
          <w:b w:val="0"/>
          <w:bCs w:val="0"/>
        </w:rPr>
      </w:r>
    </w:p>
    <w:p>
      <w:pPr>
        <w:spacing w:line="240" w:lineRule="auto" w:before="7"/>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915"/>
        <w:gridCol w:w="1914"/>
        <w:gridCol w:w="1914"/>
        <w:gridCol w:w="1630"/>
        <w:gridCol w:w="2198"/>
      </w:tblGrid>
      <w:tr>
        <w:trPr>
          <w:trHeight w:val="415" w:hRule="exact"/>
        </w:trPr>
        <w:tc>
          <w:tcPr>
            <w:tcW w:w="1915"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58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3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198"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占其他应收款总额的比例</w:t>
            </w:r>
          </w:p>
        </w:tc>
      </w:tr>
      <w:tr>
        <w:trPr>
          <w:trHeight w:val="719" w:hRule="exact"/>
        </w:trPr>
        <w:tc>
          <w:tcPr>
            <w:tcW w:w="1915"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13" w:right="77"/>
              <w:jc w:val="left"/>
              <w:rPr>
                <w:rFonts w:ascii="宋体" w:hAnsi="宋体" w:cs="宋体" w:eastAsia="宋体" w:hint="default"/>
                <w:sz w:val="18"/>
                <w:szCs w:val="18"/>
              </w:rPr>
            </w:pPr>
            <w:r>
              <w:rPr>
                <w:rFonts w:ascii="宋体" w:hAnsi="宋体" w:cs="宋体" w:eastAsia="宋体" w:hint="default"/>
                <w:sz w:val="18"/>
                <w:szCs w:val="18"/>
              </w:rPr>
              <w:t>浙江浙电工程招标咨询 有限公司</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810,000.00</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
              <w:jc w:val="right"/>
              <w:rPr>
                <w:rFonts w:ascii="宋体" w:hAnsi="宋体" w:cs="宋体" w:eastAsia="宋体" w:hint="default"/>
                <w:sz w:val="18"/>
                <w:szCs w:val="18"/>
              </w:rPr>
            </w:pPr>
            <w:r>
              <w:rPr>
                <w:rFonts w:ascii="宋体"/>
                <w:sz w:val="18"/>
              </w:rPr>
              <w:t>18.2%</w:t>
            </w:r>
          </w:p>
        </w:tc>
      </w:tr>
      <w:tr>
        <w:trPr>
          <w:trHeight w:val="407" w:hRule="exact"/>
        </w:trPr>
        <w:tc>
          <w:tcPr>
            <w:tcW w:w="19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国网物资有限公司</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459,299.00</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10.32%</w:t>
            </w:r>
          </w:p>
        </w:tc>
      </w:tr>
      <w:tr>
        <w:trPr>
          <w:trHeight w:val="407" w:hRule="exact"/>
        </w:trPr>
        <w:tc>
          <w:tcPr>
            <w:tcW w:w="19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吴宝光</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公司员工</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432,820.61</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1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9.72%</w:t>
            </w:r>
          </w:p>
        </w:tc>
      </w:tr>
      <w:tr>
        <w:trPr>
          <w:trHeight w:val="415" w:hRule="exact"/>
        </w:trPr>
        <w:tc>
          <w:tcPr>
            <w:tcW w:w="191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江苏天源招标有限公司</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400,000.00</w:t>
            </w:r>
          </w:p>
        </w:tc>
        <w:tc>
          <w:tcPr>
            <w:tcW w:w="16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19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8.99%</w:t>
            </w:r>
          </w:p>
        </w:tc>
      </w:tr>
    </w:tbl>
    <w:p>
      <w:pPr>
        <w:spacing w:after="0" w:line="240" w:lineRule="auto"/>
        <w:jc w:val="right"/>
        <w:rPr>
          <w:rFonts w:ascii="宋体" w:hAnsi="宋体" w:cs="宋体" w:eastAsia="宋体" w:hint="default"/>
          <w:sz w:val="18"/>
          <w:szCs w:val="18"/>
        </w:rPr>
        <w:sectPr>
          <w:pgSz w:w="11910" w:h="16840"/>
          <w:pgMar w:header="0" w:footer="1003" w:top="1100" w:bottom="1200" w:left="980" w:right="98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1915"/>
        <w:gridCol w:w="1914"/>
        <w:gridCol w:w="1914"/>
        <w:gridCol w:w="1630"/>
        <w:gridCol w:w="2198"/>
      </w:tblGrid>
      <w:tr>
        <w:trPr>
          <w:trHeight w:val="415" w:hRule="exact"/>
        </w:trPr>
        <w:tc>
          <w:tcPr>
            <w:tcW w:w="191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汪莉</w:t>
            </w:r>
          </w:p>
        </w:tc>
        <w:tc>
          <w:tcPr>
            <w:tcW w:w="19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公司员工</w:t>
            </w:r>
          </w:p>
        </w:tc>
        <w:tc>
          <w:tcPr>
            <w:tcW w:w="19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341,083.03</w:t>
            </w:r>
          </w:p>
        </w:tc>
        <w:tc>
          <w:tcPr>
            <w:tcW w:w="16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19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7.66%</w:t>
            </w:r>
          </w:p>
        </w:tc>
      </w:tr>
      <w:tr>
        <w:trPr>
          <w:trHeight w:val="415" w:hRule="exact"/>
        </w:trPr>
        <w:tc>
          <w:tcPr>
            <w:tcW w:w="1915"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2,443,202.64</w:t>
            </w:r>
          </w:p>
        </w:tc>
        <w:tc>
          <w:tcPr>
            <w:tcW w:w="1630"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219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54.89%</w:t>
            </w:r>
          </w:p>
        </w:tc>
      </w:tr>
    </w:tbl>
    <w:p>
      <w:pPr>
        <w:spacing w:line="240" w:lineRule="auto" w:before="2"/>
        <w:rPr>
          <w:rFonts w:ascii="宋体" w:hAnsi="宋体" w:cs="宋体" w:eastAsia="宋体" w:hint="default"/>
          <w:sz w:val="19"/>
          <w:szCs w:val="19"/>
        </w:rPr>
      </w:pPr>
    </w:p>
    <w:p>
      <w:pPr>
        <w:pStyle w:val="Heading4"/>
        <w:spacing w:line="240" w:lineRule="auto" w:before="35"/>
        <w:ind w:right="132"/>
        <w:jc w:val="left"/>
        <w:rPr>
          <w:b w:val="0"/>
          <w:bCs w:val="0"/>
        </w:rPr>
      </w:pPr>
      <w:r>
        <w:rPr/>
        <w:t>（7）其他应收关联方账款情况</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32"/>
        <w:jc w:val="left"/>
        <w:rPr>
          <w:b w:val="0"/>
          <w:bCs w:val="0"/>
        </w:rPr>
      </w:pPr>
      <w:r>
        <w:rPr/>
        <w:t>（8）终止确认的其他应收款项情况</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32"/>
        <w:jc w:val="left"/>
        <w:rPr>
          <w:b w:val="0"/>
          <w:bCs w:val="0"/>
        </w:rPr>
      </w:pPr>
      <w:r>
        <w:rPr/>
        <w:t>（9）以其他应收款为标的进行证券化的，列示继续涉入形成的资产、负债的金额</w:t>
      </w:r>
      <w:r>
        <w:rPr>
          <w:b w:val="0"/>
          <w:bCs w:val="0"/>
        </w:rPr>
      </w:r>
    </w:p>
    <w:p>
      <w:pPr>
        <w:spacing w:line="240" w:lineRule="auto" w:before="12"/>
        <w:rPr>
          <w:rFonts w:ascii="宋体" w:hAnsi="宋体" w:cs="宋体" w:eastAsia="宋体" w:hint="default"/>
          <w:b/>
          <w:bCs/>
          <w:sz w:val="25"/>
          <w:szCs w:val="25"/>
        </w:rPr>
      </w:pPr>
    </w:p>
    <w:p>
      <w:pPr>
        <w:spacing w:line="532" w:lineRule="auto" w:before="0"/>
        <w:ind w:left="154" w:right="79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8、预付款项</w:t>
      </w:r>
      <w:r>
        <w:rPr>
          <w:rFonts w:ascii="宋体" w:hAnsi="宋体" w:cs="宋体" w:eastAsia="宋体" w:hint="default"/>
          <w:sz w:val="21"/>
          <w:szCs w:val="21"/>
        </w:rPr>
      </w:r>
    </w:p>
    <w:p>
      <w:pPr>
        <w:pStyle w:val="Heading4"/>
        <w:spacing w:line="240" w:lineRule="auto" w:before="83"/>
        <w:ind w:right="132"/>
        <w:jc w:val="left"/>
        <w:rPr>
          <w:b w:val="0"/>
          <w:bCs w:val="0"/>
        </w:rPr>
      </w:pPr>
      <w:r>
        <w:rPr/>
        <w:t>（1）预付款项按账龄列示</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203"/>
        <w:gridCol w:w="3187"/>
        <w:gridCol w:w="1062"/>
        <w:gridCol w:w="3054"/>
        <w:gridCol w:w="1061"/>
      </w:tblGrid>
      <w:tr>
        <w:trPr>
          <w:trHeight w:val="414" w:hRule="exact"/>
        </w:trPr>
        <w:tc>
          <w:tcPr>
            <w:tcW w:w="1203" w:type="dxa"/>
            <w:vMerge w:val="restart"/>
            <w:tcBorders>
              <w:top w:val="single" w:sz="12" w:space="0" w:color="000000"/>
              <w:left w:val="single" w:sz="12" w:space="0" w:color="000000"/>
              <w:right w:val="single" w:sz="6" w:space="0" w:color="000000"/>
            </w:tcBorders>
            <w:shd w:val="clear" w:color="auto" w:fill="D3D3D3"/>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4249" w:type="dxa"/>
            <w:gridSpan w:val="2"/>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5" w:type="dxa"/>
            <w:gridSpan w:val="2"/>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6" w:hRule="exact"/>
        </w:trPr>
        <w:tc>
          <w:tcPr>
            <w:tcW w:w="1203" w:type="dxa"/>
            <w:vMerge/>
            <w:tcBorders>
              <w:left w:val="single" w:sz="12" w:space="0" w:color="000000"/>
              <w:bottom w:val="single" w:sz="6" w:space="0" w:color="000000"/>
              <w:right w:val="single" w:sz="6" w:space="0" w:color="000000"/>
            </w:tcBorders>
            <w:shd w:val="clear" w:color="auto" w:fill="D3D3D3"/>
          </w:tcPr>
          <w:p>
            <w:pPr/>
          </w:p>
        </w:tc>
        <w:tc>
          <w:tcPr>
            <w:tcW w:w="318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34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305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2"/>
              <w:ind w:left="34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8" w:hRule="exact"/>
        </w:trPr>
        <w:tc>
          <w:tcPr>
            <w:tcW w:w="120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7,816,318.78</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98.04%</w:t>
            </w:r>
          </w:p>
        </w:tc>
        <w:tc>
          <w:tcPr>
            <w:tcW w:w="3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13,887,508.67</w:t>
            </w:r>
          </w:p>
        </w:tc>
        <w:tc>
          <w:tcPr>
            <w:tcW w:w="10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95%</w:t>
            </w:r>
          </w:p>
        </w:tc>
      </w:tr>
      <w:tr>
        <w:trPr>
          <w:trHeight w:val="407" w:hRule="exact"/>
        </w:trPr>
        <w:tc>
          <w:tcPr>
            <w:tcW w:w="120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pacing w:val="33"/>
                <w:sz w:val="18"/>
                <w:szCs w:val="18"/>
              </w:rPr>
              <w:t>1至2年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3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74,715.00</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0.94%</w:t>
            </w:r>
          </w:p>
        </w:tc>
        <w:tc>
          <w:tcPr>
            <w:tcW w:w="3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731,000.00</w:t>
            </w:r>
          </w:p>
        </w:tc>
        <w:tc>
          <w:tcPr>
            <w:tcW w:w="10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w:t>
            </w:r>
          </w:p>
        </w:tc>
      </w:tr>
      <w:tr>
        <w:trPr>
          <w:trHeight w:val="407" w:hRule="exact"/>
        </w:trPr>
        <w:tc>
          <w:tcPr>
            <w:tcW w:w="120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pacing w:val="33"/>
                <w:sz w:val="18"/>
                <w:szCs w:val="18"/>
              </w:rPr>
              <w:t>2至3年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3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81,000.00</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1.02%</w:t>
            </w:r>
          </w:p>
        </w:tc>
        <w:tc>
          <w:tcPr>
            <w:tcW w:w="3054"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203"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7,972,033.78</w:t>
            </w:r>
          </w:p>
        </w:tc>
        <w:tc>
          <w:tcPr>
            <w:tcW w:w="1062"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30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14,618,508.67</w:t>
            </w:r>
          </w:p>
        </w:tc>
        <w:tc>
          <w:tcPr>
            <w:tcW w:w="1061" w:type="dxa"/>
            <w:tcBorders>
              <w:top w:val="single" w:sz="6" w:space="0" w:color="000000"/>
              <w:left w:val="single" w:sz="6" w:space="0" w:color="000000"/>
              <w:bottom w:val="single" w:sz="12" w:space="0" w:color="000000"/>
              <w:right w:val="single" w:sz="12"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sz w:val="18"/>
              </w:rPr>
              <w:t>--</w:t>
            </w:r>
          </w:p>
        </w:tc>
      </w:tr>
    </w:tbl>
    <w:p>
      <w:pPr>
        <w:pStyle w:val="BodyText"/>
        <w:spacing w:line="240" w:lineRule="auto" w:before="26"/>
        <w:ind w:right="132"/>
        <w:jc w:val="left"/>
      </w:pPr>
      <w:r>
        <w:rPr/>
        <w:t>预付款项账龄的说明</w:t>
      </w:r>
    </w:p>
    <w:p>
      <w:pPr>
        <w:spacing w:line="240" w:lineRule="auto" w:before="10"/>
        <w:rPr>
          <w:rFonts w:ascii="宋体" w:hAnsi="宋体" w:cs="宋体" w:eastAsia="宋体" w:hint="default"/>
          <w:sz w:val="25"/>
          <w:szCs w:val="25"/>
        </w:rPr>
      </w:pPr>
    </w:p>
    <w:p>
      <w:pPr>
        <w:pStyle w:val="Heading4"/>
        <w:spacing w:line="240" w:lineRule="auto"/>
        <w:ind w:right="132"/>
        <w:jc w:val="left"/>
        <w:rPr>
          <w:b w:val="0"/>
          <w:bCs w:val="0"/>
        </w:rPr>
      </w:pPr>
      <w:r>
        <w:rPr/>
        <w:t>（2）预付款项金额前五名单位情况</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836"/>
        <w:gridCol w:w="1417"/>
        <w:gridCol w:w="1489"/>
        <w:gridCol w:w="1914"/>
        <w:gridCol w:w="1913"/>
      </w:tblGrid>
      <w:tr>
        <w:trPr>
          <w:trHeight w:val="413" w:hRule="exact"/>
        </w:trPr>
        <w:tc>
          <w:tcPr>
            <w:tcW w:w="2836"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7"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489"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时间</w:t>
            </w:r>
          </w:p>
        </w:tc>
        <w:tc>
          <w:tcPr>
            <w:tcW w:w="1913"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8" w:hRule="exact"/>
        </w:trPr>
        <w:tc>
          <w:tcPr>
            <w:tcW w:w="28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江苏省江南建筑技术发展总公司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1,800,000.00</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7" w:hRule="exact"/>
        </w:trPr>
        <w:tc>
          <w:tcPr>
            <w:tcW w:w="28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南京金城建筑安装工程有限公司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1,500,000.00</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7" w:hRule="exact"/>
        </w:trPr>
        <w:tc>
          <w:tcPr>
            <w:tcW w:w="28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东南大学</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1,000,000.00</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业务未完结</w:t>
            </w:r>
          </w:p>
        </w:tc>
      </w:tr>
      <w:tr>
        <w:trPr>
          <w:trHeight w:val="407" w:hRule="exact"/>
        </w:trPr>
        <w:tc>
          <w:tcPr>
            <w:tcW w:w="28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北京世纪华丰电力投资有限公司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600,000.00</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业务未完结</w:t>
            </w:r>
          </w:p>
        </w:tc>
      </w:tr>
      <w:tr>
        <w:trPr>
          <w:trHeight w:val="407" w:hRule="exact"/>
        </w:trPr>
        <w:tc>
          <w:tcPr>
            <w:tcW w:w="28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江苏省电力公司南京供电公司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197,969.47</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业务未完结</w:t>
            </w:r>
          </w:p>
        </w:tc>
      </w:tr>
      <w:tr>
        <w:trPr>
          <w:trHeight w:val="415" w:hRule="exact"/>
        </w:trPr>
        <w:tc>
          <w:tcPr>
            <w:tcW w:w="2836"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4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5,097,969.47</w:t>
            </w:r>
          </w:p>
        </w:tc>
        <w:tc>
          <w:tcPr>
            <w:tcW w:w="1914"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913" w:type="dxa"/>
            <w:tcBorders>
              <w:top w:val="single" w:sz="6" w:space="0" w:color="000000"/>
              <w:left w:val="single" w:sz="6" w:space="0" w:color="000000"/>
              <w:bottom w:val="single" w:sz="12" w:space="0" w:color="000000"/>
              <w:right w:val="single" w:sz="12" w:space="0" w:color="000000"/>
            </w:tcBorders>
            <w:shd w:val="clear" w:color="auto" w:fill="D3D3D3"/>
          </w:tcPr>
          <w:p>
            <w:pPr>
              <w:pStyle w:val="TableParagraph"/>
              <w:spacing w:line="240" w:lineRule="auto" w:before="52"/>
              <w:ind w:left="7"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0" w:footer="1003" w:top="1100" w:bottom="120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132"/>
        <w:jc w:val="left"/>
        <w:rPr>
          <w:b w:val="0"/>
          <w:bCs w:val="0"/>
        </w:rPr>
      </w:pPr>
      <w:r>
        <w:rPr/>
        <w:t>（3）本报告期预付款项中持有本公司</w:t>
      </w:r>
      <w:r>
        <w:rPr>
          <w:spacing w:val="-57"/>
        </w:rPr>
        <w:t> </w:t>
      </w:r>
      <w:r>
        <w:rPr/>
        <w:t>5％（含</w:t>
      </w:r>
      <w:r>
        <w:rPr>
          <w:spacing w:val="-59"/>
        </w:rPr>
        <w:t> </w:t>
      </w:r>
      <w:r>
        <w:rPr/>
        <w:t>5％）以上表决权股份的股东单位情况</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32"/>
        <w:jc w:val="left"/>
        <w:rPr>
          <w:b w:val="0"/>
          <w:bCs w:val="0"/>
        </w:rPr>
      </w:pPr>
      <w:r>
        <w:rPr/>
        <w:t>（4）预付款项的说明</w:t>
      </w:r>
      <w:r>
        <w:rPr>
          <w:b w:val="0"/>
          <w:bCs w:val="0"/>
        </w:rPr>
      </w:r>
    </w:p>
    <w:p>
      <w:pPr>
        <w:spacing w:line="240" w:lineRule="auto" w:before="5"/>
        <w:rPr>
          <w:rFonts w:ascii="宋体" w:hAnsi="宋体" w:cs="宋体" w:eastAsia="宋体" w:hint="default"/>
          <w:b/>
          <w:bCs/>
          <w:sz w:val="27"/>
          <w:szCs w:val="27"/>
        </w:rPr>
      </w:pPr>
    </w:p>
    <w:p>
      <w:pPr>
        <w:pStyle w:val="BodyText"/>
        <w:spacing w:line="273" w:lineRule="auto"/>
        <w:ind w:left="174" w:right="415" w:firstLine="420"/>
        <w:jc w:val="left"/>
      </w:pPr>
      <w:r>
        <w:rPr/>
        <w:t>预付账款年末数比年初数减少6,646,474.89元，下降比例为</w:t>
      </w:r>
      <w:r>
        <w:rPr>
          <w:spacing w:val="-10"/>
        </w:rPr>
        <w:t> </w:t>
      </w:r>
      <w:r>
        <w:rPr/>
        <w:t>45.47%，减少原因为：上年预付款项</w:t>
      </w:r>
      <w:r>
        <w:rPr/>
        <w:t> 已完结。</w:t>
      </w:r>
    </w:p>
    <w:p>
      <w:pPr>
        <w:spacing w:line="240" w:lineRule="auto" w:before="1"/>
        <w:rPr>
          <w:rFonts w:ascii="宋体" w:hAnsi="宋体" w:cs="宋体" w:eastAsia="宋体" w:hint="default"/>
          <w:sz w:val="25"/>
          <w:szCs w:val="25"/>
        </w:rPr>
      </w:pPr>
    </w:p>
    <w:p>
      <w:pPr>
        <w:pStyle w:val="Heading4"/>
        <w:spacing w:line="240" w:lineRule="auto"/>
        <w:ind w:right="132"/>
        <w:jc w:val="left"/>
        <w:rPr>
          <w:b w:val="0"/>
          <w:bCs w:val="0"/>
        </w:rPr>
      </w:pPr>
      <w:r>
        <w:rPr/>
        <w:t>9、存货</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32"/>
        <w:jc w:val="left"/>
        <w:rPr>
          <w:b w:val="0"/>
          <w:bCs w:val="0"/>
        </w:rPr>
      </w:pPr>
      <w:r>
        <w:rPr/>
        <w:t>（1）存货分类</w:t>
      </w:r>
      <w:r>
        <w:rPr>
          <w:b w:val="0"/>
          <w:bCs w:val="0"/>
        </w:rPr>
      </w:r>
    </w:p>
    <w:p>
      <w:pPr>
        <w:spacing w:line="240" w:lineRule="auto" w:before="11"/>
        <w:rPr>
          <w:rFonts w:ascii="宋体" w:hAnsi="宋体" w:cs="宋体" w:eastAsia="宋体" w:hint="default"/>
          <w:b/>
          <w:bCs/>
          <w:sz w:val="27"/>
          <w:szCs w:val="27"/>
        </w:rPr>
      </w:pPr>
    </w:p>
    <w:p>
      <w:pPr>
        <w:spacing w:before="0"/>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599"/>
        <w:gridCol w:w="1460"/>
        <w:gridCol w:w="1194"/>
        <w:gridCol w:w="1330"/>
        <w:gridCol w:w="1327"/>
        <w:gridCol w:w="1330"/>
        <w:gridCol w:w="1328"/>
      </w:tblGrid>
      <w:tr>
        <w:trPr>
          <w:trHeight w:val="415" w:hRule="exact"/>
        </w:trPr>
        <w:tc>
          <w:tcPr>
            <w:tcW w:w="1599" w:type="dxa"/>
            <w:vMerge w:val="restart"/>
            <w:tcBorders>
              <w:top w:val="single" w:sz="12" w:space="0" w:color="000000"/>
              <w:left w:val="single" w:sz="12" w:space="0" w:color="000000"/>
              <w:right w:val="single" w:sz="6"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7" w:hRule="exact"/>
        </w:trPr>
        <w:tc>
          <w:tcPr>
            <w:tcW w:w="1599" w:type="dxa"/>
            <w:vMerge/>
            <w:tcBorders>
              <w:left w:val="single" w:sz="12" w:space="0" w:color="000000"/>
              <w:bottom w:val="single" w:sz="6" w:space="0" w:color="000000"/>
              <w:right w:val="single" w:sz="6" w:space="0" w:color="000000"/>
            </w:tcBorders>
            <w:shd w:val="clear" w:color="auto" w:fill="D3D3D3"/>
          </w:tcPr>
          <w:p>
            <w:pPr/>
          </w:p>
        </w:tc>
        <w:tc>
          <w:tcPr>
            <w:tcW w:w="146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2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29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7" w:hRule="exact"/>
        </w:trPr>
        <w:tc>
          <w:tcPr>
            <w:tcW w:w="159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6,061,454.03</w:t>
            </w:r>
          </w:p>
        </w:tc>
        <w:tc>
          <w:tcPr>
            <w:tcW w:w="1194"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6,061,454.03</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4,385,130.25</w:t>
            </w:r>
          </w:p>
        </w:tc>
        <w:tc>
          <w:tcPr>
            <w:tcW w:w="1330" w:type="dxa"/>
            <w:tcBorders>
              <w:top w:val="single" w:sz="6" w:space="0" w:color="000000"/>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4,385,130.25</w:t>
            </w:r>
          </w:p>
        </w:tc>
      </w:tr>
      <w:tr>
        <w:trPr>
          <w:trHeight w:val="407" w:hRule="exact"/>
        </w:trPr>
        <w:tc>
          <w:tcPr>
            <w:tcW w:w="159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8,683,764.62</w:t>
            </w:r>
          </w:p>
        </w:tc>
        <w:tc>
          <w:tcPr>
            <w:tcW w:w="1194"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8,683,764.62</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7,801,162.22</w:t>
            </w:r>
          </w:p>
        </w:tc>
        <w:tc>
          <w:tcPr>
            <w:tcW w:w="1330" w:type="dxa"/>
            <w:tcBorders>
              <w:top w:val="single" w:sz="6" w:space="0" w:color="000000"/>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7,801,162.22</w:t>
            </w:r>
          </w:p>
        </w:tc>
      </w:tr>
      <w:tr>
        <w:trPr>
          <w:trHeight w:val="407" w:hRule="exact"/>
        </w:trPr>
        <w:tc>
          <w:tcPr>
            <w:tcW w:w="159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23,412,709.86</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59" w:right="0"/>
              <w:jc w:val="left"/>
              <w:rPr>
                <w:rFonts w:ascii="宋体" w:hAnsi="宋体" w:cs="宋体" w:eastAsia="宋体" w:hint="default"/>
                <w:sz w:val="18"/>
                <w:szCs w:val="18"/>
              </w:rPr>
            </w:pPr>
            <w:r>
              <w:rPr>
                <w:rFonts w:ascii="宋体"/>
                <w:sz w:val="18"/>
              </w:rPr>
              <w:t>124,377.49</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23,288,332.37</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24,192,035.69</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677,161.63</w:t>
            </w:r>
          </w:p>
        </w:tc>
        <w:tc>
          <w:tcPr>
            <w:tcW w:w="13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23,514,874.06</w:t>
            </w:r>
          </w:p>
        </w:tc>
      </w:tr>
      <w:tr>
        <w:trPr>
          <w:trHeight w:val="407" w:hRule="exact"/>
        </w:trPr>
        <w:tc>
          <w:tcPr>
            <w:tcW w:w="159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0.00</w:t>
            </w:r>
          </w:p>
        </w:tc>
        <w:tc>
          <w:tcPr>
            <w:tcW w:w="1194"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59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0.00</w:t>
            </w:r>
          </w:p>
        </w:tc>
        <w:tc>
          <w:tcPr>
            <w:tcW w:w="1194"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599"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38,157,928.51</w:t>
            </w:r>
          </w:p>
        </w:tc>
        <w:tc>
          <w:tcPr>
            <w:tcW w:w="1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sz w:val="18"/>
              </w:rPr>
              <w:t>124,377.49</w:t>
            </w: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38,033,551.02</w:t>
            </w:r>
          </w:p>
        </w:tc>
        <w:tc>
          <w:tcPr>
            <w:tcW w:w="13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36,378,328.16</w:t>
            </w: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677,161.63</w:t>
            </w:r>
          </w:p>
        </w:tc>
        <w:tc>
          <w:tcPr>
            <w:tcW w:w="132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35,701,166.53</w:t>
            </w:r>
          </w:p>
        </w:tc>
      </w:tr>
    </w:tbl>
    <w:p>
      <w:pPr>
        <w:spacing w:line="240" w:lineRule="auto" w:before="2"/>
        <w:rPr>
          <w:rFonts w:ascii="宋体" w:hAnsi="宋体" w:cs="宋体" w:eastAsia="宋体" w:hint="default"/>
          <w:sz w:val="19"/>
          <w:szCs w:val="19"/>
        </w:rPr>
      </w:pPr>
    </w:p>
    <w:p>
      <w:pPr>
        <w:pStyle w:val="Heading4"/>
        <w:spacing w:line="240" w:lineRule="auto" w:before="35"/>
        <w:ind w:right="132"/>
        <w:jc w:val="left"/>
        <w:rPr>
          <w:b w:val="0"/>
          <w:bCs w:val="0"/>
        </w:rPr>
      </w:pPr>
      <w:r>
        <w:rPr/>
        <w:t>（2）存货跌价准备</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738"/>
        <w:gridCol w:w="1615"/>
        <w:gridCol w:w="1615"/>
        <w:gridCol w:w="1414"/>
        <w:gridCol w:w="1430"/>
        <w:gridCol w:w="1755"/>
      </w:tblGrid>
      <w:tr>
        <w:trPr>
          <w:trHeight w:val="415" w:hRule="exact"/>
        </w:trPr>
        <w:tc>
          <w:tcPr>
            <w:tcW w:w="1738" w:type="dxa"/>
            <w:vMerge w:val="restart"/>
            <w:tcBorders>
              <w:top w:val="single" w:sz="12" w:space="0" w:color="000000"/>
              <w:left w:val="single" w:sz="12" w:space="0" w:color="000000"/>
              <w:right w:val="single" w:sz="6"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5" w:type="dxa"/>
            <w:vMerge w:val="restart"/>
            <w:tcBorders>
              <w:top w:val="single" w:sz="12" w:space="0" w:color="000000"/>
              <w:left w:val="single" w:sz="6" w:space="0" w:color="000000"/>
              <w:right w:val="single" w:sz="6"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single" w:sz="12" w:space="0" w:color="000000"/>
              <w:left w:val="single" w:sz="6" w:space="0" w:color="000000"/>
              <w:right w:val="single" w:sz="6"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4" w:type="dxa"/>
            <w:gridSpan w:val="2"/>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5" w:type="dxa"/>
            <w:vMerge w:val="restart"/>
            <w:tcBorders>
              <w:top w:val="single" w:sz="12" w:space="0" w:color="000000"/>
              <w:left w:val="single" w:sz="6" w:space="0" w:color="000000"/>
              <w:right w:val="single" w:sz="12"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7" w:hRule="exact"/>
        </w:trPr>
        <w:tc>
          <w:tcPr>
            <w:tcW w:w="1738" w:type="dxa"/>
            <w:vMerge/>
            <w:tcBorders>
              <w:left w:val="single" w:sz="12" w:space="0" w:color="000000"/>
              <w:bottom w:val="single" w:sz="6" w:space="0" w:color="000000"/>
              <w:right w:val="single" w:sz="6" w:space="0" w:color="000000"/>
            </w:tcBorders>
            <w:shd w:val="clear" w:color="auto" w:fill="D3D3D3"/>
          </w:tcPr>
          <w:p>
            <w:pPr/>
          </w:p>
        </w:tc>
        <w:tc>
          <w:tcPr>
            <w:tcW w:w="1615" w:type="dxa"/>
            <w:vMerge/>
            <w:tcBorders>
              <w:left w:val="single" w:sz="6" w:space="0" w:color="000000"/>
              <w:bottom w:val="single" w:sz="6" w:space="0" w:color="000000"/>
              <w:right w:val="single" w:sz="6" w:space="0" w:color="000000"/>
            </w:tcBorders>
            <w:shd w:val="clear" w:color="auto" w:fill="D3D3D3"/>
          </w:tcPr>
          <w:p>
            <w:pPr/>
          </w:p>
        </w:tc>
        <w:tc>
          <w:tcPr>
            <w:tcW w:w="1615" w:type="dxa"/>
            <w:vMerge/>
            <w:tcBorders>
              <w:left w:val="single" w:sz="6" w:space="0" w:color="000000"/>
              <w:bottom w:val="single" w:sz="6" w:space="0" w:color="000000"/>
              <w:right w:val="single" w:sz="6" w:space="0" w:color="000000"/>
            </w:tcBorders>
            <w:shd w:val="clear" w:color="auto" w:fill="D3D3D3"/>
          </w:tcPr>
          <w:p>
            <w:pPr/>
          </w:p>
        </w:tc>
        <w:tc>
          <w:tcPr>
            <w:tcW w:w="141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143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527"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755" w:type="dxa"/>
            <w:vMerge/>
            <w:tcBorders>
              <w:left w:val="single" w:sz="6" w:space="0" w:color="000000"/>
              <w:bottom w:val="single" w:sz="6" w:space="0" w:color="000000"/>
              <w:right w:val="single" w:sz="12" w:space="0" w:color="000000"/>
            </w:tcBorders>
            <w:shd w:val="clear" w:color="auto" w:fill="D3D3D3"/>
          </w:tcPr>
          <w:p>
            <w:pPr/>
          </w:p>
        </w:tc>
      </w:tr>
      <w:tr>
        <w:trPr>
          <w:trHeight w:val="407" w:hRule="exact"/>
        </w:trPr>
        <w:tc>
          <w:tcPr>
            <w:tcW w:w="173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677,161.63</w:t>
            </w:r>
          </w:p>
        </w:tc>
        <w:tc>
          <w:tcPr>
            <w:tcW w:w="1615"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77" w:right="0"/>
              <w:jc w:val="left"/>
              <w:rPr>
                <w:rFonts w:ascii="宋体" w:hAnsi="宋体" w:cs="宋体" w:eastAsia="宋体" w:hint="default"/>
                <w:sz w:val="18"/>
                <w:szCs w:val="18"/>
              </w:rPr>
            </w:pPr>
            <w:r>
              <w:rPr>
                <w:rFonts w:ascii="宋体"/>
                <w:sz w:val="18"/>
              </w:rPr>
              <w:t>339,035.74</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95" w:right="0"/>
              <w:jc w:val="left"/>
              <w:rPr>
                <w:rFonts w:ascii="宋体" w:hAnsi="宋体" w:cs="宋体" w:eastAsia="宋体" w:hint="default"/>
                <w:sz w:val="18"/>
                <w:szCs w:val="18"/>
              </w:rPr>
            </w:pPr>
            <w:r>
              <w:rPr>
                <w:rFonts w:ascii="宋体"/>
                <w:sz w:val="18"/>
              </w:rPr>
              <w:t>213,748.40</w:t>
            </w:r>
          </w:p>
        </w:tc>
        <w:tc>
          <w:tcPr>
            <w:tcW w:w="17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124,377.49</w:t>
            </w:r>
          </w:p>
        </w:tc>
      </w:tr>
      <w:tr>
        <w:trPr>
          <w:trHeight w:val="415" w:hRule="exact"/>
        </w:trPr>
        <w:tc>
          <w:tcPr>
            <w:tcW w:w="1738"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677,161.63</w:t>
            </w:r>
          </w:p>
        </w:tc>
        <w:tc>
          <w:tcPr>
            <w:tcW w:w="1615" w:type="dxa"/>
            <w:tcBorders>
              <w:top w:val="single" w:sz="6" w:space="0" w:color="000000"/>
              <w:left w:val="single" w:sz="6" w:space="0" w:color="000000"/>
              <w:bottom w:val="single" w:sz="12" w:space="0" w:color="000000"/>
              <w:right w:val="single" w:sz="6" w:space="0" w:color="000000"/>
            </w:tcBorders>
          </w:tcPr>
          <w:p>
            <w:pPr/>
          </w:p>
        </w:tc>
        <w:tc>
          <w:tcPr>
            <w:tcW w:w="14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477" w:right="0"/>
              <w:jc w:val="left"/>
              <w:rPr>
                <w:rFonts w:ascii="宋体" w:hAnsi="宋体" w:cs="宋体" w:eastAsia="宋体" w:hint="default"/>
                <w:sz w:val="18"/>
                <w:szCs w:val="18"/>
              </w:rPr>
            </w:pPr>
            <w:r>
              <w:rPr>
                <w:rFonts w:ascii="宋体"/>
                <w:sz w:val="18"/>
              </w:rPr>
              <w:t>339,035.74</w:t>
            </w:r>
          </w:p>
        </w:tc>
        <w:tc>
          <w:tcPr>
            <w:tcW w:w="14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495" w:right="0"/>
              <w:jc w:val="left"/>
              <w:rPr>
                <w:rFonts w:ascii="宋体" w:hAnsi="宋体" w:cs="宋体" w:eastAsia="宋体" w:hint="default"/>
                <w:sz w:val="18"/>
                <w:szCs w:val="18"/>
              </w:rPr>
            </w:pPr>
            <w:r>
              <w:rPr>
                <w:rFonts w:ascii="宋体"/>
                <w:sz w:val="18"/>
              </w:rPr>
              <w:t>213,748.40</w:t>
            </w:r>
          </w:p>
        </w:tc>
        <w:tc>
          <w:tcPr>
            <w:tcW w:w="175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124,377.49</w:t>
            </w:r>
          </w:p>
        </w:tc>
      </w:tr>
    </w:tbl>
    <w:p>
      <w:pPr>
        <w:spacing w:line="240" w:lineRule="auto" w:before="2"/>
        <w:rPr>
          <w:rFonts w:ascii="宋体" w:hAnsi="宋体" w:cs="宋体" w:eastAsia="宋体" w:hint="default"/>
          <w:sz w:val="19"/>
          <w:szCs w:val="19"/>
        </w:rPr>
      </w:pPr>
    </w:p>
    <w:p>
      <w:pPr>
        <w:pStyle w:val="Heading4"/>
        <w:spacing w:line="240" w:lineRule="auto" w:before="35"/>
        <w:ind w:right="132"/>
        <w:jc w:val="left"/>
        <w:rPr>
          <w:b w:val="0"/>
          <w:bCs w:val="0"/>
        </w:rPr>
      </w:pPr>
      <w:r>
        <w:rPr/>
        <w:t>（3）存货跌价准备情况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38" w:type="dxa"/>
        <w:tblLayout w:type="fixed"/>
        <w:tblCellMar>
          <w:top w:w="0" w:type="dxa"/>
          <w:left w:w="0" w:type="dxa"/>
          <w:bottom w:w="0" w:type="dxa"/>
          <w:right w:w="0" w:type="dxa"/>
        </w:tblCellMar>
        <w:tblLook w:val="01E0"/>
      </w:tblPr>
      <w:tblGrid>
        <w:gridCol w:w="2392"/>
        <w:gridCol w:w="2393"/>
        <w:gridCol w:w="2392"/>
        <w:gridCol w:w="2391"/>
      </w:tblGrid>
      <w:tr>
        <w:trPr>
          <w:trHeight w:val="171" w:hRule="exact"/>
        </w:trPr>
        <w:tc>
          <w:tcPr>
            <w:tcW w:w="2392" w:type="dxa"/>
            <w:tcBorders>
              <w:top w:val="single" w:sz="12" w:space="0" w:color="000000"/>
              <w:left w:val="single" w:sz="12" w:space="0" w:color="000000"/>
              <w:bottom w:val="nil" w:sz="6" w:space="0" w:color="auto"/>
              <w:right w:val="single" w:sz="6" w:space="0" w:color="000000"/>
            </w:tcBorders>
            <w:shd w:val="clear" w:color="auto" w:fill="D3D3D3"/>
          </w:tcPr>
          <w:p>
            <w:pPr/>
          </w:p>
        </w:tc>
        <w:tc>
          <w:tcPr>
            <w:tcW w:w="2393" w:type="dxa"/>
            <w:tcBorders>
              <w:top w:val="single" w:sz="12" w:space="0" w:color="000000"/>
              <w:left w:val="single" w:sz="6" w:space="0" w:color="000000"/>
              <w:bottom w:val="nil" w:sz="6" w:space="0" w:color="auto"/>
              <w:right w:val="single" w:sz="6" w:space="0" w:color="000000"/>
            </w:tcBorders>
            <w:shd w:val="clear" w:color="auto" w:fill="D3D3D3"/>
          </w:tcPr>
          <w:p>
            <w:pPr/>
          </w:p>
        </w:tc>
        <w:tc>
          <w:tcPr>
            <w:tcW w:w="2392" w:type="dxa"/>
            <w:vMerge w:val="restart"/>
            <w:tcBorders>
              <w:top w:val="single" w:sz="12" w:space="0" w:color="000000"/>
              <w:left w:val="single" w:sz="6" w:space="0" w:color="000000"/>
              <w:right w:val="single" w:sz="6" w:space="0" w:color="000000"/>
            </w:tcBorders>
            <w:shd w:val="clear" w:color="auto" w:fill="D3D3D3"/>
          </w:tcPr>
          <w:p>
            <w:pPr>
              <w:pStyle w:val="TableParagraph"/>
              <w:spacing w:line="319" w:lineRule="auto" w:before="51"/>
              <w:ind w:left="1097" w:right="107" w:hanging="990"/>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91" w:type="dxa"/>
            <w:vMerge w:val="restart"/>
            <w:tcBorders>
              <w:top w:val="single" w:sz="12" w:space="0" w:color="000000"/>
              <w:left w:val="single" w:sz="6" w:space="0" w:color="000000"/>
              <w:right w:val="single" w:sz="12" w:space="0" w:color="000000"/>
            </w:tcBorders>
            <w:shd w:val="clear" w:color="auto" w:fill="D3D3D3"/>
          </w:tcPr>
          <w:p>
            <w:pPr>
              <w:pStyle w:val="TableParagraph"/>
              <w:spacing w:line="319" w:lineRule="auto" w:before="51"/>
              <w:ind w:left="423" w:right="98" w:hanging="31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p>
        </w:tc>
      </w:tr>
      <w:tr>
        <w:trPr>
          <w:trHeight w:val="392" w:hRule="exact"/>
        </w:trPr>
        <w:tc>
          <w:tcPr>
            <w:tcW w:w="2392" w:type="dxa"/>
            <w:tcBorders>
              <w:top w:val="nil" w:sz="6" w:space="0" w:color="auto"/>
              <w:left w:val="single" w:sz="12" w:space="0" w:color="000000"/>
              <w:bottom w:val="nil" w:sz="6" w:space="0" w:color="auto"/>
              <w:right w:val="single" w:sz="6"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nil" w:sz="6" w:space="0" w:color="auto"/>
              <w:left w:val="single" w:sz="6" w:space="0" w:color="000000"/>
              <w:bottom w:val="nil" w:sz="6" w:space="0" w:color="auto"/>
              <w:right w:val="single" w:sz="6" w:space="0" w:color="000000"/>
            </w:tcBorders>
            <w:shd w:val="clear" w:color="auto" w:fill="D3D3D3"/>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2" w:type="dxa"/>
            <w:vMerge/>
            <w:tcBorders>
              <w:left w:val="single" w:sz="6" w:space="0" w:color="000000"/>
              <w:right w:val="single" w:sz="6" w:space="0" w:color="000000"/>
            </w:tcBorders>
            <w:shd w:val="clear" w:color="auto" w:fill="D3D3D3"/>
          </w:tcPr>
          <w:p>
            <w:pPr/>
          </w:p>
        </w:tc>
        <w:tc>
          <w:tcPr>
            <w:tcW w:w="2391" w:type="dxa"/>
            <w:vMerge/>
            <w:tcBorders>
              <w:left w:val="single" w:sz="6" w:space="0" w:color="000000"/>
              <w:right w:val="single" w:sz="12" w:space="0" w:color="000000"/>
            </w:tcBorders>
            <w:shd w:val="clear" w:color="auto" w:fill="D3D3D3"/>
          </w:tcPr>
          <w:p>
            <w:pPr/>
          </w:p>
        </w:tc>
      </w:tr>
      <w:tr>
        <w:trPr>
          <w:trHeight w:val="163" w:hRule="exact"/>
        </w:trPr>
        <w:tc>
          <w:tcPr>
            <w:tcW w:w="2392" w:type="dxa"/>
            <w:tcBorders>
              <w:top w:val="nil" w:sz="6" w:space="0" w:color="auto"/>
              <w:left w:val="single" w:sz="12" w:space="0" w:color="000000"/>
              <w:bottom w:val="single" w:sz="6" w:space="0" w:color="000000"/>
              <w:right w:val="single" w:sz="6" w:space="0" w:color="000000"/>
            </w:tcBorders>
            <w:shd w:val="clear" w:color="auto" w:fill="D3D3D3"/>
          </w:tcPr>
          <w:p>
            <w:pPr/>
          </w:p>
        </w:tc>
        <w:tc>
          <w:tcPr>
            <w:tcW w:w="2393" w:type="dxa"/>
            <w:tcBorders>
              <w:top w:val="nil" w:sz="6" w:space="0" w:color="auto"/>
              <w:left w:val="single" w:sz="6" w:space="0" w:color="000000"/>
              <w:bottom w:val="single" w:sz="6" w:space="0" w:color="000000"/>
              <w:right w:val="single" w:sz="6" w:space="0" w:color="000000"/>
            </w:tcBorders>
            <w:shd w:val="clear" w:color="auto" w:fill="D3D3D3"/>
          </w:tcPr>
          <w:p>
            <w:pPr/>
          </w:p>
        </w:tc>
        <w:tc>
          <w:tcPr>
            <w:tcW w:w="2392" w:type="dxa"/>
            <w:vMerge/>
            <w:tcBorders>
              <w:left w:val="single" w:sz="6" w:space="0" w:color="000000"/>
              <w:bottom w:val="single" w:sz="6" w:space="0" w:color="000000"/>
              <w:right w:val="single" w:sz="6" w:space="0" w:color="000000"/>
            </w:tcBorders>
            <w:shd w:val="clear" w:color="auto" w:fill="D3D3D3"/>
          </w:tcPr>
          <w:p>
            <w:pPr/>
          </w:p>
        </w:tc>
        <w:tc>
          <w:tcPr>
            <w:tcW w:w="2391" w:type="dxa"/>
            <w:vMerge/>
            <w:tcBorders>
              <w:left w:val="single" w:sz="6" w:space="0" w:color="000000"/>
              <w:bottom w:val="single" w:sz="6" w:space="0" w:color="000000"/>
              <w:right w:val="single" w:sz="12" w:space="0" w:color="000000"/>
            </w:tcBorders>
            <w:shd w:val="clear" w:color="auto" w:fill="D3D3D3"/>
          </w:tcPr>
          <w:p>
            <w:pPr/>
          </w:p>
        </w:tc>
      </w:tr>
      <w:tr>
        <w:trPr>
          <w:trHeight w:val="320" w:hRule="exact"/>
        </w:trPr>
        <w:tc>
          <w:tcPr>
            <w:tcW w:w="2392" w:type="dxa"/>
            <w:tcBorders>
              <w:top w:val="single" w:sz="6" w:space="0" w:color="000000"/>
              <w:left w:val="single" w:sz="12" w:space="0" w:color="000000"/>
              <w:bottom w:val="nil" w:sz="6" w:space="0" w:color="auto"/>
              <w:right w:val="single" w:sz="6" w:space="0" w:color="000000"/>
            </w:tcBorders>
            <w:shd w:val="clear" w:color="auto" w:fill="D3D3D3"/>
          </w:tcPr>
          <w:p>
            <w:pPr/>
          </w:p>
        </w:tc>
        <w:tc>
          <w:tcPr>
            <w:tcW w:w="2393" w:type="dxa"/>
            <w:vMerge w:val="restart"/>
            <w:tcBorders>
              <w:top w:val="single" w:sz="6" w:space="0" w:color="000000"/>
              <w:left w:val="single" w:sz="6" w:space="0" w:color="000000"/>
              <w:right w:val="single" w:sz="6" w:space="0" w:color="000000"/>
            </w:tcBorders>
          </w:tcPr>
          <w:p>
            <w:pPr>
              <w:pStyle w:val="TableParagraph"/>
              <w:spacing w:line="316" w:lineRule="auto" w:before="52"/>
              <w:ind w:left="21" w:right="194"/>
              <w:jc w:val="both"/>
              <w:rPr>
                <w:rFonts w:ascii="宋体" w:hAnsi="宋体" w:cs="宋体" w:eastAsia="宋体" w:hint="default"/>
                <w:sz w:val="18"/>
                <w:szCs w:val="18"/>
              </w:rPr>
            </w:pPr>
            <w:r>
              <w:rPr>
                <w:rFonts w:ascii="宋体" w:hAnsi="宋体" w:cs="宋体" w:eastAsia="宋体" w:hint="default"/>
                <w:sz w:val="18"/>
                <w:szCs w:val="18"/>
              </w:rPr>
              <w:t>单个存货项目的成本高于可 变现净值的差额提取存货跌 价准备</w:t>
            </w:r>
          </w:p>
        </w:tc>
        <w:tc>
          <w:tcPr>
            <w:tcW w:w="2392"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0" w:right="194"/>
              <w:jc w:val="left"/>
              <w:rPr>
                <w:rFonts w:ascii="宋体" w:hAnsi="宋体" w:cs="宋体" w:eastAsia="宋体" w:hint="default"/>
                <w:sz w:val="18"/>
                <w:szCs w:val="18"/>
              </w:rPr>
            </w:pPr>
            <w:r>
              <w:rPr>
                <w:rFonts w:ascii="宋体" w:hAnsi="宋体" w:cs="宋体" w:eastAsia="宋体" w:hint="default"/>
                <w:sz w:val="18"/>
                <w:szCs w:val="18"/>
              </w:rPr>
              <w:t>计提存货跌价准备的商品对 外销售</w:t>
            </w:r>
          </w:p>
        </w:tc>
        <w:tc>
          <w:tcPr>
            <w:tcW w:w="2391" w:type="dxa"/>
            <w:vMerge w:val="restart"/>
            <w:tcBorders>
              <w:top w:val="single" w:sz="6" w:space="0" w:color="000000"/>
              <w:left w:val="single" w:sz="6" w:space="0" w:color="000000"/>
              <w:right w:val="single" w:sz="12" w:space="0" w:color="000000"/>
            </w:tcBorders>
          </w:tcPr>
          <w:p>
            <w:pPr/>
          </w:p>
        </w:tc>
      </w:tr>
      <w:tr>
        <w:trPr>
          <w:trHeight w:val="391" w:hRule="exact"/>
        </w:trPr>
        <w:tc>
          <w:tcPr>
            <w:tcW w:w="2392" w:type="dxa"/>
            <w:tcBorders>
              <w:top w:val="nil" w:sz="6" w:space="0" w:color="auto"/>
              <w:left w:val="single" w:sz="12" w:space="0" w:color="000000"/>
              <w:bottom w:val="nil" w:sz="6" w:space="0" w:color="auto"/>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393" w:type="dxa"/>
            <w:vMerge/>
            <w:tcBorders>
              <w:left w:val="single" w:sz="6" w:space="0" w:color="000000"/>
              <w:right w:val="single" w:sz="6" w:space="0" w:color="000000"/>
            </w:tcBorders>
          </w:tcPr>
          <w:p>
            <w:pPr/>
          </w:p>
        </w:tc>
        <w:tc>
          <w:tcPr>
            <w:tcW w:w="2392" w:type="dxa"/>
            <w:vMerge/>
            <w:tcBorders>
              <w:left w:val="single" w:sz="6" w:space="0" w:color="000000"/>
              <w:right w:val="single" w:sz="6" w:space="0" w:color="000000"/>
            </w:tcBorders>
          </w:tcPr>
          <w:p>
            <w:pPr/>
          </w:p>
        </w:tc>
        <w:tc>
          <w:tcPr>
            <w:tcW w:w="2391" w:type="dxa"/>
            <w:vMerge/>
            <w:tcBorders>
              <w:left w:val="single" w:sz="6" w:space="0" w:color="000000"/>
              <w:right w:val="single" w:sz="12" w:space="0" w:color="000000"/>
            </w:tcBorders>
          </w:tcPr>
          <w:p>
            <w:pPr/>
          </w:p>
        </w:tc>
      </w:tr>
      <w:tr>
        <w:trPr>
          <w:trHeight w:val="327" w:hRule="exact"/>
        </w:trPr>
        <w:tc>
          <w:tcPr>
            <w:tcW w:w="2392" w:type="dxa"/>
            <w:tcBorders>
              <w:top w:val="nil" w:sz="6" w:space="0" w:color="auto"/>
              <w:left w:val="single" w:sz="12" w:space="0" w:color="000000"/>
              <w:bottom w:val="single" w:sz="12" w:space="0" w:color="000000"/>
              <w:right w:val="single" w:sz="6" w:space="0" w:color="000000"/>
            </w:tcBorders>
            <w:shd w:val="clear" w:color="auto" w:fill="D3D3D3"/>
          </w:tcPr>
          <w:p>
            <w:pPr/>
          </w:p>
        </w:tc>
        <w:tc>
          <w:tcPr>
            <w:tcW w:w="2393" w:type="dxa"/>
            <w:vMerge/>
            <w:tcBorders>
              <w:left w:val="single" w:sz="6" w:space="0" w:color="000000"/>
              <w:bottom w:val="single" w:sz="12" w:space="0" w:color="000000"/>
              <w:right w:val="single" w:sz="6" w:space="0" w:color="000000"/>
            </w:tcBorders>
          </w:tcPr>
          <w:p>
            <w:pPr/>
          </w:p>
        </w:tc>
        <w:tc>
          <w:tcPr>
            <w:tcW w:w="2392" w:type="dxa"/>
            <w:vMerge/>
            <w:tcBorders>
              <w:left w:val="single" w:sz="6" w:space="0" w:color="000000"/>
              <w:bottom w:val="single" w:sz="12" w:space="0" w:color="000000"/>
              <w:right w:val="single" w:sz="6" w:space="0" w:color="000000"/>
            </w:tcBorders>
          </w:tcPr>
          <w:p>
            <w:pPr/>
          </w:p>
        </w:tc>
        <w:tc>
          <w:tcPr>
            <w:tcW w:w="2391" w:type="dxa"/>
            <w:vMerge/>
            <w:tcBorders>
              <w:left w:val="single" w:sz="6" w:space="0" w:color="000000"/>
              <w:bottom w:val="single" w:sz="12" w:space="0" w:color="000000"/>
              <w:right w:val="single" w:sz="12" w:space="0" w:color="000000"/>
            </w:tcBorders>
          </w:tcPr>
          <w:p>
            <w:pPr/>
          </w:p>
        </w:tc>
      </w:tr>
    </w:tbl>
    <w:p>
      <w:pPr>
        <w:pStyle w:val="BodyText"/>
        <w:spacing w:line="240" w:lineRule="auto" w:before="26"/>
        <w:ind w:right="132"/>
        <w:jc w:val="left"/>
      </w:pPr>
      <w:r>
        <w:rPr/>
        <w:t>存货的说明</w:t>
      </w:r>
    </w:p>
    <w:p>
      <w:pPr>
        <w:spacing w:after="0" w:line="240" w:lineRule="auto"/>
        <w:jc w:val="left"/>
        <w:sectPr>
          <w:pgSz w:w="11910" w:h="16840"/>
          <w:pgMar w:header="0" w:footer="1003" w:top="1100" w:bottom="1200" w:left="980" w:right="980"/>
        </w:sectPr>
      </w:pPr>
    </w:p>
    <w:p>
      <w:pPr>
        <w:spacing w:line="240" w:lineRule="auto" w:before="9"/>
        <w:rPr>
          <w:rFonts w:ascii="宋体" w:hAnsi="宋体" w:cs="宋体" w:eastAsia="宋体" w:hint="default"/>
          <w:sz w:val="20"/>
          <w:szCs w:val="20"/>
        </w:rPr>
      </w:pPr>
    </w:p>
    <w:p>
      <w:pPr>
        <w:spacing w:line="535" w:lineRule="auto" w:before="35"/>
        <w:ind w:left="154" w:right="6270" w:firstLine="0"/>
        <w:jc w:val="left"/>
        <w:rPr>
          <w:rFonts w:ascii="宋体" w:hAnsi="宋体" w:cs="宋体" w:eastAsia="宋体" w:hint="default"/>
          <w:sz w:val="21"/>
          <w:szCs w:val="21"/>
        </w:rPr>
      </w:pPr>
      <w:r>
        <w:rPr>
          <w:rFonts w:ascii="宋体" w:hAnsi="宋体" w:cs="宋体" w:eastAsia="宋体" w:hint="default"/>
          <w:sz w:val="21"/>
          <w:szCs w:val="21"/>
        </w:rPr>
        <w:t>报告期存货跌价准备转回339,035.74元。 </w:t>
      </w:r>
      <w:r>
        <w:rPr>
          <w:rFonts w:ascii="宋体" w:hAnsi="宋体" w:cs="宋体" w:eastAsia="宋体" w:hint="default"/>
          <w:b/>
          <w:bCs/>
          <w:sz w:val="21"/>
          <w:szCs w:val="21"/>
        </w:rPr>
        <w:t>10、其他流动资产</w:t>
      </w:r>
      <w:r>
        <w:rPr>
          <w:rFonts w:ascii="宋体" w:hAnsi="宋体" w:cs="宋体" w:eastAsia="宋体" w:hint="default"/>
          <w:sz w:val="21"/>
          <w:szCs w:val="21"/>
        </w:rPr>
      </w:r>
    </w:p>
    <w:p>
      <w:pPr>
        <w:spacing w:line="532" w:lineRule="auto" w:before="80"/>
        <w:ind w:left="154" w:right="7941"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11、可供出售金融资产</w:t>
      </w:r>
      <w:r>
        <w:rPr>
          <w:rFonts w:ascii="宋体" w:hAnsi="宋体" w:cs="宋体" w:eastAsia="宋体" w:hint="default"/>
          <w:sz w:val="21"/>
          <w:szCs w:val="21"/>
        </w:rPr>
      </w:r>
    </w:p>
    <w:p>
      <w:pPr>
        <w:spacing w:line="532" w:lineRule="auto" w:before="83"/>
        <w:ind w:left="154" w:right="826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12、长期股权投资</w:t>
      </w:r>
      <w:r>
        <w:rPr>
          <w:rFonts w:ascii="宋体" w:hAnsi="宋体" w:cs="宋体" w:eastAsia="宋体" w:hint="default"/>
          <w:sz w:val="21"/>
          <w:szCs w:val="21"/>
        </w:rPr>
      </w:r>
    </w:p>
    <w:p>
      <w:pPr>
        <w:pStyle w:val="Heading4"/>
        <w:spacing w:line="240" w:lineRule="auto" w:before="83"/>
        <w:ind w:right="6270"/>
        <w:jc w:val="left"/>
        <w:rPr>
          <w:b w:val="0"/>
          <w:bCs w:val="0"/>
        </w:rPr>
      </w:pPr>
      <w:r>
        <w:rPr/>
        <w:t>（1）长期股权投资明细情况</w:t>
      </w:r>
      <w:r>
        <w:rPr>
          <w:b w:val="0"/>
          <w:bCs w:val="0"/>
        </w:rPr>
      </w:r>
    </w:p>
    <w:p>
      <w:pPr>
        <w:spacing w:line="240" w:lineRule="auto" w:before="5"/>
        <w:rPr>
          <w:rFonts w:ascii="宋体" w:hAnsi="宋体" w:cs="宋体" w:eastAsia="宋体" w:hint="default"/>
          <w:b/>
          <w:bCs/>
          <w:sz w:val="24"/>
          <w:szCs w:val="24"/>
        </w:rPr>
      </w:pPr>
    </w:p>
    <w:p>
      <w:pPr>
        <w:spacing w:before="44"/>
        <w:ind w:left="0" w:right="52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795"/>
        <w:gridCol w:w="798"/>
        <w:gridCol w:w="1243"/>
        <w:gridCol w:w="1276"/>
        <w:gridCol w:w="1276"/>
        <w:gridCol w:w="1277"/>
        <w:gridCol w:w="566"/>
        <w:gridCol w:w="568"/>
        <w:gridCol w:w="850"/>
        <w:gridCol w:w="284"/>
        <w:gridCol w:w="425"/>
        <w:gridCol w:w="566"/>
      </w:tblGrid>
      <w:tr>
        <w:trPr>
          <w:trHeight w:val="1973" w:hRule="exact"/>
        </w:trPr>
        <w:tc>
          <w:tcPr>
            <w:tcW w:w="795"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91" w:right="29"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1"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1243"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5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276"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276"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增减变动</w:t>
            </w:r>
          </w:p>
        </w:tc>
        <w:tc>
          <w:tcPr>
            <w:tcW w:w="1277"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7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66"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51"/>
              <w:ind w:left="96" w:right="95"/>
              <w:jc w:val="both"/>
              <w:rPr>
                <w:rFonts w:ascii="宋体" w:hAnsi="宋体" w:cs="宋体" w:eastAsia="宋体" w:hint="default"/>
                <w:sz w:val="18"/>
                <w:szCs w:val="18"/>
              </w:rPr>
            </w:pPr>
            <w:r>
              <w:rPr>
                <w:rFonts w:ascii="宋体" w:hAnsi="宋体" w:cs="宋体" w:eastAsia="宋体" w:hint="default"/>
                <w:sz w:val="18"/>
                <w:szCs w:val="18"/>
              </w:rPr>
              <w:t>在被 投资 单位 持股 比例 (%)</w:t>
            </w:r>
          </w:p>
        </w:tc>
        <w:tc>
          <w:tcPr>
            <w:tcW w:w="568"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51"/>
              <w:ind w:left="95" w:right="95"/>
              <w:jc w:val="both"/>
              <w:rPr>
                <w:rFonts w:ascii="宋体" w:hAnsi="宋体" w:cs="宋体" w:eastAsia="宋体" w:hint="default"/>
                <w:sz w:val="18"/>
                <w:szCs w:val="18"/>
              </w:rPr>
            </w:pPr>
            <w:r>
              <w:rPr>
                <w:rFonts w:ascii="宋体" w:hAnsi="宋体" w:cs="宋体" w:eastAsia="宋体" w:hint="default"/>
                <w:sz w:val="18"/>
                <w:szCs w:val="18"/>
              </w:rPr>
              <w:t>在被 投资 单位 表决 权比 例</w:t>
            </w:r>
          </w:p>
        </w:tc>
        <w:tc>
          <w:tcPr>
            <w:tcW w:w="85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51"/>
              <w:ind w:left="57" w:right="5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28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4" w:right="43"/>
              <w:jc w:val="both"/>
              <w:rPr>
                <w:rFonts w:ascii="宋体" w:hAnsi="宋体" w:cs="宋体" w:eastAsia="宋体" w:hint="default"/>
                <w:sz w:val="18"/>
                <w:szCs w:val="18"/>
              </w:rPr>
            </w:pPr>
            <w:r>
              <w:rPr>
                <w:rFonts w:ascii="宋体" w:hAnsi="宋体" w:cs="宋体" w:eastAsia="宋体" w:hint="default"/>
                <w:sz w:val="18"/>
                <w:szCs w:val="18"/>
              </w:rPr>
              <w:t>减 值 准 备</w:t>
            </w:r>
          </w:p>
        </w:tc>
        <w:tc>
          <w:tcPr>
            <w:tcW w:w="425"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4"/>
              <w:jc w:val="both"/>
              <w:rPr>
                <w:rFonts w:ascii="宋体" w:hAnsi="宋体" w:cs="宋体" w:eastAsia="宋体" w:hint="default"/>
                <w:sz w:val="18"/>
                <w:szCs w:val="18"/>
              </w:rPr>
            </w:pPr>
            <w:r>
              <w:rPr>
                <w:rFonts w:ascii="宋体" w:hAnsi="宋体" w:cs="宋体" w:eastAsia="宋体" w:hint="default"/>
                <w:sz w:val="18"/>
                <w:szCs w:val="18"/>
              </w:rPr>
              <w:t>本期 计提 减值 准备</w:t>
            </w:r>
          </w:p>
        </w:tc>
        <w:tc>
          <w:tcPr>
            <w:tcW w:w="566"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5" w:right="85"/>
              <w:jc w:val="both"/>
              <w:rPr>
                <w:rFonts w:ascii="宋体" w:hAnsi="宋体" w:cs="宋体" w:eastAsia="宋体" w:hint="default"/>
                <w:sz w:val="18"/>
                <w:szCs w:val="18"/>
              </w:rPr>
            </w:pPr>
            <w:r>
              <w:rPr>
                <w:rFonts w:ascii="宋体" w:hAnsi="宋体" w:cs="宋体" w:eastAsia="宋体" w:hint="default"/>
                <w:sz w:val="18"/>
                <w:szCs w:val="18"/>
              </w:rPr>
              <w:t>本期 现金 红利</w:t>
            </w:r>
          </w:p>
        </w:tc>
      </w:tr>
      <w:tr>
        <w:trPr>
          <w:trHeight w:val="1031" w:hRule="exact"/>
        </w:trPr>
        <w:tc>
          <w:tcPr>
            <w:tcW w:w="795"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37"/>
              <w:jc w:val="both"/>
              <w:rPr>
                <w:rFonts w:ascii="宋体" w:hAnsi="宋体" w:cs="宋体" w:eastAsia="宋体" w:hint="default"/>
                <w:sz w:val="18"/>
                <w:szCs w:val="18"/>
              </w:rPr>
            </w:pPr>
            <w:r>
              <w:rPr>
                <w:rFonts w:ascii="宋体" w:hAnsi="宋体" w:cs="宋体" w:eastAsia="宋体" w:hint="default"/>
                <w:sz w:val="18"/>
                <w:szCs w:val="18"/>
              </w:rPr>
              <w:t>江苏大烨 电气有限 公司</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0"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宋体" w:hAnsi="宋体" w:cs="宋体" w:eastAsia="宋体" w:hint="default"/>
                <w:sz w:val="18"/>
                <w:szCs w:val="18"/>
              </w:rPr>
            </w:pPr>
            <w:r>
              <w:rPr>
                <w:rFonts w:ascii="宋体"/>
                <w:sz w:val="18"/>
              </w:rPr>
              <w:t>6,720,000.00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40" w:right="0"/>
              <w:jc w:val="center"/>
              <w:rPr>
                <w:rFonts w:ascii="宋体" w:hAnsi="宋体" w:cs="宋体" w:eastAsia="宋体" w:hint="default"/>
                <w:sz w:val="18"/>
                <w:szCs w:val="18"/>
              </w:rPr>
            </w:pPr>
            <w:r>
              <w:rPr>
                <w:rFonts w:ascii="宋体"/>
                <w:sz w:val="18"/>
              </w:rPr>
              <w:t>1,995,488.40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40" w:right="0"/>
              <w:jc w:val="center"/>
              <w:rPr>
                <w:rFonts w:ascii="宋体" w:hAnsi="宋体" w:cs="宋体" w:eastAsia="宋体" w:hint="default"/>
                <w:sz w:val="18"/>
                <w:szCs w:val="18"/>
              </w:rPr>
            </w:pPr>
            <w:r>
              <w:rPr>
                <w:rFonts w:ascii="宋体"/>
                <w:sz w:val="18"/>
              </w:rPr>
              <w:t>4,747,162.53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6,742,650.93</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61" w:right="0"/>
              <w:jc w:val="center"/>
              <w:rPr>
                <w:rFonts w:ascii="宋体" w:hAnsi="宋体" w:cs="宋体" w:eastAsia="宋体" w:hint="default"/>
                <w:sz w:val="18"/>
                <w:szCs w:val="18"/>
              </w:rPr>
            </w:pPr>
            <w:r>
              <w:rPr>
                <w:rFonts w:ascii="宋体"/>
                <w:sz w:val="18"/>
              </w:rPr>
              <w:t>16.8%</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9" w:right="0"/>
              <w:jc w:val="center"/>
              <w:rPr>
                <w:rFonts w:ascii="宋体" w:hAnsi="宋体" w:cs="宋体" w:eastAsia="宋体" w:hint="default"/>
                <w:sz w:val="18"/>
                <w:szCs w:val="18"/>
              </w:rPr>
            </w:pPr>
            <w:r>
              <w:rPr>
                <w:rFonts w:ascii="宋体"/>
                <w:sz w:val="18"/>
              </w:rPr>
              <w:t>16.8%</w:t>
            </w:r>
          </w:p>
        </w:tc>
        <w:tc>
          <w:tcPr>
            <w:tcW w:w="850"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12" w:space="0" w:color="000000"/>
            </w:tcBorders>
          </w:tcPr>
          <w:p>
            <w:pPr/>
          </w:p>
        </w:tc>
      </w:tr>
      <w:tr>
        <w:trPr>
          <w:trHeight w:val="416" w:hRule="exact"/>
        </w:trPr>
        <w:tc>
          <w:tcPr>
            <w:tcW w:w="795"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2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6,720,000.00</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140" w:right="0"/>
              <w:jc w:val="center"/>
              <w:rPr>
                <w:rFonts w:ascii="宋体" w:hAnsi="宋体" w:cs="宋体" w:eastAsia="宋体" w:hint="default"/>
                <w:sz w:val="18"/>
                <w:szCs w:val="18"/>
              </w:rPr>
            </w:pPr>
            <w:r>
              <w:rPr>
                <w:rFonts w:ascii="宋体"/>
                <w:sz w:val="18"/>
              </w:rPr>
              <w:t>1,995,488.40</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140" w:right="0"/>
              <w:jc w:val="center"/>
              <w:rPr>
                <w:rFonts w:ascii="宋体" w:hAnsi="宋体" w:cs="宋体" w:eastAsia="宋体" w:hint="default"/>
                <w:sz w:val="18"/>
                <w:szCs w:val="18"/>
              </w:rPr>
            </w:pPr>
            <w:r>
              <w:rPr>
                <w:rFonts w:ascii="宋体"/>
                <w:sz w:val="18"/>
              </w:rPr>
              <w:t>4,747,162.53</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6,742,650.93</w:t>
            </w:r>
          </w:p>
        </w:tc>
        <w:tc>
          <w:tcPr>
            <w:tcW w:w="566"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568"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850"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284"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566"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（2）向投资企业转移资金的能力受到限制的有关情况</w:t>
      </w:r>
      <w:r>
        <w:rPr>
          <w:b w:val="0"/>
          <w:bCs w:val="0"/>
        </w:rPr>
      </w:r>
    </w:p>
    <w:p>
      <w:pPr>
        <w:spacing w:line="240" w:lineRule="auto" w:before="11"/>
        <w:rPr>
          <w:rFonts w:ascii="宋体" w:hAnsi="宋体" w:cs="宋体" w:eastAsia="宋体" w:hint="default"/>
          <w:b/>
          <w:bCs/>
          <w:sz w:val="25"/>
          <w:szCs w:val="25"/>
        </w:rPr>
      </w:pPr>
    </w:p>
    <w:p>
      <w:pPr>
        <w:spacing w:line="532" w:lineRule="auto" w:before="0"/>
        <w:ind w:left="154" w:right="826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13、投资性房地产</w:t>
      </w:r>
      <w:r>
        <w:rPr>
          <w:rFonts w:ascii="宋体" w:hAnsi="宋体" w:cs="宋体" w:eastAsia="宋体" w:hint="default"/>
          <w:sz w:val="21"/>
          <w:szCs w:val="21"/>
        </w:rPr>
      </w:r>
    </w:p>
    <w:p>
      <w:pPr>
        <w:pStyle w:val="Heading4"/>
        <w:spacing w:line="240" w:lineRule="auto" w:before="83"/>
        <w:ind w:right="6270"/>
        <w:jc w:val="left"/>
        <w:rPr>
          <w:b w:val="0"/>
          <w:bCs w:val="0"/>
        </w:rPr>
      </w:pPr>
      <w:r>
        <w:rPr/>
        <w:t>（1）按成本计量的投资性房地产</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right="6270"/>
        <w:jc w:val="left"/>
      </w:pPr>
      <w:r>
        <w:rPr/>
        <w:t>□ 适用 √</w:t>
      </w:r>
      <w:r>
        <w:rPr>
          <w:spacing w:val="-2"/>
        </w:rPr>
        <w:t> </w:t>
      </w:r>
      <w:r>
        <w:rPr/>
        <w:t>不适用</w:t>
      </w:r>
    </w:p>
    <w:p>
      <w:pPr>
        <w:spacing w:line="240" w:lineRule="auto" w:before="9"/>
        <w:rPr>
          <w:rFonts w:ascii="宋体" w:hAnsi="宋体" w:cs="宋体" w:eastAsia="宋体" w:hint="default"/>
          <w:sz w:val="25"/>
          <w:szCs w:val="25"/>
        </w:rPr>
      </w:pPr>
    </w:p>
    <w:p>
      <w:pPr>
        <w:pStyle w:val="Heading4"/>
        <w:spacing w:line="240" w:lineRule="auto"/>
        <w:ind w:right="6270"/>
        <w:jc w:val="left"/>
        <w:rPr>
          <w:b w:val="0"/>
          <w:bCs w:val="0"/>
        </w:rPr>
      </w:pPr>
      <w:r>
        <w:rPr/>
        <w:t>（2）按公允价值计量的投资性房地产</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right="6270"/>
        <w:jc w:val="left"/>
      </w:pPr>
      <w:r>
        <w:rPr/>
        <w:t>□ 适用 √</w:t>
      </w:r>
      <w:r>
        <w:rPr>
          <w:spacing w:val="-2"/>
        </w:rPr>
        <w:t> </w:t>
      </w:r>
      <w:r>
        <w:rPr/>
        <w:t>不适用</w:t>
      </w:r>
    </w:p>
    <w:p>
      <w:pPr>
        <w:spacing w:after="0" w:line="240" w:lineRule="auto"/>
        <w:jc w:val="left"/>
        <w:sectPr>
          <w:pgSz w:w="11910" w:h="16840"/>
          <w:pgMar w:header="0" w:footer="1003" w:top="1100" w:bottom="1200" w:left="980" w:right="700"/>
        </w:sectPr>
      </w:pPr>
    </w:p>
    <w:p>
      <w:pPr>
        <w:spacing w:line="240" w:lineRule="auto" w:before="9"/>
        <w:rPr>
          <w:rFonts w:ascii="宋体" w:hAnsi="宋体" w:cs="宋体" w:eastAsia="宋体" w:hint="default"/>
          <w:sz w:val="20"/>
          <w:szCs w:val="20"/>
        </w:rPr>
      </w:pPr>
    </w:p>
    <w:p>
      <w:pPr>
        <w:pStyle w:val="Heading4"/>
        <w:spacing w:line="240" w:lineRule="auto" w:before="35"/>
        <w:ind w:right="132"/>
        <w:jc w:val="left"/>
        <w:rPr>
          <w:b w:val="0"/>
          <w:bCs w:val="0"/>
        </w:rPr>
      </w:pPr>
      <w:r>
        <w:rPr/>
        <w:t>14、固定资产</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32"/>
        <w:jc w:val="left"/>
        <w:rPr>
          <w:b w:val="0"/>
          <w:bCs w:val="0"/>
        </w:rPr>
      </w:pPr>
      <w:r>
        <w:rPr/>
        <w:t>（1）固定资产情况</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129"/>
        <w:gridCol w:w="1462"/>
        <w:gridCol w:w="1327"/>
        <w:gridCol w:w="1595"/>
        <w:gridCol w:w="1594"/>
        <w:gridCol w:w="1461"/>
      </w:tblGrid>
      <w:tr>
        <w:trPr>
          <w:trHeight w:val="415" w:hRule="exact"/>
        </w:trPr>
        <w:tc>
          <w:tcPr>
            <w:tcW w:w="2129"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1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2" w:type="dxa"/>
            <w:gridSpan w:val="2"/>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42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1"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67,771,772.13</w:t>
            </w:r>
          </w:p>
        </w:tc>
        <w:tc>
          <w:tcPr>
            <w:tcW w:w="29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715" w:right="0"/>
              <w:jc w:val="left"/>
              <w:rPr>
                <w:rFonts w:ascii="宋体" w:hAnsi="宋体" w:cs="宋体" w:eastAsia="宋体" w:hint="default"/>
                <w:sz w:val="18"/>
                <w:szCs w:val="18"/>
              </w:rPr>
            </w:pPr>
            <w:r>
              <w:rPr>
                <w:rFonts w:ascii="宋体"/>
                <w:sz w:val="18"/>
              </w:rPr>
              <w:t>38,254,906.56</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244,957.23</w:t>
            </w:r>
          </w:p>
        </w:tc>
        <w:tc>
          <w:tcPr>
            <w:tcW w:w="14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105,781,721.46</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52,879,375.92</w:t>
            </w:r>
          </w:p>
        </w:tc>
        <w:tc>
          <w:tcPr>
            <w:tcW w:w="29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715" w:right="0"/>
              <w:jc w:val="left"/>
              <w:rPr>
                <w:rFonts w:ascii="宋体" w:hAnsi="宋体" w:cs="宋体" w:eastAsia="宋体" w:hint="default"/>
                <w:sz w:val="18"/>
                <w:szCs w:val="18"/>
              </w:rPr>
            </w:pPr>
            <w:r>
              <w:rPr>
                <w:rFonts w:ascii="宋体"/>
                <w:sz w:val="18"/>
              </w:rPr>
              <w:t>23,886,779.55</w:t>
            </w:r>
          </w:p>
        </w:tc>
        <w:tc>
          <w:tcPr>
            <w:tcW w:w="1594" w:type="dxa"/>
            <w:tcBorders>
              <w:top w:val="single" w:sz="6" w:space="0" w:color="000000"/>
              <w:left w:val="single" w:sz="6" w:space="0" w:color="000000"/>
              <w:bottom w:val="single" w:sz="6" w:space="0" w:color="000000"/>
              <w:right w:val="single" w:sz="6" w:space="0" w:color="000000"/>
            </w:tcBorders>
          </w:tcPr>
          <w:p>
            <w:pPr/>
          </w:p>
        </w:tc>
        <w:tc>
          <w:tcPr>
            <w:tcW w:w="14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76,766,155.47</w:t>
            </w:r>
          </w:p>
        </w:tc>
      </w:tr>
      <w:tr>
        <w:trPr>
          <w:trHeight w:val="408" w:hRule="exact"/>
        </w:trPr>
        <w:tc>
          <w:tcPr>
            <w:tcW w:w="212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4,360,646.16</w:t>
            </w:r>
          </w:p>
        </w:tc>
        <w:tc>
          <w:tcPr>
            <w:tcW w:w="29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805" w:right="0"/>
              <w:jc w:val="left"/>
              <w:rPr>
                <w:rFonts w:ascii="宋体" w:hAnsi="宋体" w:cs="宋体" w:eastAsia="宋体" w:hint="default"/>
                <w:sz w:val="18"/>
                <w:szCs w:val="18"/>
              </w:rPr>
            </w:pPr>
            <w:r>
              <w:rPr>
                <w:rFonts w:ascii="宋体"/>
                <w:sz w:val="18"/>
              </w:rPr>
              <w:t>3,804,172.35</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88,007.26</w:t>
            </w:r>
          </w:p>
        </w:tc>
        <w:tc>
          <w:tcPr>
            <w:tcW w:w="14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8,076,811.25</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6,113,786.46</w:t>
            </w:r>
          </w:p>
        </w:tc>
        <w:tc>
          <w:tcPr>
            <w:tcW w:w="29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805" w:right="0"/>
              <w:jc w:val="left"/>
              <w:rPr>
                <w:rFonts w:ascii="宋体" w:hAnsi="宋体" w:cs="宋体" w:eastAsia="宋体" w:hint="default"/>
                <w:sz w:val="18"/>
                <w:szCs w:val="18"/>
              </w:rPr>
            </w:pPr>
            <w:r>
              <w:rPr>
                <w:rFonts w:ascii="宋体"/>
                <w:sz w:val="18"/>
              </w:rPr>
              <w:t>1,573,992.72</w:t>
            </w:r>
          </w:p>
        </w:tc>
        <w:tc>
          <w:tcPr>
            <w:tcW w:w="1594" w:type="dxa"/>
            <w:tcBorders>
              <w:top w:val="single" w:sz="6" w:space="0" w:color="000000"/>
              <w:left w:val="single" w:sz="6" w:space="0" w:color="000000"/>
              <w:bottom w:val="single" w:sz="6" w:space="0" w:color="000000"/>
              <w:right w:val="single" w:sz="6" w:space="0" w:color="000000"/>
            </w:tcBorders>
          </w:tcPr>
          <w:p>
            <w:pPr/>
          </w:p>
        </w:tc>
        <w:tc>
          <w:tcPr>
            <w:tcW w:w="14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7,687,779.18</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4,417,963.59</w:t>
            </w:r>
          </w:p>
        </w:tc>
        <w:tc>
          <w:tcPr>
            <w:tcW w:w="29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805" w:right="0"/>
              <w:jc w:val="left"/>
              <w:rPr>
                <w:rFonts w:ascii="宋体" w:hAnsi="宋体" w:cs="宋体" w:eastAsia="宋体" w:hint="default"/>
                <w:sz w:val="18"/>
                <w:szCs w:val="18"/>
              </w:rPr>
            </w:pPr>
            <w:r>
              <w:rPr>
                <w:rFonts w:ascii="宋体"/>
                <w:sz w:val="18"/>
              </w:rPr>
              <w:t>8,989,961.94</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156,949.97</w:t>
            </w:r>
          </w:p>
        </w:tc>
        <w:tc>
          <w:tcPr>
            <w:tcW w:w="14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13,250,975.56</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7"/>
              <w:jc w:val="center"/>
              <w:rPr>
                <w:rFonts w:ascii="宋体" w:hAnsi="宋体" w:cs="宋体" w:eastAsia="宋体" w:hint="default"/>
                <w:sz w:val="18"/>
                <w:szCs w:val="18"/>
              </w:rPr>
            </w:pPr>
            <w:r>
              <w:rPr>
                <w:rFonts w:ascii="宋体"/>
                <w:sz w:val="18"/>
              </w:rPr>
              <w:t>--</w:t>
            </w:r>
          </w:p>
        </w:tc>
        <w:tc>
          <w:tcPr>
            <w:tcW w:w="146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1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296"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5"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42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1"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9,204,371.55</w:t>
            </w:r>
          </w:p>
        </w:tc>
        <w:tc>
          <w:tcPr>
            <w:tcW w:w="1327"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5,339,883.99</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214,603.28</w:t>
            </w:r>
          </w:p>
        </w:tc>
        <w:tc>
          <w:tcPr>
            <w:tcW w:w="14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14,329,652.26</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2,818,221.84</w:t>
            </w:r>
          </w:p>
        </w:tc>
        <w:tc>
          <w:tcPr>
            <w:tcW w:w="1327"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2,382,445.38</w:t>
            </w:r>
          </w:p>
        </w:tc>
        <w:tc>
          <w:tcPr>
            <w:tcW w:w="1594" w:type="dxa"/>
            <w:tcBorders>
              <w:top w:val="single" w:sz="6" w:space="0" w:color="000000"/>
              <w:left w:val="single" w:sz="6" w:space="0" w:color="000000"/>
              <w:bottom w:val="single" w:sz="6" w:space="0" w:color="000000"/>
              <w:right w:val="single" w:sz="6" w:space="0" w:color="000000"/>
            </w:tcBorders>
          </w:tcPr>
          <w:p>
            <w:pPr/>
          </w:p>
        </w:tc>
        <w:tc>
          <w:tcPr>
            <w:tcW w:w="14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5,200,667.22</w:t>
            </w:r>
          </w:p>
        </w:tc>
      </w:tr>
      <w:tr>
        <w:trPr>
          <w:trHeight w:val="408" w:hRule="exact"/>
        </w:trPr>
        <w:tc>
          <w:tcPr>
            <w:tcW w:w="212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1,018,386.30</w:t>
            </w:r>
          </w:p>
        </w:tc>
        <w:tc>
          <w:tcPr>
            <w:tcW w:w="1327"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891,439.06</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76,551.97</w:t>
            </w:r>
          </w:p>
        </w:tc>
        <w:tc>
          <w:tcPr>
            <w:tcW w:w="14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1,833,273.39</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3,277,757.04</w:t>
            </w:r>
          </w:p>
        </w:tc>
        <w:tc>
          <w:tcPr>
            <w:tcW w:w="1327"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703,210.71</w:t>
            </w:r>
          </w:p>
        </w:tc>
        <w:tc>
          <w:tcPr>
            <w:tcW w:w="1594" w:type="dxa"/>
            <w:tcBorders>
              <w:top w:val="single" w:sz="6" w:space="0" w:color="000000"/>
              <w:left w:val="single" w:sz="6" w:space="0" w:color="000000"/>
              <w:bottom w:val="single" w:sz="6" w:space="0" w:color="000000"/>
              <w:right w:val="single" w:sz="6" w:space="0" w:color="000000"/>
            </w:tcBorders>
          </w:tcPr>
          <w:p>
            <w:pPr/>
          </w:p>
        </w:tc>
        <w:tc>
          <w:tcPr>
            <w:tcW w:w="14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3,980,967.75</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2,090,006.37</w:t>
            </w:r>
          </w:p>
        </w:tc>
        <w:tc>
          <w:tcPr>
            <w:tcW w:w="1327"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1,362,788.84</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138,051.31</w:t>
            </w:r>
          </w:p>
        </w:tc>
        <w:tc>
          <w:tcPr>
            <w:tcW w:w="14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3,314,743.90</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7"/>
              <w:jc w:val="center"/>
              <w:rPr>
                <w:rFonts w:ascii="宋体" w:hAnsi="宋体" w:cs="宋体" w:eastAsia="宋体" w:hint="default"/>
                <w:sz w:val="18"/>
                <w:szCs w:val="18"/>
              </w:rPr>
            </w:pPr>
            <w:r>
              <w:rPr>
                <w:rFonts w:ascii="宋体"/>
                <w:sz w:val="18"/>
              </w:rPr>
              <w:t>--</w:t>
            </w:r>
          </w:p>
        </w:tc>
        <w:tc>
          <w:tcPr>
            <w:tcW w:w="146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1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6" w:type="dxa"/>
            <w:gridSpan w:val="3"/>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61"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面净值合计</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58,567,400.58</w:t>
            </w:r>
          </w:p>
        </w:tc>
        <w:tc>
          <w:tcPr>
            <w:tcW w:w="4516" w:type="dxa"/>
            <w:gridSpan w:val="3"/>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4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91,452,069.20</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50,061,154.08</w:t>
            </w:r>
          </w:p>
        </w:tc>
        <w:tc>
          <w:tcPr>
            <w:tcW w:w="4516" w:type="dxa"/>
            <w:gridSpan w:val="3"/>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4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71,565,488.25</w:t>
            </w:r>
          </w:p>
        </w:tc>
      </w:tr>
      <w:tr>
        <w:trPr>
          <w:trHeight w:val="408" w:hRule="exact"/>
        </w:trPr>
        <w:tc>
          <w:tcPr>
            <w:tcW w:w="212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3,342,259.86</w:t>
            </w:r>
          </w:p>
        </w:tc>
        <w:tc>
          <w:tcPr>
            <w:tcW w:w="4516" w:type="dxa"/>
            <w:gridSpan w:val="3"/>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4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6,243,537.86</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2,836,029.42</w:t>
            </w:r>
          </w:p>
        </w:tc>
        <w:tc>
          <w:tcPr>
            <w:tcW w:w="4516" w:type="dxa"/>
            <w:gridSpan w:val="3"/>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3,706,811.43</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2,327,957.22</w:t>
            </w:r>
          </w:p>
        </w:tc>
        <w:tc>
          <w:tcPr>
            <w:tcW w:w="4516" w:type="dxa"/>
            <w:gridSpan w:val="3"/>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9,936,231.66</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62" w:type="dxa"/>
            <w:tcBorders>
              <w:top w:val="single" w:sz="6" w:space="0" w:color="000000"/>
              <w:left w:val="single" w:sz="6" w:space="0" w:color="000000"/>
              <w:bottom w:val="single" w:sz="6" w:space="0" w:color="000000"/>
              <w:right w:val="single" w:sz="6" w:space="0" w:color="000000"/>
            </w:tcBorders>
          </w:tcPr>
          <w:p>
            <w:pPr/>
          </w:p>
        </w:tc>
        <w:tc>
          <w:tcPr>
            <w:tcW w:w="4516" w:type="dxa"/>
            <w:gridSpan w:val="3"/>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6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面价值合计</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58,567,400.58</w:t>
            </w:r>
          </w:p>
        </w:tc>
        <w:tc>
          <w:tcPr>
            <w:tcW w:w="4516" w:type="dxa"/>
            <w:gridSpan w:val="3"/>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4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91,452,069.20</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50,061,154.08</w:t>
            </w:r>
          </w:p>
        </w:tc>
        <w:tc>
          <w:tcPr>
            <w:tcW w:w="4516" w:type="dxa"/>
            <w:gridSpan w:val="3"/>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4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71,565,488.25</w:t>
            </w:r>
          </w:p>
        </w:tc>
      </w:tr>
      <w:tr>
        <w:trPr>
          <w:trHeight w:val="408" w:hRule="exact"/>
        </w:trPr>
        <w:tc>
          <w:tcPr>
            <w:tcW w:w="212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3,342,259.86</w:t>
            </w:r>
          </w:p>
        </w:tc>
        <w:tc>
          <w:tcPr>
            <w:tcW w:w="4516" w:type="dxa"/>
            <w:gridSpan w:val="3"/>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4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6,243,537.86</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2,836,029.42</w:t>
            </w:r>
          </w:p>
        </w:tc>
        <w:tc>
          <w:tcPr>
            <w:tcW w:w="4516" w:type="dxa"/>
            <w:gridSpan w:val="3"/>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3,706,811.43</w:t>
            </w:r>
          </w:p>
        </w:tc>
      </w:tr>
      <w:tr>
        <w:trPr>
          <w:trHeight w:val="415" w:hRule="exact"/>
        </w:trPr>
        <w:tc>
          <w:tcPr>
            <w:tcW w:w="212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2,327,957.22</w:t>
            </w:r>
          </w:p>
        </w:tc>
        <w:tc>
          <w:tcPr>
            <w:tcW w:w="4516" w:type="dxa"/>
            <w:gridSpan w:val="3"/>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6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9,936,231.66</w:t>
            </w:r>
          </w:p>
        </w:tc>
      </w:tr>
    </w:tbl>
    <w:p>
      <w:pPr>
        <w:pStyle w:val="BodyText"/>
        <w:spacing w:line="240" w:lineRule="auto" w:before="26"/>
        <w:ind w:right="132"/>
        <w:jc w:val="left"/>
      </w:pPr>
      <w:r>
        <w:rPr/>
        <w:t>本期折旧额</w:t>
      </w:r>
      <w:r>
        <w:rPr>
          <w:spacing w:val="-62"/>
        </w:rPr>
        <w:t> </w:t>
      </w:r>
      <w:r>
        <w:rPr/>
        <w:t>5,339,883.99</w:t>
      </w:r>
      <w:r>
        <w:rPr>
          <w:spacing w:val="-62"/>
        </w:rPr>
        <w:t> </w:t>
      </w:r>
      <w:r>
        <w:rPr/>
        <w:t>元；本期由在建工程转入固定资产原价为</w:t>
      </w:r>
      <w:r>
        <w:rPr>
          <w:spacing w:val="-61"/>
        </w:rPr>
        <w:t> </w:t>
      </w:r>
      <w:r>
        <w:rPr/>
        <w:t>29,294,307.01</w:t>
      </w:r>
      <w:r>
        <w:rPr>
          <w:spacing w:val="-61"/>
        </w:rPr>
        <w:t> </w:t>
      </w:r>
      <w:r>
        <w:rPr/>
        <w:t>元。</w:t>
      </w:r>
    </w:p>
    <w:p>
      <w:pPr>
        <w:spacing w:line="240" w:lineRule="auto" w:before="10"/>
        <w:rPr>
          <w:rFonts w:ascii="宋体" w:hAnsi="宋体" w:cs="宋体" w:eastAsia="宋体" w:hint="default"/>
          <w:sz w:val="25"/>
          <w:szCs w:val="25"/>
        </w:rPr>
      </w:pPr>
    </w:p>
    <w:p>
      <w:pPr>
        <w:pStyle w:val="Heading4"/>
        <w:spacing w:line="240" w:lineRule="auto"/>
        <w:ind w:left="153" w:right="132"/>
        <w:jc w:val="left"/>
        <w:rPr>
          <w:b w:val="0"/>
          <w:bCs w:val="0"/>
        </w:rPr>
      </w:pPr>
      <w:r>
        <w:rPr/>
        <w:t>（2）暂时闲置的固定资产情况</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left="153" w:right="132"/>
        <w:jc w:val="left"/>
      </w:pPr>
      <w:r>
        <w:rPr/>
        <w:t>□ 适用 √</w:t>
      </w:r>
      <w:r>
        <w:rPr>
          <w:spacing w:val="-2"/>
        </w:rPr>
        <w:t> </w:t>
      </w:r>
      <w:r>
        <w:rPr/>
        <w:t>不适用</w:t>
      </w:r>
    </w:p>
    <w:p>
      <w:pPr>
        <w:spacing w:after="0" w:line="240" w:lineRule="auto"/>
        <w:jc w:val="left"/>
        <w:sectPr>
          <w:pgSz w:w="11910" w:h="16840"/>
          <w:pgMar w:header="0" w:footer="1003" w:top="1100" w:bottom="1200" w:left="980" w:right="980"/>
        </w:sectPr>
      </w:pPr>
    </w:p>
    <w:p>
      <w:pPr>
        <w:spacing w:line="240" w:lineRule="auto" w:before="9"/>
        <w:rPr>
          <w:rFonts w:ascii="宋体" w:hAnsi="宋体" w:cs="宋体" w:eastAsia="宋体" w:hint="default"/>
          <w:sz w:val="20"/>
          <w:szCs w:val="20"/>
        </w:rPr>
      </w:pPr>
    </w:p>
    <w:p>
      <w:pPr>
        <w:pStyle w:val="Heading4"/>
        <w:spacing w:line="240" w:lineRule="auto" w:before="35"/>
        <w:ind w:left="894" w:right="57"/>
        <w:jc w:val="left"/>
        <w:rPr>
          <w:b w:val="0"/>
          <w:bCs w:val="0"/>
        </w:rPr>
      </w:pPr>
      <w:r>
        <w:rPr/>
        <w:t>（3）通过融资租赁租入的固定资产</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left="894" w:right="57"/>
        <w:jc w:val="left"/>
      </w:pPr>
      <w:r>
        <w:rPr/>
        <w:t>□ 适用 √</w:t>
      </w:r>
      <w:r>
        <w:rPr>
          <w:spacing w:val="-2"/>
        </w:rPr>
        <w:t> </w:t>
      </w:r>
      <w:r>
        <w:rPr/>
        <w:t>不适用</w:t>
      </w:r>
    </w:p>
    <w:p>
      <w:pPr>
        <w:spacing w:line="240" w:lineRule="auto" w:before="9"/>
        <w:rPr>
          <w:rFonts w:ascii="宋体" w:hAnsi="宋体" w:cs="宋体" w:eastAsia="宋体" w:hint="default"/>
          <w:sz w:val="25"/>
          <w:szCs w:val="25"/>
        </w:rPr>
      </w:pPr>
    </w:p>
    <w:p>
      <w:pPr>
        <w:pStyle w:val="Heading4"/>
        <w:spacing w:line="240" w:lineRule="auto"/>
        <w:ind w:left="894" w:right="57"/>
        <w:jc w:val="left"/>
        <w:rPr>
          <w:b w:val="0"/>
          <w:bCs w:val="0"/>
        </w:rPr>
      </w:pPr>
      <w:r>
        <w:rPr/>
        <w:t>（4）通过经营租赁租出的固定资产</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left="894" w:right="57"/>
        <w:jc w:val="left"/>
      </w:pPr>
      <w:r>
        <w:rPr/>
        <w:t>□ 适用 √</w:t>
      </w:r>
      <w:r>
        <w:rPr>
          <w:spacing w:val="-2"/>
        </w:rPr>
        <w:t> </w:t>
      </w:r>
      <w:r>
        <w:rPr/>
        <w:t>不适用</w:t>
      </w:r>
    </w:p>
    <w:p>
      <w:pPr>
        <w:spacing w:line="240" w:lineRule="auto" w:before="9"/>
        <w:rPr>
          <w:rFonts w:ascii="宋体" w:hAnsi="宋体" w:cs="宋体" w:eastAsia="宋体" w:hint="default"/>
          <w:sz w:val="25"/>
          <w:szCs w:val="25"/>
        </w:rPr>
      </w:pPr>
    </w:p>
    <w:p>
      <w:pPr>
        <w:pStyle w:val="Heading4"/>
        <w:spacing w:line="240" w:lineRule="auto"/>
        <w:ind w:left="894" w:right="57"/>
        <w:jc w:val="left"/>
        <w:rPr>
          <w:b w:val="0"/>
          <w:bCs w:val="0"/>
        </w:rPr>
      </w:pPr>
      <w:r>
        <w:rPr/>
        <w:t>（5）期末持有待售的固定资产情况</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left="894" w:right="57"/>
        <w:jc w:val="left"/>
      </w:pPr>
      <w:r>
        <w:rPr/>
        <w:t>□ 适用 √</w:t>
      </w:r>
      <w:r>
        <w:rPr>
          <w:spacing w:val="-2"/>
        </w:rPr>
        <w:t> </w:t>
      </w:r>
      <w:r>
        <w:rPr/>
        <w:t>不适用</w:t>
      </w:r>
    </w:p>
    <w:p>
      <w:pPr>
        <w:spacing w:line="240" w:lineRule="auto" w:before="10"/>
        <w:rPr>
          <w:rFonts w:ascii="宋体" w:hAnsi="宋体" w:cs="宋体" w:eastAsia="宋体" w:hint="default"/>
          <w:sz w:val="25"/>
          <w:szCs w:val="25"/>
        </w:rPr>
      </w:pPr>
    </w:p>
    <w:p>
      <w:pPr>
        <w:pStyle w:val="Heading4"/>
        <w:spacing w:line="240" w:lineRule="auto"/>
        <w:ind w:left="894" w:right="57"/>
        <w:jc w:val="left"/>
        <w:rPr>
          <w:b w:val="0"/>
          <w:bCs w:val="0"/>
        </w:rPr>
      </w:pPr>
      <w:r>
        <w:rPr/>
        <w:t>（6）未办妥产权证书的固定资产情况</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left="894" w:right="1007" w:firstLine="419"/>
        <w:jc w:val="both"/>
      </w:pPr>
      <w:r>
        <w:rPr>
          <w:spacing w:val="-8"/>
        </w:rPr>
        <w:t>固定资产说明：本年折旧额：5,339,883.99</w:t>
      </w:r>
      <w:r>
        <w:rPr>
          <w:spacing w:val="-50"/>
        </w:rPr>
        <w:t> </w:t>
      </w:r>
      <w:r>
        <w:rPr>
          <w:spacing w:val="-3"/>
        </w:rPr>
        <w:t>元；本年由在建工程转入固定资产原价为：29,294,307.01</w:t>
      </w:r>
      <w:r>
        <w:rPr/>
        <w:t> 元。固定资产年末数比年初数增加</w:t>
      </w:r>
      <w:r>
        <w:rPr>
          <w:spacing w:val="-64"/>
        </w:rPr>
        <w:t> </w:t>
      </w:r>
      <w:r>
        <w:rPr/>
        <w:t>38,009,949.33</w:t>
      </w:r>
      <w:r>
        <w:rPr>
          <w:spacing w:val="-63"/>
        </w:rPr>
        <w:t> </w:t>
      </w:r>
      <w:r>
        <w:rPr/>
        <w:t>元，增加比例为</w:t>
      </w:r>
      <w:r>
        <w:rPr>
          <w:spacing w:val="-64"/>
        </w:rPr>
        <w:t> </w:t>
      </w:r>
      <w:r>
        <w:rPr/>
        <w:t>56.09%，增加的主要原因为东山建设</w:t>
      </w:r>
      <w:r>
        <w:rPr>
          <w:spacing w:val="-1"/>
        </w:rPr>
        <w:t> </w:t>
      </w:r>
      <w:r>
        <w:rPr/>
        <w:t>基地装修工程完工转入固定资产所致。</w:t>
      </w:r>
    </w:p>
    <w:p>
      <w:pPr>
        <w:spacing w:line="240" w:lineRule="auto" w:before="7"/>
        <w:rPr>
          <w:rFonts w:ascii="宋体" w:hAnsi="宋体" w:cs="宋体" w:eastAsia="宋体" w:hint="default"/>
          <w:sz w:val="23"/>
          <w:szCs w:val="23"/>
        </w:rPr>
      </w:pPr>
    </w:p>
    <w:p>
      <w:pPr>
        <w:pStyle w:val="Heading4"/>
        <w:spacing w:line="240" w:lineRule="auto"/>
        <w:ind w:left="894" w:right="57"/>
        <w:jc w:val="left"/>
        <w:rPr>
          <w:b w:val="0"/>
          <w:bCs w:val="0"/>
        </w:rPr>
      </w:pPr>
      <w:r>
        <w:rPr/>
        <w:t>15、在建工程</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left="894" w:right="57"/>
        <w:jc w:val="left"/>
        <w:rPr>
          <w:b w:val="0"/>
          <w:bCs w:val="0"/>
        </w:rPr>
      </w:pPr>
      <w:r>
        <w:rPr/>
        <w:t>（1）在建工程情况</w:t>
      </w:r>
      <w:r>
        <w:rPr>
          <w:b w:val="0"/>
          <w:bCs w:val="0"/>
        </w:rPr>
      </w:r>
    </w:p>
    <w:p>
      <w:pPr>
        <w:spacing w:line="240" w:lineRule="auto" w:before="11"/>
        <w:rPr>
          <w:rFonts w:ascii="宋体" w:hAnsi="宋体" w:cs="宋体" w:eastAsia="宋体" w:hint="default"/>
          <w:b/>
          <w:bCs/>
          <w:sz w:val="27"/>
          <w:szCs w:val="27"/>
        </w:rPr>
      </w:pPr>
    </w:p>
    <w:p>
      <w:pPr>
        <w:spacing w:before="0"/>
        <w:ind w:left="0" w:right="100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878" w:type="dxa"/>
        <w:tblLayout w:type="fixed"/>
        <w:tblCellMar>
          <w:top w:w="0" w:type="dxa"/>
          <w:left w:w="0" w:type="dxa"/>
          <w:bottom w:w="0" w:type="dxa"/>
          <w:right w:w="0" w:type="dxa"/>
        </w:tblCellMar>
        <w:tblLook w:val="01E0"/>
      </w:tblPr>
      <w:tblGrid>
        <w:gridCol w:w="2266"/>
        <w:gridCol w:w="1195"/>
        <w:gridCol w:w="1195"/>
        <w:gridCol w:w="1194"/>
        <w:gridCol w:w="1195"/>
        <w:gridCol w:w="1195"/>
        <w:gridCol w:w="1327"/>
      </w:tblGrid>
      <w:tr>
        <w:trPr>
          <w:trHeight w:val="413" w:hRule="exact"/>
        </w:trPr>
        <w:tc>
          <w:tcPr>
            <w:tcW w:w="2266" w:type="dxa"/>
            <w:vMerge w:val="restart"/>
            <w:tcBorders>
              <w:top w:val="single" w:sz="12" w:space="0" w:color="000000"/>
              <w:left w:val="single" w:sz="12" w:space="0" w:color="000000"/>
              <w:right w:val="single" w:sz="6" w:space="0" w:color="000000"/>
            </w:tcBorders>
            <w:shd w:val="clear" w:color="auto" w:fill="D3D3D3"/>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584" w:type="dxa"/>
            <w:gridSpan w:val="3"/>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7" w:type="dxa"/>
            <w:gridSpan w:val="3"/>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8" w:hRule="exact"/>
        </w:trPr>
        <w:tc>
          <w:tcPr>
            <w:tcW w:w="2266" w:type="dxa"/>
            <w:vMerge/>
            <w:tcBorders>
              <w:left w:val="single" w:sz="12" w:space="0" w:color="000000"/>
              <w:bottom w:val="single" w:sz="6" w:space="0" w:color="000000"/>
              <w:right w:val="single" w:sz="6" w:space="0" w:color="000000"/>
            </w:tcBorders>
            <w:shd w:val="clear" w:color="auto" w:fill="D3D3D3"/>
          </w:tcPr>
          <w:p>
            <w:pPr/>
          </w:p>
        </w:tc>
        <w:tc>
          <w:tcPr>
            <w:tcW w:w="1195"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2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23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2"/>
              <w:ind w:left="29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7" w:hRule="exact"/>
        </w:trPr>
        <w:tc>
          <w:tcPr>
            <w:tcW w:w="22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东山建设基地装修工程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7" w:right="0"/>
              <w:jc w:val="center"/>
              <w:rPr>
                <w:rFonts w:ascii="宋体" w:hAnsi="宋体" w:cs="宋体" w:eastAsia="宋体" w:hint="default"/>
                <w:sz w:val="18"/>
                <w:szCs w:val="18"/>
              </w:rPr>
            </w:pPr>
            <w:r>
              <w:rPr>
                <w:rFonts w:ascii="宋体"/>
                <w:sz w:val="18"/>
              </w:rPr>
              <w:t>1,883,750.00</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1,883,750.00</w:t>
            </w:r>
          </w:p>
        </w:tc>
      </w:tr>
      <w:tr>
        <w:trPr>
          <w:trHeight w:val="407" w:hRule="exact"/>
        </w:trPr>
        <w:tc>
          <w:tcPr>
            <w:tcW w:w="22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空调设备</w:t>
            </w:r>
          </w:p>
        </w:tc>
        <w:tc>
          <w:tcPr>
            <w:tcW w:w="1195"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7" w:right="0"/>
              <w:jc w:val="center"/>
              <w:rPr>
                <w:rFonts w:ascii="宋体" w:hAnsi="宋体" w:cs="宋体" w:eastAsia="宋体" w:hint="default"/>
                <w:sz w:val="18"/>
                <w:szCs w:val="18"/>
              </w:rPr>
            </w:pPr>
            <w:r>
              <w:rPr>
                <w:rFonts w:ascii="宋体"/>
                <w:sz w:val="18"/>
              </w:rPr>
              <w:t>2,130,305.00</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2,130,305.00</w:t>
            </w:r>
          </w:p>
        </w:tc>
      </w:tr>
      <w:tr>
        <w:trPr>
          <w:trHeight w:val="407" w:hRule="exact"/>
        </w:trPr>
        <w:tc>
          <w:tcPr>
            <w:tcW w:w="22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专变自动测试平台</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124,886.96</w:t>
            </w:r>
          </w:p>
        </w:tc>
        <w:tc>
          <w:tcPr>
            <w:tcW w:w="1195"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124,886.96</w:t>
            </w:r>
          </w:p>
        </w:tc>
        <w:tc>
          <w:tcPr>
            <w:tcW w:w="1195"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2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无线采集器单表位测试台</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22,066.78</w:t>
            </w:r>
          </w:p>
        </w:tc>
        <w:tc>
          <w:tcPr>
            <w:tcW w:w="1195"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22,066.78</w:t>
            </w:r>
          </w:p>
        </w:tc>
        <w:tc>
          <w:tcPr>
            <w:tcW w:w="1195"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2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集中器自动测试平台</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5,498.29</w:t>
            </w:r>
          </w:p>
        </w:tc>
        <w:tc>
          <w:tcPr>
            <w:tcW w:w="1195"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5,498.29</w:t>
            </w:r>
          </w:p>
        </w:tc>
        <w:tc>
          <w:tcPr>
            <w:tcW w:w="1195"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2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采集器自动测试平台</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34,933.34</w:t>
            </w:r>
          </w:p>
        </w:tc>
        <w:tc>
          <w:tcPr>
            <w:tcW w:w="1195"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34,933.34</w:t>
            </w:r>
          </w:p>
        </w:tc>
        <w:tc>
          <w:tcPr>
            <w:tcW w:w="1195"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2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生产与中试基地工程</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9,372,932.96</w:t>
            </w:r>
          </w:p>
        </w:tc>
        <w:tc>
          <w:tcPr>
            <w:tcW w:w="1195"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9,372,932.96</w:t>
            </w:r>
          </w:p>
        </w:tc>
        <w:tc>
          <w:tcPr>
            <w:tcW w:w="1195"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2266"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9,560,318.33</w:t>
            </w:r>
          </w:p>
        </w:tc>
        <w:tc>
          <w:tcPr>
            <w:tcW w:w="1195" w:type="dxa"/>
            <w:tcBorders>
              <w:top w:val="single" w:sz="6" w:space="0" w:color="000000"/>
              <w:left w:val="single" w:sz="6" w:space="0" w:color="000000"/>
              <w:bottom w:val="single" w:sz="12" w:space="0" w:color="000000"/>
              <w:right w:val="single" w:sz="6" w:space="0" w:color="000000"/>
            </w:tcBorders>
          </w:tcPr>
          <w:p>
            <w:pPr/>
          </w:p>
        </w:tc>
        <w:tc>
          <w:tcPr>
            <w:tcW w:w="1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9,560,318.33</w:t>
            </w:r>
          </w:p>
        </w:tc>
        <w:tc>
          <w:tcPr>
            <w:tcW w:w="11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57" w:right="0"/>
              <w:jc w:val="center"/>
              <w:rPr>
                <w:rFonts w:ascii="宋体" w:hAnsi="宋体" w:cs="宋体" w:eastAsia="宋体" w:hint="default"/>
                <w:sz w:val="18"/>
                <w:szCs w:val="18"/>
              </w:rPr>
            </w:pPr>
            <w:r>
              <w:rPr>
                <w:rFonts w:ascii="宋体"/>
                <w:sz w:val="18"/>
              </w:rPr>
              <w:t>4,014,055.00</w:t>
            </w:r>
          </w:p>
        </w:tc>
        <w:tc>
          <w:tcPr>
            <w:tcW w:w="1195" w:type="dxa"/>
            <w:tcBorders>
              <w:top w:val="single" w:sz="6" w:space="0" w:color="000000"/>
              <w:left w:val="single" w:sz="6" w:space="0" w:color="000000"/>
              <w:bottom w:val="single" w:sz="12" w:space="0" w:color="000000"/>
              <w:right w:val="single" w:sz="6" w:space="0" w:color="000000"/>
            </w:tcBorders>
          </w:tcPr>
          <w:p>
            <w:pPr/>
          </w:p>
        </w:tc>
        <w:tc>
          <w:tcPr>
            <w:tcW w:w="132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4,014,055.00</w:t>
            </w:r>
          </w:p>
        </w:tc>
      </w:tr>
    </w:tbl>
    <w:p>
      <w:pPr>
        <w:spacing w:line="240" w:lineRule="auto" w:before="2"/>
        <w:rPr>
          <w:rFonts w:ascii="宋体" w:hAnsi="宋体" w:cs="宋体" w:eastAsia="宋体" w:hint="default"/>
          <w:sz w:val="19"/>
          <w:szCs w:val="19"/>
        </w:rPr>
      </w:pPr>
    </w:p>
    <w:p>
      <w:pPr>
        <w:pStyle w:val="Heading4"/>
        <w:spacing w:line="240" w:lineRule="auto" w:before="35"/>
        <w:ind w:left="894" w:right="57"/>
        <w:jc w:val="left"/>
        <w:rPr>
          <w:b w:val="0"/>
          <w:bCs w:val="0"/>
        </w:rPr>
      </w:pPr>
      <w:r>
        <w:rPr/>
        <w:t>（2）重大在建工程项目变动情况</w:t>
      </w:r>
      <w:r>
        <w:rPr>
          <w:b w:val="0"/>
          <w:bCs w:val="0"/>
        </w:rPr>
      </w:r>
    </w:p>
    <w:p>
      <w:pPr>
        <w:spacing w:line="240" w:lineRule="auto" w:before="5"/>
        <w:rPr>
          <w:rFonts w:ascii="宋体" w:hAnsi="宋体" w:cs="宋体" w:eastAsia="宋体" w:hint="default"/>
          <w:b/>
          <w:bCs/>
          <w:sz w:val="24"/>
          <w:szCs w:val="24"/>
        </w:rPr>
      </w:pPr>
    </w:p>
    <w:p>
      <w:pPr>
        <w:spacing w:before="44"/>
        <w:ind w:left="0" w:right="100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736"/>
        <w:gridCol w:w="1392"/>
        <w:gridCol w:w="1274"/>
        <w:gridCol w:w="1277"/>
        <w:gridCol w:w="1242"/>
        <w:gridCol w:w="425"/>
        <w:gridCol w:w="566"/>
        <w:gridCol w:w="709"/>
        <w:gridCol w:w="425"/>
        <w:gridCol w:w="568"/>
        <w:gridCol w:w="566"/>
        <w:gridCol w:w="709"/>
        <w:gridCol w:w="1276"/>
      </w:tblGrid>
      <w:tr>
        <w:trPr>
          <w:trHeight w:val="348" w:hRule="exact"/>
        </w:trPr>
        <w:tc>
          <w:tcPr>
            <w:tcW w:w="736" w:type="dxa"/>
            <w:tcBorders>
              <w:top w:val="single" w:sz="12" w:space="0" w:color="000000"/>
              <w:left w:val="single" w:sz="12" w:space="0" w:color="000000"/>
              <w:bottom w:val="nil" w:sz="6" w:space="0" w:color="auto"/>
              <w:right w:val="single" w:sz="6" w:space="0" w:color="000000"/>
            </w:tcBorders>
            <w:shd w:val="clear" w:color="auto" w:fill="D3D3D3"/>
          </w:tcPr>
          <w:p>
            <w:pPr/>
          </w:p>
        </w:tc>
        <w:tc>
          <w:tcPr>
            <w:tcW w:w="1392" w:type="dxa"/>
            <w:tcBorders>
              <w:top w:val="single" w:sz="12" w:space="0" w:color="000000"/>
              <w:left w:val="single" w:sz="6" w:space="0" w:color="000000"/>
              <w:bottom w:val="nil" w:sz="6" w:space="0" w:color="auto"/>
              <w:right w:val="single" w:sz="6" w:space="0" w:color="000000"/>
            </w:tcBorders>
            <w:shd w:val="clear" w:color="auto" w:fill="D3D3D3"/>
          </w:tcPr>
          <w:p>
            <w:pPr/>
          </w:p>
        </w:tc>
        <w:tc>
          <w:tcPr>
            <w:tcW w:w="1274" w:type="dxa"/>
            <w:tcBorders>
              <w:top w:val="single" w:sz="12" w:space="0" w:color="000000"/>
              <w:left w:val="single" w:sz="6" w:space="0" w:color="000000"/>
              <w:bottom w:val="nil" w:sz="6" w:space="0" w:color="auto"/>
              <w:right w:val="single" w:sz="6" w:space="0" w:color="000000"/>
            </w:tcBorders>
            <w:shd w:val="clear" w:color="auto" w:fill="D3D3D3"/>
          </w:tcPr>
          <w:p>
            <w:pPr/>
          </w:p>
        </w:tc>
        <w:tc>
          <w:tcPr>
            <w:tcW w:w="1277" w:type="dxa"/>
            <w:tcBorders>
              <w:top w:val="single" w:sz="12" w:space="0" w:color="000000"/>
              <w:left w:val="single" w:sz="6" w:space="0" w:color="000000"/>
              <w:bottom w:val="nil" w:sz="6" w:space="0" w:color="auto"/>
              <w:right w:val="single" w:sz="6" w:space="0" w:color="000000"/>
            </w:tcBorders>
            <w:shd w:val="clear" w:color="auto" w:fill="D3D3D3"/>
          </w:tcPr>
          <w:p>
            <w:pPr/>
          </w:p>
        </w:tc>
        <w:tc>
          <w:tcPr>
            <w:tcW w:w="1242" w:type="dxa"/>
            <w:tcBorders>
              <w:top w:val="single" w:sz="12" w:space="0" w:color="000000"/>
              <w:left w:val="single" w:sz="6" w:space="0" w:color="000000"/>
              <w:bottom w:val="nil" w:sz="6" w:space="0" w:color="auto"/>
              <w:right w:val="single" w:sz="6" w:space="0" w:color="000000"/>
            </w:tcBorders>
            <w:shd w:val="clear" w:color="auto" w:fill="D3D3D3"/>
          </w:tcPr>
          <w:p>
            <w:pPr/>
          </w:p>
        </w:tc>
        <w:tc>
          <w:tcPr>
            <w:tcW w:w="425" w:type="dxa"/>
            <w:tcBorders>
              <w:top w:val="single" w:sz="12" w:space="0" w:color="000000"/>
              <w:left w:val="single" w:sz="6" w:space="0" w:color="000000"/>
              <w:bottom w:val="nil" w:sz="6" w:space="0" w:color="auto"/>
              <w:right w:val="single" w:sz="6" w:space="0" w:color="000000"/>
            </w:tcBorders>
            <w:shd w:val="clear" w:color="auto" w:fill="D3D3D3"/>
          </w:tcPr>
          <w:p>
            <w:pPr/>
          </w:p>
        </w:tc>
        <w:tc>
          <w:tcPr>
            <w:tcW w:w="566" w:type="dxa"/>
            <w:tcBorders>
              <w:top w:val="single" w:sz="12" w:space="0" w:color="000000"/>
              <w:left w:val="single" w:sz="6" w:space="0" w:color="000000"/>
              <w:bottom w:val="nil" w:sz="6" w:space="0" w:color="auto"/>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工程</w:t>
            </w:r>
          </w:p>
        </w:tc>
        <w:tc>
          <w:tcPr>
            <w:tcW w:w="709" w:type="dxa"/>
            <w:tcBorders>
              <w:top w:val="single" w:sz="12" w:space="0" w:color="000000"/>
              <w:left w:val="single" w:sz="6" w:space="0" w:color="000000"/>
              <w:bottom w:val="nil" w:sz="6" w:space="0" w:color="auto"/>
              <w:right w:val="single" w:sz="6" w:space="0" w:color="000000"/>
            </w:tcBorders>
            <w:shd w:val="clear" w:color="auto" w:fill="D3D3D3"/>
          </w:tcPr>
          <w:p>
            <w:pPr/>
          </w:p>
        </w:tc>
        <w:tc>
          <w:tcPr>
            <w:tcW w:w="425" w:type="dxa"/>
            <w:tcBorders>
              <w:top w:val="single" w:sz="12" w:space="0" w:color="000000"/>
              <w:left w:val="single" w:sz="6" w:space="0" w:color="000000"/>
              <w:bottom w:val="nil" w:sz="6" w:space="0" w:color="auto"/>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利息</w:t>
            </w:r>
          </w:p>
        </w:tc>
        <w:tc>
          <w:tcPr>
            <w:tcW w:w="568" w:type="dxa"/>
            <w:tcBorders>
              <w:top w:val="single" w:sz="12" w:space="0" w:color="000000"/>
              <w:left w:val="single" w:sz="6" w:space="0" w:color="000000"/>
              <w:bottom w:val="nil" w:sz="6" w:space="0" w:color="auto"/>
              <w:right w:val="single" w:sz="6" w:space="0" w:color="000000"/>
            </w:tcBorders>
            <w:shd w:val="clear" w:color="auto" w:fill="D3D3D3"/>
          </w:tcPr>
          <w:p>
            <w:pPr>
              <w:pStyle w:val="TableParagraph"/>
              <w:spacing w:line="240" w:lineRule="auto" w:before="51"/>
              <w:ind w:left="21" w:right="-9"/>
              <w:jc w:val="center"/>
              <w:rPr>
                <w:rFonts w:ascii="宋体" w:hAnsi="宋体" w:cs="宋体" w:eastAsia="宋体" w:hint="default"/>
                <w:sz w:val="18"/>
                <w:szCs w:val="18"/>
              </w:rPr>
            </w:pPr>
            <w:r>
              <w:rPr>
                <w:rFonts w:ascii="宋体" w:hAnsi="宋体" w:cs="宋体" w:eastAsia="宋体" w:hint="default"/>
                <w:sz w:val="18"/>
                <w:szCs w:val="18"/>
              </w:rPr>
              <w:t>其中：</w:t>
            </w:r>
          </w:p>
        </w:tc>
        <w:tc>
          <w:tcPr>
            <w:tcW w:w="566" w:type="dxa"/>
            <w:tcBorders>
              <w:top w:val="single" w:sz="12" w:space="0" w:color="000000"/>
              <w:left w:val="single" w:sz="6" w:space="0" w:color="000000"/>
              <w:bottom w:val="nil" w:sz="6" w:space="0" w:color="auto"/>
              <w:right w:val="single" w:sz="6" w:space="0" w:color="000000"/>
            </w:tcBorders>
            <w:shd w:val="clear" w:color="auto" w:fill="D3D3D3"/>
          </w:tcPr>
          <w:p>
            <w:pPr>
              <w:pStyle w:val="TableParagraph"/>
              <w:spacing w:line="240" w:lineRule="auto" w:before="51"/>
              <w:ind w:right="95"/>
              <w:jc w:val="right"/>
              <w:rPr>
                <w:rFonts w:ascii="宋体" w:hAnsi="宋体" w:cs="宋体" w:eastAsia="宋体" w:hint="default"/>
                <w:sz w:val="18"/>
                <w:szCs w:val="18"/>
              </w:rPr>
            </w:pPr>
            <w:r>
              <w:rPr>
                <w:rFonts w:ascii="宋体" w:hAnsi="宋体" w:cs="宋体" w:eastAsia="宋体" w:hint="default"/>
                <w:sz w:val="18"/>
                <w:szCs w:val="18"/>
              </w:rPr>
              <w:t>本期</w:t>
            </w:r>
          </w:p>
        </w:tc>
        <w:tc>
          <w:tcPr>
            <w:tcW w:w="709" w:type="dxa"/>
            <w:tcBorders>
              <w:top w:val="single" w:sz="12" w:space="0" w:color="000000"/>
              <w:left w:val="single" w:sz="6" w:space="0" w:color="000000"/>
              <w:bottom w:val="nil" w:sz="6" w:space="0" w:color="auto"/>
              <w:right w:val="single" w:sz="6" w:space="0" w:color="000000"/>
            </w:tcBorders>
            <w:shd w:val="clear" w:color="auto" w:fill="D3D3D3"/>
          </w:tcPr>
          <w:p>
            <w:pPr/>
          </w:p>
        </w:tc>
        <w:tc>
          <w:tcPr>
            <w:tcW w:w="1276" w:type="dxa"/>
            <w:tcBorders>
              <w:top w:val="single" w:sz="12" w:space="0" w:color="000000"/>
              <w:left w:val="single" w:sz="6" w:space="0" w:color="000000"/>
              <w:bottom w:val="nil" w:sz="6" w:space="0" w:color="auto"/>
              <w:right w:val="single" w:sz="12" w:space="0" w:color="000000"/>
            </w:tcBorders>
            <w:shd w:val="clear" w:color="auto" w:fill="D3D3D3"/>
          </w:tcPr>
          <w:p>
            <w:pPr/>
          </w:p>
        </w:tc>
      </w:tr>
      <w:tr>
        <w:trPr>
          <w:trHeight w:val="644" w:hRule="exact"/>
        </w:trPr>
        <w:tc>
          <w:tcPr>
            <w:tcW w:w="736" w:type="dxa"/>
            <w:tcBorders>
              <w:top w:val="nil" w:sz="6" w:space="0" w:color="auto"/>
              <w:left w:val="single" w:sz="12" w:space="0" w:color="000000"/>
              <w:bottom w:val="nil" w:sz="6" w:space="0" w:color="auto"/>
              <w:right w:val="single" w:sz="6" w:space="0" w:color="000000"/>
            </w:tcBorders>
            <w:shd w:val="clear" w:color="auto" w:fill="D3D3D3"/>
          </w:tcPr>
          <w:p>
            <w:pPr>
              <w:pStyle w:val="TableParagraph"/>
              <w:spacing w:line="316" w:lineRule="auto" w:before="11"/>
              <w:ind w:left="263"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1392" w:type="dxa"/>
            <w:tcBorders>
              <w:top w:val="nil" w:sz="6" w:space="0" w:color="auto"/>
              <w:left w:val="single" w:sz="6" w:space="0" w:color="000000"/>
              <w:bottom w:val="nil" w:sz="6" w:space="0" w:color="auto"/>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274" w:type="dxa"/>
            <w:tcBorders>
              <w:top w:val="nil" w:sz="6" w:space="0" w:color="auto"/>
              <w:left w:val="single" w:sz="6" w:space="0" w:color="000000"/>
              <w:bottom w:val="nil" w:sz="6" w:space="0" w:color="auto"/>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77" w:type="dxa"/>
            <w:tcBorders>
              <w:top w:val="nil" w:sz="6" w:space="0" w:color="auto"/>
              <w:left w:val="single" w:sz="6" w:space="0" w:color="000000"/>
              <w:bottom w:val="nil" w:sz="6" w:space="0" w:color="auto"/>
              <w:right w:val="single" w:sz="6"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42" w:type="dxa"/>
            <w:tcBorders>
              <w:top w:val="nil" w:sz="6" w:space="0" w:color="auto"/>
              <w:left w:val="single" w:sz="6" w:space="0" w:color="000000"/>
              <w:bottom w:val="nil" w:sz="6" w:space="0" w:color="auto"/>
              <w:right w:val="single" w:sz="6" w:space="0" w:color="000000"/>
            </w:tcBorders>
            <w:shd w:val="clear" w:color="auto" w:fill="D3D3D3"/>
          </w:tcPr>
          <w:p>
            <w:pPr>
              <w:pStyle w:val="TableParagraph"/>
              <w:spacing w:line="360" w:lineRule="auto"/>
              <w:ind w:left="433" w:right="252" w:hanging="180"/>
              <w:jc w:val="left"/>
              <w:rPr>
                <w:rFonts w:ascii="宋体" w:hAnsi="宋体" w:cs="宋体" w:eastAsia="宋体" w:hint="default"/>
                <w:sz w:val="18"/>
                <w:szCs w:val="18"/>
              </w:rPr>
            </w:pPr>
            <w:r>
              <w:rPr>
                <w:rFonts w:ascii="宋体" w:hAnsi="宋体" w:cs="宋体" w:eastAsia="宋体" w:hint="default"/>
                <w:sz w:val="18"/>
                <w:szCs w:val="18"/>
              </w:rPr>
              <w:t>转入固定 资产</w:t>
            </w:r>
          </w:p>
        </w:tc>
        <w:tc>
          <w:tcPr>
            <w:tcW w:w="425" w:type="dxa"/>
            <w:tcBorders>
              <w:top w:val="nil" w:sz="6" w:space="0" w:color="auto"/>
              <w:left w:val="single" w:sz="6" w:space="0" w:color="000000"/>
              <w:bottom w:val="nil" w:sz="6" w:space="0" w:color="auto"/>
              <w:right w:val="single" w:sz="6" w:space="0" w:color="000000"/>
            </w:tcBorders>
            <w:shd w:val="clear" w:color="auto" w:fill="D3D3D3"/>
          </w:tcPr>
          <w:p>
            <w:pPr>
              <w:pStyle w:val="TableParagraph"/>
              <w:spacing w:line="316" w:lineRule="auto" w:before="11"/>
              <w:ind w:left="23" w:right="24"/>
              <w:jc w:val="left"/>
              <w:rPr>
                <w:rFonts w:ascii="宋体" w:hAnsi="宋体" w:cs="宋体" w:eastAsia="宋体" w:hint="default"/>
                <w:sz w:val="18"/>
                <w:szCs w:val="18"/>
              </w:rPr>
            </w:pPr>
            <w:r>
              <w:rPr>
                <w:rFonts w:ascii="宋体" w:hAnsi="宋体" w:cs="宋体" w:eastAsia="宋体" w:hint="default"/>
                <w:sz w:val="18"/>
                <w:szCs w:val="18"/>
              </w:rPr>
              <w:t>其他 减少</w:t>
            </w:r>
          </w:p>
        </w:tc>
        <w:tc>
          <w:tcPr>
            <w:tcW w:w="566" w:type="dxa"/>
            <w:tcBorders>
              <w:top w:val="nil" w:sz="6" w:space="0" w:color="auto"/>
              <w:left w:val="single" w:sz="6" w:space="0" w:color="000000"/>
              <w:bottom w:val="nil" w:sz="6" w:space="0" w:color="auto"/>
              <w:right w:val="single" w:sz="6" w:space="0" w:color="000000"/>
            </w:tcBorders>
            <w:shd w:val="clear" w:color="auto" w:fill="D3D3D3"/>
          </w:tcPr>
          <w:p>
            <w:pPr>
              <w:pStyle w:val="TableParagraph"/>
              <w:spacing w:line="316" w:lineRule="auto" w:before="30"/>
              <w:ind w:left="95" w:right="95"/>
              <w:jc w:val="left"/>
              <w:rPr>
                <w:rFonts w:ascii="宋体" w:hAnsi="宋体" w:cs="宋体" w:eastAsia="宋体" w:hint="default"/>
                <w:sz w:val="18"/>
                <w:szCs w:val="18"/>
              </w:rPr>
            </w:pPr>
            <w:r>
              <w:rPr>
                <w:rFonts w:ascii="宋体" w:hAnsi="宋体" w:cs="宋体" w:eastAsia="宋体" w:hint="default"/>
                <w:sz w:val="18"/>
                <w:szCs w:val="18"/>
              </w:rPr>
              <w:t>投入 占预</w:t>
            </w:r>
          </w:p>
        </w:tc>
        <w:tc>
          <w:tcPr>
            <w:tcW w:w="709" w:type="dxa"/>
            <w:tcBorders>
              <w:top w:val="nil" w:sz="6" w:space="0" w:color="auto"/>
              <w:left w:val="single" w:sz="6" w:space="0" w:color="000000"/>
              <w:bottom w:val="nil" w:sz="6" w:space="0" w:color="auto"/>
              <w:right w:val="single" w:sz="6" w:space="0" w:color="000000"/>
            </w:tcBorders>
            <w:shd w:val="clear" w:color="auto" w:fill="D3D3D3"/>
          </w:tcPr>
          <w:p>
            <w:pPr>
              <w:pStyle w:val="TableParagraph"/>
              <w:spacing w:line="316" w:lineRule="auto" w:before="11"/>
              <w:ind w:left="122" w:right="74" w:hanging="45"/>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425" w:type="dxa"/>
            <w:tcBorders>
              <w:top w:val="nil" w:sz="6" w:space="0" w:color="auto"/>
              <w:left w:val="single" w:sz="6" w:space="0" w:color="000000"/>
              <w:bottom w:val="nil" w:sz="6" w:space="0" w:color="auto"/>
              <w:right w:val="single" w:sz="6" w:space="0" w:color="000000"/>
            </w:tcBorders>
            <w:shd w:val="clear" w:color="auto" w:fill="D3D3D3"/>
          </w:tcPr>
          <w:p>
            <w:pPr>
              <w:pStyle w:val="TableParagraph"/>
              <w:spacing w:line="316" w:lineRule="auto" w:before="30"/>
              <w:ind w:left="25" w:right="23"/>
              <w:jc w:val="left"/>
              <w:rPr>
                <w:rFonts w:ascii="宋体" w:hAnsi="宋体" w:cs="宋体" w:eastAsia="宋体" w:hint="default"/>
                <w:sz w:val="18"/>
                <w:szCs w:val="18"/>
              </w:rPr>
            </w:pPr>
            <w:r>
              <w:rPr>
                <w:rFonts w:ascii="宋体" w:hAnsi="宋体" w:cs="宋体" w:eastAsia="宋体" w:hint="default"/>
                <w:sz w:val="18"/>
                <w:szCs w:val="18"/>
              </w:rPr>
              <w:t>资本 化累</w:t>
            </w:r>
          </w:p>
        </w:tc>
        <w:tc>
          <w:tcPr>
            <w:tcW w:w="568" w:type="dxa"/>
            <w:tcBorders>
              <w:top w:val="nil" w:sz="6" w:space="0" w:color="auto"/>
              <w:left w:val="single" w:sz="6" w:space="0" w:color="000000"/>
              <w:bottom w:val="nil" w:sz="6" w:space="0" w:color="auto"/>
              <w:right w:val="single" w:sz="6" w:space="0" w:color="000000"/>
            </w:tcBorders>
            <w:shd w:val="clear" w:color="auto" w:fill="D3D3D3"/>
          </w:tcPr>
          <w:p>
            <w:pPr>
              <w:pStyle w:val="TableParagraph"/>
              <w:spacing w:line="316" w:lineRule="auto" w:before="30"/>
              <w:ind w:left="97" w:right="95"/>
              <w:jc w:val="left"/>
              <w:rPr>
                <w:rFonts w:ascii="宋体" w:hAnsi="宋体" w:cs="宋体" w:eastAsia="宋体" w:hint="default"/>
                <w:sz w:val="18"/>
                <w:szCs w:val="18"/>
              </w:rPr>
            </w:pPr>
            <w:r>
              <w:rPr>
                <w:rFonts w:ascii="宋体" w:hAnsi="宋体" w:cs="宋体" w:eastAsia="宋体" w:hint="default"/>
                <w:sz w:val="18"/>
                <w:szCs w:val="18"/>
              </w:rPr>
              <w:t>本期 利息</w:t>
            </w:r>
          </w:p>
        </w:tc>
        <w:tc>
          <w:tcPr>
            <w:tcW w:w="566" w:type="dxa"/>
            <w:tcBorders>
              <w:top w:val="nil" w:sz="6" w:space="0" w:color="auto"/>
              <w:left w:val="single" w:sz="6" w:space="0" w:color="000000"/>
              <w:bottom w:val="nil" w:sz="6" w:space="0" w:color="auto"/>
              <w:right w:val="single" w:sz="6" w:space="0" w:color="000000"/>
            </w:tcBorders>
            <w:shd w:val="clear" w:color="auto" w:fill="D3D3D3"/>
          </w:tcPr>
          <w:p>
            <w:pPr>
              <w:pStyle w:val="TableParagraph"/>
              <w:spacing w:line="316" w:lineRule="auto" w:before="30"/>
              <w:ind w:left="95" w:right="95"/>
              <w:jc w:val="left"/>
              <w:rPr>
                <w:rFonts w:ascii="宋体" w:hAnsi="宋体" w:cs="宋体" w:eastAsia="宋体" w:hint="default"/>
                <w:sz w:val="18"/>
                <w:szCs w:val="18"/>
              </w:rPr>
            </w:pPr>
            <w:r>
              <w:rPr>
                <w:rFonts w:ascii="宋体" w:hAnsi="宋体" w:cs="宋体" w:eastAsia="宋体" w:hint="default"/>
                <w:sz w:val="18"/>
                <w:szCs w:val="18"/>
              </w:rPr>
              <w:t>利息 资本</w:t>
            </w:r>
          </w:p>
        </w:tc>
        <w:tc>
          <w:tcPr>
            <w:tcW w:w="709" w:type="dxa"/>
            <w:tcBorders>
              <w:top w:val="nil" w:sz="6" w:space="0" w:color="auto"/>
              <w:left w:val="single" w:sz="6" w:space="0" w:color="000000"/>
              <w:bottom w:val="nil" w:sz="6" w:space="0" w:color="auto"/>
              <w:right w:val="single" w:sz="6" w:space="0" w:color="000000"/>
            </w:tcBorders>
            <w:shd w:val="clear" w:color="auto" w:fill="D3D3D3"/>
          </w:tcPr>
          <w:p>
            <w:pPr>
              <w:pStyle w:val="TableParagraph"/>
              <w:spacing w:line="316" w:lineRule="auto" w:before="11"/>
              <w:ind w:left="258" w:right="74"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1276" w:type="dxa"/>
            <w:tcBorders>
              <w:top w:val="nil" w:sz="6" w:space="0" w:color="auto"/>
              <w:left w:val="single" w:sz="6" w:space="0" w:color="000000"/>
              <w:bottom w:val="nil" w:sz="6" w:space="0" w:color="auto"/>
              <w:right w:val="single" w:sz="12"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26" w:hRule="exact"/>
        </w:trPr>
        <w:tc>
          <w:tcPr>
            <w:tcW w:w="736" w:type="dxa"/>
            <w:tcBorders>
              <w:top w:val="nil" w:sz="6" w:space="0" w:color="auto"/>
              <w:left w:val="single" w:sz="12" w:space="0" w:color="000000"/>
              <w:bottom w:val="single" w:sz="12" w:space="0" w:color="000000"/>
              <w:right w:val="single" w:sz="6" w:space="0" w:color="000000"/>
            </w:tcBorders>
            <w:shd w:val="clear" w:color="auto" w:fill="D3D3D3"/>
          </w:tcPr>
          <w:p>
            <w:pPr/>
          </w:p>
        </w:tc>
        <w:tc>
          <w:tcPr>
            <w:tcW w:w="1392" w:type="dxa"/>
            <w:tcBorders>
              <w:top w:val="nil" w:sz="6" w:space="0" w:color="auto"/>
              <w:left w:val="single" w:sz="6" w:space="0" w:color="000000"/>
              <w:bottom w:val="single" w:sz="12" w:space="0" w:color="000000"/>
              <w:right w:val="single" w:sz="6" w:space="0" w:color="000000"/>
            </w:tcBorders>
            <w:shd w:val="clear" w:color="auto" w:fill="D3D3D3"/>
          </w:tcPr>
          <w:p>
            <w:pPr/>
          </w:p>
        </w:tc>
        <w:tc>
          <w:tcPr>
            <w:tcW w:w="1274" w:type="dxa"/>
            <w:tcBorders>
              <w:top w:val="nil" w:sz="6" w:space="0" w:color="auto"/>
              <w:left w:val="single" w:sz="6" w:space="0" w:color="000000"/>
              <w:bottom w:val="single" w:sz="12" w:space="0" w:color="000000"/>
              <w:right w:val="single" w:sz="6" w:space="0" w:color="000000"/>
            </w:tcBorders>
            <w:shd w:val="clear" w:color="auto" w:fill="D3D3D3"/>
          </w:tcPr>
          <w:p>
            <w:pPr/>
          </w:p>
        </w:tc>
        <w:tc>
          <w:tcPr>
            <w:tcW w:w="1277" w:type="dxa"/>
            <w:tcBorders>
              <w:top w:val="nil" w:sz="6" w:space="0" w:color="auto"/>
              <w:left w:val="single" w:sz="6" w:space="0" w:color="000000"/>
              <w:bottom w:val="single" w:sz="12" w:space="0" w:color="000000"/>
              <w:right w:val="single" w:sz="6" w:space="0" w:color="000000"/>
            </w:tcBorders>
            <w:shd w:val="clear" w:color="auto" w:fill="D3D3D3"/>
          </w:tcPr>
          <w:p>
            <w:pPr/>
          </w:p>
        </w:tc>
        <w:tc>
          <w:tcPr>
            <w:tcW w:w="1242" w:type="dxa"/>
            <w:tcBorders>
              <w:top w:val="nil" w:sz="6" w:space="0" w:color="auto"/>
              <w:left w:val="single" w:sz="6" w:space="0" w:color="000000"/>
              <w:bottom w:val="single" w:sz="12" w:space="0" w:color="000000"/>
              <w:right w:val="single" w:sz="6" w:space="0" w:color="000000"/>
            </w:tcBorders>
            <w:shd w:val="clear" w:color="auto" w:fill="D3D3D3"/>
          </w:tcPr>
          <w:p>
            <w:pPr/>
          </w:p>
        </w:tc>
        <w:tc>
          <w:tcPr>
            <w:tcW w:w="425" w:type="dxa"/>
            <w:tcBorders>
              <w:top w:val="nil" w:sz="6" w:space="0" w:color="auto"/>
              <w:left w:val="single" w:sz="6" w:space="0" w:color="000000"/>
              <w:bottom w:val="single" w:sz="12" w:space="0" w:color="000000"/>
              <w:right w:val="single" w:sz="6" w:space="0" w:color="000000"/>
            </w:tcBorders>
            <w:shd w:val="clear" w:color="auto" w:fill="D3D3D3"/>
          </w:tcPr>
          <w:p>
            <w:pPr/>
          </w:p>
        </w:tc>
        <w:tc>
          <w:tcPr>
            <w:tcW w:w="566" w:type="dxa"/>
            <w:tcBorders>
              <w:top w:val="nil" w:sz="6" w:space="0" w:color="auto"/>
              <w:left w:val="single" w:sz="6" w:space="0" w:color="000000"/>
              <w:bottom w:val="single" w:sz="12" w:space="0" w:color="000000"/>
              <w:right w:val="single" w:sz="6"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算比</w:t>
            </w:r>
          </w:p>
        </w:tc>
        <w:tc>
          <w:tcPr>
            <w:tcW w:w="709" w:type="dxa"/>
            <w:tcBorders>
              <w:top w:val="nil" w:sz="6" w:space="0" w:color="auto"/>
              <w:left w:val="single" w:sz="6" w:space="0" w:color="000000"/>
              <w:bottom w:val="single" w:sz="12" w:space="0" w:color="000000"/>
              <w:right w:val="single" w:sz="6" w:space="0" w:color="000000"/>
            </w:tcBorders>
            <w:shd w:val="clear" w:color="auto" w:fill="D3D3D3"/>
          </w:tcPr>
          <w:p>
            <w:pPr/>
          </w:p>
        </w:tc>
        <w:tc>
          <w:tcPr>
            <w:tcW w:w="425" w:type="dxa"/>
            <w:tcBorders>
              <w:top w:val="nil" w:sz="6" w:space="0" w:color="auto"/>
              <w:left w:val="single" w:sz="6" w:space="0" w:color="000000"/>
              <w:bottom w:val="single" w:sz="12" w:space="0" w:color="000000"/>
              <w:right w:val="single" w:sz="6"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计金</w:t>
            </w:r>
          </w:p>
        </w:tc>
        <w:tc>
          <w:tcPr>
            <w:tcW w:w="568" w:type="dxa"/>
            <w:tcBorders>
              <w:top w:val="nil" w:sz="6" w:space="0" w:color="auto"/>
              <w:left w:val="single" w:sz="6" w:space="0" w:color="000000"/>
              <w:bottom w:val="single" w:sz="12" w:space="0" w:color="000000"/>
              <w:right w:val="single" w:sz="6"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资本</w:t>
            </w:r>
          </w:p>
        </w:tc>
        <w:tc>
          <w:tcPr>
            <w:tcW w:w="566" w:type="dxa"/>
            <w:tcBorders>
              <w:top w:val="nil" w:sz="6" w:space="0" w:color="auto"/>
              <w:left w:val="single" w:sz="6" w:space="0" w:color="000000"/>
              <w:bottom w:val="single" w:sz="12" w:space="0" w:color="000000"/>
              <w:right w:val="single" w:sz="6" w:space="0" w:color="000000"/>
            </w:tcBorders>
            <w:shd w:val="clear" w:color="auto" w:fill="D3D3D3"/>
          </w:tcPr>
          <w:p>
            <w:pPr>
              <w:pStyle w:val="TableParagraph"/>
              <w:spacing w:line="240" w:lineRule="auto" w:before="10"/>
              <w:ind w:right="95"/>
              <w:jc w:val="right"/>
              <w:rPr>
                <w:rFonts w:ascii="宋体" w:hAnsi="宋体" w:cs="宋体" w:eastAsia="宋体" w:hint="default"/>
                <w:sz w:val="18"/>
                <w:szCs w:val="18"/>
              </w:rPr>
            </w:pPr>
            <w:r>
              <w:rPr>
                <w:rFonts w:ascii="宋体" w:hAnsi="宋体" w:cs="宋体" w:eastAsia="宋体" w:hint="default"/>
                <w:sz w:val="18"/>
                <w:szCs w:val="18"/>
              </w:rPr>
              <w:t>化率</w:t>
            </w:r>
          </w:p>
        </w:tc>
        <w:tc>
          <w:tcPr>
            <w:tcW w:w="709" w:type="dxa"/>
            <w:tcBorders>
              <w:top w:val="nil" w:sz="6" w:space="0" w:color="auto"/>
              <w:left w:val="single" w:sz="6" w:space="0" w:color="000000"/>
              <w:bottom w:val="single" w:sz="12" w:space="0" w:color="000000"/>
              <w:right w:val="single" w:sz="6" w:space="0" w:color="000000"/>
            </w:tcBorders>
            <w:shd w:val="clear" w:color="auto" w:fill="D3D3D3"/>
          </w:tcPr>
          <w:p>
            <w:pPr/>
          </w:p>
        </w:tc>
        <w:tc>
          <w:tcPr>
            <w:tcW w:w="1276" w:type="dxa"/>
            <w:tcBorders>
              <w:top w:val="nil" w:sz="6" w:space="0" w:color="auto"/>
              <w:left w:val="single" w:sz="6" w:space="0" w:color="000000"/>
              <w:bottom w:val="single" w:sz="12" w:space="0" w:color="000000"/>
              <w:right w:val="single" w:sz="12" w:space="0" w:color="000000"/>
            </w:tcBorders>
            <w:shd w:val="clear" w:color="auto" w:fill="D3D3D3"/>
          </w:tcPr>
          <w:p>
            <w:pPr/>
          </w:p>
        </w:tc>
      </w:tr>
    </w:tbl>
    <w:p>
      <w:pPr>
        <w:spacing w:after="0"/>
        <w:sectPr>
          <w:pgSz w:w="11910" w:h="16840"/>
          <w:pgMar w:header="0" w:footer="1003" w:top="1100" w:bottom="1200" w:left="240" w:right="220"/>
        </w:sectPr>
      </w:pPr>
    </w:p>
    <w:p>
      <w:pPr>
        <w:spacing w:line="240" w:lineRule="auto" w:before="6"/>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736"/>
        <w:gridCol w:w="1392"/>
        <w:gridCol w:w="1274"/>
        <w:gridCol w:w="1277"/>
        <w:gridCol w:w="1242"/>
        <w:gridCol w:w="425"/>
        <w:gridCol w:w="566"/>
        <w:gridCol w:w="709"/>
        <w:gridCol w:w="425"/>
        <w:gridCol w:w="568"/>
        <w:gridCol w:w="566"/>
        <w:gridCol w:w="709"/>
        <w:gridCol w:w="1276"/>
      </w:tblGrid>
      <w:tr>
        <w:trPr>
          <w:trHeight w:val="686" w:hRule="exact"/>
        </w:trPr>
        <w:tc>
          <w:tcPr>
            <w:tcW w:w="736" w:type="dxa"/>
            <w:tcBorders>
              <w:top w:val="single" w:sz="12" w:space="0" w:color="000000"/>
              <w:left w:val="single" w:sz="12" w:space="0" w:color="000000"/>
              <w:bottom w:val="single" w:sz="6" w:space="0" w:color="000000"/>
              <w:right w:val="single" w:sz="6" w:space="0" w:color="000000"/>
            </w:tcBorders>
            <w:shd w:val="clear" w:color="auto" w:fill="D3D3D3"/>
          </w:tcPr>
          <w:p>
            <w:pPr/>
          </w:p>
        </w:tc>
        <w:tc>
          <w:tcPr>
            <w:tcW w:w="1392" w:type="dxa"/>
            <w:tcBorders>
              <w:top w:val="single" w:sz="12" w:space="0" w:color="000000"/>
              <w:left w:val="single" w:sz="6" w:space="0" w:color="000000"/>
              <w:bottom w:val="single" w:sz="6" w:space="0" w:color="000000"/>
              <w:right w:val="single" w:sz="6" w:space="0" w:color="000000"/>
            </w:tcBorders>
            <w:shd w:val="clear" w:color="auto" w:fill="D3D3D3"/>
          </w:tcPr>
          <w:p>
            <w:pPr/>
          </w:p>
        </w:tc>
        <w:tc>
          <w:tcPr>
            <w:tcW w:w="1274" w:type="dxa"/>
            <w:tcBorders>
              <w:top w:val="single" w:sz="12" w:space="0" w:color="000000"/>
              <w:left w:val="single" w:sz="6" w:space="0" w:color="000000"/>
              <w:bottom w:val="single" w:sz="6" w:space="0" w:color="000000"/>
              <w:right w:val="single" w:sz="6" w:space="0" w:color="000000"/>
            </w:tcBorders>
            <w:shd w:val="clear" w:color="auto" w:fill="D3D3D3"/>
          </w:tcPr>
          <w:p>
            <w:pPr/>
          </w:p>
        </w:tc>
        <w:tc>
          <w:tcPr>
            <w:tcW w:w="1277" w:type="dxa"/>
            <w:tcBorders>
              <w:top w:val="single" w:sz="12" w:space="0" w:color="000000"/>
              <w:left w:val="single" w:sz="6" w:space="0" w:color="000000"/>
              <w:bottom w:val="single" w:sz="6" w:space="0" w:color="000000"/>
              <w:right w:val="single" w:sz="6" w:space="0" w:color="000000"/>
            </w:tcBorders>
            <w:shd w:val="clear" w:color="auto" w:fill="D3D3D3"/>
          </w:tcPr>
          <w:p>
            <w:pPr/>
          </w:p>
        </w:tc>
        <w:tc>
          <w:tcPr>
            <w:tcW w:w="1242" w:type="dxa"/>
            <w:tcBorders>
              <w:top w:val="single" w:sz="12" w:space="0" w:color="000000"/>
              <w:left w:val="single" w:sz="6" w:space="0" w:color="000000"/>
              <w:bottom w:val="single" w:sz="6" w:space="0" w:color="000000"/>
              <w:right w:val="single" w:sz="6" w:space="0" w:color="000000"/>
            </w:tcBorders>
            <w:shd w:val="clear" w:color="auto" w:fill="D3D3D3"/>
          </w:tcPr>
          <w:p>
            <w:pPr/>
          </w:p>
        </w:tc>
        <w:tc>
          <w:tcPr>
            <w:tcW w:w="425" w:type="dxa"/>
            <w:tcBorders>
              <w:top w:val="single" w:sz="12" w:space="0" w:color="000000"/>
              <w:left w:val="single" w:sz="6" w:space="0" w:color="000000"/>
              <w:bottom w:val="single" w:sz="6" w:space="0" w:color="000000"/>
              <w:right w:val="single" w:sz="6" w:space="0" w:color="000000"/>
            </w:tcBorders>
            <w:shd w:val="clear" w:color="auto" w:fill="D3D3D3"/>
          </w:tcPr>
          <w:p>
            <w:pPr/>
          </w:p>
        </w:tc>
        <w:tc>
          <w:tcPr>
            <w:tcW w:w="566"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09" w:type="dxa"/>
            <w:tcBorders>
              <w:top w:val="single" w:sz="12" w:space="0" w:color="000000"/>
              <w:left w:val="single" w:sz="6" w:space="0" w:color="000000"/>
              <w:bottom w:val="single" w:sz="6" w:space="0" w:color="000000"/>
              <w:right w:val="single" w:sz="6" w:space="0" w:color="000000"/>
            </w:tcBorders>
            <w:shd w:val="clear" w:color="auto" w:fill="D3D3D3"/>
          </w:tcPr>
          <w:p>
            <w:pPr/>
          </w:p>
        </w:tc>
        <w:tc>
          <w:tcPr>
            <w:tcW w:w="425"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left="11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8"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319" w:lineRule="auto" w:before="10"/>
              <w:ind w:left="187" w:right="95" w:hanging="90"/>
              <w:jc w:val="left"/>
              <w:rPr>
                <w:rFonts w:ascii="宋体" w:hAnsi="宋体" w:cs="宋体" w:eastAsia="宋体" w:hint="default"/>
                <w:sz w:val="18"/>
                <w:szCs w:val="18"/>
              </w:rPr>
            </w:pPr>
            <w:r>
              <w:rPr>
                <w:rFonts w:ascii="宋体" w:hAnsi="宋体" w:cs="宋体" w:eastAsia="宋体" w:hint="default"/>
                <w:sz w:val="18"/>
                <w:szCs w:val="18"/>
              </w:rPr>
              <w:t>化金 额</w:t>
            </w:r>
          </w:p>
        </w:tc>
        <w:tc>
          <w:tcPr>
            <w:tcW w:w="566"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left="140" w:right="0"/>
              <w:jc w:val="left"/>
              <w:rPr>
                <w:rFonts w:ascii="宋体" w:hAnsi="宋体" w:cs="宋体" w:eastAsia="宋体" w:hint="default"/>
                <w:sz w:val="18"/>
                <w:szCs w:val="18"/>
              </w:rPr>
            </w:pPr>
            <w:r>
              <w:rPr>
                <w:rFonts w:ascii="宋体"/>
                <w:sz w:val="18"/>
              </w:rPr>
              <w:t>(%)</w:t>
            </w:r>
          </w:p>
        </w:tc>
        <w:tc>
          <w:tcPr>
            <w:tcW w:w="709" w:type="dxa"/>
            <w:tcBorders>
              <w:top w:val="single" w:sz="12" w:space="0" w:color="000000"/>
              <w:left w:val="single" w:sz="6" w:space="0" w:color="000000"/>
              <w:bottom w:val="single" w:sz="6" w:space="0" w:color="000000"/>
              <w:right w:val="single" w:sz="6" w:space="0" w:color="000000"/>
            </w:tcBorders>
            <w:shd w:val="clear" w:color="auto" w:fill="D3D3D3"/>
          </w:tcPr>
          <w:p>
            <w:pPr/>
          </w:p>
        </w:tc>
        <w:tc>
          <w:tcPr>
            <w:tcW w:w="1276" w:type="dxa"/>
            <w:tcBorders>
              <w:top w:val="single" w:sz="12" w:space="0" w:color="000000"/>
              <w:left w:val="single" w:sz="6" w:space="0" w:color="000000"/>
              <w:bottom w:val="single" w:sz="6" w:space="0" w:color="000000"/>
              <w:right w:val="single" w:sz="12" w:space="0" w:color="000000"/>
            </w:tcBorders>
            <w:shd w:val="clear" w:color="auto" w:fill="D3D3D3"/>
          </w:tcPr>
          <w:p>
            <w:pPr/>
          </w:p>
        </w:tc>
      </w:tr>
      <w:tr>
        <w:trPr>
          <w:trHeight w:val="361" w:hRule="exact"/>
        </w:trPr>
        <w:tc>
          <w:tcPr>
            <w:tcW w:w="736" w:type="dxa"/>
            <w:tcBorders>
              <w:top w:val="single" w:sz="6" w:space="0" w:color="000000"/>
              <w:left w:val="single" w:sz="12" w:space="0" w:color="000000"/>
              <w:bottom w:val="nil" w:sz="6" w:space="0" w:color="auto"/>
              <w:right w:val="single" w:sz="6" w:space="0" w:color="000000"/>
            </w:tcBorders>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生产与</w:t>
            </w:r>
          </w:p>
        </w:tc>
        <w:tc>
          <w:tcPr>
            <w:tcW w:w="1392" w:type="dxa"/>
            <w:tcBorders>
              <w:top w:val="single" w:sz="6" w:space="0" w:color="000000"/>
              <w:left w:val="single" w:sz="6" w:space="0" w:color="000000"/>
              <w:bottom w:val="nil" w:sz="6" w:space="0" w:color="auto"/>
              <w:right w:val="single" w:sz="6" w:space="0" w:color="000000"/>
            </w:tcBorders>
          </w:tcPr>
          <w:p>
            <w:pPr/>
          </w:p>
        </w:tc>
        <w:tc>
          <w:tcPr>
            <w:tcW w:w="1274" w:type="dxa"/>
            <w:vMerge w:val="restart"/>
            <w:tcBorders>
              <w:top w:val="single" w:sz="6" w:space="0" w:color="000000"/>
              <w:left w:val="single" w:sz="6" w:space="0" w:color="000000"/>
              <w:right w:val="single" w:sz="6" w:space="0" w:color="000000"/>
            </w:tcBorders>
          </w:tcPr>
          <w:p>
            <w:pPr/>
          </w:p>
        </w:tc>
        <w:tc>
          <w:tcPr>
            <w:tcW w:w="1277" w:type="dxa"/>
            <w:tcBorders>
              <w:top w:val="single" w:sz="6" w:space="0" w:color="000000"/>
              <w:left w:val="single" w:sz="6" w:space="0" w:color="000000"/>
              <w:bottom w:val="nil" w:sz="6" w:space="0" w:color="auto"/>
              <w:right w:val="single" w:sz="6" w:space="0" w:color="000000"/>
            </w:tcBorders>
          </w:tcPr>
          <w:p>
            <w:pPr/>
          </w:p>
        </w:tc>
        <w:tc>
          <w:tcPr>
            <w:tcW w:w="1242" w:type="dxa"/>
            <w:vMerge w:val="restart"/>
            <w:tcBorders>
              <w:top w:val="single" w:sz="6" w:space="0" w:color="000000"/>
              <w:left w:val="single" w:sz="6" w:space="0" w:color="000000"/>
              <w:right w:val="single" w:sz="6" w:space="0" w:color="000000"/>
            </w:tcBorders>
          </w:tcPr>
          <w:p>
            <w:pPr/>
          </w:p>
        </w:tc>
        <w:tc>
          <w:tcPr>
            <w:tcW w:w="425" w:type="dxa"/>
            <w:vMerge w:val="restart"/>
            <w:tcBorders>
              <w:top w:val="single" w:sz="6" w:space="0" w:color="000000"/>
              <w:left w:val="single" w:sz="6" w:space="0" w:color="000000"/>
              <w:right w:val="single" w:sz="6" w:space="0" w:color="000000"/>
            </w:tcBorders>
          </w:tcPr>
          <w:p>
            <w:pPr/>
          </w:p>
        </w:tc>
        <w:tc>
          <w:tcPr>
            <w:tcW w:w="566" w:type="dxa"/>
            <w:tcBorders>
              <w:top w:val="single" w:sz="6" w:space="0" w:color="000000"/>
              <w:left w:val="single" w:sz="6" w:space="0" w:color="000000"/>
              <w:bottom w:val="nil" w:sz="6" w:space="0" w:color="auto"/>
              <w:right w:val="single" w:sz="6" w:space="0" w:color="000000"/>
            </w:tcBorders>
          </w:tcPr>
          <w:p>
            <w:pPr/>
          </w:p>
        </w:tc>
        <w:tc>
          <w:tcPr>
            <w:tcW w:w="709" w:type="dxa"/>
            <w:tcBorders>
              <w:top w:val="single" w:sz="6" w:space="0" w:color="000000"/>
              <w:left w:val="single" w:sz="6" w:space="0" w:color="000000"/>
              <w:bottom w:val="nil" w:sz="6" w:space="0" w:color="auto"/>
              <w:right w:val="single" w:sz="6" w:space="0" w:color="000000"/>
            </w:tcBorders>
          </w:tcPr>
          <w:p>
            <w:pPr/>
          </w:p>
        </w:tc>
        <w:tc>
          <w:tcPr>
            <w:tcW w:w="425" w:type="dxa"/>
            <w:vMerge w:val="restart"/>
            <w:tcBorders>
              <w:top w:val="single" w:sz="6" w:space="0" w:color="000000"/>
              <w:left w:val="single" w:sz="6" w:space="0" w:color="000000"/>
              <w:right w:val="single" w:sz="6" w:space="0" w:color="000000"/>
            </w:tcBorders>
          </w:tcPr>
          <w:p>
            <w:pPr/>
          </w:p>
        </w:tc>
        <w:tc>
          <w:tcPr>
            <w:tcW w:w="568" w:type="dxa"/>
            <w:vMerge w:val="restart"/>
            <w:tcBorders>
              <w:top w:val="single" w:sz="6" w:space="0" w:color="000000"/>
              <w:left w:val="single" w:sz="6" w:space="0" w:color="000000"/>
              <w:right w:val="single" w:sz="6" w:space="0" w:color="000000"/>
            </w:tcBorders>
          </w:tcPr>
          <w:p>
            <w:pPr/>
          </w:p>
        </w:tc>
        <w:tc>
          <w:tcPr>
            <w:tcW w:w="566" w:type="dxa"/>
            <w:vMerge w:val="restart"/>
            <w:tcBorders>
              <w:top w:val="single" w:sz="6" w:space="0" w:color="000000"/>
              <w:left w:val="single" w:sz="6" w:space="0" w:color="000000"/>
              <w:right w:val="single" w:sz="6" w:space="0" w:color="000000"/>
            </w:tcBorders>
          </w:tcPr>
          <w:p>
            <w:pPr/>
          </w:p>
        </w:tc>
        <w:tc>
          <w:tcPr>
            <w:tcW w:w="70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2"/>
              <w:ind w:right="109"/>
              <w:jc w:val="center"/>
              <w:rPr>
                <w:rFonts w:ascii="宋体" w:hAnsi="宋体" w:cs="宋体" w:eastAsia="宋体" w:hint="default"/>
                <w:sz w:val="18"/>
                <w:szCs w:val="18"/>
              </w:rPr>
            </w:pPr>
            <w:r>
              <w:rPr>
                <w:rFonts w:ascii="宋体" w:hAnsi="宋体" w:cs="宋体" w:eastAsia="宋体" w:hint="default"/>
                <w:sz w:val="18"/>
                <w:szCs w:val="18"/>
              </w:rPr>
              <w:t>募集资</w:t>
            </w:r>
          </w:p>
        </w:tc>
        <w:tc>
          <w:tcPr>
            <w:tcW w:w="1276" w:type="dxa"/>
            <w:tcBorders>
              <w:top w:val="single" w:sz="6" w:space="0" w:color="000000"/>
              <w:left w:val="single" w:sz="6" w:space="0" w:color="000000"/>
              <w:bottom w:val="nil" w:sz="6" w:space="0" w:color="auto"/>
              <w:right w:val="single" w:sz="12" w:space="0" w:color="000000"/>
            </w:tcBorders>
          </w:tcPr>
          <w:p>
            <w:pPr/>
          </w:p>
        </w:tc>
      </w:tr>
      <w:tr>
        <w:trPr>
          <w:trHeight w:val="313" w:hRule="exact"/>
        </w:trPr>
        <w:tc>
          <w:tcPr>
            <w:tcW w:w="736" w:type="dxa"/>
            <w:tcBorders>
              <w:top w:val="nil" w:sz="6" w:space="0" w:color="auto"/>
              <w:left w:val="single" w:sz="12" w:space="0" w:color="000000"/>
              <w:bottom w:val="nil" w:sz="6" w:space="0" w:color="auto"/>
              <w:right w:val="single" w:sz="6"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中试基</w:t>
            </w:r>
          </w:p>
        </w:tc>
        <w:tc>
          <w:tcPr>
            <w:tcW w:w="139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19"/>
              <w:jc w:val="right"/>
              <w:rPr>
                <w:rFonts w:ascii="宋体" w:hAnsi="宋体" w:cs="宋体" w:eastAsia="宋体" w:hint="default"/>
                <w:sz w:val="18"/>
                <w:szCs w:val="18"/>
              </w:rPr>
            </w:pPr>
            <w:r>
              <w:rPr>
                <w:rFonts w:ascii="宋体"/>
                <w:sz w:val="18"/>
              </w:rPr>
              <w:t>210,000,000.00</w:t>
            </w:r>
          </w:p>
        </w:tc>
        <w:tc>
          <w:tcPr>
            <w:tcW w:w="1274" w:type="dxa"/>
            <w:vMerge/>
            <w:tcBorders>
              <w:left w:val="single" w:sz="6" w:space="0" w:color="000000"/>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18"/>
              <w:jc w:val="right"/>
              <w:rPr>
                <w:rFonts w:ascii="宋体" w:hAnsi="宋体" w:cs="宋体" w:eastAsia="宋体" w:hint="default"/>
                <w:sz w:val="18"/>
                <w:szCs w:val="18"/>
              </w:rPr>
            </w:pPr>
            <w:r>
              <w:rPr>
                <w:rFonts w:ascii="宋体"/>
                <w:sz w:val="18"/>
              </w:rPr>
              <w:t>9,372,932.96</w:t>
            </w:r>
          </w:p>
        </w:tc>
        <w:tc>
          <w:tcPr>
            <w:tcW w:w="1242" w:type="dxa"/>
            <w:vMerge/>
            <w:tcBorders>
              <w:left w:val="single" w:sz="6" w:space="0" w:color="000000"/>
              <w:right w:val="single" w:sz="6" w:space="0" w:color="000000"/>
            </w:tcBorders>
          </w:tcPr>
          <w:p>
            <w:pPr/>
          </w:p>
        </w:tc>
        <w:tc>
          <w:tcPr>
            <w:tcW w:w="425" w:type="dxa"/>
            <w:vMerge/>
            <w:tcBorders>
              <w:left w:val="single" w:sz="6" w:space="0" w:color="000000"/>
              <w:right w:val="single" w:sz="6" w:space="0" w:color="000000"/>
            </w:tcBorders>
          </w:tcPr>
          <w:p>
            <w:pPr/>
          </w:p>
        </w:tc>
        <w:tc>
          <w:tcPr>
            <w:tcW w:w="566"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61" w:right="0"/>
              <w:jc w:val="center"/>
              <w:rPr>
                <w:rFonts w:ascii="宋体" w:hAnsi="宋体" w:cs="宋体" w:eastAsia="宋体" w:hint="default"/>
                <w:sz w:val="18"/>
                <w:szCs w:val="18"/>
              </w:rPr>
            </w:pPr>
            <w:r>
              <w:rPr>
                <w:rFonts w:ascii="宋体"/>
                <w:sz w:val="18"/>
              </w:rPr>
              <w:t>4.46%</w:t>
            </w:r>
          </w:p>
        </w:tc>
        <w:tc>
          <w:tcPr>
            <w:tcW w:w="709"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sz w:val="18"/>
              </w:rPr>
              <w:t>4.46</w:t>
            </w:r>
          </w:p>
        </w:tc>
        <w:tc>
          <w:tcPr>
            <w:tcW w:w="425" w:type="dxa"/>
            <w:vMerge/>
            <w:tcBorders>
              <w:left w:val="single" w:sz="6" w:space="0" w:color="000000"/>
              <w:right w:val="single" w:sz="6" w:space="0" w:color="000000"/>
            </w:tcBorders>
          </w:tcPr>
          <w:p>
            <w:pPr/>
          </w:p>
        </w:tc>
        <w:tc>
          <w:tcPr>
            <w:tcW w:w="568" w:type="dxa"/>
            <w:vMerge/>
            <w:tcBorders>
              <w:left w:val="single" w:sz="6" w:space="0" w:color="000000"/>
              <w:right w:val="single" w:sz="6" w:space="0" w:color="000000"/>
            </w:tcBorders>
          </w:tcPr>
          <w:p>
            <w:pPr/>
          </w:p>
        </w:tc>
        <w:tc>
          <w:tcPr>
            <w:tcW w:w="566" w:type="dxa"/>
            <w:vMerge/>
            <w:tcBorders>
              <w:left w:val="single" w:sz="6" w:space="0" w:color="000000"/>
              <w:right w:val="single" w:sz="6" w:space="0" w:color="000000"/>
            </w:tcBorders>
          </w:tcPr>
          <w:p>
            <w:pPr/>
          </w:p>
        </w:tc>
        <w:tc>
          <w:tcPr>
            <w:tcW w:w="70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09"/>
              <w:jc w:val="center"/>
              <w:rPr>
                <w:rFonts w:ascii="宋体" w:hAnsi="宋体" w:cs="宋体" w:eastAsia="宋体" w:hint="default"/>
                <w:sz w:val="18"/>
                <w:szCs w:val="18"/>
              </w:rPr>
            </w:pPr>
            <w:r>
              <w:rPr>
                <w:rFonts w:ascii="宋体" w:hAnsi="宋体" w:cs="宋体" w:eastAsia="宋体" w:hint="default"/>
                <w:sz w:val="18"/>
                <w:szCs w:val="18"/>
              </w:rPr>
              <w:t>金及自</w:t>
            </w:r>
          </w:p>
        </w:tc>
        <w:tc>
          <w:tcPr>
            <w:tcW w:w="1276" w:type="dxa"/>
            <w:tcBorders>
              <w:top w:val="nil" w:sz="6" w:space="0" w:color="auto"/>
              <w:left w:val="single" w:sz="6" w:space="0" w:color="000000"/>
              <w:bottom w:val="nil" w:sz="6" w:space="0" w:color="auto"/>
              <w:right w:val="single" w:sz="12"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9,372,932.96</w:t>
            </w:r>
          </w:p>
        </w:tc>
      </w:tr>
      <w:tr>
        <w:trPr>
          <w:trHeight w:val="357" w:hRule="exact"/>
        </w:trPr>
        <w:tc>
          <w:tcPr>
            <w:tcW w:w="736" w:type="dxa"/>
            <w:tcBorders>
              <w:top w:val="nil" w:sz="6" w:space="0" w:color="auto"/>
              <w:left w:val="single" w:sz="12" w:space="0" w:color="000000"/>
              <w:bottom w:val="single" w:sz="6" w:space="0" w:color="000000"/>
              <w:right w:val="single" w:sz="6"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地工程</w:t>
            </w:r>
          </w:p>
        </w:tc>
        <w:tc>
          <w:tcPr>
            <w:tcW w:w="1392" w:type="dxa"/>
            <w:tcBorders>
              <w:top w:val="nil" w:sz="6" w:space="0" w:color="auto"/>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1277" w:type="dxa"/>
            <w:tcBorders>
              <w:top w:val="nil" w:sz="6" w:space="0" w:color="auto"/>
              <w:left w:val="single" w:sz="6" w:space="0" w:color="000000"/>
              <w:bottom w:val="single" w:sz="6" w:space="0" w:color="000000"/>
              <w:right w:val="single" w:sz="6" w:space="0" w:color="000000"/>
            </w:tcBorders>
          </w:tcPr>
          <w:p>
            <w:pPr/>
          </w:p>
        </w:tc>
        <w:tc>
          <w:tcPr>
            <w:tcW w:w="1242" w:type="dxa"/>
            <w:vMerge/>
            <w:tcBorders>
              <w:left w:val="single" w:sz="6" w:space="0" w:color="000000"/>
              <w:bottom w:val="single" w:sz="6" w:space="0" w:color="000000"/>
              <w:right w:val="single" w:sz="6" w:space="0" w:color="000000"/>
            </w:tcBorders>
          </w:tcPr>
          <w:p>
            <w:pPr/>
          </w:p>
        </w:tc>
        <w:tc>
          <w:tcPr>
            <w:tcW w:w="425" w:type="dxa"/>
            <w:vMerge/>
            <w:tcBorders>
              <w:left w:val="single" w:sz="6" w:space="0" w:color="000000"/>
              <w:bottom w:val="single" w:sz="6" w:space="0" w:color="000000"/>
              <w:right w:val="single" w:sz="6" w:space="0" w:color="000000"/>
            </w:tcBorders>
          </w:tcPr>
          <w:p>
            <w:pPr/>
          </w:p>
        </w:tc>
        <w:tc>
          <w:tcPr>
            <w:tcW w:w="566" w:type="dxa"/>
            <w:tcBorders>
              <w:top w:val="nil" w:sz="6" w:space="0" w:color="auto"/>
              <w:left w:val="single" w:sz="6" w:space="0" w:color="000000"/>
              <w:bottom w:val="single" w:sz="6" w:space="0" w:color="000000"/>
              <w:right w:val="single" w:sz="6" w:space="0" w:color="000000"/>
            </w:tcBorders>
          </w:tcPr>
          <w:p>
            <w:pPr/>
          </w:p>
        </w:tc>
        <w:tc>
          <w:tcPr>
            <w:tcW w:w="709" w:type="dxa"/>
            <w:tcBorders>
              <w:top w:val="nil" w:sz="6" w:space="0" w:color="auto"/>
              <w:left w:val="single" w:sz="6" w:space="0" w:color="000000"/>
              <w:bottom w:val="single" w:sz="6" w:space="0" w:color="000000"/>
              <w:right w:val="single" w:sz="6" w:space="0" w:color="000000"/>
            </w:tcBorders>
          </w:tcPr>
          <w:p>
            <w:pPr/>
          </w:p>
        </w:tc>
        <w:tc>
          <w:tcPr>
            <w:tcW w:w="425" w:type="dxa"/>
            <w:vMerge/>
            <w:tcBorders>
              <w:left w:val="single" w:sz="6" w:space="0" w:color="000000"/>
              <w:bottom w:val="single" w:sz="6" w:space="0" w:color="000000"/>
              <w:right w:val="single" w:sz="6" w:space="0" w:color="000000"/>
            </w:tcBorders>
          </w:tcPr>
          <w:p>
            <w:pPr/>
          </w:p>
        </w:tc>
        <w:tc>
          <w:tcPr>
            <w:tcW w:w="568" w:type="dxa"/>
            <w:vMerge/>
            <w:tcBorders>
              <w:left w:val="single" w:sz="6" w:space="0" w:color="000000"/>
              <w:bottom w:val="single" w:sz="6" w:space="0" w:color="000000"/>
              <w:right w:val="single" w:sz="6" w:space="0" w:color="000000"/>
            </w:tcBorders>
          </w:tcPr>
          <w:p>
            <w:pPr/>
          </w:p>
        </w:tc>
        <w:tc>
          <w:tcPr>
            <w:tcW w:w="566" w:type="dxa"/>
            <w:vMerge/>
            <w:tcBorders>
              <w:left w:val="single" w:sz="6" w:space="0" w:color="000000"/>
              <w:bottom w:val="single" w:sz="6" w:space="0" w:color="000000"/>
              <w:right w:val="single" w:sz="6" w:space="0" w:color="000000"/>
            </w:tcBorders>
          </w:tcPr>
          <w:p>
            <w:pPr/>
          </w:p>
        </w:tc>
        <w:tc>
          <w:tcPr>
            <w:tcW w:w="70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right="109"/>
              <w:jc w:val="center"/>
              <w:rPr>
                <w:rFonts w:ascii="宋体" w:hAnsi="宋体" w:cs="宋体" w:eastAsia="宋体" w:hint="default"/>
                <w:sz w:val="18"/>
                <w:szCs w:val="18"/>
              </w:rPr>
            </w:pPr>
            <w:r>
              <w:rPr>
                <w:rFonts w:ascii="宋体" w:hAnsi="宋体" w:cs="宋体" w:eastAsia="宋体" w:hint="default"/>
                <w:sz w:val="18"/>
                <w:szCs w:val="18"/>
              </w:rPr>
              <w:t>有资金</w:t>
            </w:r>
          </w:p>
        </w:tc>
        <w:tc>
          <w:tcPr>
            <w:tcW w:w="1276" w:type="dxa"/>
            <w:tcBorders>
              <w:top w:val="nil" w:sz="6" w:space="0" w:color="auto"/>
              <w:left w:val="single" w:sz="6" w:space="0" w:color="000000"/>
              <w:bottom w:val="single" w:sz="6" w:space="0" w:color="000000"/>
              <w:right w:val="single" w:sz="12" w:space="0" w:color="000000"/>
            </w:tcBorders>
          </w:tcPr>
          <w:p>
            <w:pPr/>
          </w:p>
        </w:tc>
      </w:tr>
      <w:tr>
        <w:trPr>
          <w:trHeight w:val="361" w:hRule="exact"/>
        </w:trPr>
        <w:tc>
          <w:tcPr>
            <w:tcW w:w="736" w:type="dxa"/>
            <w:tcBorders>
              <w:top w:val="single" w:sz="6" w:space="0" w:color="000000"/>
              <w:left w:val="single" w:sz="12" w:space="0" w:color="000000"/>
              <w:bottom w:val="nil" w:sz="6" w:space="0" w:color="auto"/>
              <w:right w:val="single" w:sz="6" w:space="0" w:color="000000"/>
            </w:tcBorders>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东山建</w:t>
            </w:r>
          </w:p>
        </w:tc>
        <w:tc>
          <w:tcPr>
            <w:tcW w:w="1392" w:type="dxa"/>
            <w:vMerge w:val="restart"/>
            <w:tcBorders>
              <w:top w:val="single" w:sz="6" w:space="0" w:color="000000"/>
              <w:left w:val="single" w:sz="6" w:space="0" w:color="000000"/>
              <w:right w:val="single" w:sz="6" w:space="0" w:color="000000"/>
            </w:tcBorders>
          </w:tcPr>
          <w:p>
            <w:pPr/>
          </w:p>
        </w:tc>
        <w:tc>
          <w:tcPr>
            <w:tcW w:w="1274" w:type="dxa"/>
            <w:tcBorders>
              <w:top w:val="single" w:sz="6" w:space="0" w:color="000000"/>
              <w:left w:val="single" w:sz="6" w:space="0" w:color="000000"/>
              <w:bottom w:val="nil" w:sz="6" w:space="0" w:color="auto"/>
              <w:right w:val="single" w:sz="6" w:space="0" w:color="000000"/>
            </w:tcBorders>
          </w:tcPr>
          <w:p>
            <w:pPr/>
          </w:p>
        </w:tc>
        <w:tc>
          <w:tcPr>
            <w:tcW w:w="1277" w:type="dxa"/>
            <w:tcBorders>
              <w:top w:val="single" w:sz="6" w:space="0" w:color="000000"/>
              <w:left w:val="single" w:sz="6" w:space="0" w:color="000000"/>
              <w:bottom w:val="nil" w:sz="6" w:space="0" w:color="auto"/>
              <w:right w:val="single" w:sz="6" w:space="0" w:color="000000"/>
            </w:tcBorders>
          </w:tcPr>
          <w:p>
            <w:pPr/>
          </w:p>
        </w:tc>
        <w:tc>
          <w:tcPr>
            <w:tcW w:w="1242" w:type="dxa"/>
            <w:tcBorders>
              <w:top w:val="single" w:sz="6" w:space="0" w:color="000000"/>
              <w:left w:val="single" w:sz="6" w:space="0" w:color="000000"/>
              <w:bottom w:val="nil" w:sz="6" w:space="0" w:color="auto"/>
              <w:right w:val="single" w:sz="6" w:space="0" w:color="000000"/>
            </w:tcBorders>
          </w:tcPr>
          <w:p>
            <w:pPr/>
          </w:p>
        </w:tc>
        <w:tc>
          <w:tcPr>
            <w:tcW w:w="425" w:type="dxa"/>
            <w:vMerge w:val="restart"/>
            <w:tcBorders>
              <w:top w:val="single" w:sz="6" w:space="0" w:color="000000"/>
              <w:left w:val="single" w:sz="6" w:space="0" w:color="000000"/>
              <w:right w:val="single" w:sz="6" w:space="0" w:color="000000"/>
            </w:tcBorders>
          </w:tcPr>
          <w:p>
            <w:pPr/>
          </w:p>
        </w:tc>
        <w:tc>
          <w:tcPr>
            <w:tcW w:w="566" w:type="dxa"/>
            <w:vMerge w:val="restart"/>
            <w:tcBorders>
              <w:top w:val="single" w:sz="6" w:space="0" w:color="000000"/>
              <w:left w:val="single" w:sz="6" w:space="0" w:color="000000"/>
              <w:right w:val="single" w:sz="6" w:space="0" w:color="000000"/>
            </w:tcBorders>
          </w:tcPr>
          <w:p>
            <w:pPr/>
          </w:p>
        </w:tc>
        <w:tc>
          <w:tcPr>
            <w:tcW w:w="709" w:type="dxa"/>
            <w:tcBorders>
              <w:top w:val="single" w:sz="6" w:space="0" w:color="000000"/>
              <w:left w:val="single" w:sz="6" w:space="0" w:color="000000"/>
              <w:bottom w:val="nil" w:sz="6" w:space="0" w:color="auto"/>
              <w:right w:val="single" w:sz="6" w:space="0" w:color="000000"/>
            </w:tcBorders>
          </w:tcPr>
          <w:p>
            <w:pPr/>
          </w:p>
        </w:tc>
        <w:tc>
          <w:tcPr>
            <w:tcW w:w="425" w:type="dxa"/>
            <w:vMerge w:val="restart"/>
            <w:tcBorders>
              <w:top w:val="single" w:sz="6" w:space="0" w:color="000000"/>
              <w:left w:val="single" w:sz="6" w:space="0" w:color="000000"/>
              <w:right w:val="single" w:sz="6" w:space="0" w:color="000000"/>
            </w:tcBorders>
          </w:tcPr>
          <w:p>
            <w:pPr/>
          </w:p>
        </w:tc>
        <w:tc>
          <w:tcPr>
            <w:tcW w:w="568" w:type="dxa"/>
            <w:vMerge w:val="restart"/>
            <w:tcBorders>
              <w:top w:val="single" w:sz="6" w:space="0" w:color="000000"/>
              <w:left w:val="single" w:sz="6" w:space="0" w:color="000000"/>
              <w:right w:val="single" w:sz="6" w:space="0" w:color="000000"/>
            </w:tcBorders>
          </w:tcPr>
          <w:p>
            <w:pPr/>
          </w:p>
        </w:tc>
        <w:tc>
          <w:tcPr>
            <w:tcW w:w="566" w:type="dxa"/>
            <w:vMerge w:val="restart"/>
            <w:tcBorders>
              <w:top w:val="single" w:sz="6" w:space="0" w:color="000000"/>
              <w:left w:val="single" w:sz="6" w:space="0" w:color="000000"/>
              <w:right w:val="single" w:sz="6" w:space="0" w:color="000000"/>
            </w:tcBorders>
          </w:tcPr>
          <w:p>
            <w:pPr/>
          </w:p>
        </w:tc>
        <w:tc>
          <w:tcPr>
            <w:tcW w:w="709" w:type="dxa"/>
            <w:tcBorders>
              <w:top w:val="single" w:sz="6" w:space="0" w:color="000000"/>
              <w:left w:val="single" w:sz="6" w:space="0" w:color="000000"/>
              <w:bottom w:val="nil" w:sz="6" w:space="0" w:color="auto"/>
              <w:right w:val="single" w:sz="6" w:space="0" w:color="000000"/>
            </w:tcBorders>
          </w:tcPr>
          <w:p>
            <w:pPr/>
          </w:p>
        </w:tc>
        <w:tc>
          <w:tcPr>
            <w:tcW w:w="1276" w:type="dxa"/>
            <w:tcBorders>
              <w:top w:val="single" w:sz="6" w:space="0" w:color="000000"/>
              <w:left w:val="single" w:sz="6" w:space="0" w:color="000000"/>
              <w:bottom w:val="nil" w:sz="6" w:space="0" w:color="auto"/>
              <w:right w:val="single" w:sz="12" w:space="0" w:color="000000"/>
            </w:tcBorders>
          </w:tcPr>
          <w:p>
            <w:pPr/>
          </w:p>
        </w:tc>
      </w:tr>
      <w:tr>
        <w:trPr>
          <w:trHeight w:val="625" w:hRule="exact"/>
        </w:trPr>
        <w:tc>
          <w:tcPr>
            <w:tcW w:w="736" w:type="dxa"/>
            <w:tcBorders>
              <w:top w:val="nil" w:sz="6" w:space="0" w:color="auto"/>
              <w:left w:val="single" w:sz="12" w:space="0" w:color="000000"/>
              <w:bottom w:val="nil" w:sz="6" w:space="0" w:color="auto"/>
              <w:right w:val="single" w:sz="6" w:space="0" w:color="000000"/>
            </w:tcBorders>
          </w:tcPr>
          <w:p>
            <w:pPr>
              <w:pStyle w:val="TableParagraph"/>
              <w:spacing w:line="316" w:lineRule="auto" w:before="10"/>
              <w:ind w:left="14" w:right="157"/>
              <w:jc w:val="left"/>
              <w:rPr>
                <w:rFonts w:ascii="宋体" w:hAnsi="宋体" w:cs="宋体" w:eastAsia="宋体" w:hint="default"/>
                <w:sz w:val="18"/>
                <w:szCs w:val="18"/>
              </w:rPr>
            </w:pPr>
            <w:r>
              <w:rPr>
                <w:rFonts w:ascii="宋体" w:hAnsi="宋体" w:cs="宋体" w:eastAsia="宋体" w:hint="default"/>
                <w:sz w:val="18"/>
                <w:szCs w:val="18"/>
              </w:rPr>
              <w:t>设基地 装修工</w:t>
            </w:r>
          </w:p>
        </w:tc>
        <w:tc>
          <w:tcPr>
            <w:tcW w:w="1392" w:type="dxa"/>
            <w:vMerge/>
            <w:tcBorders>
              <w:left w:val="single" w:sz="6" w:space="0" w:color="000000"/>
              <w:right w:val="single" w:sz="6" w:space="0" w:color="000000"/>
            </w:tcBorders>
          </w:tcPr>
          <w:p>
            <w:pPr/>
          </w:p>
        </w:tc>
        <w:tc>
          <w:tcPr>
            <w:tcW w:w="127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1,883,750.00</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22,003,029.55</w:t>
            </w:r>
          </w:p>
        </w:tc>
        <w:tc>
          <w:tcPr>
            <w:tcW w:w="12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23,886,779.55</w:t>
            </w:r>
          </w:p>
        </w:tc>
        <w:tc>
          <w:tcPr>
            <w:tcW w:w="425" w:type="dxa"/>
            <w:vMerge/>
            <w:tcBorders>
              <w:left w:val="single" w:sz="6" w:space="0" w:color="000000"/>
              <w:right w:val="single" w:sz="6" w:space="0" w:color="000000"/>
            </w:tcBorders>
          </w:tcPr>
          <w:p>
            <w:pPr/>
          </w:p>
        </w:tc>
        <w:tc>
          <w:tcPr>
            <w:tcW w:w="566" w:type="dxa"/>
            <w:vMerge/>
            <w:tcBorders>
              <w:left w:val="single" w:sz="6" w:space="0" w:color="000000"/>
              <w:right w:val="single" w:sz="6" w:space="0" w:color="000000"/>
            </w:tcBorders>
          </w:tcPr>
          <w:p>
            <w:pPr/>
          </w:p>
        </w:tc>
        <w:tc>
          <w:tcPr>
            <w:tcW w:w="70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sz w:val="18"/>
              </w:rPr>
              <w:t>100.00</w:t>
            </w:r>
          </w:p>
        </w:tc>
        <w:tc>
          <w:tcPr>
            <w:tcW w:w="425" w:type="dxa"/>
            <w:vMerge/>
            <w:tcBorders>
              <w:left w:val="single" w:sz="6" w:space="0" w:color="000000"/>
              <w:right w:val="single" w:sz="6" w:space="0" w:color="000000"/>
            </w:tcBorders>
          </w:tcPr>
          <w:p>
            <w:pPr/>
          </w:p>
        </w:tc>
        <w:tc>
          <w:tcPr>
            <w:tcW w:w="568" w:type="dxa"/>
            <w:vMerge/>
            <w:tcBorders>
              <w:left w:val="single" w:sz="6" w:space="0" w:color="000000"/>
              <w:right w:val="single" w:sz="6" w:space="0" w:color="000000"/>
            </w:tcBorders>
          </w:tcPr>
          <w:p>
            <w:pPr/>
          </w:p>
        </w:tc>
        <w:tc>
          <w:tcPr>
            <w:tcW w:w="566" w:type="dxa"/>
            <w:vMerge/>
            <w:tcBorders>
              <w:left w:val="single" w:sz="6" w:space="0" w:color="000000"/>
              <w:right w:val="single" w:sz="6" w:space="0" w:color="000000"/>
            </w:tcBorders>
          </w:tcPr>
          <w:p>
            <w:pPr/>
          </w:p>
        </w:tc>
        <w:tc>
          <w:tcPr>
            <w:tcW w:w="709" w:type="dxa"/>
            <w:tcBorders>
              <w:top w:val="nil" w:sz="6" w:space="0" w:color="auto"/>
              <w:left w:val="single" w:sz="6" w:space="0" w:color="000000"/>
              <w:bottom w:val="nil" w:sz="6" w:space="0" w:color="auto"/>
              <w:right w:val="single" w:sz="6" w:space="0" w:color="000000"/>
            </w:tcBorders>
          </w:tcPr>
          <w:p>
            <w:pPr>
              <w:pStyle w:val="TableParagraph"/>
              <w:spacing w:line="316" w:lineRule="auto" w:before="11"/>
              <w:ind w:left="21" w:right="13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1276" w:type="dxa"/>
            <w:tcBorders>
              <w:top w:val="nil" w:sz="6" w:space="0" w:color="auto"/>
              <w:left w:val="single" w:sz="6" w:space="0" w:color="000000"/>
              <w:bottom w:val="nil" w:sz="6" w:space="0" w:color="auto"/>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0.00</w:t>
            </w:r>
          </w:p>
        </w:tc>
      </w:tr>
      <w:tr>
        <w:trPr>
          <w:trHeight w:val="359" w:hRule="exact"/>
        </w:trPr>
        <w:tc>
          <w:tcPr>
            <w:tcW w:w="736" w:type="dxa"/>
            <w:tcBorders>
              <w:top w:val="nil" w:sz="6" w:space="0" w:color="auto"/>
              <w:left w:val="single" w:sz="12" w:space="0" w:color="000000"/>
              <w:bottom w:val="single" w:sz="6" w:space="0" w:color="000000"/>
              <w:right w:val="single" w:sz="6"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程</w:t>
            </w:r>
          </w:p>
        </w:tc>
        <w:tc>
          <w:tcPr>
            <w:tcW w:w="1392" w:type="dxa"/>
            <w:vMerge/>
            <w:tcBorders>
              <w:left w:val="single" w:sz="6" w:space="0" w:color="000000"/>
              <w:bottom w:val="single" w:sz="6" w:space="0" w:color="000000"/>
              <w:right w:val="single" w:sz="6" w:space="0" w:color="000000"/>
            </w:tcBorders>
          </w:tcPr>
          <w:p>
            <w:pPr/>
          </w:p>
        </w:tc>
        <w:tc>
          <w:tcPr>
            <w:tcW w:w="1274" w:type="dxa"/>
            <w:tcBorders>
              <w:top w:val="nil" w:sz="6" w:space="0" w:color="auto"/>
              <w:left w:val="single" w:sz="6" w:space="0" w:color="000000"/>
              <w:bottom w:val="single" w:sz="6" w:space="0" w:color="000000"/>
              <w:right w:val="single" w:sz="6" w:space="0" w:color="000000"/>
            </w:tcBorders>
          </w:tcPr>
          <w:p>
            <w:pPr/>
          </w:p>
        </w:tc>
        <w:tc>
          <w:tcPr>
            <w:tcW w:w="1277" w:type="dxa"/>
            <w:tcBorders>
              <w:top w:val="nil" w:sz="6" w:space="0" w:color="auto"/>
              <w:left w:val="single" w:sz="6" w:space="0" w:color="000000"/>
              <w:bottom w:val="single" w:sz="6" w:space="0" w:color="000000"/>
              <w:right w:val="single" w:sz="6" w:space="0" w:color="000000"/>
            </w:tcBorders>
          </w:tcPr>
          <w:p>
            <w:pPr/>
          </w:p>
        </w:tc>
        <w:tc>
          <w:tcPr>
            <w:tcW w:w="1242" w:type="dxa"/>
            <w:tcBorders>
              <w:top w:val="nil" w:sz="6" w:space="0" w:color="auto"/>
              <w:left w:val="single" w:sz="6" w:space="0" w:color="000000"/>
              <w:bottom w:val="single" w:sz="6" w:space="0" w:color="000000"/>
              <w:right w:val="single" w:sz="6" w:space="0" w:color="000000"/>
            </w:tcBorders>
          </w:tcPr>
          <w:p>
            <w:pPr/>
          </w:p>
        </w:tc>
        <w:tc>
          <w:tcPr>
            <w:tcW w:w="425" w:type="dxa"/>
            <w:vMerge/>
            <w:tcBorders>
              <w:left w:val="single" w:sz="6" w:space="0" w:color="000000"/>
              <w:bottom w:val="single" w:sz="6" w:space="0" w:color="000000"/>
              <w:right w:val="single" w:sz="6" w:space="0" w:color="000000"/>
            </w:tcBorders>
          </w:tcPr>
          <w:p>
            <w:pPr/>
          </w:p>
        </w:tc>
        <w:tc>
          <w:tcPr>
            <w:tcW w:w="566" w:type="dxa"/>
            <w:vMerge/>
            <w:tcBorders>
              <w:left w:val="single" w:sz="6" w:space="0" w:color="000000"/>
              <w:bottom w:val="single" w:sz="6" w:space="0" w:color="000000"/>
              <w:right w:val="single" w:sz="6" w:space="0" w:color="000000"/>
            </w:tcBorders>
          </w:tcPr>
          <w:p>
            <w:pPr/>
          </w:p>
        </w:tc>
        <w:tc>
          <w:tcPr>
            <w:tcW w:w="709" w:type="dxa"/>
            <w:tcBorders>
              <w:top w:val="nil" w:sz="6" w:space="0" w:color="auto"/>
              <w:left w:val="single" w:sz="6" w:space="0" w:color="000000"/>
              <w:bottom w:val="single" w:sz="6" w:space="0" w:color="000000"/>
              <w:right w:val="single" w:sz="6" w:space="0" w:color="000000"/>
            </w:tcBorders>
          </w:tcPr>
          <w:p>
            <w:pPr/>
          </w:p>
        </w:tc>
        <w:tc>
          <w:tcPr>
            <w:tcW w:w="425" w:type="dxa"/>
            <w:vMerge/>
            <w:tcBorders>
              <w:left w:val="single" w:sz="6" w:space="0" w:color="000000"/>
              <w:bottom w:val="single" w:sz="6" w:space="0" w:color="000000"/>
              <w:right w:val="single" w:sz="6" w:space="0" w:color="000000"/>
            </w:tcBorders>
          </w:tcPr>
          <w:p>
            <w:pPr/>
          </w:p>
        </w:tc>
        <w:tc>
          <w:tcPr>
            <w:tcW w:w="568" w:type="dxa"/>
            <w:vMerge/>
            <w:tcBorders>
              <w:left w:val="single" w:sz="6" w:space="0" w:color="000000"/>
              <w:bottom w:val="single" w:sz="6" w:space="0" w:color="000000"/>
              <w:right w:val="single" w:sz="6" w:space="0" w:color="000000"/>
            </w:tcBorders>
          </w:tcPr>
          <w:p>
            <w:pPr/>
          </w:p>
        </w:tc>
        <w:tc>
          <w:tcPr>
            <w:tcW w:w="566" w:type="dxa"/>
            <w:vMerge/>
            <w:tcBorders>
              <w:left w:val="single" w:sz="6" w:space="0" w:color="000000"/>
              <w:bottom w:val="single" w:sz="6" w:space="0" w:color="000000"/>
              <w:right w:val="single" w:sz="6" w:space="0" w:color="000000"/>
            </w:tcBorders>
          </w:tcPr>
          <w:p>
            <w:pPr/>
          </w:p>
        </w:tc>
        <w:tc>
          <w:tcPr>
            <w:tcW w:w="709" w:type="dxa"/>
            <w:tcBorders>
              <w:top w:val="nil" w:sz="6" w:space="0" w:color="auto"/>
              <w:left w:val="single" w:sz="6" w:space="0" w:color="000000"/>
              <w:bottom w:val="single" w:sz="6" w:space="0" w:color="000000"/>
              <w:right w:val="single" w:sz="6" w:space="0" w:color="000000"/>
            </w:tcBorders>
          </w:tcPr>
          <w:p>
            <w:pPr/>
          </w:p>
        </w:tc>
        <w:tc>
          <w:tcPr>
            <w:tcW w:w="1276" w:type="dxa"/>
            <w:tcBorders>
              <w:top w:val="nil" w:sz="6" w:space="0" w:color="auto"/>
              <w:left w:val="single" w:sz="6" w:space="0" w:color="000000"/>
              <w:bottom w:val="single" w:sz="6" w:space="0" w:color="000000"/>
              <w:right w:val="single" w:sz="12" w:space="0" w:color="000000"/>
            </w:tcBorders>
          </w:tcPr>
          <w:p>
            <w:pPr/>
          </w:p>
        </w:tc>
      </w:tr>
      <w:tr>
        <w:trPr>
          <w:trHeight w:val="719" w:hRule="exact"/>
        </w:trPr>
        <w:tc>
          <w:tcPr>
            <w:tcW w:w="736"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14" w:right="157"/>
              <w:jc w:val="left"/>
              <w:rPr>
                <w:rFonts w:ascii="宋体" w:hAnsi="宋体" w:cs="宋体" w:eastAsia="宋体" w:hint="default"/>
                <w:sz w:val="18"/>
                <w:szCs w:val="18"/>
              </w:rPr>
            </w:pPr>
            <w:r>
              <w:rPr>
                <w:rFonts w:ascii="宋体" w:hAnsi="宋体" w:cs="宋体" w:eastAsia="宋体" w:hint="default"/>
                <w:sz w:val="18"/>
                <w:szCs w:val="18"/>
              </w:rPr>
              <w:t>空调设 备</w:t>
            </w:r>
          </w:p>
        </w:tc>
        <w:tc>
          <w:tcPr>
            <w:tcW w:w="139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2,130,305.00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2,665,844.00</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4,796,149.00</w:t>
            </w:r>
          </w:p>
        </w:tc>
        <w:tc>
          <w:tcPr>
            <w:tcW w:w="42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100.00</w:t>
            </w:r>
          </w:p>
        </w:tc>
        <w:tc>
          <w:tcPr>
            <w:tcW w:w="425"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21" w:right="13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12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0.00</w:t>
            </w:r>
          </w:p>
        </w:tc>
      </w:tr>
      <w:tr>
        <w:trPr>
          <w:trHeight w:val="415" w:hRule="exact"/>
        </w:trPr>
        <w:tc>
          <w:tcPr>
            <w:tcW w:w="736"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210,000,000.00</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4,014,055.00</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34,041,806.51</w:t>
            </w:r>
          </w:p>
        </w:tc>
        <w:tc>
          <w:tcPr>
            <w:tcW w:w="12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28,682,928.55</w:t>
            </w:r>
          </w:p>
        </w:tc>
        <w:tc>
          <w:tcPr>
            <w:tcW w:w="425" w:type="dxa"/>
            <w:tcBorders>
              <w:top w:val="single" w:sz="6" w:space="0" w:color="000000"/>
              <w:left w:val="single" w:sz="6" w:space="0" w:color="000000"/>
              <w:bottom w:val="single" w:sz="12" w:space="0" w:color="000000"/>
              <w:right w:val="single" w:sz="6" w:space="0" w:color="000000"/>
            </w:tcBorders>
          </w:tcPr>
          <w:p>
            <w:pPr/>
          </w:p>
        </w:tc>
        <w:tc>
          <w:tcPr>
            <w:tcW w:w="566"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09"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425" w:type="dxa"/>
            <w:tcBorders>
              <w:top w:val="single" w:sz="6" w:space="0" w:color="000000"/>
              <w:left w:val="single" w:sz="6" w:space="0" w:color="000000"/>
              <w:bottom w:val="single" w:sz="12" w:space="0" w:color="000000"/>
              <w:right w:val="single" w:sz="6" w:space="0" w:color="000000"/>
            </w:tcBorders>
          </w:tcPr>
          <w:p>
            <w:pPr/>
          </w:p>
        </w:tc>
        <w:tc>
          <w:tcPr>
            <w:tcW w:w="568" w:type="dxa"/>
            <w:tcBorders>
              <w:top w:val="single" w:sz="6" w:space="0" w:color="000000"/>
              <w:left w:val="single" w:sz="6" w:space="0" w:color="000000"/>
              <w:bottom w:val="single" w:sz="12" w:space="0" w:color="000000"/>
              <w:right w:val="single" w:sz="6" w:space="0" w:color="000000"/>
            </w:tcBorders>
          </w:tcPr>
          <w:p>
            <w:pPr/>
          </w:p>
        </w:tc>
        <w:tc>
          <w:tcPr>
            <w:tcW w:w="566"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1"/>
              <w:ind w:left="185" w:right="0"/>
              <w:jc w:val="left"/>
              <w:rPr>
                <w:rFonts w:ascii="宋体" w:hAnsi="宋体" w:cs="宋体" w:eastAsia="宋体" w:hint="default"/>
                <w:sz w:val="18"/>
                <w:szCs w:val="18"/>
              </w:rPr>
            </w:pPr>
            <w:r>
              <w:rPr>
                <w:rFonts w:ascii="宋体"/>
                <w:sz w:val="18"/>
              </w:rPr>
              <w:t>--</w:t>
            </w:r>
          </w:p>
        </w:tc>
        <w:tc>
          <w:tcPr>
            <w:tcW w:w="709"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27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9,372,932.96</w:t>
            </w:r>
          </w:p>
        </w:tc>
      </w:tr>
    </w:tbl>
    <w:p>
      <w:pPr>
        <w:pStyle w:val="BodyText"/>
        <w:spacing w:line="240" w:lineRule="auto" w:before="26"/>
        <w:ind w:left="894" w:right="57"/>
        <w:jc w:val="left"/>
      </w:pPr>
      <w:r>
        <w:rPr/>
        <w:t>在建工程项目变动情况的说明</w:t>
      </w:r>
    </w:p>
    <w:p>
      <w:pPr>
        <w:pStyle w:val="BodyText"/>
        <w:spacing w:line="273" w:lineRule="auto" w:before="76"/>
        <w:ind w:left="894" w:right="57"/>
        <w:jc w:val="left"/>
      </w:pPr>
      <w:r>
        <w:rPr/>
        <w:t>在建工程年末数比年初数增加</w:t>
      </w:r>
      <w:r>
        <w:rPr>
          <w:spacing w:val="-66"/>
        </w:rPr>
        <w:t> </w:t>
      </w:r>
      <w:r>
        <w:rPr/>
        <w:t>5,546,263.33</w:t>
      </w:r>
      <w:r>
        <w:rPr>
          <w:spacing w:val="-65"/>
        </w:rPr>
        <w:t> </w:t>
      </w:r>
      <w:r>
        <w:rPr/>
        <w:t>元，增加比例为</w:t>
      </w:r>
      <w:r>
        <w:rPr>
          <w:spacing w:val="-66"/>
        </w:rPr>
        <w:t> </w:t>
      </w:r>
      <w:r>
        <w:rPr/>
        <w:t>138.17%，增加的主要原因为募投项目投入</w:t>
      </w:r>
      <w:r>
        <w:rPr>
          <w:spacing w:val="-1"/>
        </w:rPr>
        <w:t> </w:t>
      </w:r>
      <w:r>
        <w:rPr/>
        <w:t>建设所致。</w:t>
      </w:r>
    </w:p>
    <w:p>
      <w:pPr>
        <w:spacing w:line="240" w:lineRule="auto" w:before="6"/>
        <w:rPr>
          <w:rFonts w:ascii="宋体" w:hAnsi="宋体" w:cs="宋体" w:eastAsia="宋体" w:hint="default"/>
          <w:sz w:val="23"/>
          <w:szCs w:val="23"/>
        </w:rPr>
      </w:pPr>
    </w:p>
    <w:p>
      <w:pPr>
        <w:pStyle w:val="Heading4"/>
        <w:spacing w:line="240" w:lineRule="auto"/>
        <w:ind w:left="894" w:right="57"/>
        <w:jc w:val="left"/>
        <w:rPr>
          <w:b w:val="0"/>
          <w:bCs w:val="0"/>
        </w:rPr>
      </w:pPr>
      <w:r>
        <w:rPr/>
        <w:t>（3）在建工程减值准备</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left="894" w:right="57"/>
        <w:jc w:val="left"/>
      </w:pPr>
      <w:r>
        <w:rPr/>
        <w:t>□ 适用 √</w:t>
      </w:r>
      <w:r>
        <w:rPr>
          <w:spacing w:val="-2"/>
        </w:rPr>
        <w:t> </w:t>
      </w:r>
      <w:r>
        <w:rPr/>
        <w:t>不适用</w:t>
      </w:r>
    </w:p>
    <w:p>
      <w:pPr>
        <w:spacing w:line="240" w:lineRule="auto" w:before="9"/>
        <w:rPr>
          <w:rFonts w:ascii="宋体" w:hAnsi="宋体" w:cs="宋体" w:eastAsia="宋体" w:hint="default"/>
          <w:sz w:val="25"/>
          <w:szCs w:val="25"/>
        </w:rPr>
      </w:pPr>
    </w:p>
    <w:p>
      <w:pPr>
        <w:pStyle w:val="Heading4"/>
        <w:spacing w:line="240" w:lineRule="auto"/>
        <w:ind w:left="894" w:right="57"/>
        <w:jc w:val="left"/>
        <w:rPr>
          <w:b w:val="0"/>
          <w:bCs w:val="0"/>
        </w:rPr>
      </w:pPr>
      <w:r>
        <w:rPr/>
        <w:t>（4）重大在建工程的工程进度情况</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left="894" w:right="57"/>
        <w:jc w:val="left"/>
      </w:pPr>
      <w:r>
        <w:rPr/>
        <w:t>□ 适用 √</w:t>
      </w:r>
      <w:r>
        <w:rPr>
          <w:spacing w:val="-2"/>
        </w:rPr>
        <w:t> </w:t>
      </w:r>
      <w:r>
        <w:rPr/>
        <w:t>不适用</w:t>
      </w:r>
    </w:p>
    <w:p>
      <w:pPr>
        <w:spacing w:line="240" w:lineRule="auto" w:before="9"/>
        <w:rPr>
          <w:rFonts w:ascii="宋体" w:hAnsi="宋体" w:cs="宋体" w:eastAsia="宋体" w:hint="default"/>
          <w:sz w:val="25"/>
          <w:szCs w:val="25"/>
        </w:rPr>
      </w:pPr>
    </w:p>
    <w:p>
      <w:pPr>
        <w:spacing w:line="535" w:lineRule="auto" w:before="0"/>
        <w:ind w:left="894" w:right="7590" w:firstLine="0"/>
        <w:jc w:val="left"/>
        <w:rPr>
          <w:rFonts w:ascii="宋体" w:hAnsi="宋体" w:cs="宋体" w:eastAsia="宋体" w:hint="default"/>
          <w:sz w:val="21"/>
          <w:szCs w:val="21"/>
        </w:rPr>
      </w:pPr>
      <w:r>
        <w:rPr>
          <w:rFonts w:ascii="宋体" w:hAnsi="宋体" w:cs="宋体" w:eastAsia="宋体" w:hint="default"/>
          <w:b/>
          <w:bCs/>
          <w:sz w:val="21"/>
          <w:szCs w:val="21"/>
        </w:rPr>
        <w:t>（5）在建工程的说明</w:t>
      </w:r>
      <w:r>
        <w:rPr>
          <w:rFonts w:ascii="宋体" w:hAnsi="宋体" w:cs="宋体" w:eastAsia="宋体" w:hint="default"/>
          <w:b/>
          <w:bCs/>
          <w:spacing w:val="1"/>
          <w:w w:val="99"/>
          <w:sz w:val="21"/>
          <w:szCs w:val="21"/>
        </w:rPr>
        <w:t> </w:t>
      </w:r>
      <w:r>
        <w:rPr>
          <w:rFonts w:ascii="宋体" w:hAnsi="宋体" w:cs="宋体" w:eastAsia="宋体" w:hint="default"/>
          <w:sz w:val="21"/>
          <w:szCs w:val="21"/>
        </w:rPr>
        <w:t>在建工程主要为募投项目建设。 </w:t>
      </w:r>
      <w:r>
        <w:rPr>
          <w:rFonts w:ascii="宋体" w:hAnsi="宋体" w:cs="宋体" w:eastAsia="宋体" w:hint="default"/>
          <w:b/>
          <w:bCs/>
          <w:sz w:val="21"/>
          <w:szCs w:val="21"/>
        </w:rPr>
        <w:t>16、固定资产清理</w:t>
      </w:r>
      <w:r>
        <w:rPr>
          <w:rFonts w:ascii="宋体" w:hAnsi="宋体" w:cs="宋体" w:eastAsia="宋体" w:hint="default"/>
          <w:sz w:val="21"/>
          <w:szCs w:val="21"/>
        </w:rPr>
      </w:r>
    </w:p>
    <w:p>
      <w:pPr>
        <w:spacing w:line="532" w:lineRule="auto" w:before="81"/>
        <w:ind w:left="894" w:right="874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17、无形资产</w:t>
      </w:r>
      <w:r>
        <w:rPr>
          <w:rFonts w:ascii="宋体" w:hAnsi="宋体" w:cs="宋体" w:eastAsia="宋体" w:hint="default"/>
          <w:sz w:val="21"/>
          <w:szCs w:val="21"/>
        </w:rPr>
      </w:r>
    </w:p>
    <w:p>
      <w:pPr>
        <w:pStyle w:val="Heading4"/>
        <w:spacing w:line="240" w:lineRule="auto" w:before="83"/>
        <w:ind w:left="894" w:right="57"/>
        <w:jc w:val="left"/>
        <w:rPr>
          <w:b w:val="0"/>
          <w:bCs w:val="0"/>
        </w:rPr>
      </w:pPr>
      <w:r>
        <w:rPr/>
        <w:t>（1）无形资产情况</w:t>
      </w:r>
      <w:r>
        <w:rPr>
          <w:b w:val="0"/>
          <w:bCs w:val="0"/>
        </w:rPr>
      </w:r>
    </w:p>
    <w:p>
      <w:pPr>
        <w:spacing w:line="240" w:lineRule="auto" w:before="11"/>
        <w:rPr>
          <w:rFonts w:ascii="宋体" w:hAnsi="宋体" w:cs="宋体" w:eastAsia="宋体" w:hint="default"/>
          <w:b/>
          <w:bCs/>
          <w:sz w:val="27"/>
          <w:szCs w:val="27"/>
        </w:rPr>
      </w:pPr>
    </w:p>
    <w:p>
      <w:pPr>
        <w:spacing w:before="0"/>
        <w:ind w:left="0" w:right="100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878" w:type="dxa"/>
        <w:tblLayout w:type="fixed"/>
        <w:tblCellMar>
          <w:top w:w="0" w:type="dxa"/>
          <w:left w:w="0" w:type="dxa"/>
          <w:bottom w:w="0" w:type="dxa"/>
          <w:right w:w="0" w:type="dxa"/>
        </w:tblCellMar>
        <w:tblLook w:val="01E0"/>
      </w:tblPr>
      <w:tblGrid>
        <w:gridCol w:w="2197"/>
        <w:gridCol w:w="1843"/>
        <w:gridCol w:w="1843"/>
        <w:gridCol w:w="1843"/>
        <w:gridCol w:w="1841"/>
      </w:tblGrid>
      <w:tr>
        <w:trPr>
          <w:trHeight w:val="415" w:hRule="exact"/>
        </w:trPr>
        <w:tc>
          <w:tcPr>
            <w:tcW w:w="2197"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1"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7" w:hRule="exact"/>
        </w:trPr>
        <w:tc>
          <w:tcPr>
            <w:tcW w:w="2197"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14,410,199.52</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27,133,621.36</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41,543,820.88</w:t>
            </w:r>
          </w:p>
        </w:tc>
      </w:tr>
      <w:tr>
        <w:trPr>
          <w:trHeight w:val="407"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4,569,600.00</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4,569,600.00</w:t>
            </w:r>
          </w:p>
        </w:tc>
      </w:tr>
      <w:tr>
        <w:trPr>
          <w:trHeight w:val="416" w:hRule="exact"/>
        </w:trPr>
        <w:tc>
          <w:tcPr>
            <w:tcW w:w="219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456,276.92</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333,021.36</w:t>
            </w:r>
          </w:p>
        </w:tc>
        <w:tc>
          <w:tcPr>
            <w:tcW w:w="1843" w:type="dxa"/>
            <w:tcBorders>
              <w:top w:val="single" w:sz="6" w:space="0" w:color="000000"/>
              <w:left w:val="single" w:sz="6" w:space="0" w:color="000000"/>
              <w:bottom w:val="single" w:sz="12" w:space="0" w:color="000000"/>
              <w:right w:val="single" w:sz="6" w:space="0" w:color="000000"/>
            </w:tcBorders>
          </w:tcPr>
          <w:p>
            <w:pPr/>
          </w:p>
        </w:tc>
        <w:tc>
          <w:tcPr>
            <w:tcW w:w="184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789,298.28</w:t>
            </w:r>
          </w:p>
        </w:tc>
      </w:tr>
    </w:tbl>
    <w:p>
      <w:pPr>
        <w:spacing w:after="0" w:line="240" w:lineRule="auto"/>
        <w:jc w:val="right"/>
        <w:rPr>
          <w:rFonts w:ascii="宋体" w:hAnsi="宋体" w:cs="宋体" w:eastAsia="宋体" w:hint="default"/>
          <w:sz w:val="18"/>
          <w:szCs w:val="18"/>
        </w:rPr>
        <w:sectPr>
          <w:pgSz w:w="11910" w:h="16840"/>
          <w:pgMar w:header="0" w:footer="1003" w:top="1100" w:bottom="1200" w:left="240" w:right="22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2197"/>
        <w:gridCol w:w="1843"/>
        <w:gridCol w:w="1843"/>
        <w:gridCol w:w="1843"/>
        <w:gridCol w:w="1841"/>
      </w:tblGrid>
      <w:tr>
        <w:trPr>
          <w:trHeight w:val="415" w:hRule="exact"/>
        </w:trPr>
        <w:tc>
          <w:tcPr>
            <w:tcW w:w="219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9,384,322.60</w:t>
            </w:r>
          </w:p>
        </w:tc>
        <w:tc>
          <w:tcPr>
            <w:tcW w:w="18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26,800,600.00</w:t>
            </w:r>
          </w:p>
        </w:tc>
        <w:tc>
          <w:tcPr>
            <w:tcW w:w="1843" w:type="dxa"/>
            <w:tcBorders>
              <w:top w:val="single" w:sz="12" w:space="0" w:color="000000"/>
              <w:left w:val="single" w:sz="6" w:space="0" w:color="000000"/>
              <w:bottom w:val="single" w:sz="6" w:space="0" w:color="000000"/>
              <w:right w:val="single" w:sz="6" w:space="0" w:color="000000"/>
            </w:tcBorders>
          </w:tcPr>
          <w:p>
            <w:pPr/>
          </w:p>
        </w:tc>
        <w:tc>
          <w:tcPr>
            <w:tcW w:w="184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36,184,922.60</w:t>
            </w:r>
          </w:p>
        </w:tc>
      </w:tr>
      <w:tr>
        <w:trPr>
          <w:trHeight w:val="407" w:hRule="exact"/>
        </w:trPr>
        <w:tc>
          <w:tcPr>
            <w:tcW w:w="2197"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4,945,746.22</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468,338.79</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5,414,085.01</w:t>
            </w:r>
          </w:p>
        </w:tc>
      </w:tr>
      <w:tr>
        <w:trPr>
          <w:trHeight w:val="407"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4,569,600.00</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4,569,600.00</w:t>
            </w:r>
          </w:p>
        </w:tc>
      </w:tr>
      <w:tr>
        <w:trPr>
          <w:trHeight w:val="407"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185,923.42</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63,796.05</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249,719.47</w:t>
            </w:r>
          </w:p>
        </w:tc>
      </w:tr>
      <w:tr>
        <w:trPr>
          <w:trHeight w:val="407"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190,222.80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404,542.74</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594,765.54</w:t>
            </w:r>
          </w:p>
        </w:tc>
      </w:tr>
      <w:tr>
        <w:trPr>
          <w:trHeight w:val="407" w:hRule="exact"/>
        </w:trPr>
        <w:tc>
          <w:tcPr>
            <w:tcW w:w="2197"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9,464,453.30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26,665,282.57</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36,129,735.87</w:t>
            </w:r>
          </w:p>
        </w:tc>
      </w:tr>
      <w:tr>
        <w:trPr>
          <w:trHeight w:val="408"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270,353.50</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539,578.81</w:t>
            </w:r>
          </w:p>
        </w:tc>
      </w:tr>
      <w:tr>
        <w:trPr>
          <w:trHeight w:val="407"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9,194,099.80</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35,590,157.06</w:t>
            </w:r>
          </w:p>
        </w:tc>
      </w:tr>
      <w:tr>
        <w:trPr>
          <w:trHeight w:val="407"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197"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9,464,453.30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26,665,282.57</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36,129,735.87</w:t>
            </w:r>
          </w:p>
        </w:tc>
      </w:tr>
      <w:tr>
        <w:trPr>
          <w:trHeight w:val="407"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270,353.50</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539,578.81</w:t>
            </w:r>
          </w:p>
        </w:tc>
      </w:tr>
      <w:tr>
        <w:trPr>
          <w:trHeight w:val="415" w:hRule="exact"/>
        </w:trPr>
        <w:tc>
          <w:tcPr>
            <w:tcW w:w="219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9,194,099.80</w:t>
            </w:r>
          </w:p>
        </w:tc>
        <w:tc>
          <w:tcPr>
            <w:tcW w:w="1843" w:type="dxa"/>
            <w:tcBorders>
              <w:top w:val="single" w:sz="6" w:space="0" w:color="000000"/>
              <w:left w:val="single" w:sz="6" w:space="0" w:color="000000"/>
              <w:bottom w:val="single" w:sz="12" w:space="0" w:color="000000"/>
              <w:right w:val="single" w:sz="6" w:space="0" w:color="000000"/>
            </w:tcBorders>
          </w:tcPr>
          <w:p>
            <w:pPr/>
          </w:p>
        </w:tc>
        <w:tc>
          <w:tcPr>
            <w:tcW w:w="1843" w:type="dxa"/>
            <w:tcBorders>
              <w:top w:val="single" w:sz="6" w:space="0" w:color="000000"/>
              <w:left w:val="single" w:sz="6" w:space="0" w:color="000000"/>
              <w:bottom w:val="single" w:sz="12" w:space="0" w:color="000000"/>
              <w:right w:val="single" w:sz="6" w:space="0" w:color="000000"/>
            </w:tcBorders>
          </w:tcPr>
          <w:p>
            <w:pPr/>
          </w:p>
        </w:tc>
        <w:tc>
          <w:tcPr>
            <w:tcW w:w="184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35,590,157.06</w:t>
            </w:r>
          </w:p>
        </w:tc>
      </w:tr>
    </w:tbl>
    <w:p>
      <w:pPr>
        <w:pStyle w:val="BodyText"/>
        <w:spacing w:line="240" w:lineRule="auto" w:before="26"/>
        <w:ind w:right="132"/>
        <w:jc w:val="left"/>
      </w:pPr>
      <w:r>
        <w:rPr/>
        <w:t>本期摊销额</w:t>
      </w:r>
      <w:r>
        <w:rPr>
          <w:spacing w:val="-61"/>
        </w:rPr>
        <w:t> </w:t>
      </w:r>
      <w:r>
        <w:rPr/>
        <w:t>468,338.79</w:t>
      </w:r>
      <w:r>
        <w:rPr>
          <w:spacing w:val="-60"/>
        </w:rPr>
        <w:t> </w:t>
      </w:r>
      <w:r>
        <w:rPr/>
        <w:t>元。</w:t>
      </w:r>
    </w:p>
    <w:p>
      <w:pPr>
        <w:spacing w:line="240" w:lineRule="auto" w:before="10"/>
        <w:rPr>
          <w:rFonts w:ascii="宋体" w:hAnsi="宋体" w:cs="宋体" w:eastAsia="宋体" w:hint="default"/>
          <w:sz w:val="25"/>
          <w:szCs w:val="25"/>
        </w:rPr>
      </w:pPr>
    </w:p>
    <w:p>
      <w:pPr>
        <w:pStyle w:val="Heading4"/>
        <w:spacing w:line="240" w:lineRule="auto"/>
        <w:ind w:right="132"/>
        <w:jc w:val="left"/>
        <w:rPr>
          <w:b w:val="0"/>
          <w:bCs w:val="0"/>
        </w:rPr>
      </w:pPr>
      <w:r>
        <w:rPr/>
        <w:t>（2）公司开发项目支出</w:t>
      </w:r>
      <w:r>
        <w:rPr>
          <w:b w:val="0"/>
          <w:bCs w:val="0"/>
        </w:rPr>
      </w:r>
    </w:p>
    <w:p>
      <w:pPr>
        <w:spacing w:line="240" w:lineRule="auto" w:before="12"/>
        <w:rPr>
          <w:rFonts w:ascii="宋体" w:hAnsi="宋体" w:cs="宋体" w:eastAsia="宋体" w:hint="default"/>
          <w:b/>
          <w:bCs/>
          <w:sz w:val="25"/>
          <w:szCs w:val="25"/>
        </w:rPr>
      </w:pPr>
    </w:p>
    <w:p>
      <w:pPr>
        <w:spacing w:line="532" w:lineRule="auto" w:before="0"/>
        <w:ind w:left="154" w:right="79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18、商誉</w:t>
      </w:r>
      <w:r>
        <w:rPr>
          <w:rFonts w:ascii="宋体" w:hAnsi="宋体" w:cs="宋体" w:eastAsia="宋体" w:hint="default"/>
          <w:sz w:val="21"/>
          <w:szCs w:val="21"/>
        </w:rPr>
      </w:r>
    </w:p>
    <w:p>
      <w:pPr>
        <w:spacing w:line="532" w:lineRule="auto" w:before="83"/>
        <w:ind w:left="154" w:right="79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19、长期待摊费用</w:t>
      </w:r>
      <w:r>
        <w:rPr>
          <w:rFonts w:ascii="宋体" w:hAnsi="宋体" w:cs="宋体" w:eastAsia="宋体" w:hint="default"/>
          <w:sz w:val="21"/>
          <w:szCs w:val="21"/>
        </w:rPr>
      </w:r>
    </w:p>
    <w:p>
      <w:pPr>
        <w:spacing w:line="532" w:lineRule="auto" w:before="83"/>
        <w:ind w:left="154" w:right="618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20、递延所得税资产和递延所得税负债</w:t>
      </w:r>
      <w:r>
        <w:rPr>
          <w:rFonts w:ascii="宋体" w:hAnsi="宋体" w:cs="宋体" w:eastAsia="宋体" w:hint="default"/>
          <w:sz w:val="21"/>
          <w:szCs w:val="21"/>
        </w:rPr>
      </w:r>
    </w:p>
    <w:p>
      <w:pPr>
        <w:pStyle w:val="Heading4"/>
        <w:spacing w:line="240" w:lineRule="auto" w:before="83"/>
        <w:ind w:right="132"/>
        <w:jc w:val="left"/>
        <w:rPr>
          <w:b w:val="0"/>
          <w:bCs w:val="0"/>
        </w:rPr>
      </w:pPr>
      <w:r>
        <w:rPr/>
        <w:t>（1）递延所得税资产和递延所得税负债不以抵销后的净额列示</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1003" w:top="1100" w:bottom="1200" w:left="980" w:right="980"/>
        </w:sectPr>
      </w:pPr>
    </w:p>
    <w:p>
      <w:pPr>
        <w:pStyle w:val="BodyText"/>
        <w:spacing w:line="240" w:lineRule="auto" w:before="35"/>
        <w:ind w:right="-20"/>
        <w:jc w:val="left"/>
      </w:pPr>
      <w:r>
        <w:rPr/>
        <w:t>已确认的递延所得税资产和递延所得税负债</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40" w:bottom="1200" w:left="980" w:right="980"/>
          <w:cols w:num="2" w:equalWidth="0">
            <w:col w:w="4145" w:space="4587"/>
            <w:col w:w="1218"/>
          </w:cols>
        </w:sectPr>
      </w:pP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723"/>
        <w:gridCol w:w="2923"/>
        <w:gridCol w:w="2921"/>
      </w:tblGrid>
      <w:tr>
        <w:trPr>
          <w:trHeight w:val="413" w:hRule="exact"/>
        </w:trPr>
        <w:tc>
          <w:tcPr>
            <w:tcW w:w="3723"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15" w:hRule="exact"/>
        </w:trPr>
        <w:tc>
          <w:tcPr>
            <w:tcW w:w="9568" w:type="dxa"/>
            <w:gridSpan w:val="3"/>
            <w:tcBorders>
              <w:top w:val="single" w:sz="6" w:space="0" w:color="000000"/>
              <w:left w:val="single" w:sz="12" w:space="0" w:color="000000"/>
              <w:bottom w:val="single" w:sz="12" w:space="0" w:color="000000"/>
              <w:right w:val="single" w:sz="12"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bl>
    <w:p>
      <w:pPr>
        <w:spacing w:after="0" w:line="240" w:lineRule="auto"/>
        <w:jc w:val="left"/>
        <w:rPr>
          <w:rFonts w:ascii="宋体" w:hAnsi="宋体" w:cs="宋体" w:eastAsia="宋体" w:hint="default"/>
          <w:sz w:val="18"/>
          <w:szCs w:val="18"/>
        </w:rPr>
        <w:sectPr>
          <w:type w:val="continuous"/>
          <w:pgSz w:w="11910" w:h="16840"/>
          <w:pgMar w:top="1040" w:bottom="1200" w:left="980" w:right="98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3723"/>
        <w:gridCol w:w="2923"/>
        <w:gridCol w:w="2921"/>
      </w:tblGrid>
      <w:tr>
        <w:trPr>
          <w:trHeight w:val="415" w:hRule="exact"/>
        </w:trPr>
        <w:tc>
          <w:tcPr>
            <w:tcW w:w="3723"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1,132,441.86</w:t>
            </w:r>
          </w:p>
        </w:tc>
        <w:tc>
          <w:tcPr>
            <w:tcW w:w="292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1,003,370.75</w:t>
            </w:r>
          </w:p>
        </w:tc>
      </w:tr>
      <w:tr>
        <w:trPr>
          <w:trHeight w:val="407" w:hRule="exact"/>
        </w:trPr>
        <w:tc>
          <w:tcPr>
            <w:tcW w:w="372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3" w:type="dxa"/>
            <w:tcBorders>
              <w:top w:val="single" w:sz="6" w:space="0" w:color="000000"/>
              <w:left w:val="single" w:sz="6" w:space="0" w:color="000000"/>
              <w:bottom w:val="single" w:sz="6" w:space="0" w:color="000000"/>
              <w:right w:val="single" w:sz="6" w:space="0" w:color="000000"/>
            </w:tcBorders>
          </w:tcPr>
          <w:p>
            <w:pPr/>
          </w:p>
        </w:tc>
        <w:tc>
          <w:tcPr>
            <w:tcW w:w="29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1,387,887.70</w:t>
            </w:r>
          </w:p>
        </w:tc>
      </w:tr>
      <w:tr>
        <w:trPr>
          <w:trHeight w:val="407" w:hRule="exact"/>
        </w:trPr>
        <w:tc>
          <w:tcPr>
            <w:tcW w:w="372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1,132,441.86</w:t>
            </w:r>
          </w:p>
        </w:tc>
        <w:tc>
          <w:tcPr>
            <w:tcW w:w="29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2,391,258.45</w:t>
            </w:r>
          </w:p>
        </w:tc>
      </w:tr>
      <w:tr>
        <w:trPr>
          <w:trHeight w:val="415" w:hRule="exact"/>
        </w:trPr>
        <w:tc>
          <w:tcPr>
            <w:tcW w:w="9568" w:type="dxa"/>
            <w:gridSpan w:val="3"/>
            <w:tcBorders>
              <w:top w:val="single" w:sz="6" w:space="0" w:color="000000"/>
              <w:left w:val="single" w:sz="12" w:space="0" w:color="000000"/>
              <w:bottom w:val="single" w:sz="12" w:space="0" w:color="000000"/>
              <w:right w:val="single" w:sz="12"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2"/>
        <w:rPr>
          <w:rFonts w:ascii="宋体" w:hAnsi="宋体" w:cs="宋体" w:eastAsia="宋体" w:hint="default"/>
          <w:sz w:val="19"/>
          <w:szCs w:val="19"/>
        </w:rPr>
      </w:pPr>
    </w:p>
    <w:p>
      <w:pPr>
        <w:pStyle w:val="Heading4"/>
        <w:spacing w:line="240" w:lineRule="auto" w:before="35"/>
        <w:ind w:right="132"/>
        <w:jc w:val="left"/>
        <w:rPr>
          <w:b w:val="0"/>
          <w:bCs w:val="0"/>
        </w:rPr>
      </w:pPr>
      <w:r>
        <w:rPr/>
        <w:t>（2）递延所得税资产和递延所得税负债以抵销后的净额列示</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1003" w:top="1100" w:bottom="1200" w:left="980" w:right="980"/>
        </w:sectPr>
      </w:pPr>
    </w:p>
    <w:p>
      <w:pPr>
        <w:pStyle w:val="BodyText"/>
        <w:spacing w:line="240" w:lineRule="auto" w:before="35"/>
        <w:ind w:right="-20"/>
        <w:jc w:val="left"/>
      </w:pPr>
      <w:r>
        <w:rPr/>
        <w:t>互抵后的递延所得税资产及负债的组成项目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40" w:bottom="1200" w:left="980" w:right="980"/>
          <w:cols w:num="2" w:equalWidth="0">
            <w:col w:w="4145" w:space="4587"/>
            <w:col w:w="1218"/>
          </w:cols>
        </w:sectPr>
      </w:pP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062"/>
        <w:gridCol w:w="1627"/>
        <w:gridCol w:w="1627"/>
        <w:gridCol w:w="1626"/>
        <w:gridCol w:w="1628"/>
      </w:tblGrid>
      <w:tr>
        <w:trPr>
          <w:trHeight w:val="327" w:hRule="exact"/>
        </w:trPr>
        <w:tc>
          <w:tcPr>
            <w:tcW w:w="3062" w:type="dxa"/>
            <w:tcBorders>
              <w:top w:val="single" w:sz="12" w:space="0" w:color="000000"/>
              <w:left w:val="single" w:sz="12" w:space="0" w:color="000000"/>
              <w:bottom w:val="nil" w:sz="6" w:space="0" w:color="auto"/>
              <w:right w:val="single" w:sz="6" w:space="0" w:color="000000"/>
            </w:tcBorders>
            <w:shd w:val="clear" w:color="auto" w:fill="D3D3D3"/>
          </w:tcPr>
          <w:p>
            <w:pPr/>
          </w:p>
        </w:tc>
        <w:tc>
          <w:tcPr>
            <w:tcW w:w="1627" w:type="dxa"/>
            <w:vMerge w:val="restart"/>
            <w:tcBorders>
              <w:top w:val="single" w:sz="12" w:space="0" w:color="000000"/>
              <w:left w:val="single" w:sz="6" w:space="0" w:color="000000"/>
              <w:right w:val="single" w:sz="6" w:space="0" w:color="000000"/>
            </w:tcBorders>
            <w:shd w:val="clear" w:color="auto" w:fill="D3D3D3"/>
          </w:tcPr>
          <w:p>
            <w:pPr>
              <w:pStyle w:val="TableParagraph"/>
              <w:spacing w:line="316"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7" w:type="dxa"/>
            <w:vMerge w:val="restart"/>
            <w:tcBorders>
              <w:top w:val="single" w:sz="12" w:space="0" w:color="000000"/>
              <w:left w:val="single" w:sz="6" w:space="0" w:color="000000"/>
              <w:right w:val="single" w:sz="6" w:space="0" w:color="000000"/>
            </w:tcBorders>
            <w:shd w:val="clear" w:color="auto" w:fill="D3D3D3"/>
          </w:tcPr>
          <w:p>
            <w:pPr>
              <w:pStyle w:val="TableParagraph"/>
              <w:spacing w:line="316"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6" w:type="dxa"/>
            <w:vMerge w:val="restart"/>
            <w:tcBorders>
              <w:top w:val="single" w:sz="12" w:space="0" w:color="000000"/>
              <w:left w:val="single" w:sz="6" w:space="0" w:color="000000"/>
              <w:right w:val="single" w:sz="6" w:space="0" w:color="000000"/>
            </w:tcBorders>
            <w:shd w:val="clear" w:color="auto" w:fill="D3D3D3"/>
          </w:tcPr>
          <w:p>
            <w:pPr>
              <w:pStyle w:val="TableParagraph"/>
              <w:spacing w:line="316" w:lineRule="auto" w:before="51"/>
              <w:ind w:left="85" w:right="84"/>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28" w:type="dxa"/>
            <w:vMerge w:val="restart"/>
            <w:tcBorders>
              <w:top w:val="single" w:sz="12" w:space="0" w:color="000000"/>
              <w:left w:val="single" w:sz="6" w:space="0" w:color="000000"/>
              <w:right w:val="single" w:sz="12" w:space="0" w:color="000000"/>
            </w:tcBorders>
            <w:shd w:val="clear" w:color="auto" w:fill="D3D3D3"/>
          </w:tcPr>
          <w:p>
            <w:pPr>
              <w:pStyle w:val="TableParagraph"/>
              <w:spacing w:line="316" w:lineRule="auto" w:before="51"/>
              <w:ind w:left="87" w:right="77"/>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2" w:hRule="exact"/>
        </w:trPr>
        <w:tc>
          <w:tcPr>
            <w:tcW w:w="3062" w:type="dxa"/>
            <w:tcBorders>
              <w:top w:val="nil" w:sz="6" w:space="0" w:color="auto"/>
              <w:left w:val="single" w:sz="12" w:space="0" w:color="000000"/>
              <w:bottom w:val="nil" w:sz="6" w:space="0" w:color="auto"/>
              <w:right w:val="single" w:sz="6"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1627" w:type="dxa"/>
            <w:vMerge/>
            <w:tcBorders>
              <w:left w:val="single" w:sz="6" w:space="0" w:color="000000"/>
              <w:right w:val="single" w:sz="6" w:space="0" w:color="000000"/>
            </w:tcBorders>
            <w:shd w:val="clear" w:color="auto" w:fill="D3D3D3"/>
          </w:tcPr>
          <w:p>
            <w:pPr/>
          </w:p>
        </w:tc>
        <w:tc>
          <w:tcPr>
            <w:tcW w:w="1627" w:type="dxa"/>
            <w:vMerge/>
            <w:tcBorders>
              <w:left w:val="single" w:sz="6" w:space="0" w:color="000000"/>
              <w:right w:val="single" w:sz="6" w:space="0" w:color="000000"/>
            </w:tcBorders>
            <w:shd w:val="clear" w:color="auto" w:fill="D3D3D3"/>
          </w:tcPr>
          <w:p>
            <w:pPr/>
          </w:p>
        </w:tc>
        <w:tc>
          <w:tcPr>
            <w:tcW w:w="1626" w:type="dxa"/>
            <w:vMerge/>
            <w:tcBorders>
              <w:left w:val="single" w:sz="6" w:space="0" w:color="000000"/>
              <w:right w:val="single" w:sz="6" w:space="0" w:color="000000"/>
            </w:tcBorders>
            <w:shd w:val="clear" w:color="auto" w:fill="D3D3D3"/>
          </w:tcPr>
          <w:p>
            <w:pPr/>
          </w:p>
        </w:tc>
        <w:tc>
          <w:tcPr>
            <w:tcW w:w="1628" w:type="dxa"/>
            <w:vMerge/>
            <w:tcBorders>
              <w:left w:val="single" w:sz="6" w:space="0" w:color="000000"/>
              <w:right w:val="single" w:sz="12" w:space="0" w:color="000000"/>
            </w:tcBorders>
            <w:shd w:val="clear" w:color="auto" w:fill="D3D3D3"/>
          </w:tcPr>
          <w:p>
            <w:pPr/>
          </w:p>
        </w:tc>
      </w:tr>
      <w:tr>
        <w:trPr>
          <w:trHeight w:val="319" w:hRule="exact"/>
        </w:trPr>
        <w:tc>
          <w:tcPr>
            <w:tcW w:w="3062" w:type="dxa"/>
            <w:tcBorders>
              <w:top w:val="nil" w:sz="6" w:space="0" w:color="auto"/>
              <w:left w:val="single" w:sz="12" w:space="0" w:color="000000"/>
              <w:bottom w:val="single" w:sz="6" w:space="0" w:color="000000"/>
              <w:right w:val="single" w:sz="6" w:space="0" w:color="000000"/>
            </w:tcBorders>
            <w:shd w:val="clear" w:color="auto" w:fill="D3D3D3"/>
          </w:tcPr>
          <w:p>
            <w:pPr/>
          </w:p>
        </w:tc>
        <w:tc>
          <w:tcPr>
            <w:tcW w:w="1627" w:type="dxa"/>
            <w:vMerge/>
            <w:tcBorders>
              <w:left w:val="single" w:sz="6" w:space="0" w:color="000000"/>
              <w:bottom w:val="single" w:sz="6" w:space="0" w:color="000000"/>
              <w:right w:val="single" w:sz="6" w:space="0" w:color="000000"/>
            </w:tcBorders>
            <w:shd w:val="clear" w:color="auto" w:fill="D3D3D3"/>
          </w:tcPr>
          <w:p>
            <w:pPr/>
          </w:p>
        </w:tc>
        <w:tc>
          <w:tcPr>
            <w:tcW w:w="1627" w:type="dxa"/>
            <w:vMerge/>
            <w:tcBorders>
              <w:left w:val="single" w:sz="6" w:space="0" w:color="000000"/>
              <w:bottom w:val="single" w:sz="6" w:space="0" w:color="000000"/>
              <w:right w:val="single" w:sz="6" w:space="0" w:color="000000"/>
            </w:tcBorders>
            <w:shd w:val="clear" w:color="auto" w:fill="D3D3D3"/>
          </w:tcPr>
          <w:p>
            <w:pPr/>
          </w:p>
        </w:tc>
        <w:tc>
          <w:tcPr>
            <w:tcW w:w="1626" w:type="dxa"/>
            <w:vMerge/>
            <w:tcBorders>
              <w:left w:val="single" w:sz="6" w:space="0" w:color="000000"/>
              <w:bottom w:val="single" w:sz="6" w:space="0" w:color="000000"/>
              <w:right w:val="single" w:sz="6" w:space="0" w:color="000000"/>
            </w:tcBorders>
            <w:shd w:val="clear" w:color="auto" w:fill="D3D3D3"/>
          </w:tcPr>
          <w:p>
            <w:pPr/>
          </w:p>
        </w:tc>
        <w:tc>
          <w:tcPr>
            <w:tcW w:w="1628" w:type="dxa"/>
            <w:vMerge/>
            <w:tcBorders>
              <w:left w:val="single" w:sz="6" w:space="0" w:color="000000"/>
              <w:bottom w:val="single" w:sz="6" w:space="0" w:color="000000"/>
              <w:right w:val="single" w:sz="12" w:space="0" w:color="000000"/>
            </w:tcBorders>
            <w:shd w:val="clear" w:color="auto" w:fill="D3D3D3"/>
          </w:tcPr>
          <w:p>
            <w:pPr/>
          </w:p>
        </w:tc>
      </w:tr>
      <w:tr>
        <w:trPr>
          <w:trHeight w:val="415" w:hRule="exact"/>
        </w:trPr>
        <w:tc>
          <w:tcPr>
            <w:tcW w:w="3062"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511" w:right="0"/>
              <w:jc w:val="left"/>
              <w:rPr>
                <w:rFonts w:ascii="宋体" w:hAnsi="宋体" w:cs="宋体" w:eastAsia="宋体" w:hint="default"/>
                <w:sz w:val="18"/>
                <w:szCs w:val="18"/>
              </w:rPr>
            </w:pPr>
            <w:r>
              <w:rPr>
                <w:rFonts w:ascii="宋体"/>
                <w:sz w:val="18"/>
              </w:rPr>
              <w:t>1,132,441.86</w:t>
            </w:r>
          </w:p>
        </w:tc>
        <w:tc>
          <w:tcPr>
            <w:tcW w:w="1627" w:type="dxa"/>
            <w:tcBorders>
              <w:top w:val="single" w:sz="6" w:space="0" w:color="000000"/>
              <w:left w:val="single" w:sz="6" w:space="0" w:color="000000"/>
              <w:bottom w:val="single" w:sz="12" w:space="0" w:color="000000"/>
              <w:right w:val="single" w:sz="6" w:space="0" w:color="000000"/>
            </w:tcBorders>
          </w:tcPr>
          <w:p>
            <w:pPr/>
          </w:p>
        </w:tc>
        <w:tc>
          <w:tcPr>
            <w:tcW w:w="16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511" w:right="0"/>
              <w:jc w:val="left"/>
              <w:rPr>
                <w:rFonts w:ascii="宋体" w:hAnsi="宋体" w:cs="宋体" w:eastAsia="宋体" w:hint="default"/>
                <w:sz w:val="18"/>
                <w:szCs w:val="18"/>
              </w:rPr>
            </w:pPr>
            <w:r>
              <w:rPr>
                <w:rFonts w:ascii="宋体"/>
                <w:sz w:val="18"/>
              </w:rPr>
              <w:t>2,391,258.45</w:t>
            </w:r>
          </w:p>
        </w:tc>
        <w:tc>
          <w:tcPr>
            <w:tcW w:w="1628"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040" w:bottom="1200" w:left="980" w:right="980"/>
        </w:sectPr>
      </w:pPr>
    </w:p>
    <w:p>
      <w:pPr>
        <w:pStyle w:val="BodyText"/>
        <w:spacing w:line="240" w:lineRule="auto" w:before="26"/>
        <w:ind w:right="-20"/>
        <w:jc w:val="left"/>
      </w:pPr>
      <w:r>
        <w:rPr/>
        <w:t>递延所得税资产和递延所得税负债互抵明细</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40" w:bottom="1200" w:left="980" w:right="980"/>
          <w:cols w:num="2" w:equalWidth="0">
            <w:col w:w="4145" w:space="4587"/>
            <w:col w:w="1218"/>
          </w:cols>
        </w:sectPr>
      </w:pPr>
    </w:p>
    <w:p>
      <w:pPr>
        <w:spacing w:line="240" w:lineRule="auto" w:before="12"/>
        <w:rPr>
          <w:rFonts w:ascii="宋体" w:hAnsi="宋体" w:cs="宋体" w:eastAsia="宋体" w:hint="default"/>
          <w:sz w:val="6"/>
          <w:szCs w:val="6"/>
        </w:rPr>
      </w:pPr>
    </w:p>
    <w:p>
      <w:pPr>
        <w:spacing w:line="481" w:lineRule="exact"/>
        <w:ind w:left="123"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81.4pt;height:24.1pt;mso-position-horizontal-relative:char;mso-position-vertical-relative:line" coordorigin="0,0" coordsize="9628,482">
            <v:group style="position:absolute;left:3859;top:45;width:21;height:392" coordorigin="3859,45" coordsize="21,392">
              <v:shape style="position:absolute;left:3859;top:45;width:21;height:392" coordorigin="3859,45" coordsize="21,392" path="m3859,436l3879,436,3879,45,3859,45,3859,436xe" filled="true" fillcolor="#d3d3d3" stroked="false">
                <v:path arrowok="t"/>
                <v:fill type="solid"/>
              </v:shape>
            </v:group>
            <v:group style="position:absolute;left:45;top:45;width:14;height:392" coordorigin="45,45" coordsize="14,392">
              <v:shape style="position:absolute;left:45;top:45;width:14;height:392" coordorigin="45,45" coordsize="14,392" path="m45,436l58,436,58,45,45,45,45,436xe" filled="true" fillcolor="#d3d3d3" stroked="false">
                <v:path arrowok="t"/>
                <v:fill type="solid"/>
              </v:shape>
            </v:group>
            <v:group style="position:absolute;left:58;top:45;width:3801;height:392" coordorigin="58,45" coordsize="3801,392">
              <v:shape style="position:absolute;left:58;top:45;width:3801;height:392" coordorigin="58,45" coordsize="3801,392" path="m58,436l3859,436,3859,45,58,45,58,436xe" filled="true" fillcolor="#d3d3d3" stroked="false">
                <v:path arrowok="t"/>
                <v:fill type="solid"/>
              </v:shape>
            </v:group>
            <v:group style="position:absolute;left:3893;top:45;width:22;height:392" coordorigin="3893,45" coordsize="22,392">
              <v:shape style="position:absolute;left:3893;top:45;width:22;height:392" coordorigin="3893,45" coordsize="22,392" path="m3893,436l3915,436,3915,45,3893,45,3893,436xe" filled="true" fillcolor="#d3d3d3" stroked="false">
                <v:path arrowok="t"/>
                <v:fill type="solid"/>
              </v:shape>
            </v:group>
            <v:group style="position:absolute;left:9571;top:45;width:14;height:392" coordorigin="9571,45" coordsize="14,392">
              <v:shape style="position:absolute;left:9571;top:45;width:14;height:392" coordorigin="9571,45" coordsize="14,392" path="m9571,436l9584,436,9584,45,9571,45,9571,436xe" filled="true" fillcolor="#d3d3d3" stroked="false">
                <v:path arrowok="t"/>
                <v:fill type="solid"/>
              </v:shape>
            </v:group>
            <v:group style="position:absolute;left:3915;top:45;width:5656;height:392" coordorigin="3915,45" coordsize="5656,392">
              <v:shape style="position:absolute;left:3915;top:45;width:5656;height:392" coordorigin="3915,45" coordsize="5656,392" path="m3915,436l9571,436,9571,45,3915,45,3915,436xe" filled="true" fillcolor="#d3d3d3" stroked="false">
                <v:path arrowok="t"/>
                <v:fill type="solid"/>
              </v:shape>
            </v:group>
            <v:group style="position:absolute;left:15;top:30;width:9598;height:2" coordorigin="15,30" coordsize="9598,2">
              <v:shape style="position:absolute;left:15;top:30;width:9598;height:2" coordorigin="15,30" coordsize="9598,0" path="m15,30l9613,30e" filled="false" stroked="true" strokeweight="1.5pt" strokecolor="#000000">
                <v:path arrowok="t"/>
              </v:shape>
            </v:group>
            <v:group style="position:absolute;left:30;top:15;width:2;height:452" coordorigin="30,15" coordsize="2,452">
              <v:shape style="position:absolute;left:30;top:15;width:2;height:452" coordorigin="30,15" coordsize="0,452" path="m30,15l30,466e" filled="false" stroked="true" strokeweight="1.5pt" strokecolor="#000000">
                <v:path arrowok="t"/>
              </v:shape>
            </v:group>
            <v:group style="position:absolute;left:15;top:451;width:3864;height:2" coordorigin="15,451" coordsize="3864,2">
              <v:shape style="position:absolute;left:15;top:451;width:3864;height:2" coordorigin="15,451" coordsize="3864,0" path="m15,451l3879,451e" filled="false" stroked="true" strokeweight="1.5pt" strokecolor="#000000">
                <v:path arrowok="t"/>
              </v:shape>
            </v:group>
            <v:group style="position:absolute;left:3886;top:45;width:2;height:392" coordorigin="3886,45" coordsize="2,392">
              <v:shape style="position:absolute;left:3886;top:45;width:2;height:392" coordorigin="3886,45" coordsize="0,392" path="m3886,45l3886,436e" filled="false" stroked="true" strokeweight=".71999pt" strokecolor="#000000">
                <v:path arrowok="t"/>
              </v:shape>
            </v:group>
            <v:group style="position:absolute;left:3879;top:451;width:5704;height:2" coordorigin="3879,451" coordsize="5704,2">
              <v:shape style="position:absolute;left:3879;top:451;width:5704;height:2" coordorigin="3879,451" coordsize="5704,0" path="m3879,451l9583,451e" filled="false" stroked="true" strokeweight="1.5pt" strokecolor="#000000">
                <v:path arrowok="t"/>
              </v:shape>
            </v:group>
            <v:group style="position:absolute;left:9598;top:15;width:2;height:452" coordorigin="9598,15" coordsize="2,452">
              <v:shape style="position:absolute;left:9598;top:15;width:2;height:452" coordorigin="9598,15" coordsize="0,452" path="m9598,15l9598,466e" filled="false" stroked="true" strokeweight="1.5pt" strokecolor="#000000">
                <v:path arrowok="t"/>
              </v:shape>
              <v:shape style="position:absolute;left:1778;top:15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3886;top:30;width:5712;height:422" type="#_x0000_t202" filled="false" stroked="false">
                <v:textbox inset="0,0,0,0">
                  <w:txbxContent>
                    <w:p>
                      <w:pPr>
                        <w:spacing w:before="66"/>
                        <w:ind w:left="0" w:right="0" w:firstLine="0"/>
                        <w:jc w:val="center"/>
                        <w:rPr>
                          <w:rFonts w:ascii="宋体" w:hAnsi="宋体" w:cs="宋体" w:eastAsia="宋体" w:hint="default"/>
                          <w:sz w:val="18"/>
                          <w:szCs w:val="18"/>
                        </w:rPr>
                      </w:pPr>
                      <w:r>
                        <w:rPr>
                          <w:rFonts w:ascii="宋体" w:hAnsi="宋体" w:cs="宋体" w:eastAsia="宋体" w:hint="default"/>
                          <w:sz w:val="18"/>
                          <w:szCs w:val="18"/>
                        </w:rPr>
                        <w:t>本期互抵金额</w:t>
                      </w:r>
                    </w:p>
                  </w:txbxContent>
                </v:textbox>
                <w10:wrap type="none"/>
              </v:shape>
            </v:group>
          </v:group>
        </w:pict>
      </w:r>
      <w:r>
        <w:rPr>
          <w:rFonts w:ascii="宋体" w:hAnsi="宋体" w:cs="宋体" w:eastAsia="宋体" w:hint="default"/>
          <w:position w:val="-9"/>
          <w:sz w:val="20"/>
          <w:szCs w:val="20"/>
        </w:rPr>
      </w:r>
    </w:p>
    <w:p>
      <w:pPr>
        <w:pStyle w:val="BodyText"/>
        <w:spacing w:line="307" w:lineRule="auto" w:before="11"/>
        <w:ind w:right="3680"/>
        <w:jc w:val="left"/>
      </w:pPr>
      <w:r>
        <w:rPr/>
        <w:t>递延所得税资产和递延所得税负债的说明 本公司无未确认递延所得税资产。 本公司无未确认递延所得税资产的可抵扣亏损将于以下年度到期。 引起暂时性差异的资产或负债项目对应的暂时性差异</w:t>
      </w:r>
    </w:p>
    <w:p>
      <w:pPr>
        <w:spacing w:line="240" w:lineRule="auto" w:before="5"/>
        <w:rPr>
          <w:rFonts w:ascii="宋体" w:hAnsi="宋体" w:cs="宋体" w:eastAsia="宋体" w:hint="default"/>
          <w:sz w:val="2"/>
          <w:szCs w:val="2"/>
        </w:rPr>
      </w:pPr>
    </w:p>
    <w:p>
      <w:pPr>
        <w:spacing w:line="30" w:lineRule="exact"/>
        <w:ind w:left="139" w:right="0" w:firstLine="0"/>
        <w:rPr>
          <w:rFonts w:ascii="宋体" w:hAnsi="宋体" w:cs="宋体" w:eastAsia="宋体" w:hint="default"/>
          <w:sz w:val="3"/>
          <w:szCs w:val="3"/>
        </w:rPr>
      </w:pPr>
      <w:r>
        <w:rPr>
          <w:rFonts w:ascii="宋体" w:hAnsi="宋体" w:cs="宋体" w:eastAsia="宋体" w:hint="default"/>
          <w:position w:val="0"/>
          <w:sz w:val="3"/>
          <w:szCs w:val="3"/>
        </w:rPr>
        <w:pict>
          <v:group style="width:391.65pt;height:1.5pt;mso-position-horizontal-relative:char;mso-position-vertical-relative:line" coordorigin="0,0" coordsize="7833,30">
            <v:group style="position:absolute;left:15;top:15;width:5422;height:2" coordorigin="15,15" coordsize="5422,2">
              <v:shape style="position:absolute;left:15;top:15;width:5422;height:2" coordorigin="15,15" coordsize="5422,0" path="m15,15l5437,15e" filled="false" stroked="true" strokeweight="1.5pt" strokecolor="#000000">
                <v:path arrowok="t"/>
              </v:shape>
            </v:group>
            <v:group style="position:absolute;left:5437;top:15;width:2381;height:2" coordorigin="5437,15" coordsize="2381,2">
              <v:shape style="position:absolute;left:5437;top:15;width:2381;height:2" coordorigin="5437,15" coordsize="2381,0" path="m5437,15l7817,15e" filled="false" stroked="true" strokeweight="1.5pt" strokecolor="#000000">
                <v:path arrowok="t"/>
              </v:shape>
            </v:group>
          </v:group>
        </w:pict>
      </w:r>
      <w:r>
        <w:rPr>
          <w:rFonts w:ascii="宋体" w:hAnsi="宋体" w:cs="宋体" w:eastAsia="宋体" w:hint="default"/>
          <w:position w:val="0"/>
          <w:sz w:val="3"/>
          <w:szCs w:val="3"/>
        </w:rPr>
      </w:r>
    </w:p>
    <w:p>
      <w:pPr>
        <w:pStyle w:val="BodyText"/>
        <w:tabs>
          <w:tab w:pos="6315" w:val="left" w:leader="none"/>
        </w:tabs>
        <w:spacing w:line="240" w:lineRule="auto"/>
        <w:ind w:left="2086" w:right="132"/>
        <w:jc w:val="left"/>
      </w:pPr>
      <w:r>
        <w:rPr/>
        <w:t>项目</w:t>
        <w:tab/>
        <w:t>暂时性差异金额</w:t>
      </w:r>
    </w:p>
    <w:p>
      <w:pPr>
        <w:spacing w:line="240" w:lineRule="auto" w:before="11"/>
        <w:rPr>
          <w:rFonts w:ascii="宋体" w:hAnsi="宋体" w:cs="宋体" w:eastAsia="宋体" w:hint="default"/>
          <w:sz w:val="4"/>
          <w:szCs w:val="4"/>
        </w:rPr>
      </w:pPr>
    </w:p>
    <w:p>
      <w:pPr>
        <w:spacing w:line="20" w:lineRule="exact"/>
        <w:ind w:left="149" w:right="0" w:firstLine="0"/>
        <w:rPr>
          <w:rFonts w:ascii="宋体" w:hAnsi="宋体" w:cs="宋体" w:eastAsia="宋体" w:hint="default"/>
          <w:sz w:val="2"/>
          <w:szCs w:val="2"/>
        </w:rPr>
      </w:pPr>
      <w:r>
        <w:rPr>
          <w:rFonts w:ascii="宋体" w:hAnsi="宋体" w:cs="宋体" w:eastAsia="宋体" w:hint="default"/>
          <w:sz w:val="2"/>
          <w:szCs w:val="2"/>
        </w:rPr>
        <w:pict>
          <v:group style="width:390.6pt;height:.5pt;mso-position-horizontal-relative:char;mso-position-vertical-relative:line" coordorigin="0,0" coordsize="7812,10">
            <v:group style="position:absolute;left:5;top:5;width:7803;height:2" coordorigin="5,5" coordsize="7803,2">
              <v:shape style="position:absolute;left:5;top:5;width:7803;height:2" coordorigin="5,5" coordsize="7803,0" path="m5,5l7807,5e" filled="false" stroked="true" strokeweight=".48001pt" strokecolor="#000000">
                <v:path arrowok="t"/>
              </v:shape>
            </v:group>
          </v:group>
        </w:pict>
      </w:r>
      <w:r>
        <w:rPr>
          <w:rFonts w:ascii="宋体" w:hAnsi="宋体" w:cs="宋体" w:eastAsia="宋体" w:hint="default"/>
          <w:sz w:val="2"/>
          <w:szCs w:val="2"/>
        </w:rPr>
      </w:r>
    </w:p>
    <w:p>
      <w:pPr>
        <w:pStyle w:val="BodyText"/>
        <w:tabs>
          <w:tab w:pos="6549" w:val="left" w:leader="none"/>
        </w:tabs>
        <w:spacing w:line="240" w:lineRule="auto"/>
        <w:ind w:left="1666" w:right="132"/>
        <w:jc w:val="left"/>
      </w:pPr>
      <w:r>
        <w:rPr>
          <w:spacing w:val="-1"/>
        </w:rPr>
        <w:t>资产减值准备</w:t>
        <w:tab/>
        <w:t>7,549,612.43</w:t>
      </w:r>
      <w:r>
        <w:rPr/>
      </w:r>
    </w:p>
    <w:p>
      <w:pPr>
        <w:spacing w:line="240" w:lineRule="auto" w:before="11"/>
        <w:rPr>
          <w:rFonts w:ascii="宋体" w:hAnsi="宋体" w:cs="宋体" w:eastAsia="宋体" w:hint="default"/>
          <w:sz w:val="4"/>
          <w:szCs w:val="4"/>
        </w:rPr>
      </w:pPr>
    </w:p>
    <w:p>
      <w:pPr>
        <w:spacing w:line="20" w:lineRule="exact"/>
        <w:ind w:left="149" w:right="0" w:firstLine="0"/>
        <w:rPr>
          <w:rFonts w:ascii="宋体" w:hAnsi="宋体" w:cs="宋体" w:eastAsia="宋体" w:hint="default"/>
          <w:sz w:val="2"/>
          <w:szCs w:val="2"/>
        </w:rPr>
      </w:pPr>
      <w:r>
        <w:rPr>
          <w:rFonts w:ascii="宋体" w:hAnsi="宋体" w:cs="宋体" w:eastAsia="宋体" w:hint="default"/>
          <w:sz w:val="2"/>
          <w:szCs w:val="2"/>
        </w:rPr>
        <w:pict>
          <v:group style="width:390.6pt;height:.5pt;mso-position-horizontal-relative:char;mso-position-vertical-relative:line" coordorigin="0,0" coordsize="7812,10">
            <v:group style="position:absolute;left:5;top:5;width:7803;height:2" coordorigin="5,5" coordsize="7803,2">
              <v:shape style="position:absolute;left:5;top:5;width:7803;height:2" coordorigin="5,5" coordsize="7803,0" path="m5,5l7807,5e" filled="false" stroked="true" strokeweight=".48001pt" strokecolor="#000000">
                <v:path arrowok="t"/>
              </v:shape>
            </v:group>
          </v:group>
        </w:pict>
      </w:r>
      <w:r>
        <w:rPr>
          <w:rFonts w:ascii="宋体" w:hAnsi="宋体" w:cs="宋体" w:eastAsia="宋体" w:hint="default"/>
          <w:sz w:val="2"/>
          <w:szCs w:val="2"/>
        </w:rPr>
      </w:r>
    </w:p>
    <w:p>
      <w:pPr>
        <w:pStyle w:val="BodyText"/>
        <w:tabs>
          <w:tab w:pos="6548" w:val="left" w:leader="none"/>
        </w:tabs>
        <w:spacing w:line="240" w:lineRule="auto"/>
        <w:ind w:left="2086" w:right="132"/>
        <w:jc w:val="left"/>
      </w:pPr>
      <w:r>
        <w:rPr>
          <w:spacing w:val="-1"/>
        </w:rPr>
        <w:t>小计</w:t>
        <w:tab/>
        <w:t>7,549,612.43</w:t>
      </w:r>
      <w:r>
        <w:rPr/>
      </w:r>
    </w:p>
    <w:p>
      <w:pPr>
        <w:spacing w:line="240" w:lineRule="auto" w:before="11"/>
        <w:rPr>
          <w:rFonts w:ascii="宋体" w:hAnsi="宋体" w:cs="宋体" w:eastAsia="宋体" w:hint="default"/>
          <w:sz w:val="4"/>
          <w:szCs w:val="4"/>
        </w:rPr>
      </w:pPr>
    </w:p>
    <w:p>
      <w:pPr>
        <w:spacing w:line="30" w:lineRule="exact"/>
        <w:ind w:left="124" w:right="0" w:firstLine="0"/>
        <w:rPr>
          <w:rFonts w:ascii="宋体" w:hAnsi="宋体" w:cs="宋体" w:eastAsia="宋体" w:hint="default"/>
          <w:sz w:val="3"/>
          <w:szCs w:val="3"/>
        </w:rPr>
      </w:pPr>
      <w:r>
        <w:rPr>
          <w:rFonts w:ascii="宋体" w:hAnsi="宋体" w:cs="宋体" w:eastAsia="宋体" w:hint="default"/>
          <w:position w:val="0"/>
          <w:sz w:val="3"/>
          <w:szCs w:val="3"/>
        </w:rPr>
        <w:pict>
          <v:group style="width:392.35pt;height:1.5pt;mso-position-horizontal-relative:char;mso-position-vertical-relative:line" coordorigin="0,0" coordsize="7847,30">
            <v:group style="position:absolute;left:15;top:15;width:612;height:2" coordorigin="15,15" coordsize="612,2">
              <v:shape style="position:absolute;left:15;top:15;width:612;height:2" coordorigin="15,15" coordsize="612,0" path="m15,15l627,15e" filled="false" stroked="true" strokeweight="1.5pt" strokecolor="#000000">
                <v:path arrowok="t"/>
              </v:shape>
            </v:group>
            <v:group style="position:absolute;left:613;top:15;width:3104;height:2" coordorigin="613,15" coordsize="3104,2">
              <v:shape style="position:absolute;left:613;top:15;width:3104;height:2" coordorigin="613,15" coordsize="3104,0" path="m613,15l3716,15e" filled="false" stroked="true" strokeweight="1.5pt" strokecolor="#000000">
                <v:path arrowok="t"/>
              </v:shape>
            </v:group>
            <v:group style="position:absolute;left:3701;top:15;width:1720;height:2" coordorigin="3701,15" coordsize="1720,2">
              <v:shape style="position:absolute;left:3701;top:15;width:1720;height:2" coordorigin="3701,15" coordsize="1720,0" path="m3701,15l5421,15e" filled="false" stroked="true" strokeweight="1.5pt" strokecolor="#000000">
                <v:path arrowok="t"/>
              </v:shape>
            </v:group>
            <v:group style="position:absolute;left:5407;top:15;width:30;height:2" coordorigin="5407,15" coordsize="30,2">
              <v:shape style="position:absolute;left:5407;top:15;width:30;height:2" coordorigin="5407,15" coordsize="30,0" path="m5407,15l5437,15e" filled="false" stroked="true" strokeweight="1.5pt" strokecolor="#000000">
                <v:path arrowok="t"/>
              </v:shape>
            </v:group>
            <v:group style="position:absolute;left:5437;top:15;width:2396;height:2" coordorigin="5437,15" coordsize="2396,2">
              <v:shape style="position:absolute;left:5437;top:15;width:2396;height:2" coordorigin="5437,15" coordsize="2396,0" path="m5437,15l7832,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left="153" w:right="132"/>
        <w:jc w:val="left"/>
        <w:rPr>
          <w:b w:val="0"/>
          <w:bCs w:val="0"/>
        </w:rPr>
      </w:pPr>
      <w:r>
        <w:rPr/>
        <w:t>21、资产减值准备明细</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266"/>
        <w:gridCol w:w="1528"/>
        <w:gridCol w:w="1528"/>
        <w:gridCol w:w="1398"/>
        <w:gridCol w:w="1398"/>
        <w:gridCol w:w="1451"/>
      </w:tblGrid>
      <w:tr>
        <w:trPr>
          <w:trHeight w:val="219" w:hRule="exact"/>
        </w:trPr>
        <w:tc>
          <w:tcPr>
            <w:tcW w:w="2266" w:type="dxa"/>
            <w:tcBorders>
              <w:top w:val="single" w:sz="12" w:space="0" w:color="000000"/>
              <w:left w:val="single" w:sz="12" w:space="0" w:color="000000"/>
              <w:bottom w:val="nil" w:sz="6" w:space="0" w:color="auto"/>
              <w:right w:val="single" w:sz="6" w:space="0" w:color="000000"/>
            </w:tcBorders>
            <w:shd w:val="clear" w:color="auto" w:fill="D3D3D3"/>
          </w:tcPr>
          <w:p>
            <w:pPr/>
          </w:p>
        </w:tc>
        <w:tc>
          <w:tcPr>
            <w:tcW w:w="1528" w:type="dxa"/>
            <w:vMerge w:val="restart"/>
            <w:tcBorders>
              <w:top w:val="single" w:sz="12" w:space="0" w:color="000000"/>
              <w:left w:val="single" w:sz="6" w:space="0" w:color="000000"/>
              <w:right w:val="single" w:sz="6"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8" w:type="dxa"/>
            <w:vMerge w:val="restart"/>
            <w:tcBorders>
              <w:top w:val="single" w:sz="12" w:space="0" w:color="000000"/>
              <w:left w:val="single" w:sz="6" w:space="0" w:color="000000"/>
              <w:right w:val="single" w:sz="6"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vMerge w:val="restart"/>
            <w:tcBorders>
              <w:top w:val="single" w:sz="12" w:space="0" w:color="000000"/>
              <w:left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1" w:type="dxa"/>
            <w:vMerge w:val="restart"/>
            <w:tcBorders>
              <w:top w:val="single" w:sz="12" w:space="0" w:color="000000"/>
              <w:left w:val="single" w:sz="6" w:space="0" w:color="000000"/>
              <w:right w:val="single" w:sz="12"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6" w:hRule="exact"/>
        </w:trPr>
        <w:tc>
          <w:tcPr>
            <w:tcW w:w="2266" w:type="dxa"/>
            <w:vMerge w:val="restart"/>
            <w:tcBorders>
              <w:top w:val="nil" w:sz="6" w:space="0" w:color="auto"/>
              <w:left w:val="single" w:sz="12" w:space="0" w:color="000000"/>
              <w:right w:val="single" w:sz="6" w:space="0" w:color="000000"/>
            </w:tcBorders>
            <w:shd w:val="clear" w:color="auto" w:fill="D3D3D3"/>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528" w:type="dxa"/>
            <w:vMerge/>
            <w:tcBorders>
              <w:left w:val="single" w:sz="6" w:space="0" w:color="000000"/>
              <w:right w:val="single" w:sz="6" w:space="0" w:color="000000"/>
            </w:tcBorders>
            <w:shd w:val="clear" w:color="auto" w:fill="D3D3D3"/>
          </w:tcPr>
          <w:p>
            <w:pPr/>
          </w:p>
        </w:tc>
        <w:tc>
          <w:tcPr>
            <w:tcW w:w="1528" w:type="dxa"/>
            <w:vMerge/>
            <w:tcBorders>
              <w:left w:val="single" w:sz="6" w:space="0" w:color="000000"/>
              <w:right w:val="single" w:sz="6" w:space="0" w:color="000000"/>
            </w:tcBorders>
            <w:shd w:val="clear" w:color="auto" w:fill="D3D3D3"/>
          </w:tcPr>
          <w:p>
            <w:pPr/>
          </w:p>
        </w:tc>
        <w:tc>
          <w:tcPr>
            <w:tcW w:w="2796" w:type="dxa"/>
            <w:gridSpan w:val="2"/>
            <w:vMerge/>
            <w:tcBorders>
              <w:left w:val="single" w:sz="6" w:space="0" w:color="000000"/>
              <w:bottom w:val="single" w:sz="6" w:space="0" w:color="000000"/>
              <w:right w:val="single" w:sz="6" w:space="0" w:color="000000"/>
            </w:tcBorders>
            <w:shd w:val="clear" w:color="auto" w:fill="D3D3D3"/>
          </w:tcPr>
          <w:p>
            <w:pPr/>
          </w:p>
        </w:tc>
        <w:tc>
          <w:tcPr>
            <w:tcW w:w="1451" w:type="dxa"/>
            <w:vMerge/>
            <w:tcBorders>
              <w:left w:val="single" w:sz="6" w:space="0" w:color="000000"/>
              <w:right w:val="single" w:sz="12" w:space="0" w:color="000000"/>
            </w:tcBorders>
            <w:shd w:val="clear" w:color="auto" w:fill="D3D3D3"/>
          </w:tcPr>
          <w:p>
            <w:pPr/>
          </w:p>
        </w:tc>
      </w:tr>
      <w:tr>
        <w:trPr>
          <w:trHeight w:val="196" w:hRule="exact"/>
        </w:trPr>
        <w:tc>
          <w:tcPr>
            <w:tcW w:w="2266" w:type="dxa"/>
            <w:vMerge/>
            <w:tcBorders>
              <w:left w:val="single" w:sz="12" w:space="0" w:color="000000"/>
              <w:bottom w:val="nil" w:sz="6" w:space="0" w:color="auto"/>
              <w:right w:val="single" w:sz="6" w:space="0" w:color="000000"/>
            </w:tcBorders>
            <w:shd w:val="clear" w:color="auto" w:fill="D3D3D3"/>
          </w:tcPr>
          <w:p>
            <w:pPr/>
          </w:p>
        </w:tc>
        <w:tc>
          <w:tcPr>
            <w:tcW w:w="1528" w:type="dxa"/>
            <w:vMerge/>
            <w:tcBorders>
              <w:left w:val="single" w:sz="6" w:space="0" w:color="000000"/>
              <w:right w:val="single" w:sz="6" w:space="0" w:color="000000"/>
            </w:tcBorders>
            <w:shd w:val="clear" w:color="auto" w:fill="D3D3D3"/>
          </w:tcPr>
          <w:p>
            <w:pPr/>
          </w:p>
        </w:tc>
        <w:tc>
          <w:tcPr>
            <w:tcW w:w="1528" w:type="dxa"/>
            <w:vMerge/>
            <w:tcBorders>
              <w:left w:val="single" w:sz="6" w:space="0" w:color="000000"/>
              <w:right w:val="single" w:sz="6" w:space="0" w:color="000000"/>
            </w:tcBorders>
            <w:shd w:val="clear" w:color="auto" w:fill="D3D3D3"/>
          </w:tcPr>
          <w:p>
            <w:pPr/>
          </w:p>
        </w:tc>
        <w:tc>
          <w:tcPr>
            <w:tcW w:w="1398" w:type="dxa"/>
            <w:vMerge w:val="restart"/>
            <w:tcBorders>
              <w:top w:val="single" w:sz="6" w:space="0" w:color="000000"/>
              <w:left w:val="single" w:sz="6" w:space="0" w:color="000000"/>
              <w:right w:val="single" w:sz="6"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8" w:type="dxa"/>
            <w:vMerge w:val="restart"/>
            <w:tcBorders>
              <w:top w:val="single" w:sz="6" w:space="0" w:color="000000"/>
              <w:left w:val="single" w:sz="6" w:space="0" w:color="000000"/>
              <w:right w:val="single" w:sz="6"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1" w:type="dxa"/>
            <w:vMerge/>
            <w:tcBorders>
              <w:left w:val="single" w:sz="6" w:space="0" w:color="000000"/>
              <w:right w:val="single" w:sz="12" w:space="0" w:color="000000"/>
            </w:tcBorders>
            <w:shd w:val="clear" w:color="auto" w:fill="D3D3D3"/>
          </w:tcPr>
          <w:p>
            <w:pPr/>
          </w:p>
        </w:tc>
      </w:tr>
      <w:tr>
        <w:trPr>
          <w:trHeight w:val="211" w:hRule="exact"/>
        </w:trPr>
        <w:tc>
          <w:tcPr>
            <w:tcW w:w="2266" w:type="dxa"/>
            <w:tcBorders>
              <w:top w:val="nil" w:sz="6" w:space="0" w:color="auto"/>
              <w:left w:val="single" w:sz="12" w:space="0" w:color="000000"/>
              <w:bottom w:val="single" w:sz="6" w:space="0" w:color="000000"/>
              <w:right w:val="single" w:sz="6" w:space="0" w:color="000000"/>
            </w:tcBorders>
            <w:shd w:val="clear" w:color="auto" w:fill="D3D3D3"/>
          </w:tcPr>
          <w:p>
            <w:pPr/>
          </w:p>
        </w:tc>
        <w:tc>
          <w:tcPr>
            <w:tcW w:w="1528" w:type="dxa"/>
            <w:vMerge/>
            <w:tcBorders>
              <w:left w:val="single" w:sz="6" w:space="0" w:color="000000"/>
              <w:bottom w:val="single" w:sz="6" w:space="0" w:color="000000"/>
              <w:right w:val="single" w:sz="6" w:space="0" w:color="000000"/>
            </w:tcBorders>
            <w:shd w:val="clear" w:color="auto" w:fill="D3D3D3"/>
          </w:tcPr>
          <w:p>
            <w:pPr/>
          </w:p>
        </w:tc>
        <w:tc>
          <w:tcPr>
            <w:tcW w:w="1528" w:type="dxa"/>
            <w:vMerge/>
            <w:tcBorders>
              <w:left w:val="single" w:sz="6" w:space="0" w:color="000000"/>
              <w:bottom w:val="single" w:sz="6" w:space="0" w:color="000000"/>
              <w:right w:val="single" w:sz="6" w:space="0" w:color="000000"/>
            </w:tcBorders>
            <w:shd w:val="clear" w:color="auto" w:fill="D3D3D3"/>
          </w:tcPr>
          <w:p>
            <w:pPr/>
          </w:p>
        </w:tc>
        <w:tc>
          <w:tcPr>
            <w:tcW w:w="1398" w:type="dxa"/>
            <w:vMerge/>
            <w:tcBorders>
              <w:left w:val="single" w:sz="6" w:space="0" w:color="000000"/>
              <w:bottom w:val="single" w:sz="6" w:space="0" w:color="000000"/>
              <w:right w:val="single" w:sz="6" w:space="0" w:color="000000"/>
            </w:tcBorders>
            <w:shd w:val="clear" w:color="auto" w:fill="D3D3D3"/>
          </w:tcPr>
          <w:p>
            <w:pPr/>
          </w:p>
        </w:tc>
        <w:tc>
          <w:tcPr>
            <w:tcW w:w="1398" w:type="dxa"/>
            <w:vMerge/>
            <w:tcBorders>
              <w:left w:val="single" w:sz="6" w:space="0" w:color="000000"/>
              <w:bottom w:val="single" w:sz="6" w:space="0" w:color="000000"/>
              <w:right w:val="single" w:sz="6" w:space="0" w:color="000000"/>
            </w:tcBorders>
            <w:shd w:val="clear" w:color="auto" w:fill="D3D3D3"/>
          </w:tcPr>
          <w:p>
            <w:pPr/>
          </w:p>
        </w:tc>
        <w:tc>
          <w:tcPr>
            <w:tcW w:w="1451" w:type="dxa"/>
            <w:vMerge/>
            <w:tcBorders>
              <w:left w:val="single" w:sz="6" w:space="0" w:color="000000"/>
              <w:bottom w:val="single" w:sz="6" w:space="0" w:color="000000"/>
              <w:right w:val="single" w:sz="12" w:space="0" w:color="000000"/>
            </w:tcBorders>
            <w:shd w:val="clear" w:color="auto" w:fill="D3D3D3"/>
          </w:tcPr>
          <w:p>
            <w:pPr/>
          </w:p>
        </w:tc>
      </w:tr>
      <w:tr>
        <w:trPr>
          <w:trHeight w:val="407" w:hRule="exact"/>
        </w:trPr>
        <w:tc>
          <w:tcPr>
            <w:tcW w:w="2266"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6,011,976.79</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1,978,187.01</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564,928.86</w:t>
            </w:r>
          </w:p>
        </w:tc>
        <w:tc>
          <w:tcPr>
            <w:tcW w:w="1398"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7,425,234.94</w:t>
            </w:r>
          </w:p>
        </w:tc>
      </w:tr>
      <w:tr>
        <w:trPr>
          <w:trHeight w:val="407" w:hRule="exact"/>
        </w:trPr>
        <w:tc>
          <w:tcPr>
            <w:tcW w:w="2266"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677,161.63</w:t>
            </w:r>
          </w:p>
        </w:tc>
        <w:tc>
          <w:tcPr>
            <w:tcW w:w="1528"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339,035.74</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213,748.40</w:t>
            </w:r>
          </w:p>
        </w:tc>
        <w:tc>
          <w:tcPr>
            <w:tcW w:w="14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124,377.49</w:t>
            </w:r>
          </w:p>
        </w:tc>
      </w:tr>
      <w:tr>
        <w:trPr>
          <w:trHeight w:val="407" w:hRule="exact"/>
        </w:trPr>
        <w:tc>
          <w:tcPr>
            <w:tcW w:w="2266"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六、投资性房地产减值准备</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0.00</w:t>
            </w:r>
          </w:p>
        </w:tc>
        <w:tc>
          <w:tcPr>
            <w:tcW w:w="1528"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0.00</w:t>
            </w:r>
          </w:p>
        </w:tc>
      </w:tr>
      <w:tr>
        <w:trPr>
          <w:trHeight w:val="416" w:hRule="exact"/>
        </w:trPr>
        <w:tc>
          <w:tcPr>
            <w:tcW w:w="2266"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6,689,138.42</w:t>
            </w:r>
          </w:p>
        </w:tc>
        <w:tc>
          <w:tcPr>
            <w:tcW w:w="15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1,978,187.01</w:t>
            </w:r>
          </w:p>
        </w:tc>
        <w:tc>
          <w:tcPr>
            <w:tcW w:w="13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903,964.60</w:t>
            </w:r>
          </w:p>
        </w:tc>
        <w:tc>
          <w:tcPr>
            <w:tcW w:w="13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213,748.40</w:t>
            </w:r>
          </w:p>
        </w:tc>
        <w:tc>
          <w:tcPr>
            <w:tcW w:w="145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7,549,612.43</w:t>
            </w:r>
          </w:p>
        </w:tc>
      </w:tr>
    </w:tbl>
    <w:p>
      <w:pPr>
        <w:spacing w:line="240" w:lineRule="auto" w:before="2"/>
        <w:rPr>
          <w:rFonts w:ascii="宋体" w:hAnsi="宋体" w:cs="宋体" w:eastAsia="宋体" w:hint="default"/>
          <w:sz w:val="19"/>
          <w:szCs w:val="19"/>
        </w:rPr>
      </w:pPr>
    </w:p>
    <w:p>
      <w:pPr>
        <w:pStyle w:val="Heading4"/>
        <w:spacing w:line="240" w:lineRule="auto" w:before="35"/>
        <w:ind w:right="132"/>
        <w:jc w:val="left"/>
        <w:rPr>
          <w:b w:val="0"/>
          <w:bCs w:val="0"/>
        </w:rPr>
      </w:pPr>
      <w:r>
        <w:rPr/>
        <w:t>22、其他非流动资产</w:t>
      </w:r>
      <w:r>
        <w:rPr>
          <w:b w:val="0"/>
          <w:bCs w:val="0"/>
        </w:rPr>
      </w:r>
    </w:p>
    <w:p>
      <w:pPr>
        <w:spacing w:after="0" w:line="240" w:lineRule="auto"/>
        <w:jc w:val="left"/>
        <w:sectPr>
          <w:type w:val="continuous"/>
          <w:pgSz w:w="11910" w:h="16840"/>
          <w:pgMar w:top="1040" w:bottom="1200" w:left="980" w:right="980"/>
        </w:sectPr>
      </w:pPr>
    </w:p>
    <w:p>
      <w:pPr>
        <w:spacing w:line="240" w:lineRule="auto" w:before="10"/>
        <w:rPr>
          <w:rFonts w:ascii="宋体" w:hAnsi="宋体" w:cs="宋体" w:eastAsia="宋体" w:hint="default"/>
          <w:b/>
          <w:bCs/>
          <w:sz w:val="20"/>
          <w:szCs w:val="20"/>
        </w:rPr>
      </w:pPr>
    </w:p>
    <w:p>
      <w:pPr>
        <w:spacing w:line="532" w:lineRule="auto" w:before="35"/>
        <w:ind w:left="154" w:right="79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23、短期借款</w:t>
      </w:r>
      <w:r>
        <w:rPr>
          <w:rFonts w:ascii="宋体" w:hAnsi="宋体" w:cs="宋体" w:eastAsia="宋体" w:hint="default"/>
          <w:sz w:val="21"/>
          <w:szCs w:val="21"/>
        </w:rPr>
      </w:r>
    </w:p>
    <w:p>
      <w:pPr>
        <w:pStyle w:val="Heading4"/>
        <w:spacing w:line="240" w:lineRule="auto" w:before="83"/>
        <w:ind w:right="132"/>
        <w:jc w:val="left"/>
        <w:rPr>
          <w:b w:val="0"/>
          <w:bCs w:val="0"/>
        </w:rPr>
      </w:pPr>
      <w:r>
        <w:rPr/>
        <w:t>（1）短期借款分类</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591"/>
        <w:gridCol w:w="2922"/>
        <w:gridCol w:w="3055"/>
      </w:tblGrid>
      <w:tr>
        <w:trPr>
          <w:trHeight w:val="415" w:hRule="exact"/>
        </w:trPr>
        <w:tc>
          <w:tcPr>
            <w:tcW w:w="3591"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7" w:hRule="exact"/>
        </w:trPr>
        <w:tc>
          <w:tcPr>
            <w:tcW w:w="3591"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13,000,000.00</w:t>
            </w:r>
          </w:p>
        </w:tc>
        <w:tc>
          <w:tcPr>
            <w:tcW w:w="30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15,000,000.00</w:t>
            </w:r>
          </w:p>
        </w:tc>
      </w:tr>
      <w:tr>
        <w:trPr>
          <w:trHeight w:val="415" w:hRule="exact"/>
        </w:trPr>
        <w:tc>
          <w:tcPr>
            <w:tcW w:w="3591"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13,000,000.00</w:t>
            </w:r>
          </w:p>
        </w:tc>
        <w:tc>
          <w:tcPr>
            <w:tcW w:w="305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15,000,000.00</w:t>
            </w:r>
          </w:p>
        </w:tc>
      </w:tr>
    </w:tbl>
    <w:p>
      <w:pPr>
        <w:pStyle w:val="BodyText"/>
        <w:spacing w:line="240" w:lineRule="auto" w:before="26"/>
        <w:ind w:right="132"/>
        <w:jc w:val="left"/>
      </w:pPr>
      <w:r>
        <w:rPr/>
        <w:t>短期借款分类的说明</w:t>
      </w:r>
    </w:p>
    <w:p>
      <w:pPr>
        <w:spacing w:line="240" w:lineRule="auto" w:before="10"/>
        <w:rPr>
          <w:rFonts w:ascii="宋体" w:hAnsi="宋体" w:cs="宋体" w:eastAsia="宋体" w:hint="default"/>
          <w:sz w:val="25"/>
          <w:szCs w:val="25"/>
        </w:rPr>
      </w:pPr>
    </w:p>
    <w:p>
      <w:pPr>
        <w:pStyle w:val="Heading4"/>
        <w:spacing w:line="240" w:lineRule="auto"/>
        <w:ind w:right="132"/>
        <w:jc w:val="left"/>
        <w:rPr>
          <w:b w:val="0"/>
          <w:bCs w:val="0"/>
        </w:rPr>
      </w:pPr>
      <w:r>
        <w:rPr/>
        <w:t>（2）已到期未偿还的短期借款情况</w:t>
      </w:r>
      <w:r>
        <w:rPr>
          <w:b w:val="0"/>
          <w:bCs w:val="0"/>
        </w:rPr>
      </w:r>
    </w:p>
    <w:p>
      <w:pPr>
        <w:spacing w:line="240" w:lineRule="auto" w:before="7"/>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607"/>
        <w:gridCol w:w="1283"/>
        <w:gridCol w:w="1278"/>
        <w:gridCol w:w="1655"/>
        <w:gridCol w:w="1753"/>
        <w:gridCol w:w="1991"/>
      </w:tblGrid>
      <w:tr>
        <w:trPr>
          <w:trHeight w:val="415" w:hRule="exact"/>
        </w:trPr>
        <w:tc>
          <w:tcPr>
            <w:tcW w:w="1607"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283"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8"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655"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贷款资金用途</w:t>
            </w:r>
          </w:p>
        </w:tc>
        <w:tc>
          <w:tcPr>
            <w:tcW w:w="1753"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238" w:right="0"/>
              <w:jc w:val="left"/>
              <w:rPr>
                <w:rFonts w:ascii="宋体" w:hAnsi="宋体" w:cs="宋体" w:eastAsia="宋体" w:hint="default"/>
                <w:sz w:val="18"/>
                <w:szCs w:val="18"/>
              </w:rPr>
            </w:pPr>
            <w:r>
              <w:rPr>
                <w:rFonts w:ascii="宋体" w:hAnsi="宋体" w:cs="宋体" w:eastAsia="宋体" w:hint="default"/>
                <w:sz w:val="18"/>
                <w:szCs w:val="18"/>
              </w:rPr>
              <w:t>未按期偿还原因</w:t>
            </w:r>
          </w:p>
        </w:tc>
        <w:tc>
          <w:tcPr>
            <w:tcW w:w="1991"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预计还款期</w:t>
            </w:r>
          </w:p>
        </w:tc>
      </w:tr>
      <w:tr>
        <w:trPr>
          <w:trHeight w:val="415" w:hRule="exact"/>
        </w:trPr>
        <w:tc>
          <w:tcPr>
            <w:tcW w:w="160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无</w:t>
            </w:r>
          </w:p>
        </w:tc>
        <w:tc>
          <w:tcPr>
            <w:tcW w:w="1283" w:type="dxa"/>
            <w:tcBorders>
              <w:top w:val="single" w:sz="6" w:space="0" w:color="000000"/>
              <w:left w:val="single" w:sz="6" w:space="0" w:color="000000"/>
              <w:bottom w:val="single" w:sz="12" w:space="0" w:color="000000"/>
              <w:right w:val="single" w:sz="6" w:space="0" w:color="000000"/>
            </w:tcBorders>
          </w:tcPr>
          <w:p>
            <w:pPr/>
          </w:p>
        </w:tc>
        <w:tc>
          <w:tcPr>
            <w:tcW w:w="1278" w:type="dxa"/>
            <w:tcBorders>
              <w:top w:val="single" w:sz="6" w:space="0" w:color="000000"/>
              <w:left w:val="single" w:sz="6" w:space="0" w:color="000000"/>
              <w:bottom w:val="single" w:sz="12" w:space="0" w:color="000000"/>
              <w:right w:val="single" w:sz="6" w:space="0" w:color="000000"/>
            </w:tcBorders>
          </w:tcPr>
          <w:p>
            <w:pPr/>
          </w:p>
        </w:tc>
        <w:tc>
          <w:tcPr>
            <w:tcW w:w="1655" w:type="dxa"/>
            <w:tcBorders>
              <w:top w:val="single" w:sz="6" w:space="0" w:color="000000"/>
              <w:left w:val="single" w:sz="6" w:space="0" w:color="000000"/>
              <w:bottom w:val="single" w:sz="12" w:space="0" w:color="000000"/>
              <w:right w:val="single" w:sz="6" w:space="0" w:color="000000"/>
            </w:tcBorders>
          </w:tcPr>
          <w:p>
            <w:pPr/>
          </w:p>
        </w:tc>
        <w:tc>
          <w:tcPr>
            <w:tcW w:w="1753" w:type="dxa"/>
            <w:tcBorders>
              <w:top w:val="single" w:sz="6" w:space="0" w:color="000000"/>
              <w:left w:val="single" w:sz="6" w:space="0" w:color="000000"/>
              <w:bottom w:val="single" w:sz="12" w:space="0" w:color="000000"/>
              <w:right w:val="single" w:sz="6" w:space="0" w:color="000000"/>
            </w:tcBorders>
          </w:tcPr>
          <w:p>
            <w:pPr/>
          </w:p>
        </w:tc>
        <w:tc>
          <w:tcPr>
            <w:tcW w:w="1991"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3"/>
        <w:rPr>
          <w:rFonts w:ascii="宋体" w:hAnsi="宋体" w:cs="宋体" w:eastAsia="宋体" w:hint="default"/>
          <w:sz w:val="26"/>
          <w:szCs w:val="26"/>
        </w:rPr>
      </w:pPr>
    </w:p>
    <w:p>
      <w:pPr>
        <w:pStyle w:val="BodyText"/>
        <w:spacing w:line="307" w:lineRule="auto" w:before="35"/>
        <w:ind w:right="2630"/>
        <w:jc w:val="left"/>
      </w:pPr>
      <w:r>
        <w:rPr/>
        <w:t>资产负债表日后已偿还金额</w:t>
      </w:r>
      <w:r>
        <w:rPr>
          <w:spacing w:val="-54"/>
        </w:rPr>
        <w:t> </w:t>
      </w:r>
      <w:r>
        <w:rPr/>
        <w:t>3,000,000.00</w:t>
      </w:r>
      <w:r>
        <w:rPr>
          <w:spacing w:val="-53"/>
        </w:rPr>
        <w:t> </w:t>
      </w:r>
      <w:r>
        <w:rPr/>
        <w:t>元。</w:t>
      </w:r>
      <w:r>
        <w:rPr>
          <w:spacing w:val="-1"/>
        </w:rPr>
        <w:t> </w:t>
      </w:r>
      <w:r>
        <w:rPr/>
        <w:t>短期借款的说明，包括已到期短期借款获展期的，说明展期条件、新的到期日</w:t>
      </w:r>
    </w:p>
    <w:p>
      <w:pPr>
        <w:spacing w:line="240" w:lineRule="auto" w:before="3"/>
        <w:rPr>
          <w:rFonts w:ascii="宋体" w:hAnsi="宋体" w:cs="宋体" w:eastAsia="宋体" w:hint="default"/>
          <w:sz w:val="28"/>
          <w:szCs w:val="28"/>
        </w:rPr>
      </w:pPr>
    </w:p>
    <w:p>
      <w:pPr>
        <w:pStyle w:val="BodyText"/>
        <w:spacing w:line="240" w:lineRule="auto"/>
        <w:ind w:left="0" w:right="247"/>
        <w:jc w:val="right"/>
      </w:pPr>
      <w:r>
        <w:rPr/>
        <w:t>公司与南京银行城南支行签订流动资金借款合同，分别为：借款人民币</w:t>
      </w:r>
      <w:r>
        <w:rPr>
          <w:spacing w:val="-56"/>
        </w:rPr>
        <w:t> </w:t>
      </w:r>
      <w:r>
        <w:rPr/>
        <w:t>500</w:t>
      </w:r>
      <w:r>
        <w:rPr>
          <w:spacing w:val="-56"/>
        </w:rPr>
        <w:t> </w:t>
      </w:r>
      <w:r>
        <w:rPr/>
        <w:t>万元，期限</w:t>
      </w:r>
      <w:r>
        <w:rPr>
          <w:spacing w:val="-56"/>
        </w:rPr>
        <w:t> </w:t>
      </w:r>
      <w:r>
        <w:rPr/>
        <w:t>2012</w:t>
      </w:r>
      <w:r>
        <w:rPr>
          <w:spacing w:val="-55"/>
        </w:rPr>
        <w:t> </w:t>
      </w:r>
      <w:r>
        <w:rPr/>
        <w:t>年</w:t>
      </w:r>
      <w:r>
        <w:rPr>
          <w:spacing w:val="-57"/>
        </w:rPr>
        <w:t> </w:t>
      </w:r>
      <w:r>
        <w:rPr/>
        <w:t>7</w:t>
      </w:r>
      <w:r>
        <w:rPr>
          <w:spacing w:val="-55"/>
        </w:rPr>
        <w:t> </w:t>
      </w:r>
      <w:r>
        <w:rPr/>
        <w:t>月</w:t>
      </w:r>
    </w:p>
    <w:p>
      <w:pPr>
        <w:pStyle w:val="BodyText"/>
        <w:spacing w:line="273" w:lineRule="auto" w:before="37"/>
        <w:ind w:right="132"/>
        <w:jc w:val="left"/>
      </w:pPr>
      <w:r>
        <w:rPr/>
        <w:t>25</w:t>
      </w:r>
      <w:r>
        <w:rPr>
          <w:spacing w:val="-54"/>
        </w:rPr>
        <w:t> </w:t>
      </w:r>
      <w:r>
        <w:rPr/>
        <w:t>日至</w:t>
      </w:r>
      <w:r>
        <w:rPr>
          <w:spacing w:val="-55"/>
        </w:rPr>
        <w:t> </w:t>
      </w:r>
      <w:r>
        <w:rPr/>
        <w:t>2013</w:t>
      </w:r>
      <w:r>
        <w:rPr>
          <w:spacing w:val="-55"/>
        </w:rPr>
        <w:t> </w:t>
      </w:r>
      <w:r>
        <w:rPr/>
        <w:t>年</w:t>
      </w:r>
      <w:r>
        <w:rPr>
          <w:spacing w:val="-55"/>
        </w:rPr>
        <w:t> </w:t>
      </w:r>
      <w:r>
        <w:rPr/>
        <w:t>7</w:t>
      </w:r>
      <w:r>
        <w:rPr>
          <w:spacing w:val="-54"/>
        </w:rPr>
        <w:t> </w:t>
      </w:r>
      <w:r>
        <w:rPr/>
        <w:t>月</w:t>
      </w:r>
      <w:r>
        <w:rPr>
          <w:spacing w:val="-56"/>
        </w:rPr>
        <w:t> </w:t>
      </w:r>
      <w:r>
        <w:rPr/>
        <w:t>25</w:t>
      </w:r>
      <w:r>
        <w:rPr>
          <w:spacing w:val="-54"/>
        </w:rPr>
        <w:t> </w:t>
      </w:r>
      <w:r>
        <w:rPr/>
        <w:t>日；借款人民币</w:t>
      </w:r>
      <w:r>
        <w:rPr>
          <w:spacing w:val="-55"/>
        </w:rPr>
        <w:t> </w:t>
      </w:r>
      <w:r>
        <w:rPr/>
        <w:t>500</w:t>
      </w:r>
      <w:r>
        <w:rPr>
          <w:spacing w:val="-54"/>
        </w:rPr>
        <w:t> </w:t>
      </w:r>
      <w:r>
        <w:rPr/>
        <w:t>万元，期限</w:t>
      </w:r>
      <w:r>
        <w:rPr>
          <w:spacing w:val="-55"/>
        </w:rPr>
        <w:t> </w:t>
      </w:r>
      <w:r>
        <w:rPr/>
        <w:t>2012</w:t>
      </w:r>
      <w:r>
        <w:rPr>
          <w:spacing w:val="-55"/>
        </w:rPr>
        <w:t> </w:t>
      </w:r>
      <w:r>
        <w:rPr/>
        <w:t>年</w:t>
      </w:r>
      <w:r>
        <w:rPr>
          <w:spacing w:val="-55"/>
        </w:rPr>
        <w:t> </w:t>
      </w:r>
      <w:r>
        <w:rPr/>
        <w:t>9</w:t>
      </w:r>
      <w:r>
        <w:rPr>
          <w:spacing w:val="-54"/>
        </w:rPr>
        <w:t> </w:t>
      </w:r>
      <w:r>
        <w:rPr/>
        <w:t>月</w:t>
      </w:r>
      <w:r>
        <w:rPr>
          <w:spacing w:val="-56"/>
        </w:rPr>
        <w:t> </w:t>
      </w:r>
      <w:r>
        <w:rPr/>
        <w:t>24</w:t>
      </w:r>
      <w:r>
        <w:rPr>
          <w:spacing w:val="-54"/>
        </w:rPr>
        <w:t> </w:t>
      </w:r>
      <w:r>
        <w:rPr/>
        <w:t>日至</w:t>
      </w:r>
      <w:r>
        <w:rPr>
          <w:spacing w:val="-55"/>
        </w:rPr>
        <w:t> </w:t>
      </w:r>
      <w:r>
        <w:rPr/>
        <w:t>2013</w:t>
      </w:r>
      <w:r>
        <w:rPr>
          <w:spacing w:val="-54"/>
        </w:rPr>
        <w:t> </w:t>
      </w:r>
      <w:r>
        <w:rPr/>
        <w:t>年</w:t>
      </w:r>
      <w:r>
        <w:rPr>
          <w:spacing w:val="-56"/>
        </w:rPr>
        <w:t> </w:t>
      </w:r>
      <w:r>
        <w:rPr/>
        <w:t>3</w:t>
      </w:r>
      <w:r>
        <w:rPr>
          <w:spacing w:val="-55"/>
        </w:rPr>
        <w:t> </w:t>
      </w:r>
      <w:r>
        <w:rPr/>
        <w:t>月</w:t>
      </w:r>
      <w:r>
        <w:rPr>
          <w:spacing w:val="-55"/>
        </w:rPr>
        <w:t> </w:t>
      </w:r>
      <w:r>
        <w:rPr/>
        <w:t>24</w:t>
      </w:r>
      <w:r>
        <w:rPr>
          <w:spacing w:val="-54"/>
        </w:rPr>
        <w:t> </w:t>
      </w:r>
      <w:r>
        <w:rPr/>
        <w:t>日；上述借</w:t>
      </w:r>
      <w:r>
        <w:rPr>
          <w:spacing w:val="-1"/>
        </w:rPr>
        <w:t> </w:t>
      </w:r>
      <w:r>
        <w:rPr/>
        <w:t>款由龙昌明、江苏省国龙电子实业有限公司提供连带责任担保。</w:t>
      </w:r>
    </w:p>
    <w:p>
      <w:pPr>
        <w:spacing w:line="240" w:lineRule="auto" w:before="0"/>
        <w:rPr>
          <w:rFonts w:ascii="宋体" w:hAnsi="宋体" w:cs="宋体" w:eastAsia="宋体" w:hint="default"/>
          <w:sz w:val="20"/>
          <w:szCs w:val="20"/>
        </w:rPr>
      </w:pPr>
    </w:p>
    <w:p>
      <w:pPr>
        <w:pStyle w:val="BodyText"/>
        <w:spacing w:line="240" w:lineRule="auto" w:before="136"/>
        <w:ind w:left="574" w:right="132"/>
        <w:jc w:val="left"/>
      </w:pPr>
      <w:r>
        <w:rPr/>
        <w:t>公司与中国建设银行白下支行签订流动资金借款合同，借款人民币</w:t>
      </w:r>
      <w:r>
        <w:rPr>
          <w:spacing w:val="-54"/>
        </w:rPr>
        <w:t> </w:t>
      </w:r>
      <w:r>
        <w:rPr/>
        <w:t>300</w:t>
      </w:r>
      <w:r>
        <w:rPr>
          <w:spacing w:val="-53"/>
        </w:rPr>
        <w:t> </w:t>
      </w:r>
      <w:r>
        <w:rPr/>
        <w:t>万元，期限</w:t>
      </w:r>
      <w:r>
        <w:rPr>
          <w:spacing w:val="-54"/>
        </w:rPr>
        <w:t> </w:t>
      </w:r>
      <w:r>
        <w:rPr/>
        <w:t>2012</w:t>
      </w:r>
      <w:r>
        <w:rPr>
          <w:spacing w:val="-54"/>
        </w:rPr>
        <w:t> </w:t>
      </w:r>
      <w:r>
        <w:rPr/>
        <w:t>年</w:t>
      </w:r>
      <w:r>
        <w:rPr>
          <w:spacing w:val="-54"/>
        </w:rPr>
        <w:t> </w:t>
      </w:r>
      <w:r>
        <w:rPr/>
        <w:t>2</w:t>
      </w:r>
      <w:r>
        <w:rPr>
          <w:spacing w:val="-53"/>
        </w:rPr>
        <w:t> </w:t>
      </w:r>
      <w:r>
        <w:rPr/>
        <w:t>月</w:t>
      </w:r>
      <w:r>
        <w:rPr>
          <w:spacing w:val="-55"/>
        </w:rPr>
        <w:t> </w:t>
      </w:r>
      <w:r>
        <w:rPr/>
        <w:t>21</w:t>
      </w:r>
    </w:p>
    <w:p>
      <w:pPr>
        <w:pStyle w:val="BodyText"/>
        <w:spacing w:line="240" w:lineRule="auto" w:before="38"/>
        <w:ind w:right="132"/>
        <w:jc w:val="left"/>
      </w:pPr>
      <w:r>
        <w:rPr/>
        <w:t>日至</w:t>
      </w:r>
      <w:r>
        <w:rPr>
          <w:spacing w:val="-59"/>
        </w:rPr>
        <w:t> </w:t>
      </w:r>
      <w:r>
        <w:rPr/>
        <w:t>2013</w:t>
      </w:r>
      <w:r>
        <w:rPr>
          <w:spacing w:val="-58"/>
        </w:rPr>
        <w:t> </w:t>
      </w:r>
      <w:r>
        <w:rPr/>
        <w:t>年</w:t>
      </w:r>
      <w:r>
        <w:rPr>
          <w:spacing w:val="-60"/>
        </w:rPr>
        <w:t> </w:t>
      </w:r>
      <w:r>
        <w:rPr/>
        <w:t>2</w:t>
      </w:r>
      <w:r>
        <w:rPr>
          <w:spacing w:val="-58"/>
        </w:rPr>
        <w:t> </w:t>
      </w:r>
      <w:r>
        <w:rPr/>
        <w:t>月</w:t>
      </w:r>
      <w:r>
        <w:rPr>
          <w:spacing w:val="-60"/>
        </w:rPr>
        <w:t> </w:t>
      </w:r>
      <w:r>
        <w:rPr/>
        <w:t>20</w:t>
      </w:r>
      <w:r>
        <w:rPr>
          <w:spacing w:val="-58"/>
        </w:rPr>
        <w:t> </w:t>
      </w:r>
      <w:r>
        <w:rPr/>
        <w:t>日；由龙昌明、江苏光一投资管理有限责任公司提供连带责任担保。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6"/>
        <w:ind w:right="132"/>
        <w:jc w:val="left"/>
        <w:rPr>
          <w:b w:val="0"/>
          <w:bCs w:val="0"/>
        </w:rPr>
      </w:pPr>
      <w:r>
        <w:rPr/>
        <w:t>24、交易性金融负债</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spacing w:before="0"/>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592"/>
        <w:gridCol w:w="2922"/>
        <w:gridCol w:w="3053"/>
      </w:tblGrid>
      <w:tr>
        <w:trPr>
          <w:trHeight w:val="422" w:hRule="exact"/>
        </w:trPr>
        <w:tc>
          <w:tcPr>
            <w:tcW w:w="3592" w:type="dxa"/>
            <w:tcBorders>
              <w:top w:val="single" w:sz="12"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12"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53" w:type="dxa"/>
            <w:tcBorders>
              <w:top w:val="single" w:sz="12" w:space="0" w:color="000000"/>
              <w:left w:val="single" w:sz="6" w:space="0" w:color="000000"/>
              <w:bottom w:val="single" w:sz="12" w:space="0" w:color="000000"/>
              <w:right w:val="single" w:sz="12" w:space="0" w:color="000000"/>
            </w:tcBorders>
            <w:shd w:val="clear" w:color="auto" w:fill="D3D3D3"/>
          </w:tcPr>
          <w:p>
            <w:pPr>
              <w:pStyle w:val="TableParagraph"/>
              <w:spacing w:line="240" w:lineRule="auto" w:before="51"/>
              <w:ind w:left="979"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pStyle w:val="BodyText"/>
        <w:spacing w:line="307" w:lineRule="auto" w:before="26"/>
        <w:ind w:right="7670"/>
        <w:jc w:val="left"/>
      </w:pPr>
      <w:r>
        <w:rPr/>
        <w:t>交易性金融负债的说明 无</w:t>
      </w:r>
    </w:p>
    <w:p>
      <w:pPr>
        <w:spacing w:line="240" w:lineRule="auto" w:before="2"/>
        <w:rPr>
          <w:rFonts w:ascii="宋体" w:hAnsi="宋体" w:cs="宋体" w:eastAsia="宋体" w:hint="default"/>
          <w:sz w:val="21"/>
          <w:szCs w:val="21"/>
        </w:rPr>
      </w:pPr>
    </w:p>
    <w:p>
      <w:pPr>
        <w:pStyle w:val="Heading4"/>
        <w:spacing w:line="240" w:lineRule="auto"/>
        <w:ind w:right="132"/>
        <w:jc w:val="left"/>
        <w:rPr>
          <w:b w:val="0"/>
          <w:bCs w:val="0"/>
        </w:rPr>
      </w:pPr>
      <w:r>
        <w:rPr/>
        <w:t>25、应付票据</w:t>
      </w:r>
      <w:r>
        <w:rPr>
          <w:b w:val="0"/>
          <w:bCs w:val="0"/>
        </w:rPr>
      </w:r>
    </w:p>
    <w:p>
      <w:pPr>
        <w:spacing w:line="240" w:lineRule="auto" w:before="7"/>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0" w:footer="1003" w:top="1100" w:bottom="1200" w:left="980" w:right="98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3591"/>
        <w:gridCol w:w="2922"/>
        <w:gridCol w:w="3055"/>
      </w:tblGrid>
      <w:tr>
        <w:trPr>
          <w:trHeight w:val="415" w:hRule="exact"/>
        </w:trPr>
        <w:tc>
          <w:tcPr>
            <w:tcW w:w="3591"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种类</w:t>
            </w:r>
          </w:p>
        </w:tc>
        <w:tc>
          <w:tcPr>
            <w:tcW w:w="2922"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7" w:hRule="exact"/>
        </w:trPr>
        <w:tc>
          <w:tcPr>
            <w:tcW w:w="3591"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31,236,928.32</w:t>
            </w:r>
          </w:p>
        </w:tc>
        <w:tc>
          <w:tcPr>
            <w:tcW w:w="30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3,679,450.01</w:t>
            </w:r>
          </w:p>
        </w:tc>
      </w:tr>
      <w:tr>
        <w:trPr>
          <w:trHeight w:val="415" w:hRule="exact"/>
        </w:trPr>
        <w:tc>
          <w:tcPr>
            <w:tcW w:w="3591"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31,236,928.32</w:t>
            </w:r>
          </w:p>
        </w:tc>
        <w:tc>
          <w:tcPr>
            <w:tcW w:w="305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3,679,450.01</w:t>
            </w:r>
          </w:p>
        </w:tc>
      </w:tr>
    </w:tbl>
    <w:p>
      <w:pPr>
        <w:pStyle w:val="BodyText"/>
        <w:spacing w:line="307" w:lineRule="auto" w:before="26"/>
        <w:ind w:right="5360"/>
        <w:jc w:val="left"/>
      </w:pPr>
      <w:r>
        <w:rPr/>
        <w:t>下一会计期间将到期的金额</w:t>
      </w:r>
      <w:r>
        <w:rPr>
          <w:spacing w:val="-53"/>
        </w:rPr>
        <w:t> </w:t>
      </w:r>
      <w:r>
        <w:rPr/>
        <w:t>31,236,928.32</w:t>
      </w:r>
      <w:r>
        <w:rPr>
          <w:spacing w:val="-52"/>
        </w:rPr>
        <w:t> </w:t>
      </w:r>
      <w:r>
        <w:rPr/>
        <w:t>元。</w:t>
      </w:r>
      <w:r>
        <w:rPr/>
        <w:t> 应付票据的说明</w:t>
      </w:r>
    </w:p>
    <w:p>
      <w:pPr>
        <w:pStyle w:val="BodyText"/>
        <w:spacing w:line="273" w:lineRule="auto" w:before="17"/>
        <w:ind w:left="153" w:right="240" w:firstLine="420"/>
        <w:jc w:val="left"/>
      </w:pPr>
      <w:r>
        <w:rPr/>
        <w:t>应付票据年末数比年初数增加</w:t>
      </w:r>
      <w:r>
        <w:rPr>
          <w:spacing w:val="-49"/>
        </w:rPr>
        <w:t> </w:t>
      </w:r>
      <w:r>
        <w:rPr/>
        <w:t>27,557,478.31</w:t>
      </w:r>
      <w:r>
        <w:rPr>
          <w:spacing w:val="-48"/>
        </w:rPr>
        <w:t> </w:t>
      </w:r>
      <w:r>
        <w:rPr>
          <w:spacing w:val="-4"/>
        </w:rPr>
        <w:t>元，增加比例为</w:t>
      </w:r>
      <w:r>
        <w:rPr>
          <w:spacing w:val="-49"/>
        </w:rPr>
        <w:t> </w:t>
      </w:r>
      <w:r>
        <w:rPr>
          <w:spacing w:val="-3"/>
        </w:rPr>
        <w:t>748.96%，增加原因为：向供应商开具</w:t>
      </w:r>
      <w:r>
        <w:rPr/>
        <w:t> 承兑汇票所致。</w:t>
      </w:r>
    </w:p>
    <w:p>
      <w:pPr>
        <w:spacing w:line="240" w:lineRule="auto" w:before="6"/>
        <w:rPr>
          <w:rFonts w:ascii="宋体" w:hAnsi="宋体" w:cs="宋体" w:eastAsia="宋体" w:hint="default"/>
          <w:sz w:val="23"/>
          <w:szCs w:val="23"/>
        </w:rPr>
      </w:pPr>
    </w:p>
    <w:p>
      <w:pPr>
        <w:pStyle w:val="Heading4"/>
        <w:spacing w:line="240" w:lineRule="auto"/>
        <w:ind w:left="153" w:right="132"/>
        <w:jc w:val="left"/>
        <w:rPr>
          <w:b w:val="0"/>
          <w:bCs w:val="0"/>
        </w:rPr>
      </w:pPr>
      <w:r>
        <w:rPr/>
        <w:t>26、应付账款</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left="153" w:right="132"/>
        <w:jc w:val="left"/>
        <w:rPr>
          <w:b w:val="0"/>
          <w:bCs w:val="0"/>
        </w:rPr>
      </w:pPr>
      <w:r>
        <w:rPr/>
        <w:t>（1）应付账款情况</w:t>
      </w:r>
      <w:r>
        <w:rPr>
          <w:b w:val="0"/>
          <w:bCs w:val="0"/>
        </w:rPr>
      </w:r>
    </w:p>
    <w:p>
      <w:pPr>
        <w:spacing w:line="240" w:lineRule="auto" w:before="11"/>
        <w:rPr>
          <w:rFonts w:ascii="宋体" w:hAnsi="宋体" w:cs="宋体" w:eastAsia="宋体" w:hint="default"/>
          <w:b/>
          <w:bCs/>
          <w:sz w:val="27"/>
          <w:szCs w:val="27"/>
        </w:rPr>
      </w:pPr>
    </w:p>
    <w:p>
      <w:pPr>
        <w:spacing w:before="0"/>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591"/>
        <w:gridCol w:w="2922"/>
        <w:gridCol w:w="3055"/>
      </w:tblGrid>
      <w:tr>
        <w:trPr>
          <w:trHeight w:val="415" w:hRule="exact"/>
        </w:trPr>
        <w:tc>
          <w:tcPr>
            <w:tcW w:w="3591"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7" w:hRule="exact"/>
        </w:trPr>
        <w:tc>
          <w:tcPr>
            <w:tcW w:w="35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48,143,972.79</w:t>
            </w:r>
          </w:p>
        </w:tc>
        <w:tc>
          <w:tcPr>
            <w:tcW w:w="30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59,089,981.19</w:t>
            </w:r>
          </w:p>
        </w:tc>
      </w:tr>
      <w:tr>
        <w:trPr>
          <w:trHeight w:val="407" w:hRule="exact"/>
        </w:trPr>
        <w:tc>
          <w:tcPr>
            <w:tcW w:w="35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pacing w:val="33"/>
                <w:sz w:val="18"/>
                <w:szCs w:val="18"/>
              </w:rPr>
              <w:t>1至2年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2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304,295.51</w:t>
            </w:r>
          </w:p>
        </w:tc>
        <w:tc>
          <w:tcPr>
            <w:tcW w:w="30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91,885.49</w:t>
            </w:r>
          </w:p>
        </w:tc>
      </w:tr>
      <w:tr>
        <w:trPr>
          <w:trHeight w:val="408" w:hRule="exact"/>
        </w:trPr>
        <w:tc>
          <w:tcPr>
            <w:tcW w:w="35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pacing w:val="33"/>
                <w:sz w:val="18"/>
                <w:szCs w:val="18"/>
              </w:rPr>
              <w:t>2至3年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2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40,835.49</w:t>
            </w:r>
          </w:p>
        </w:tc>
        <w:tc>
          <w:tcPr>
            <w:tcW w:w="30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923,204.80</w:t>
            </w:r>
          </w:p>
        </w:tc>
      </w:tr>
      <w:tr>
        <w:trPr>
          <w:trHeight w:val="407" w:hRule="exact"/>
        </w:trPr>
        <w:tc>
          <w:tcPr>
            <w:tcW w:w="35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1,331,990.22</w:t>
            </w:r>
          </w:p>
        </w:tc>
        <w:tc>
          <w:tcPr>
            <w:tcW w:w="30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408,785.42</w:t>
            </w:r>
          </w:p>
        </w:tc>
      </w:tr>
      <w:tr>
        <w:trPr>
          <w:trHeight w:val="415" w:hRule="exact"/>
        </w:trPr>
        <w:tc>
          <w:tcPr>
            <w:tcW w:w="3591"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49,821,094.01</w:t>
            </w:r>
          </w:p>
        </w:tc>
        <w:tc>
          <w:tcPr>
            <w:tcW w:w="305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60,513,856.90</w:t>
            </w:r>
          </w:p>
        </w:tc>
      </w:tr>
    </w:tbl>
    <w:p>
      <w:pPr>
        <w:spacing w:line="240" w:lineRule="auto" w:before="2"/>
        <w:rPr>
          <w:rFonts w:ascii="宋体" w:hAnsi="宋体" w:cs="宋体" w:eastAsia="宋体" w:hint="default"/>
          <w:sz w:val="19"/>
          <w:szCs w:val="19"/>
        </w:rPr>
      </w:pPr>
    </w:p>
    <w:p>
      <w:pPr>
        <w:pStyle w:val="Heading4"/>
        <w:spacing w:line="240" w:lineRule="auto" w:before="35"/>
        <w:ind w:right="132"/>
        <w:jc w:val="left"/>
        <w:rPr>
          <w:b w:val="0"/>
          <w:bCs w:val="0"/>
        </w:rPr>
      </w:pPr>
      <w:r>
        <w:rPr/>
        <w:t>（2）本报告期应付账款中应付持有公司</w:t>
      </w:r>
      <w:r>
        <w:rPr>
          <w:spacing w:val="-59"/>
        </w:rPr>
        <w:t> </w:t>
      </w:r>
      <w:r>
        <w:rPr/>
        <w:t>5％（含</w:t>
      </w:r>
      <w:r>
        <w:rPr>
          <w:spacing w:val="-58"/>
        </w:rPr>
        <w:t> </w:t>
      </w:r>
      <w:r>
        <w:rPr/>
        <w:t>5％）以上表决权股份的股东单位款项</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32"/>
        <w:jc w:val="left"/>
        <w:rPr>
          <w:b w:val="0"/>
          <w:bCs w:val="0"/>
        </w:rPr>
      </w:pPr>
      <w:r>
        <w:rPr/>
        <w:t>（3）账龄超过一年的大额应付账款情况的说明</w:t>
      </w:r>
      <w:r>
        <w:rPr>
          <w:b w:val="0"/>
          <w:bCs w:val="0"/>
        </w:rPr>
      </w:r>
    </w:p>
    <w:p>
      <w:pPr>
        <w:spacing w:line="240" w:lineRule="auto" w:before="12"/>
        <w:rPr>
          <w:rFonts w:ascii="宋体" w:hAnsi="宋体" w:cs="宋体" w:eastAsia="宋体" w:hint="default"/>
          <w:b/>
          <w:bCs/>
          <w:sz w:val="25"/>
          <w:szCs w:val="25"/>
        </w:rPr>
      </w:pPr>
    </w:p>
    <w:p>
      <w:pPr>
        <w:spacing w:line="532" w:lineRule="auto" w:before="0"/>
        <w:ind w:left="154" w:right="79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27、预收账款</w:t>
      </w:r>
      <w:r>
        <w:rPr>
          <w:rFonts w:ascii="宋体" w:hAnsi="宋体" w:cs="宋体" w:eastAsia="宋体" w:hint="default"/>
          <w:sz w:val="21"/>
          <w:szCs w:val="21"/>
        </w:rPr>
      </w:r>
    </w:p>
    <w:p>
      <w:pPr>
        <w:pStyle w:val="Heading4"/>
        <w:spacing w:line="240" w:lineRule="auto" w:before="83"/>
        <w:ind w:right="132"/>
        <w:jc w:val="left"/>
        <w:rPr>
          <w:b w:val="0"/>
          <w:bCs w:val="0"/>
        </w:rPr>
      </w:pPr>
      <w:r>
        <w:rPr/>
        <w:t>（1）预收账款情况</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856"/>
        <w:gridCol w:w="2790"/>
        <w:gridCol w:w="2921"/>
      </w:tblGrid>
      <w:tr>
        <w:trPr>
          <w:trHeight w:val="413" w:hRule="exact"/>
        </w:trPr>
        <w:tc>
          <w:tcPr>
            <w:tcW w:w="3856"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7" w:hRule="exact"/>
        </w:trPr>
        <w:tc>
          <w:tcPr>
            <w:tcW w:w="38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4,111,571.20</w:t>
            </w:r>
          </w:p>
        </w:tc>
        <w:tc>
          <w:tcPr>
            <w:tcW w:w="29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243,134.57</w:t>
            </w:r>
          </w:p>
        </w:tc>
      </w:tr>
      <w:tr>
        <w:trPr>
          <w:trHeight w:val="416" w:hRule="exact"/>
        </w:trPr>
        <w:tc>
          <w:tcPr>
            <w:tcW w:w="3856"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4,111,571.20</w:t>
            </w:r>
          </w:p>
        </w:tc>
        <w:tc>
          <w:tcPr>
            <w:tcW w:w="292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243,134.57</w:t>
            </w:r>
          </w:p>
        </w:tc>
      </w:tr>
    </w:tbl>
    <w:p>
      <w:pPr>
        <w:spacing w:line="240" w:lineRule="auto" w:before="2"/>
        <w:rPr>
          <w:rFonts w:ascii="宋体" w:hAnsi="宋体" w:cs="宋体" w:eastAsia="宋体" w:hint="default"/>
          <w:sz w:val="19"/>
          <w:szCs w:val="19"/>
        </w:rPr>
      </w:pPr>
    </w:p>
    <w:p>
      <w:pPr>
        <w:pStyle w:val="Heading4"/>
        <w:spacing w:line="240" w:lineRule="auto" w:before="35"/>
        <w:ind w:right="132"/>
        <w:jc w:val="left"/>
        <w:rPr>
          <w:b w:val="0"/>
          <w:bCs w:val="0"/>
        </w:rPr>
      </w:pPr>
      <w:r>
        <w:rPr/>
        <w:t>（2）本报告期预收账款中预收持有公司</w:t>
      </w:r>
      <w:r>
        <w:rPr>
          <w:spacing w:val="-59"/>
        </w:rPr>
        <w:t> </w:t>
      </w:r>
      <w:r>
        <w:rPr/>
        <w:t>5％（含</w:t>
      </w:r>
      <w:r>
        <w:rPr>
          <w:spacing w:val="-58"/>
        </w:rPr>
        <w:t> </w:t>
      </w:r>
      <w:r>
        <w:rPr/>
        <w:t>5％）以上表决权股份的股东单位款项</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after="0" w:line="240" w:lineRule="auto"/>
        <w:jc w:val="left"/>
        <w:sectPr>
          <w:pgSz w:w="11910" w:h="16840"/>
          <w:pgMar w:header="0" w:footer="1003" w:top="1100" w:bottom="1200" w:left="980" w:right="980"/>
        </w:sectPr>
      </w:pPr>
    </w:p>
    <w:p>
      <w:pPr>
        <w:spacing w:line="240" w:lineRule="auto" w:before="9"/>
        <w:rPr>
          <w:rFonts w:ascii="宋体" w:hAnsi="宋体" w:cs="宋体" w:eastAsia="宋体" w:hint="default"/>
          <w:sz w:val="20"/>
          <w:szCs w:val="20"/>
        </w:rPr>
      </w:pPr>
    </w:p>
    <w:p>
      <w:pPr>
        <w:pStyle w:val="Heading4"/>
        <w:spacing w:line="240" w:lineRule="auto" w:before="35"/>
        <w:ind w:right="132"/>
        <w:jc w:val="left"/>
        <w:rPr>
          <w:b w:val="0"/>
          <w:bCs w:val="0"/>
        </w:rPr>
      </w:pPr>
      <w:r>
        <w:rPr/>
        <w:t>（3）账龄超过一年的大额预收账款情况的说明</w:t>
      </w:r>
      <w:r>
        <w:rPr>
          <w:b w:val="0"/>
          <w:bCs w:val="0"/>
        </w:rPr>
      </w:r>
    </w:p>
    <w:p>
      <w:pPr>
        <w:spacing w:line="240" w:lineRule="auto" w:before="12"/>
        <w:rPr>
          <w:rFonts w:ascii="宋体" w:hAnsi="宋体" w:cs="宋体" w:eastAsia="宋体" w:hint="default"/>
          <w:b/>
          <w:bCs/>
          <w:sz w:val="25"/>
          <w:szCs w:val="25"/>
        </w:rPr>
      </w:pPr>
    </w:p>
    <w:p>
      <w:pPr>
        <w:spacing w:line="532" w:lineRule="auto" w:before="0"/>
        <w:ind w:left="154" w:right="79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28、应付职工薪酬</w:t>
      </w:r>
      <w:r>
        <w:rPr>
          <w:rFonts w:ascii="宋体" w:hAnsi="宋体" w:cs="宋体" w:eastAsia="宋体" w:hint="default"/>
          <w:sz w:val="21"/>
          <w:szCs w:val="21"/>
        </w:rPr>
      </w:r>
    </w:p>
    <w:p>
      <w:pPr>
        <w:spacing w:before="109"/>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598"/>
        <w:gridCol w:w="1861"/>
        <w:gridCol w:w="1993"/>
        <w:gridCol w:w="2257"/>
        <w:gridCol w:w="1859"/>
      </w:tblGrid>
      <w:tr>
        <w:trPr>
          <w:trHeight w:val="415" w:hRule="exact"/>
        </w:trPr>
        <w:tc>
          <w:tcPr>
            <w:tcW w:w="1598"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3"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62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7"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59"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9" w:hRule="exact"/>
        </w:trPr>
        <w:tc>
          <w:tcPr>
            <w:tcW w:w="159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6" w:lineRule="auto" w:before="52"/>
              <w:ind w:left="13" w:right="19"/>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6,948,873.79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29,455,959.17</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24,554,442.77</w:t>
            </w:r>
          </w:p>
        </w:tc>
        <w:tc>
          <w:tcPr>
            <w:tcW w:w="18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11,850,390.19</w:t>
            </w:r>
          </w:p>
        </w:tc>
      </w:tr>
      <w:tr>
        <w:trPr>
          <w:trHeight w:val="407" w:hRule="exact"/>
        </w:trPr>
        <w:tc>
          <w:tcPr>
            <w:tcW w:w="159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1"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2,232,148.68</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2,232,148.68</w:t>
            </w:r>
          </w:p>
        </w:tc>
        <w:tc>
          <w:tcPr>
            <w:tcW w:w="185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59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1"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1,861,639.79</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1,861,639.79</w:t>
            </w:r>
          </w:p>
        </w:tc>
        <w:tc>
          <w:tcPr>
            <w:tcW w:w="185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5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0"/>
                <w:sz w:val="18"/>
                <w:szCs w:val="18"/>
              </w:rPr>
              <w:t>：</w:t>
            </w:r>
            <w:r>
              <w:rPr>
                <w:rFonts w:ascii="宋体" w:hAnsi="宋体" w:cs="宋体" w:eastAsia="宋体" w:hint="default"/>
                <w:sz w:val="18"/>
                <w:szCs w:val="18"/>
              </w:rPr>
              <w:t>1.医疗保险费</w:t>
            </w:r>
          </w:p>
        </w:tc>
        <w:tc>
          <w:tcPr>
            <w:tcW w:w="1861"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490,382.71</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490,382.71</w:t>
            </w:r>
          </w:p>
        </w:tc>
        <w:tc>
          <w:tcPr>
            <w:tcW w:w="1859"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5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2.基本</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养老保险费</w:t>
            </w:r>
          </w:p>
        </w:tc>
        <w:tc>
          <w:tcPr>
            <w:tcW w:w="1861"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1,147,499.24</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1,147,499.24</w:t>
            </w:r>
          </w:p>
        </w:tc>
        <w:tc>
          <w:tcPr>
            <w:tcW w:w="1859"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5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3. 失业</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1861"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114,783.98</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114,783.98</w:t>
            </w:r>
          </w:p>
        </w:tc>
        <w:tc>
          <w:tcPr>
            <w:tcW w:w="1859"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5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4.工伤</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1861"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54,486.93</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54,486.93</w:t>
            </w:r>
          </w:p>
        </w:tc>
        <w:tc>
          <w:tcPr>
            <w:tcW w:w="1859"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5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5.生育</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1861"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54,486.93</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54,486.93</w:t>
            </w:r>
          </w:p>
        </w:tc>
        <w:tc>
          <w:tcPr>
            <w:tcW w:w="185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59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1"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439,956.43</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439,956.43</w:t>
            </w:r>
          </w:p>
        </w:tc>
        <w:tc>
          <w:tcPr>
            <w:tcW w:w="185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59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380,118.24</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150,159.40</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214,228.60</w:t>
            </w:r>
          </w:p>
        </w:tc>
        <w:tc>
          <w:tcPr>
            <w:tcW w:w="18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316,049.04</w:t>
            </w:r>
          </w:p>
        </w:tc>
      </w:tr>
      <w:tr>
        <w:trPr>
          <w:trHeight w:val="415" w:hRule="exact"/>
        </w:trPr>
        <w:tc>
          <w:tcPr>
            <w:tcW w:w="1598"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7,328,992.03</w:t>
            </w:r>
          </w:p>
        </w:tc>
        <w:tc>
          <w:tcPr>
            <w:tcW w:w="19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34,139,863.47</w:t>
            </w:r>
          </w:p>
        </w:tc>
        <w:tc>
          <w:tcPr>
            <w:tcW w:w="22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29,302,416.27</w:t>
            </w:r>
          </w:p>
        </w:tc>
        <w:tc>
          <w:tcPr>
            <w:tcW w:w="185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12,166,439.23</w:t>
            </w:r>
          </w:p>
        </w:tc>
      </w:tr>
    </w:tbl>
    <w:p>
      <w:pPr>
        <w:pStyle w:val="BodyText"/>
        <w:spacing w:line="240" w:lineRule="auto" w:before="26"/>
        <w:ind w:right="132"/>
        <w:jc w:val="left"/>
      </w:pPr>
      <w:r>
        <w:rPr/>
        <w:t>应付职工薪酬中属于拖欠性质的金额</w:t>
      </w:r>
      <w:r>
        <w:rPr>
          <w:spacing w:val="-63"/>
        </w:rPr>
        <w:t> </w:t>
      </w:r>
      <w:r>
        <w:rPr/>
        <w:t>0.00</w:t>
      </w:r>
      <w:r>
        <w:rPr>
          <w:spacing w:val="-63"/>
        </w:rPr>
        <w:t> </w:t>
      </w:r>
      <w:r>
        <w:rPr/>
        <w:t>元。</w:t>
      </w:r>
    </w:p>
    <w:p>
      <w:pPr>
        <w:pStyle w:val="BodyText"/>
        <w:spacing w:line="273" w:lineRule="auto" w:before="76"/>
        <w:ind w:left="153" w:right="132"/>
        <w:jc w:val="left"/>
      </w:pPr>
      <w:r>
        <w:rPr>
          <w:spacing w:val="-1"/>
        </w:rPr>
        <w:t>工会经费和职工教育经费金额</w:t>
      </w:r>
      <w:r>
        <w:rPr>
          <w:spacing w:val="-51"/>
        </w:rPr>
        <w:t> </w:t>
      </w:r>
      <w:r>
        <w:rPr>
          <w:spacing w:val="-1"/>
        </w:rPr>
        <w:t>316,049.04</w:t>
      </w:r>
      <w:r>
        <w:rPr>
          <w:spacing w:val="-50"/>
        </w:rPr>
        <w:t> </w:t>
      </w:r>
      <w:r>
        <w:rPr>
          <w:spacing w:val="-10"/>
        </w:rPr>
        <w:t>元，非货币性福利金额</w:t>
      </w:r>
      <w:r>
        <w:rPr>
          <w:spacing w:val="-51"/>
        </w:rPr>
        <w:t> </w:t>
      </w:r>
      <w:r>
        <w:rPr>
          <w:spacing w:val="-1"/>
        </w:rPr>
        <w:t>0.00</w:t>
      </w:r>
      <w:r>
        <w:rPr>
          <w:spacing w:val="-50"/>
        </w:rPr>
        <w:t> </w:t>
      </w:r>
      <w:r>
        <w:rPr>
          <w:spacing w:val="-7"/>
        </w:rPr>
        <w:t>元，因解除劳动关系给予补偿</w:t>
      </w:r>
      <w:r>
        <w:rPr>
          <w:spacing w:val="-51"/>
        </w:rPr>
        <w:t> </w:t>
      </w:r>
      <w:r>
        <w:rPr/>
        <w:t>0.00</w:t>
      </w:r>
      <w:r>
        <w:rPr/>
        <w:t> 元。</w:t>
      </w:r>
    </w:p>
    <w:p>
      <w:pPr>
        <w:pStyle w:val="BodyText"/>
        <w:spacing w:line="290" w:lineRule="auto" w:before="47"/>
        <w:ind w:left="153" w:right="215"/>
        <w:jc w:val="left"/>
      </w:pPr>
      <w:r>
        <w:rPr/>
        <w:t>应付职工薪酬预计发放时间、金额等安排 应付职工薪酬预计发放时间:下月上旬；应付职工薪酬期末数比期初数增加</w:t>
      </w:r>
      <w:r>
        <w:rPr>
          <w:spacing w:val="-70"/>
        </w:rPr>
        <w:t> </w:t>
      </w:r>
      <w:r>
        <w:rPr/>
        <w:t>4,837,447.20</w:t>
      </w:r>
      <w:r>
        <w:rPr>
          <w:spacing w:val="-69"/>
        </w:rPr>
        <w:t> </w:t>
      </w:r>
      <w:r>
        <w:rPr/>
        <w:t>元，增长比例</w:t>
      </w:r>
      <w:r>
        <w:rPr>
          <w:spacing w:val="-1"/>
        </w:rPr>
        <w:t> </w:t>
      </w:r>
      <w:r>
        <w:rPr/>
        <w:t>为</w:t>
      </w:r>
      <w:r>
        <w:rPr>
          <w:spacing w:val="-55"/>
        </w:rPr>
        <w:t> </w:t>
      </w:r>
      <w:r>
        <w:rPr/>
        <w:t>66.00%，增加的主要原因为公司员工数量增加，导致应付职工薪酬增加。</w:t>
      </w:r>
    </w:p>
    <w:p>
      <w:pPr>
        <w:spacing w:line="240" w:lineRule="auto" w:before="5"/>
        <w:rPr>
          <w:rFonts w:ascii="宋体" w:hAnsi="宋体" w:cs="宋体" w:eastAsia="宋体" w:hint="default"/>
          <w:sz w:val="22"/>
          <w:szCs w:val="22"/>
        </w:rPr>
      </w:pPr>
    </w:p>
    <w:p>
      <w:pPr>
        <w:pStyle w:val="Heading4"/>
        <w:spacing w:line="240" w:lineRule="auto"/>
        <w:ind w:left="153" w:right="132"/>
        <w:jc w:val="left"/>
        <w:rPr>
          <w:b w:val="0"/>
          <w:bCs w:val="0"/>
        </w:rPr>
      </w:pPr>
      <w:r>
        <w:rPr/>
        <w:t>29、应交税费</w:t>
      </w:r>
      <w:r>
        <w:rPr>
          <w:b w:val="0"/>
          <w:bCs w:val="0"/>
        </w:rPr>
      </w:r>
    </w:p>
    <w:p>
      <w:pPr>
        <w:spacing w:line="240" w:lineRule="auto" w:before="11"/>
        <w:rPr>
          <w:rFonts w:ascii="宋体" w:hAnsi="宋体" w:cs="宋体" w:eastAsia="宋体" w:hint="default"/>
          <w:b/>
          <w:bCs/>
          <w:sz w:val="27"/>
          <w:szCs w:val="27"/>
        </w:rPr>
      </w:pPr>
    </w:p>
    <w:p>
      <w:pPr>
        <w:spacing w:before="0"/>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4123"/>
        <w:gridCol w:w="2789"/>
        <w:gridCol w:w="2656"/>
      </w:tblGrid>
      <w:tr>
        <w:trPr>
          <w:trHeight w:val="414" w:hRule="exact"/>
        </w:trPr>
        <w:tc>
          <w:tcPr>
            <w:tcW w:w="4123"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6"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7" w:hRule="exact"/>
        </w:trPr>
        <w:tc>
          <w:tcPr>
            <w:tcW w:w="412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6,164,112.83</w:t>
            </w:r>
          </w:p>
        </w:tc>
        <w:tc>
          <w:tcPr>
            <w:tcW w:w="2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8"/>
              <w:jc w:val="right"/>
              <w:rPr>
                <w:rFonts w:ascii="宋体" w:hAnsi="宋体" w:cs="宋体" w:eastAsia="宋体" w:hint="default"/>
                <w:sz w:val="18"/>
                <w:szCs w:val="18"/>
              </w:rPr>
            </w:pPr>
            <w:r>
              <w:rPr>
                <w:rFonts w:ascii="宋体"/>
                <w:sz w:val="18"/>
              </w:rPr>
              <w:t>8,815,917.86</w:t>
            </w:r>
          </w:p>
        </w:tc>
      </w:tr>
      <w:tr>
        <w:trPr>
          <w:trHeight w:val="407" w:hRule="exact"/>
        </w:trPr>
        <w:tc>
          <w:tcPr>
            <w:tcW w:w="412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6" w:space="0" w:color="000000"/>
              <w:left w:val="single" w:sz="6" w:space="0" w:color="000000"/>
              <w:bottom w:val="single" w:sz="6" w:space="0" w:color="000000"/>
              <w:right w:val="single" w:sz="6" w:space="0" w:color="000000"/>
            </w:tcBorders>
          </w:tcPr>
          <w:p>
            <w:pPr/>
          </w:p>
        </w:tc>
        <w:tc>
          <w:tcPr>
            <w:tcW w:w="2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49,200.00</w:t>
            </w:r>
          </w:p>
        </w:tc>
      </w:tr>
      <w:tr>
        <w:trPr>
          <w:trHeight w:val="415" w:hRule="exact"/>
        </w:trPr>
        <w:tc>
          <w:tcPr>
            <w:tcW w:w="4123"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2,365,927.78</w:t>
            </w:r>
          </w:p>
        </w:tc>
        <w:tc>
          <w:tcPr>
            <w:tcW w:w="265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5,746,567.56</w:t>
            </w:r>
          </w:p>
        </w:tc>
      </w:tr>
    </w:tbl>
    <w:p>
      <w:pPr>
        <w:spacing w:after="0" w:line="240" w:lineRule="auto"/>
        <w:jc w:val="right"/>
        <w:rPr>
          <w:rFonts w:ascii="宋体" w:hAnsi="宋体" w:cs="宋体" w:eastAsia="宋体" w:hint="default"/>
          <w:sz w:val="18"/>
          <w:szCs w:val="18"/>
        </w:rPr>
        <w:sectPr>
          <w:pgSz w:w="11910" w:h="16840"/>
          <w:pgMar w:header="0" w:footer="1003" w:top="1100" w:bottom="1200" w:left="980" w:right="98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4123"/>
        <w:gridCol w:w="2789"/>
        <w:gridCol w:w="2656"/>
      </w:tblGrid>
      <w:tr>
        <w:trPr>
          <w:trHeight w:val="415" w:hRule="exact"/>
        </w:trPr>
        <w:tc>
          <w:tcPr>
            <w:tcW w:w="4123"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57,512.26</w:t>
            </w:r>
          </w:p>
        </w:tc>
        <w:tc>
          <w:tcPr>
            <w:tcW w:w="265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65,255.04</w:t>
            </w:r>
          </w:p>
        </w:tc>
      </w:tr>
      <w:tr>
        <w:trPr>
          <w:trHeight w:val="407" w:hRule="exact"/>
        </w:trPr>
        <w:tc>
          <w:tcPr>
            <w:tcW w:w="412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674,715.65</w:t>
            </w:r>
          </w:p>
        </w:tc>
        <w:tc>
          <w:tcPr>
            <w:tcW w:w="2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855,241.69</w:t>
            </w:r>
          </w:p>
        </w:tc>
      </w:tr>
      <w:tr>
        <w:trPr>
          <w:trHeight w:val="407" w:hRule="exact"/>
        </w:trPr>
        <w:tc>
          <w:tcPr>
            <w:tcW w:w="412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447,908.25</w:t>
            </w:r>
          </w:p>
        </w:tc>
        <w:tc>
          <w:tcPr>
            <w:tcW w:w="2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576,855.42</w:t>
            </w:r>
          </w:p>
        </w:tc>
      </w:tr>
      <w:tr>
        <w:trPr>
          <w:trHeight w:val="415" w:hRule="exact"/>
        </w:trPr>
        <w:tc>
          <w:tcPr>
            <w:tcW w:w="4123"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9,710,176.77</w:t>
            </w:r>
          </w:p>
        </w:tc>
        <w:tc>
          <w:tcPr>
            <w:tcW w:w="265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16,109,037.57</w:t>
            </w:r>
          </w:p>
        </w:tc>
      </w:tr>
    </w:tbl>
    <w:p>
      <w:pPr>
        <w:spacing w:line="240" w:lineRule="auto" w:before="2"/>
        <w:rPr>
          <w:rFonts w:ascii="宋体" w:hAnsi="宋体" w:cs="宋体" w:eastAsia="宋体" w:hint="default"/>
          <w:sz w:val="26"/>
          <w:szCs w:val="26"/>
        </w:rPr>
      </w:pPr>
    </w:p>
    <w:p>
      <w:pPr>
        <w:pStyle w:val="BodyText"/>
        <w:spacing w:line="273" w:lineRule="auto" w:before="35"/>
        <w:ind w:left="153" w:right="132"/>
        <w:jc w:val="left"/>
      </w:pPr>
      <w:r>
        <w:rPr/>
        <w:t>应交税费期末数比期初数减少</w:t>
      </w:r>
      <w:r>
        <w:rPr>
          <w:spacing w:val="-55"/>
        </w:rPr>
        <w:t> </w:t>
      </w:r>
      <w:r>
        <w:rPr/>
        <w:t>6,398,860.74</w:t>
      </w:r>
      <w:r>
        <w:rPr>
          <w:spacing w:val="-54"/>
        </w:rPr>
        <w:t> </w:t>
      </w:r>
      <w:r>
        <w:rPr>
          <w:spacing w:val="-4"/>
        </w:rPr>
        <w:t>元，降低比例为</w:t>
      </w:r>
      <w:r>
        <w:rPr>
          <w:spacing w:val="-54"/>
        </w:rPr>
        <w:t> </w:t>
      </w:r>
      <w:r>
        <w:rPr>
          <w:spacing w:val="-3"/>
        </w:rPr>
        <w:t>39.72%，降低原因为：应交企业所得税及增</w:t>
      </w:r>
      <w:r>
        <w:rPr/>
        <w:t> 值税余额减少。</w:t>
      </w:r>
    </w:p>
    <w:p>
      <w:pPr>
        <w:spacing w:line="240" w:lineRule="auto" w:before="6"/>
        <w:rPr>
          <w:rFonts w:ascii="宋体" w:hAnsi="宋体" w:cs="宋体" w:eastAsia="宋体" w:hint="default"/>
          <w:sz w:val="23"/>
          <w:szCs w:val="23"/>
        </w:rPr>
      </w:pPr>
    </w:p>
    <w:p>
      <w:pPr>
        <w:pStyle w:val="Heading4"/>
        <w:spacing w:line="240" w:lineRule="auto"/>
        <w:ind w:left="153" w:right="132"/>
        <w:jc w:val="left"/>
        <w:rPr>
          <w:b w:val="0"/>
          <w:bCs w:val="0"/>
        </w:rPr>
      </w:pPr>
      <w:r>
        <w:rPr/>
        <w:t>30、其他应付款</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left="153" w:right="132"/>
        <w:jc w:val="left"/>
        <w:rPr>
          <w:b w:val="0"/>
          <w:bCs w:val="0"/>
        </w:rPr>
      </w:pPr>
      <w:r>
        <w:rPr/>
        <w:t>（1）其他应付款情况</w:t>
      </w:r>
      <w:r>
        <w:rPr>
          <w:b w:val="0"/>
          <w:bCs w:val="0"/>
        </w:rPr>
      </w:r>
    </w:p>
    <w:p>
      <w:pPr>
        <w:spacing w:line="240" w:lineRule="auto" w:before="11"/>
        <w:rPr>
          <w:rFonts w:ascii="宋体" w:hAnsi="宋体" w:cs="宋体" w:eastAsia="宋体" w:hint="default"/>
          <w:b/>
          <w:bCs/>
          <w:sz w:val="27"/>
          <w:szCs w:val="27"/>
        </w:rPr>
      </w:pPr>
    </w:p>
    <w:p>
      <w:pPr>
        <w:spacing w:before="0"/>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723"/>
        <w:gridCol w:w="3056"/>
        <w:gridCol w:w="2788"/>
      </w:tblGrid>
      <w:tr>
        <w:trPr>
          <w:trHeight w:val="415" w:hRule="exact"/>
        </w:trPr>
        <w:tc>
          <w:tcPr>
            <w:tcW w:w="3723"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8"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7" w:hRule="exact"/>
        </w:trPr>
        <w:tc>
          <w:tcPr>
            <w:tcW w:w="372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3,897,037.38</w:t>
            </w:r>
          </w:p>
        </w:tc>
        <w:tc>
          <w:tcPr>
            <w:tcW w:w="27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138,005.86</w:t>
            </w:r>
          </w:p>
        </w:tc>
      </w:tr>
      <w:tr>
        <w:trPr>
          <w:trHeight w:val="407" w:hRule="exact"/>
        </w:trPr>
        <w:tc>
          <w:tcPr>
            <w:tcW w:w="372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pacing w:val="33"/>
                <w:sz w:val="18"/>
                <w:szCs w:val="18"/>
              </w:rPr>
              <w:t>1至2年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1,860.00</w:t>
            </w:r>
          </w:p>
        </w:tc>
        <w:tc>
          <w:tcPr>
            <w:tcW w:w="27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14,853.56</w:t>
            </w:r>
          </w:p>
        </w:tc>
      </w:tr>
      <w:tr>
        <w:trPr>
          <w:trHeight w:val="407" w:hRule="exact"/>
        </w:trPr>
        <w:tc>
          <w:tcPr>
            <w:tcW w:w="372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pacing w:val="33"/>
                <w:sz w:val="18"/>
                <w:szCs w:val="18"/>
              </w:rPr>
              <w:t>2至3年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6,426.65</w:t>
            </w:r>
          </w:p>
        </w:tc>
        <w:tc>
          <w:tcPr>
            <w:tcW w:w="27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2,400.00</w:t>
            </w:r>
          </w:p>
        </w:tc>
      </w:tr>
      <w:tr>
        <w:trPr>
          <w:trHeight w:val="408" w:hRule="exact"/>
        </w:trPr>
        <w:tc>
          <w:tcPr>
            <w:tcW w:w="372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1,400.00</w:t>
            </w:r>
          </w:p>
        </w:tc>
        <w:tc>
          <w:tcPr>
            <w:tcW w:w="27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0.00</w:t>
            </w:r>
          </w:p>
        </w:tc>
      </w:tr>
      <w:tr>
        <w:trPr>
          <w:trHeight w:val="415" w:hRule="exact"/>
        </w:trPr>
        <w:tc>
          <w:tcPr>
            <w:tcW w:w="3723"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3,906,724.03</w:t>
            </w:r>
          </w:p>
        </w:tc>
        <w:tc>
          <w:tcPr>
            <w:tcW w:w="27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155,259.42</w:t>
            </w:r>
          </w:p>
        </w:tc>
      </w:tr>
    </w:tbl>
    <w:p>
      <w:pPr>
        <w:spacing w:line="240" w:lineRule="auto" w:before="2"/>
        <w:rPr>
          <w:rFonts w:ascii="宋体" w:hAnsi="宋体" w:cs="宋体" w:eastAsia="宋体" w:hint="default"/>
          <w:sz w:val="19"/>
          <w:szCs w:val="19"/>
        </w:rPr>
      </w:pPr>
    </w:p>
    <w:p>
      <w:pPr>
        <w:pStyle w:val="Heading4"/>
        <w:spacing w:line="240" w:lineRule="auto" w:before="35"/>
        <w:ind w:right="132"/>
        <w:jc w:val="left"/>
        <w:rPr>
          <w:b w:val="0"/>
          <w:bCs w:val="0"/>
        </w:rPr>
      </w:pPr>
      <w:r>
        <w:rPr/>
        <w:t>（2）本报告期其他应付款中应付持有公司</w:t>
      </w:r>
      <w:r>
        <w:rPr>
          <w:spacing w:val="-59"/>
        </w:rPr>
        <w:t> </w:t>
      </w:r>
      <w:r>
        <w:rPr/>
        <w:t>5％（含</w:t>
      </w:r>
      <w:r>
        <w:rPr>
          <w:spacing w:val="-58"/>
        </w:rPr>
        <w:t> </w:t>
      </w:r>
      <w:r>
        <w:rPr/>
        <w:t>5％）以上表决权股份的股东单位款项</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32"/>
        <w:jc w:val="left"/>
        <w:rPr>
          <w:b w:val="0"/>
          <w:bCs w:val="0"/>
        </w:rPr>
      </w:pPr>
      <w:r>
        <w:rPr/>
        <w:t>（3）账龄超过一年的大额其他应付款情况的说明</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32"/>
        <w:jc w:val="left"/>
        <w:rPr>
          <w:b w:val="0"/>
          <w:bCs w:val="0"/>
        </w:rPr>
      </w:pPr>
      <w:r>
        <w:rPr/>
        <w:t>（4）金额较大的其他应付款说明内容</w:t>
      </w:r>
      <w:r>
        <w:rPr>
          <w:b w:val="0"/>
          <w:bCs w:val="0"/>
        </w:rPr>
      </w:r>
    </w:p>
    <w:p>
      <w:pPr>
        <w:spacing w:line="240" w:lineRule="auto" w:before="12"/>
        <w:rPr>
          <w:rFonts w:ascii="宋体" w:hAnsi="宋体" w:cs="宋体" w:eastAsia="宋体" w:hint="default"/>
          <w:b/>
          <w:bCs/>
          <w:sz w:val="25"/>
          <w:szCs w:val="25"/>
        </w:rPr>
      </w:pPr>
    </w:p>
    <w:p>
      <w:pPr>
        <w:spacing w:line="532" w:lineRule="auto" w:before="0"/>
        <w:ind w:left="154" w:right="787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31、其他非流动负债</w:t>
      </w:r>
      <w:r>
        <w:rPr>
          <w:rFonts w:ascii="宋体" w:hAnsi="宋体" w:cs="宋体" w:eastAsia="宋体" w:hint="default"/>
          <w:sz w:val="21"/>
          <w:szCs w:val="21"/>
        </w:rPr>
      </w:r>
    </w:p>
    <w:p>
      <w:pPr>
        <w:spacing w:before="109"/>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723"/>
        <w:gridCol w:w="2790"/>
        <w:gridCol w:w="3055"/>
      </w:tblGrid>
      <w:tr>
        <w:trPr>
          <w:trHeight w:val="415" w:hRule="exact"/>
        </w:trPr>
        <w:tc>
          <w:tcPr>
            <w:tcW w:w="3723"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84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5"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98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7" w:hRule="exact"/>
        </w:trPr>
        <w:tc>
          <w:tcPr>
            <w:tcW w:w="372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递延收益——政府补助</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5,512,503.00</w:t>
            </w:r>
          </w:p>
        </w:tc>
        <w:tc>
          <w:tcPr>
            <w:tcW w:w="30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1,612,503.00</w:t>
            </w:r>
          </w:p>
        </w:tc>
      </w:tr>
      <w:tr>
        <w:trPr>
          <w:trHeight w:val="415" w:hRule="exact"/>
        </w:trPr>
        <w:tc>
          <w:tcPr>
            <w:tcW w:w="3723"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5,512,503.00</w:t>
            </w:r>
          </w:p>
        </w:tc>
        <w:tc>
          <w:tcPr>
            <w:tcW w:w="305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1,612,503.00</w:t>
            </w:r>
          </w:p>
        </w:tc>
      </w:tr>
    </w:tbl>
    <w:p>
      <w:pPr>
        <w:spacing w:before="51"/>
        <w:ind w:left="154" w:right="132" w:firstLine="0"/>
        <w:jc w:val="left"/>
        <w:rPr>
          <w:rFonts w:ascii="宋体" w:hAnsi="宋体" w:cs="宋体" w:eastAsia="宋体" w:hint="default"/>
          <w:sz w:val="18"/>
          <w:szCs w:val="18"/>
        </w:rPr>
      </w:pPr>
      <w:r>
        <w:rPr>
          <w:rFonts w:ascii="宋体" w:hAnsi="宋体" w:cs="宋体" w:eastAsia="宋体" w:hint="default"/>
          <w:sz w:val="18"/>
          <w:szCs w:val="18"/>
        </w:rPr>
        <w:t>其他非流动负债说明，包括本报告期取得的各类与资产相关、与收益相关的政府补助及其期末金额</w:t>
      </w:r>
    </w:p>
    <w:p>
      <w:pPr>
        <w:pStyle w:val="BodyText"/>
        <w:spacing w:line="240" w:lineRule="auto" w:before="90"/>
        <w:ind w:right="132"/>
        <w:jc w:val="left"/>
      </w:pPr>
      <w:r>
        <w:rPr/>
        <w:t>其他非流动负债期末数比期初数增加3,900,000.00元，增长比例为241.86%，增加原因为收到政府补助所</w:t>
      </w:r>
    </w:p>
    <w:p>
      <w:pPr>
        <w:spacing w:after="0" w:line="240" w:lineRule="auto"/>
        <w:jc w:val="left"/>
        <w:sectPr>
          <w:pgSz w:w="11910" w:h="16840"/>
          <w:pgMar w:header="0" w:footer="1003" w:top="1100" w:bottom="1200" w:left="980" w:right="980"/>
        </w:sectPr>
      </w:pPr>
    </w:p>
    <w:p>
      <w:pPr>
        <w:spacing w:line="240" w:lineRule="auto" w:before="9"/>
        <w:rPr>
          <w:rFonts w:ascii="宋体" w:hAnsi="宋体" w:cs="宋体" w:eastAsia="宋体" w:hint="default"/>
          <w:sz w:val="20"/>
          <w:szCs w:val="20"/>
        </w:rPr>
      </w:pPr>
    </w:p>
    <w:tbl>
      <w:tblPr>
        <w:tblW w:w="0" w:type="auto"/>
        <w:jc w:val="left"/>
        <w:tblInd w:w="139" w:type="dxa"/>
        <w:tblLayout w:type="fixed"/>
        <w:tblCellMar>
          <w:top w:w="0" w:type="dxa"/>
          <w:left w:w="0" w:type="dxa"/>
          <w:bottom w:w="0" w:type="dxa"/>
          <w:right w:w="0" w:type="dxa"/>
        </w:tblCellMar>
        <w:tblLook w:val="01E0"/>
      </w:tblPr>
      <w:tblGrid>
        <w:gridCol w:w="5100"/>
        <w:gridCol w:w="2269"/>
        <w:gridCol w:w="2001"/>
      </w:tblGrid>
      <w:tr>
        <w:trPr>
          <w:trHeight w:val="689" w:hRule="exact"/>
        </w:trPr>
        <w:tc>
          <w:tcPr>
            <w:tcW w:w="5100" w:type="dxa"/>
            <w:tcBorders>
              <w:top w:val="nil" w:sz="6" w:space="0" w:color="auto"/>
              <w:left w:val="nil" w:sz="6" w:space="0" w:color="auto"/>
              <w:bottom w:val="single" w:sz="12" w:space="0" w:color="000000"/>
              <w:right w:val="nil" w:sz="6" w:space="0" w:color="auto"/>
            </w:tcBorders>
          </w:tcPr>
          <w:p>
            <w:pPr>
              <w:pStyle w:val="TableParagraph"/>
              <w:spacing w:line="273" w:lineRule="auto" w:before="35"/>
              <w:ind w:left="14" w:right="3614"/>
              <w:jc w:val="left"/>
              <w:rPr>
                <w:rFonts w:ascii="宋体" w:hAnsi="宋体" w:cs="宋体" w:eastAsia="宋体" w:hint="default"/>
                <w:sz w:val="21"/>
                <w:szCs w:val="21"/>
              </w:rPr>
            </w:pPr>
            <w:r>
              <w:rPr>
                <w:rFonts w:ascii="宋体" w:hAnsi="宋体" w:cs="宋体" w:eastAsia="宋体" w:hint="default"/>
                <w:sz w:val="21"/>
                <w:szCs w:val="21"/>
              </w:rPr>
              <w:t>致。 政府补助明细：</w:t>
            </w:r>
          </w:p>
        </w:tc>
        <w:tc>
          <w:tcPr>
            <w:tcW w:w="4270" w:type="dxa"/>
            <w:gridSpan w:val="2"/>
            <w:tcBorders>
              <w:top w:val="nil" w:sz="6" w:space="0" w:color="auto"/>
              <w:left w:val="nil" w:sz="6" w:space="0" w:color="auto"/>
              <w:bottom w:val="single" w:sz="12" w:space="0" w:color="000000"/>
              <w:right w:val="nil" w:sz="6" w:space="0" w:color="auto"/>
            </w:tcBorders>
          </w:tcPr>
          <w:p>
            <w:pPr/>
          </w:p>
        </w:tc>
      </w:tr>
      <w:tr>
        <w:trPr>
          <w:trHeight w:val="355" w:hRule="exact"/>
        </w:trPr>
        <w:tc>
          <w:tcPr>
            <w:tcW w:w="5100" w:type="dxa"/>
            <w:tcBorders>
              <w:top w:val="single" w:sz="12" w:space="0" w:color="000000"/>
              <w:left w:val="nil" w:sz="6" w:space="0" w:color="auto"/>
              <w:bottom w:val="single" w:sz="6" w:space="0" w:color="000000"/>
              <w:right w:val="nil" w:sz="6" w:space="0" w:color="auto"/>
            </w:tcBorders>
          </w:tcPr>
          <w:p>
            <w:pPr>
              <w:pStyle w:val="TableParagraph"/>
              <w:spacing w:line="270" w:lineRule="exact"/>
              <w:ind w:left="-1" w:right="249"/>
              <w:jc w:val="center"/>
              <w:rPr>
                <w:rFonts w:ascii="宋体" w:hAnsi="宋体" w:cs="宋体" w:eastAsia="宋体" w:hint="default"/>
                <w:sz w:val="21"/>
                <w:szCs w:val="21"/>
              </w:rPr>
            </w:pPr>
            <w:r>
              <w:rPr>
                <w:rFonts w:ascii="宋体" w:hAnsi="宋体" w:cs="宋体" w:eastAsia="宋体" w:hint="default"/>
                <w:sz w:val="21"/>
                <w:szCs w:val="21"/>
              </w:rPr>
              <w:t>项目</w:t>
            </w:r>
          </w:p>
        </w:tc>
        <w:tc>
          <w:tcPr>
            <w:tcW w:w="2269" w:type="dxa"/>
            <w:tcBorders>
              <w:top w:val="single" w:sz="12" w:space="0" w:color="000000"/>
              <w:left w:val="nil" w:sz="6" w:space="0" w:color="auto"/>
              <w:bottom w:val="single" w:sz="6" w:space="0" w:color="000000"/>
              <w:right w:val="nil" w:sz="6" w:space="0" w:color="auto"/>
            </w:tcBorders>
          </w:tcPr>
          <w:p>
            <w:pPr>
              <w:pStyle w:val="TableParagraph"/>
              <w:spacing w:line="270" w:lineRule="exact"/>
              <w:ind w:left="276" w:right="0"/>
              <w:jc w:val="left"/>
              <w:rPr>
                <w:rFonts w:ascii="宋体" w:hAnsi="宋体" w:cs="宋体" w:eastAsia="宋体" w:hint="default"/>
                <w:sz w:val="21"/>
                <w:szCs w:val="21"/>
              </w:rPr>
            </w:pPr>
            <w:r>
              <w:rPr>
                <w:rFonts w:ascii="宋体" w:hAnsi="宋体" w:cs="宋体" w:eastAsia="宋体" w:hint="default"/>
                <w:sz w:val="21"/>
                <w:szCs w:val="21"/>
              </w:rPr>
              <w:t>2012年12月31日</w:t>
            </w:r>
          </w:p>
        </w:tc>
        <w:tc>
          <w:tcPr>
            <w:tcW w:w="2001" w:type="dxa"/>
            <w:tcBorders>
              <w:top w:val="single" w:sz="12" w:space="0" w:color="000000"/>
              <w:left w:val="nil" w:sz="6" w:space="0" w:color="auto"/>
              <w:bottom w:val="single" w:sz="6" w:space="0" w:color="000000"/>
              <w:right w:val="nil" w:sz="6" w:space="0" w:color="auto"/>
            </w:tcBorders>
          </w:tcPr>
          <w:p>
            <w:pPr>
              <w:pStyle w:val="TableParagraph"/>
              <w:spacing w:line="270" w:lineRule="exact"/>
              <w:ind w:left="275" w:right="0"/>
              <w:jc w:val="left"/>
              <w:rPr>
                <w:rFonts w:ascii="宋体" w:hAnsi="宋体" w:cs="宋体" w:eastAsia="宋体" w:hint="default"/>
                <w:sz w:val="21"/>
                <w:szCs w:val="21"/>
              </w:rPr>
            </w:pPr>
            <w:r>
              <w:rPr>
                <w:rFonts w:ascii="宋体" w:hAnsi="宋体" w:cs="宋体" w:eastAsia="宋体" w:hint="default"/>
                <w:sz w:val="21"/>
                <w:szCs w:val="21"/>
              </w:rPr>
              <w:t>2011年12月31日</w:t>
            </w:r>
          </w:p>
        </w:tc>
      </w:tr>
      <w:tr>
        <w:trPr>
          <w:trHeight w:val="347" w:hRule="exact"/>
        </w:trPr>
        <w:tc>
          <w:tcPr>
            <w:tcW w:w="5100" w:type="dxa"/>
            <w:tcBorders>
              <w:top w:val="single" w:sz="6" w:space="0" w:color="000000"/>
              <w:left w:val="nil" w:sz="6" w:space="0" w:color="auto"/>
              <w:bottom w:val="single" w:sz="6" w:space="0" w:color="000000"/>
              <w:right w:val="nil" w:sz="6" w:space="0" w:color="auto"/>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用电量收益监测系统及信息采集设备开发</w:t>
            </w:r>
          </w:p>
        </w:tc>
        <w:tc>
          <w:tcPr>
            <w:tcW w:w="2269" w:type="dxa"/>
            <w:tcBorders>
              <w:top w:val="single" w:sz="6" w:space="0" w:color="000000"/>
              <w:left w:val="nil" w:sz="6" w:space="0" w:color="auto"/>
              <w:bottom w:val="single" w:sz="6" w:space="0" w:color="000000"/>
              <w:right w:val="nil" w:sz="6" w:space="0" w:color="auto"/>
            </w:tcBorders>
          </w:tcPr>
          <w:p>
            <w:pPr>
              <w:pStyle w:val="TableParagraph"/>
              <w:spacing w:line="270" w:lineRule="exact"/>
              <w:ind w:right="274"/>
              <w:jc w:val="right"/>
              <w:rPr>
                <w:rFonts w:ascii="宋体" w:hAnsi="宋体" w:cs="宋体" w:eastAsia="宋体" w:hint="default"/>
                <w:sz w:val="21"/>
                <w:szCs w:val="21"/>
              </w:rPr>
            </w:pPr>
            <w:r>
              <w:rPr>
                <w:rFonts w:ascii="宋体"/>
                <w:spacing w:val="-1"/>
                <w:sz w:val="21"/>
              </w:rPr>
              <w:t>275,000.00</w:t>
            </w:r>
            <w:r>
              <w:rPr>
                <w:rFonts w:ascii="宋体"/>
                <w:sz w:val="21"/>
              </w:rPr>
            </w:r>
          </w:p>
        </w:tc>
        <w:tc>
          <w:tcPr>
            <w:tcW w:w="2001" w:type="dxa"/>
            <w:tcBorders>
              <w:top w:val="single" w:sz="6" w:space="0" w:color="000000"/>
              <w:left w:val="nil" w:sz="6" w:space="0" w:color="auto"/>
              <w:bottom w:val="single" w:sz="6" w:space="0" w:color="000000"/>
              <w:right w:val="nil" w:sz="6" w:space="0" w:color="auto"/>
            </w:tcBorders>
          </w:tcPr>
          <w:p>
            <w:pPr>
              <w:pStyle w:val="TableParagraph"/>
              <w:spacing w:line="270" w:lineRule="exact"/>
              <w:ind w:right="7"/>
              <w:jc w:val="right"/>
              <w:rPr>
                <w:rFonts w:ascii="宋体" w:hAnsi="宋体" w:cs="宋体" w:eastAsia="宋体" w:hint="default"/>
                <w:sz w:val="21"/>
                <w:szCs w:val="21"/>
              </w:rPr>
            </w:pPr>
            <w:r>
              <w:rPr>
                <w:rFonts w:ascii="宋体"/>
                <w:spacing w:val="-1"/>
                <w:sz w:val="21"/>
              </w:rPr>
              <w:t>375,000.00</w:t>
            </w:r>
            <w:r>
              <w:rPr>
                <w:rFonts w:ascii="宋体"/>
                <w:sz w:val="21"/>
              </w:rPr>
            </w:r>
          </w:p>
        </w:tc>
      </w:tr>
      <w:tr>
        <w:trPr>
          <w:trHeight w:val="659" w:hRule="exact"/>
        </w:trPr>
        <w:tc>
          <w:tcPr>
            <w:tcW w:w="5100" w:type="dxa"/>
            <w:tcBorders>
              <w:top w:val="single" w:sz="6" w:space="0" w:color="000000"/>
              <w:left w:val="nil" w:sz="6" w:space="0" w:color="auto"/>
              <w:bottom w:val="single" w:sz="6" w:space="0" w:color="000000"/>
              <w:right w:val="nil" w:sz="6" w:space="0" w:color="auto"/>
            </w:tcBorders>
          </w:tcPr>
          <w:p>
            <w:pPr>
              <w:pStyle w:val="TableParagraph"/>
              <w:spacing w:line="273" w:lineRule="auto"/>
              <w:ind w:left="24" w:right="274"/>
              <w:jc w:val="left"/>
              <w:rPr>
                <w:rFonts w:ascii="宋体" w:hAnsi="宋体" w:cs="宋体" w:eastAsia="宋体" w:hint="default"/>
                <w:sz w:val="21"/>
                <w:szCs w:val="21"/>
              </w:rPr>
            </w:pPr>
            <w:r>
              <w:rPr>
                <w:rFonts w:ascii="宋体" w:hAnsi="宋体" w:cs="宋体" w:eastAsia="宋体" w:hint="default"/>
                <w:spacing w:val="-2"/>
                <w:sz w:val="21"/>
                <w:szCs w:val="21"/>
              </w:rPr>
              <w:t>南京市科技局补贴款（面向智能电网的用电优化控制</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与服务系统）</w:t>
            </w:r>
          </w:p>
        </w:tc>
        <w:tc>
          <w:tcPr>
            <w:tcW w:w="2269" w:type="dxa"/>
            <w:tcBorders>
              <w:top w:val="single" w:sz="6" w:space="0" w:color="000000"/>
              <w:left w:val="nil" w:sz="6" w:space="0" w:color="auto"/>
              <w:bottom w:val="single" w:sz="6" w:space="0" w:color="000000"/>
              <w:right w:val="nil" w:sz="6" w:space="0" w:color="auto"/>
            </w:tcBorders>
          </w:tcPr>
          <w:p>
            <w:pPr>
              <w:pStyle w:val="TableParagraph"/>
              <w:spacing w:line="271" w:lineRule="exact"/>
              <w:ind w:right="273"/>
              <w:jc w:val="right"/>
              <w:rPr>
                <w:rFonts w:ascii="宋体" w:hAnsi="宋体" w:cs="宋体" w:eastAsia="宋体" w:hint="default"/>
                <w:sz w:val="21"/>
                <w:szCs w:val="21"/>
              </w:rPr>
            </w:pPr>
            <w:r>
              <w:rPr>
                <w:rFonts w:ascii="宋体"/>
                <w:spacing w:val="-1"/>
                <w:sz w:val="21"/>
              </w:rPr>
              <w:t>80,000.00</w:t>
            </w:r>
          </w:p>
        </w:tc>
        <w:tc>
          <w:tcPr>
            <w:tcW w:w="2001" w:type="dxa"/>
            <w:tcBorders>
              <w:top w:val="single" w:sz="6" w:space="0" w:color="000000"/>
              <w:left w:val="nil" w:sz="6" w:space="0" w:color="auto"/>
              <w:bottom w:val="single" w:sz="6" w:space="0" w:color="000000"/>
              <w:right w:val="nil" w:sz="6" w:space="0" w:color="auto"/>
            </w:tcBorders>
          </w:tcPr>
          <w:p>
            <w:pPr>
              <w:pStyle w:val="TableParagraph"/>
              <w:spacing w:line="271" w:lineRule="exact"/>
              <w:ind w:right="8"/>
              <w:jc w:val="right"/>
              <w:rPr>
                <w:rFonts w:ascii="宋体" w:hAnsi="宋体" w:cs="宋体" w:eastAsia="宋体" w:hint="default"/>
                <w:sz w:val="21"/>
                <w:szCs w:val="21"/>
              </w:rPr>
            </w:pPr>
            <w:r>
              <w:rPr>
                <w:rFonts w:ascii="宋体"/>
                <w:spacing w:val="-1"/>
                <w:sz w:val="21"/>
              </w:rPr>
              <w:t>80,000.00</w:t>
            </w:r>
          </w:p>
        </w:tc>
      </w:tr>
      <w:tr>
        <w:trPr>
          <w:trHeight w:val="347" w:hRule="exact"/>
        </w:trPr>
        <w:tc>
          <w:tcPr>
            <w:tcW w:w="5100" w:type="dxa"/>
            <w:tcBorders>
              <w:top w:val="single" w:sz="6" w:space="0" w:color="000000"/>
              <w:left w:val="nil" w:sz="6" w:space="0" w:color="auto"/>
              <w:bottom w:val="single" w:sz="6" w:space="0" w:color="000000"/>
              <w:right w:val="nil" w:sz="6" w:space="0" w:color="auto"/>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变压器台区用电信息实用采集与在线监测管理系统</w:t>
            </w:r>
          </w:p>
        </w:tc>
        <w:tc>
          <w:tcPr>
            <w:tcW w:w="2269" w:type="dxa"/>
            <w:tcBorders>
              <w:top w:val="single" w:sz="6" w:space="0" w:color="000000"/>
              <w:left w:val="nil" w:sz="6" w:space="0" w:color="auto"/>
              <w:bottom w:val="single" w:sz="6" w:space="0" w:color="000000"/>
              <w:right w:val="nil" w:sz="6" w:space="0" w:color="auto"/>
            </w:tcBorders>
          </w:tcPr>
          <w:p>
            <w:pPr>
              <w:pStyle w:val="TableParagraph"/>
              <w:spacing w:line="271" w:lineRule="exact"/>
              <w:ind w:right="275"/>
              <w:jc w:val="right"/>
              <w:rPr>
                <w:rFonts w:ascii="宋体" w:hAnsi="宋体" w:cs="宋体" w:eastAsia="宋体" w:hint="default"/>
                <w:sz w:val="21"/>
                <w:szCs w:val="21"/>
              </w:rPr>
            </w:pPr>
            <w:r>
              <w:rPr>
                <w:rFonts w:ascii="宋体"/>
                <w:spacing w:val="-1"/>
                <w:sz w:val="21"/>
              </w:rPr>
              <w:t>2,000,000.00</w:t>
            </w:r>
            <w:r>
              <w:rPr>
                <w:rFonts w:ascii="宋体"/>
                <w:sz w:val="21"/>
              </w:rPr>
            </w:r>
          </w:p>
        </w:tc>
        <w:tc>
          <w:tcPr>
            <w:tcW w:w="2001" w:type="dxa"/>
            <w:tcBorders>
              <w:top w:val="single" w:sz="6" w:space="0" w:color="000000"/>
              <w:left w:val="nil" w:sz="6" w:space="0" w:color="auto"/>
              <w:bottom w:val="single" w:sz="6" w:space="0" w:color="000000"/>
              <w:right w:val="nil" w:sz="6" w:space="0" w:color="auto"/>
            </w:tcBorders>
          </w:tcPr>
          <w:p>
            <w:pPr>
              <w:pStyle w:val="TableParagraph"/>
              <w:spacing w:line="271" w:lineRule="exact"/>
              <w:ind w:right="7"/>
              <w:jc w:val="right"/>
              <w:rPr>
                <w:rFonts w:ascii="宋体" w:hAnsi="宋体" w:cs="宋体" w:eastAsia="宋体" w:hint="default"/>
                <w:sz w:val="21"/>
                <w:szCs w:val="21"/>
              </w:rPr>
            </w:pPr>
            <w:r>
              <w:rPr>
                <w:rFonts w:ascii="宋体"/>
                <w:sz w:val="21"/>
              </w:rPr>
              <w:t>-</w:t>
            </w:r>
          </w:p>
        </w:tc>
      </w:tr>
      <w:tr>
        <w:trPr>
          <w:trHeight w:val="347" w:hRule="exact"/>
        </w:trPr>
        <w:tc>
          <w:tcPr>
            <w:tcW w:w="5100" w:type="dxa"/>
            <w:tcBorders>
              <w:top w:val="single" w:sz="6" w:space="0" w:color="000000"/>
              <w:left w:val="nil" w:sz="6" w:space="0" w:color="auto"/>
              <w:bottom w:val="single" w:sz="6" w:space="0" w:color="000000"/>
              <w:right w:val="nil" w:sz="6" w:space="0" w:color="auto"/>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企业发展专项基金</w:t>
            </w:r>
          </w:p>
        </w:tc>
        <w:tc>
          <w:tcPr>
            <w:tcW w:w="2269" w:type="dxa"/>
            <w:tcBorders>
              <w:top w:val="single" w:sz="6" w:space="0" w:color="000000"/>
              <w:left w:val="nil" w:sz="6" w:space="0" w:color="auto"/>
              <w:bottom w:val="single" w:sz="6" w:space="0" w:color="000000"/>
              <w:right w:val="nil" w:sz="6" w:space="0" w:color="auto"/>
            </w:tcBorders>
          </w:tcPr>
          <w:p>
            <w:pPr>
              <w:pStyle w:val="TableParagraph"/>
              <w:spacing w:line="271" w:lineRule="exact"/>
              <w:ind w:right="275"/>
              <w:jc w:val="right"/>
              <w:rPr>
                <w:rFonts w:ascii="宋体" w:hAnsi="宋体" w:cs="宋体" w:eastAsia="宋体" w:hint="default"/>
                <w:sz w:val="21"/>
                <w:szCs w:val="21"/>
              </w:rPr>
            </w:pPr>
            <w:r>
              <w:rPr>
                <w:rFonts w:ascii="宋体"/>
                <w:spacing w:val="-1"/>
                <w:sz w:val="21"/>
              </w:rPr>
              <w:t>1,157,503.00</w:t>
            </w:r>
            <w:r>
              <w:rPr>
                <w:rFonts w:ascii="宋体"/>
                <w:sz w:val="21"/>
              </w:rPr>
            </w:r>
          </w:p>
        </w:tc>
        <w:tc>
          <w:tcPr>
            <w:tcW w:w="2001" w:type="dxa"/>
            <w:tcBorders>
              <w:top w:val="single" w:sz="6" w:space="0" w:color="000000"/>
              <w:left w:val="nil" w:sz="6" w:space="0" w:color="auto"/>
              <w:bottom w:val="single" w:sz="6" w:space="0" w:color="000000"/>
              <w:right w:val="nil" w:sz="6" w:space="0" w:color="auto"/>
            </w:tcBorders>
          </w:tcPr>
          <w:p>
            <w:pPr>
              <w:pStyle w:val="TableParagraph"/>
              <w:spacing w:line="271" w:lineRule="exact"/>
              <w:ind w:right="7"/>
              <w:jc w:val="right"/>
              <w:rPr>
                <w:rFonts w:ascii="宋体" w:hAnsi="宋体" w:cs="宋体" w:eastAsia="宋体" w:hint="default"/>
                <w:sz w:val="21"/>
                <w:szCs w:val="21"/>
              </w:rPr>
            </w:pPr>
            <w:r>
              <w:rPr>
                <w:rFonts w:ascii="宋体"/>
                <w:spacing w:val="-1"/>
                <w:sz w:val="21"/>
              </w:rPr>
              <w:t>1,157,503.00</w:t>
            </w:r>
            <w:r>
              <w:rPr>
                <w:rFonts w:ascii="宋体"/>
                <w:sz w:val="21"/>
              </w:rPr>
            </w:r>
          </w:p>
        </w:tc>
      </w:tr>
      <w:tr>
        <w:trPr>
          <w:trHeight w:val="347" w:hRule="exact"/>
        </w:trPr>
        <w:tc>
          <w:tcPr>
            <w:tcW w:w="5100" w:type="dxa"/>
            <w:tcBorders>
              <w:top w:val="single" w:sz="6" w:space="0" w:color="000000"/>
              <w:left w:val="nil" w:sz="6" w:space="0" w:color="auto"/>
              <w:bottom w:val="single" w:sz="6" w:space="0" w:color="000000"/>
              <w:right w:val="nil" w:sz="6" w:space="0" w:color="auto"/>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智能电网项目补助资金</w:t>
            </w:r>
          </w:p>
        </w:tc>
        <w:tc>
          <w:tcPr>
            <w:tcW w:w="2269" w:type="dxa"/>
            <w:tcBorders>
              <w:top w:val="single" w:sz="6" w:space="0" w:color="000000"/>
              <w:left w:val="nil" w:sz="6" w:space="0" w:color="auto"/>
              <w:bottom w:val="single" w:sz="6" w:space="0" w:color="000000"/>
              <w:right w:val="nil" w:sz="6" w:space="0" w:color="auto"/>
            </w:tcBorders>
          </w:tcPr>
          <w:p>
            <w:pPr>
              <w:pStyle w:val="TableParagraph"/>
              <w:spacing w:line="271" w:lineRule="exact"/>
              <w:ind w:right="274"/>
              <w:jc w:val="right"/>
              <w:rPr>
                <w:rFonts w:ascii="宋体" w:hAnsi="宋体" w:cs="宋体" w:eastAsia="宋体" w:hint="default"/>
                <w:sz w:val="21"/>
                <w:szCs w:val="21"/>
              </w:rPr>
            </w:pPr>
            <w:r>
              <w:rPr>
                <w:rFonts w:ascii="宋体"/>
                <w:spacing w:val="-1"/>
                <w:sz w:val="21"/>
              </w:rPr>
              <w:t>2,000,000.00</w:t>
            </w:r>
            <w:r>
              <w:rPr>
                <w:rFonts w:ascii="宋体"/>
                <w:sz w:val="21"/>
              </w:rPr>
            </w:r>
          </w:p>
        </w:tc>
        <w:tc>
          <w:tcPr>
            <w:tcW w:w="2001" w:type="dxa"/>
            <w:tcBorders>
              <w:top w:val="single" w:sz="6" w:space="0" w:color="000000"/>
              <w:left w:val="nil" w:sz="6" w:space="0" w:color="auto"/>
              <w:bottom w:val="single" w:sz="6" w:space="0" w:color="000000"/>
              <w:right w:val="nil" w:sz="6" w:space="0" w:color="auto"/>
            </w:tcBorders>
          </w:tcPr>
          <w:p>
            <w:pPr>
              <w:pStyle w:val="TableParagraph"/>
              <w:spacing w:line="271" w:lineRule="exact"/>
              <w:ind w:right="7"/>
              <w:jc w:val="right"/>
              <w:rPr>
                <w:rFonts w:ascii="宋体" w:hAnsi="宋体" w:cs="宋体" w:eastAsia="宋体" w:hint="default"/>
                <w:sz w:val="21"/>
                <w:szCs w:val="21"/>
              </w:rPr>
            </w:pPr>
            <w:r>
              <w:rPr>
                <w:rFonts w:ascii="宋体"/>
                <w:sz w:val="21"/>
              </w:rPr>
              <w:t>-</w:t>
            </w:r>
          </w:p>
        </w:tc>
      </w:tr>
      <w:tr>
        <w:trPr>
          <w:trHeight w:val="356" w:hRule="exact"/>
        </w:trPr>
        <w:tc>
          <w:tcPr>
            <w:tcW w:w="5100" w:type="dxa"/>
            <w:tcBorders>
              <w:top w:val="single" w:sz="6" w:space="0" w:color="000000"/>
              <w:left w:val="nil" w:sz="6" w:space="0" w:color="auto"/>
              <w:bottom w:val="single" w:sz="12" w:space="0" w:color="000000"/>
              <w:right w:val="nil" w:sz="6" w:space="0" w:color="auto"/>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69" w:type="dxa"/>
            <w:tcBorders>
              <w:top w:val="single" w:sz="6" w:space="0" w:color="000000"/>
              <w:left w:val="nil" w:sz="6" w:space="0" w:color="auto"/>
              <w:bottom w:val="single" w:sz="12" w:space="0" w:color="000000"/>
              <w:right w:val="nil" w:sz="6" w:space="0" w:color="auto"/>
            </w:tcBorders>
          </w:tcPr>
          <w:p>
            <w:pPr>
              <w:pStyle w:val="TableParagraph"/>
              <w:spacing w:line="271" w:lineRule="exact"/>
              <w:ind w:right="276"/>
              <w:jc w:val="right"/>
              <w:rPr>
                <w:rFonts w:ascii="宋体" w:hAnsi="宋体" w:cs="宋体" w:eastAsia="宋体" w:hint="default"/>
                <w:sz w:val="21"/>
                <w:szCs w:val="21"/>
              </w:rPr>
            </w:pPr>
            <w:r>
              <w:rPr>
                <w:rFonts w:ascii="宋体"/>
                <w:spacing w:val="-1"/>
                <w:sz w:val="21"/>
              </w:rPr>
              <w:t>5,512,503.00</w:t>
            </w:r>
            <w:r>
              <w:rPr>
                <w:rFonts w:ascii="宋体"/>
                <w:sz w:val="21"/>
              </w:rPr>
            </w:r>
          </w:p>
        </w:tc>
        <w:tc>
          <w:tcPr>
            <w:tcW w:w="2001" w:type="dxa"/>
            <w:tcBorders>
              <w:top w:val="single" w:sz="6" w:space="0" w:color="000000"/>
              <w:left w:val="nil" w:sz="6" w:space="0" w:color="auto"/>
              <w:bottom w:val="single" w:sz="12" w:space="0" w:color="000000"/>
              <w:right w:val="nil" w:sz="6" w:space="0" w:color="auto"/>
            </w:tcBorders>
          </w:tcPr>
          <w:p>
            <w:pPr>
              <w:pStyle w:val="TableParagraph"/>
              <w:spacing w:line="271" w:lineRule="exact"/>
              <w:ind w:right="7"/>
              <w:jc w:val="right"/>
              <w:rPr>
                <w:rFonts w:ascii="宋体" w:hAnsi="宋体" w:cs="宋体" w:eastAsia="宋体" w:hint="default"/>
                <w:sz w:val="21"/>
                <w:szCs w:val="21"/>
              </w:rPr>
            </w:pPr>
            <w:r>
              <w:rPr>
                <w:rFonts w:ascii="宋体"/>
                <w:spacing w:val="-1"/>
                <w:sz w:val="21"/>
              </w:rPr>
              <w:t>1,612,503.00</w:t>
            </w:r>
            <w:r>
              <w:rPr>
                <w:rFonts w:ascii="宋体"/>
                <w:sz w:val="21"/>
              </w:rPr>
            </w:r>
          </w:p>
        </w:tc>
      </w:tr>
    </w:tbl>
    <w:p>
      <w:pPr>
        <w:spacing w:line="240" w:lineRule="auto" w:before="11"/>
        <w:rPr>
          <w:rFonts w:ascii="宋体" w:hAnsi="宋体" w:cs="宋体" w:eastAsia="宋体" w:hint="default"/>
          <w:sz w:val="18"/>
          <w:szCs w:val="18"/>
        </w:rPr>
      </w:pPr>
    </w:p>
    <w:p>
      <w:pPr>
        <w:pStyle w:val="BodyText"/>
        <w:spacing w:line="240" w:lineRule="auto" w:before="35"/>
        <w:ind w:right="132"/>
        <w:jc w:val="left"/>
      </w:pPr>
      <w:r>
        <w:rPr/>
        <w:t>政府补助说明：</w:t>
      </w:r>
    </w:p>
    <w:p>
      <w:pPr>
        <w:pStyle w:val="BodyText"/>
        <w:spacing w:line="273" w:lineRule="auto" w:before="37"/>
        <w:ind w:right="145" w:firstLine="315"/>
        <w:jc w:val="both"/>
      </w:pPr>
      <w:r>
        <w:rPr/>
        <w:t>（1）江苏省财政厅、江苏省信息产业厅根据苏财建[2008]270号文《江苏省财政厅、江苏省信息产业</w:t>
      </w:r>
      <w:r>
        <w:rPr>
          <w:spacing w:val="2"/>
        </w:rPr>
        <w:t> </w:t>
      </w:r>
      <w:r>
        <w:rPr>
          <w:spacing w:val="-1"/>
        </w:rPr>
        <w:t>厅关于下达2008年度省级现代服务业（软件产业）发展专项引导资金项目及支出预算指标的通知》拨付用</w:t>
      </w:r>
      <w:r>
        <w:rPr>
          <w:spacing w:val="-83"/>
        </w:rPr>
        <w:t> </w:t>
      </w:r>
      <w:r>
        <w:rPr>
          <w:spacing w:val="-83"/>
        </w:rPr>
      </w:r>
      <w:r>
        <w:rPr/>
        <w:t>电量收益监测系统及信息采集设备开发政府补助金1,500,000.00元，2011年9月23日经江苏省经济和信息</w:t>
      </w:r>
      <w:r>
        <w:rPr>
          <w:spacing w:val="-40"/>
        </w:rPr>
        <w:t> </w:t>
      </w:r>
      <w:r>
        <w:rPr>
          <w:spacing w:val="-40"/>
        </w:rPr>
      </w:r>
      <w:r>
        <w:rPr>
          <w:spacing w:val="-3"/>
        </w:rPr>
        <w:t>化委员会验收，公司将与收益相关的100万元确认收益，与资产相关的50万元按照资产使用年限分摊，2011</w:t>
      </w:r>
      <w:r>
        <w:rPr>
          <w:spacing w:val="-82"/>
        </w:rPr>
        <w:t> </w:t>
      </w:r>
      <w:r>
        <w:rPr>
          <w:spacing w:val="-82"/>
        </w:rPr>
      </w:r>
      <w:r>
        <w:rPr/>
        <w:t>年分摊12.50万元，2012年1-12月分摊10万元，剩余27.50万元留在以后年度分摊。</w:t>
      </w:r>
    </w:p>
    <w:p>
      <w:pPr>
        <w:pStyle w:val="BodyText"/>
        <w:spacing w:line="273" w:lineRule="auto" w:before="7"/>
        <w:ind w:right="132" w:firstLine="421"/>
        <w:jc w:val="left"/>
      </w:pPr>
      <w:r>
        <w:rPr/>
        <w:t>（2）南京科学技术委员会与南京市财政局根据苏财教{2010}177号，苏财教{2010}178号文拨付光一</w:t>
      </w:r>
      <w:r>
        <w:rPr>
          <w:spacing w:val="2"/>
        </w:rPr>
        <w:t> </w:t>
      </w:r>
      <w:r>
        <w:rPr/>
        <w:t>科技股份有限公司面向智能电网的用电优化控制与服务系统项目发展补助款80,000.00元。</w:t>
      </w:r>
    </w:p>
    <w:p>
      <w:pPr>
        <w:pStyle w:val="BodyText"/>
        <w:spacing w:line="273" w:lineRule="auto" w:before="7"/>
        <w:ind w:right="132" w:firstLine="421"/>
        <w:jc w:val="left"/>
      </w:pPr>
      <w:r>
        <w:rPr/>
        <w:t>（</w:t>
      </w:r>
      <w:r>
        <w:rPr>
          <w:spacing w:val="-80"/>
        </w:rPr>
        <w:t> </w:t>
      </w:r>
      <w:r>
        <w:rPr>
          <w:spacing w:val="11"/>
        </w:rPr>
        <w:t>3）</w:t>
      </w:r>
      <w:r>
        <w:rPr>
          <w:spacing w:val="-80"/>
        </w:rPr>
        <w:t> </w:t>
      </w:r>
      <w:r>
        <w:rPr>
          <w:spacing w:val="14"/>
        </w:rPr>
        <w:t>南京市江宁区工业和信息化局根据江宁工信[2012]120</w:t>
      </w:r>
      <w:r>
        <w:rPr>
          <w:spacing w:val="-78"/>
        </w:rPr>
        <w:t> </w:t>
      </w:r>
      <w:r>
        <w:rPr>
          <w:spacing w:val="20"/>
        </w:rPr>
        <w:t>号文拨付智能电网项目补助资金</w:t>
      </w:r>
      <w:r>
        <w:rPr>
          <w:spacing w:val="-83"/>
        </w:rPr>
        <w:t> </w:t>
      </w:r>
      <w:r>
        <w:rPr/>
        <w:t>2,000,000.00元。</w:t>
      </w:r>
    </w:p>
    <w:p>
      <w:pPr>
        <w:pStyle w:val="BodyText"/>
        <w:spacing w:line="240" w:lineRule="auto" w:before="7"/>
        <w:ind w:left="574" w:right="132"/>
        <w:jc w:val="left"/>
      </w:pPr>
      <w:r>
        <w:rPr/>
        <w:t>（4）江宁开发区管委会根据宁经管委企（2001）18号文拨付发展专项基金1,157,503.00元。</w:t>
      </w:r>
    </w:p>
    <w:p>
      <w:pPr>
        <w:pStyle w:val="BodyText"/>
        <w:spacing w:line="273" w:lineRule="auto" w:before="37"/>
        <w:ind w:right="132" w:firstLine="420"/>
        <w:jc w:val="left"/>
      </w:pPr>
      <w:r>
        <w:rPr>
          <w:spacing w:val="-1"/>
        </w:rPr>
        <w:t>（5）南京市财政局与南京经济和信息化委员会根据宁财企[2012]719号文拨付江苏省工业和信息产业</w:t>
      </w:r>
      <w:r>
        <w:rPr/>
        <w:t> 转型升级引导资金补助项目及补助资金2,000,000.00元。</w:t>
      </w:r>
    </w:p>
    <w:p>
      <w:pPr>
        <w:spacing w:line="240" w:lineRule="auto" w:before="8"/>
        <w:rPr>
          <w:rFonts w:ascii="宋体" w:hAnsi="宋体" w:cs="宋体" w:eastAsia="宋体" w:hint="default"/>
          <w:sz w:val="23"/>
          <w:szCs w:val="23"/>
        </w:rPr>
      </w:pPr>
    </w:p>
    <w:p>
      <w:pPr>
        <w:pStyle w:val="Heading4"/>
        <w:spacing w:line="240" w:lineRule="auto"/>
        <w:ind w:right="132"/>
        <w:jc w:val="left"/>
        <w:rPr>
          <w:b w:val="0"/>
          <w:bCs w:val="0"/>
        </w:rPr>
      </w:pPr>
      <w:r>
        <w:rPr/>
        <w:t>32、股本</w:t>
      </w:r>
      <w:r>
        <w:rPr>
          <w:b w:val="0"/>
          <w:bCs w:val="0"/>
        </w:rPr>
      </w:r>
    </w:p>
    <w:p>
      <w:pPr>
        <w:spacing w:line="240" w:lineRule="auto" w:before="11"/>
        <w:rPr>
          <w:rFonts w:ascii="宋体" w:hAnsi="宋体" w:cs="宋体" w:eastAsia="宋体" w:hint="default"/>
          <w:b/>
          <w:bCs/>
          <w:sz w:val="27"/>
          <w:szCs w:val="27"/>
        </w:rPr>
      </w:pPr>
    </w:p>
    <w:p>
      <w:pPr>
        <w:spacing w:before="0"/>
        <w:ind w:left="0" w:right="24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197"/>
        <w:gridCol w:w="1498"/>
        <w:gridCol w:w="1276"/>
        <w:gridCol w:w="815"/>
        <w:gridCol w:w="1195"/>
        <w:gridCol w:w="824"/>
        <w:gridCol w:w="1276"/>
        <w:gridCol w:w="1487"/>
      </w:tblGrid>
      <w:tr>
        <w:trPr>
          <w:trHeight w:val="415" w:hRule="exact"/>
        </w:trPr>
        <w:tc>
          <w:tcPr>
            <w:tcW w:w="1197" w:type="dxa"/>
            <w:vMerge w:val="restart"/>
            <w:tcBorders>
              <w:top w:val="single" w:sz="12" w:space="0" w:color="000000"/>
              <w:left w:val="single" w:sz="12" w:space="0" w:color="000000"/>
              <w:right w:val="single" w:sz="6" w:space="0" w:color="000000"/>
            </w:tcBorders>
            <w:shd w:val="clear" w:color="auto" w:fill="D3D3D3"/>
          </w:tcPr>
          <w:p>
            <w:pPr/>
          </w:p>
        </w:tc>
        <w:tc>
          <w:tcPr>
            <w:tcW w:w="1498" w:type="dxa"/>
            <w:vMerge w:val="restart"/>
            <w:tcBorders>
              <w:top w:val="single" w:sz="12" w:space="0" w:color="000000"/>
              <w:left w:val="single" w:sz="6" w:space="0" w:color="000000"/>
              <w:right w:val="single" w:sz="6"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386" w:type="dxa"/>
            <w:gridSpan w:val="5"/>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1695" w:right="0"/>
              <w:jc w:val="left"/>
              <w:rPr>
                <w:rFonts w:ascii="宋体" w:hAnsi="宋体" w:cs="宋体" w:eastAsia="宋体" w:hint="default"/>
                <w:sz w:val="18"/>
                <w:szCs w:val="18"/>
              </w:rPr>
            </w:pPr>
            <w:r>
              <w:rPr>
                <w:rFonts w:ascii="宋体" w:hAnsi="宋体" w:cs="宋体" w:eastAsia="宋体" w:hint="default"/>
                <w:sz w:val="18"/>
                <w:szCs w:val="18"/>
              </w:rPr>
              <w:t>本期变动增减（＋、－）</w:t>
            </w:r>
          </w:p>
        </w:tc>
        <w:tc>
          <w:tcPr>
            <w:tcW w:w="1487" w:type="dxa"/>
            <w:vMerge w:val="restart"/>
            <w:tcBorders>
              <w:top w:val="single" w:sz="12" w:space="0" w:color="000000"/>
              <w:left w:val="single" w:sz="6" w:space="0" w:color="000000"/>
              <w:right w:val="single" w:sz="12"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7" w:hRule="exact"/>
        </w:trPr>
        <w:tc>
          <w:tcPr>
            <w:tcW w:w="1197" w:type="dxa"/>
            <w:vMerge/>
            <w:tcBorders>
              <w:left w:val="single" w:sz="12" w:space="0" w:color="000000"/>
              <w:bottom w:val="single" w:sz="6" w:space="0" w:color="000000"/>
              <w:right w:val="single" w:sz="6" w:space="0" w:color="000000"/>
            </w:tcBorders>
            <w:shd w:val="clear" w:color="auto" w:fill="D3D3D3"/>
          </w:tcPr>
          <w:p>
            <w:pPr/>
          </w:p>
        </w:tc>
        <w:tc>
          <w:tcPr>
            <w:tcW w:w="1498" w:type="dxa"/>
            <w:vMerge/>
            <w:tcBorders>
              <w:left w:val="single" w:sz="6" w:space="0" w:color="000000"/>
              <w:bottom w:val="single" w:sz="6" w:space="0" w:color="000000"/>
              <w:right w:val="single" w:sz="6" w:space="0" w:color="000000"/>
            </w:tcBorders>
            <w:shd w:val="clear" w:color="auto" w:fill="D3D3D3"/>
          </w:tcPr>
          <w:p>
            <w:pPr/>
          </w:p>
        </w:tc>
        <w:tc>
          <w:tcPr>
            <w:tcW w:w="127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815"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21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2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487" w:type="dxa"/>
            <w:vMerge/>
            <w:tcBorders>
              <w:left w:val="single" w:sz="6" w:space="0" w:color="000000"/>
              <w:bottom w:val="single" w:sz="6" w:space="0" w:color="000000"/>
              <w:right w:val="single" w:sz="12" w:space="0" w:color="000000"/>
            </w:tcBorders>
            <w:shd w:val="clear" w:color="auto" w:fill="D3D3D3"/>
          </w:tcPr>
          <w:p>
            <w:pPr/>
          </w:p>
        </w:tc>
      </w:tr>
      <w:tr>
        <w:trPr>
          <w:trHeight w:val="415" w:hRule="exact"/>
        </w:trPr>
        <w:tc>
          <w:tcPr>
            <w:tcW w:w="1197"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92" w:right="0"/>
              <w:jc w:val="left"/>
              <w:rPr>
                <w:rFonts w:ascii="宋体" w:hAnsi="宋体" w:cs="宋体" w:eastAsia="宋体" w:hint="default"/>
                <w:sz w:val="18"/>
                <w:szCs w:val="18"/>
              </w:rPr>
            </w:pPr>
            <w:r>
              <w:rPr>
                <w:rFonts w:ascii="宋体"/>
                <w:sz w:val="18"/>
              </w:rPr>
              <w:t>65,000,000.00</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48" w:right="0"/>
              <w:jc w:val="center"/>
              <w:rPr>
                <w:rFonts w:ascii="宋体" w:hAnsi="宋体" w:cs="宋体" w:eastAsia="宋体" w:hint="default"/>
                <w:sz w:val="18"/>
                <w:szCs w:val="18"/>
              </w:rPr>
            </w:pPr>
            <w:r>
              <w:rPr>
                <w:rFonts w:ascii="宋体"/>
                <w:sz w:val="18"/>
              </w:rPr>
              <w:t>21,670,000.00</w:t>
            </w:r>
          </w:p>
        </w:tc>
        <w:tc>
          <w:tcPr>
            <w:tcW w:w="815" w:type="dxa"/>
            <w:tcBorders>
              <w:top w:val="single" w:sz="6" w:space="0" w:color="000000"/>
              <w:left w:val="single" w:sz="6" w:space="0" w:color="000000"/>
              <w:bottom w:val="single" w:sz="12" w:space="0" w:color="000000"/>
              <w:right w:val="single" w:sz="6" w:space="0" w:color="000000"/>
            </w:tcBorders>
          </w:tcPr>
          <w:p>
            <w:pPr/>
          </w:p>
        </w:tc>
        <w:tc>
          <w:tcPr>
            <w:tcW w:w="1195" w:type="dxa"/>
            <w:tcBorders>
              <w:top w:val="single" w:sz="6" w:space="0" w:color="000000"/>
              <w:left w:val="single" w:sz="6" w:space="0" w:color="000000"/>
              <w:bottom w:val="single" w:sz="12" w:space="0" w:color="000000"/>
              <w:right w:val="single" w:sz="6" w:space="0" w:color="000000"/>
            </w:tcBorders>
          </w:tcPr>
          <w:p>
            <w:pPr/>
          </w:p>
        </w:tc>
        <w:tc>
          <w:tcPr>
            <w:tcW w:w="824"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50" w:right="0"/>
              <w:jc w:val="center"/>
              <w:rPr>
                <w:rFonts w:ascii="宋体" w:hAnsi="宋体" w:cs="宋体" w:eastAsia="宋体" w:hint="default"/>
                <w:sz w:val="18"/>
                <w:szCs w:val="18"/>
              </w:rPr>
            </w:pPr>
            <w:r>
              <w:rPr>
                <w:rFonts w:ascii="宋体"/>
                <w:sz w:val="18"/>
              </w:rPr>
              <w:t>21,670,000.00</w:t>
            </w:r>
          </w:p>
        </w:tc>
        <w:tc>
          <w:tcPr>
            <w:tcW w:w="148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283" w:right="0"/>
              <w:jc w:val="left"/>
              <w:rPr>
                <w:rFonts w:ascii="宋体" w:hAnsi="宋体" w:cs="宋体" w:eastAsia="宋体" w:hint="default"/>
                <w:sz w:val="18"/>
                <w:szCs w:val="18"/>
              </w:rPr>
            </w:pPr>
            <w:r>
              <w:rPr>
                <w:rFonts w:ascii="宋体"/>
                <w:sz w:val="18"/>
              </w:rPr>
              <w:t>86,670,000.00</w:t>
            </w:r>
          </w:p>
        </w:tc>
      </w:tr>
    </w:tbl>
    <w:p>
      <w:pPr>
        <w:pStyle w:val="BodyText"/>
        <w:spacing w:line="240" w:lineRule="auto" w:before="26"/>
        <w:ind w:left="0" w:right="246"/>
        <w:jc w:val="right"/>
      </w:pPr>
      <w:r>
        <w:rPr/>
        <w:t>股本变动情况说明:2012</w:t>
      </w:r>
      <w:r>
        <w:rPr>
          <w:spacing w:val="-47"/>
        </w:rPr>
        <w:t> </w:t>
      </w:r>
      <w:r>
        <w:rPr/>
        <w:t>年</w:t>
      </w:r>
      <w:r>
        <w:rPr>
          <w:spacing w:val="-46"/>
        </w:rPr>
        <w:t> </w:t>
      </w:r>
      <w:r>
        <w:rPr/>
        <w:t>7</w:t>
      </w:r>
      <w:r>
        <w:rPr>
          <w:spacing w:val="-46"/>
        </w:rPr>
        <w:t> </w:t>
      </w:r>
      <w:r>
        <w:rPr/>
        <w:t>月</w:t>
      </w:r>
      <w:r>
        <w:rPr>
          <w:spacing w:val="-46"/>
        </w:rPr>
        <w:t> </w:t>
      </w:r>
      <w:r>
        <w:rPr/>
        <w:t>25</w:t>
      </w:r>
      <w:r>
        <w:rPr>
          <w:spacing w:val="-46"/>
        </w:rPr>
        <w:t> </w:t>
      </w:r>
      <w:r>
        <w:rPr/>
        <w:t>日经中国证监会《关于光一科技股份有限公司首次公开发行股票</w:t>
      </w:r>
    </w:p>
    <w:p>
      <w:pPr>
        <w:pStyle w:val="BodyText"/>
        <w:spacing w:line="240" w:lineRule="auto" w:before="36"/>
        <w:ind w:right="132"/>
        <w:jc w:val="left"/>
      </w:pPr>
      <w:r>
        <w:rPr/>
        <w:t>并在创业板上市的批复》</w:t>
      </w:r>
      <w:r>
        <w:rPr>
          <w:spacing w:val="-2"/>
        </w:rPr>
        <w:t> </w:t>
      </w:r>
      <w:r>
        <w:rPr/>
        <w:t>（证监许可</w:t>
      </w:r>
      <w:r>
        <w:rPr>
          <w:spacing w:val="-2"/>
        </w:rPr>
        <w:t> </w:t>
      </w:r>
      <w:r>
        <w:rPr/>
        <w:t>[2012]980</w:t>
      </w:r>
      <w:r>
        <w:rPr>
          <w:spacing w:val="-41"/>
        </w:rPr>
        <w:t> </w:t>
      </w:r>
      <w:r>
        <w:rPr/>
        <w:t>号文）批准，公司向社会公众发行</w:t>
      </w:r>
      <w:r>
        <w:rPr>
          <w:spacing w:val="-42"/>
        </w:rPr>
        <w:t> </w:t>
      </w:r>
      <w:r>
        <w:rPr/>
        <w:t>2167</w:t>
      </w:r>
      <w:r>
        <w:rPr>
          <w:spacing w:val="-41"/>
        </w:rPr>
        <w:t> </w:t>
      </w:r>
      <w:r>
        <w:rPr/>
        <w:t>万股流通股，</w:t>
      </w:r>
    </w:p>
    <w:p>
      <w:pPr>
        <w:pStyle w:val="BodyText"/>
        <w:spacing w:line="273" w:lineRule="auto" w:before="37"/>
        <w:ind w:right="234"/>
        <w:jc w:val="left"/>
      </w:pPr>
      <w:r>
        <w:rPr/>
        <w:t>并于</w:t>
      </w:r>
      <w:r>
        <w:rPr>
          <w:spacing w:val="-38"/>
        </w:rPr>
        <w:t> </w:t>
      </w:r>
      <w:r>
        <w:rPr/>
        <w:t>2012</w:t>
      </w:r>
      <w:r>
        <w:rPr>
          <w:spacing w:val="-39"/>
        </w:rPr>
        <w:t> </w:t>
      </w:r>
      <w:r>
        <w:rPr/>
        <w:t>年</w:t>
      </w:r>
      <w:r>
        <w:rPr>
          <w:spacing w:val="-38"/>
        </w:rPr>
        <w:t> </w:t>
      </w:r>
      <w:r>
        <w:rPr/>
        <w:t>10</w:t>
      </w:r>
      <w:r>
        <w:rPr>
          <w:spacing w:val="-38"/>
        </w:rPr>
        <w:t> </w:t>
      </w:r>
      <w:r>
        <w:rPr/>
        <w:t>月</w:t>
      </w:r>
      <w:r>
        <w:rPr>
          <w:spacing w:val="-38"/>
        </w:rPr>
        <w:t> </w:t>
      </w:r>
      <w:r>
        <w:rPr/>
        <w:t>9</w:t>
      </w:r>
      <w:r>
        <w:rPr>
          <w:spacing w:val="-38"/>
        </w:rPr>
        <w:t> </w:t>
      </w:r>
      <w:r>
        <w:rPr/>
        <w:t>日在深圳证券交易所创业板挂牌交易，此次发行股本业经上海众华沪银会计师事务</w:t>
      </w:r>
      <w:r>
        <w:rPr/>
        <w:t> 所有限公司[2012]3171</w:t>
      </w:r>
      <w:r>
        <w:rPr>
          <w:spacing w:val="-75"/>
        </w:rPr>
        <w:t> </w:t>
      </w:r>
      <w:r>
        <w:rPr/>
        <w:t>号验资报告验证。</w:t>
      </w:r>
    </w:p>
    <w:p>
      <w:pPr>
        <w:spacing w:line="240" w:lineRule="auto" w:before="7"/>
        <w:rPr>
          <w:rFonts w:ascii="宋体" w:hAnsi="宋体" w:cs="宋体" w:eastAsia="宋体" w:hint="default"/>
          <w:sz w:val="23"/>
          <w:szCs w:val="23"/>
        </w:rPr>
      </w:pPr>
    </w:p>
    <w:p>
      <w:pPr>
        <w:pStyle w:val="Heading4"/>
        <w:spacing w:line="240" w:lineRule="auto"/>
        <w:ind w:right="132"/>
        <w:jc w:val="left"/>
        <w:rPr>
          <w:b w:val="0"/>
          <w:bCs w:val="0"/>
        </w:rPr>
      </w:pPr>
      <w:r>
        <w:rPr/>
        <w:t>33、资本公积</w:t>
      </w:r>
      <w:r>
        <w:rPr>
          <w:b w:val="0"/>
          <w:bCs w:val="0"/>
        </w:rPr>
      </w:r>
    </w:p>
    <w:p>
      <w:pPr>
        <w:spacing w:line="240" w:lineRule="auto" w:before="11"/>
        <w:rPr>
          <w:rFonts w:ascii="宋体" w:hAnsi="宋体" w:cs="宋体" w:eastAsia="宋体" w:hint="default"/>
          <w:b/>
          <w:bCs/>
          <w:sz w:val="27"/>
          <w:szCs w:val="27"/>
        </w:rPr>
      </w:pPr>
    </w:p>
    <w:p>
      <w:pPr>
        <w:spacing w:before="0"/>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395"/>
        <w:gridCol w:w="1860"/>
        <w:gridCol w:w="1994"/>
        <w:gridCol w:w="1726"/>
        <w:gridCol w:w="1593"/>
      </w:tblGrid>
      <w:tr>
        <w:trPr>
          <w:trHeight w:val="413" w:hRule="exact"/>
        </w:trPr>
        <w:tc>
          <w:tcPr>
            <w:tcW w:w="2395"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62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4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3"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51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16" w:hRule="exact"/>
        </w:trPr>
        <w:tc>
          <w:tcPr>
            <w:tcW w:w="2395"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654" w:right="0"/>
              <w:jc w:val="left"/>
              <w:rPr>
                <w:rFonts w:ascii="宋体" w:hAnsi="宋体" w:cs="宋体" w:eastAsia="宋体" w:hint="default"/>
                <w:sz w:val="18"/>
                <w:szCs w:val="18"/>
              </w:rPr>
            </w:pPr>
            <w:r>
              <w:rPr>
                <w:rFonts w:ascii="宋体"/>
                <w:sz w:val="18"/>
              </w:rPr>
              <w:t>74,242,708.96</w:t>
            </w:r>
          </w:p>
        </w:tc>
        <w:tc>
          <w:tcPr>
            <w:tcW w:w="1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698" w:right="0"/>
              <w:jc w:val="left"/>
              <w:rPr>
                <w:rFonts w:ascii="宋体" w:hAnsi="宋体" w:cs="宋体" w:eastAsia="宋体" w:hint="default"/>
                <w:sz w:val="18"/>
                <w:szCs w:val="18"/>
              </w:rPr>
            </w:pPr>
            <w:r>
              <w:rPr>
                <w:rFonts w:ascii="宋体"/>
                <w:sz w:val="18"/>
              </w:rPr>
              <w:t>332,621,193.65</w:t>
            </w:r>
          </w:p>
        </w:tc>
        <w:tc>
          <w:tcPr>
            <w:tcW w:w="1726" w:type="dxa"/>
            <w:tcBorders>
              <w:top w:val="single" w:sz="6" w:space="0" w:color="000000"/>
              <w:left w:val="single" w:sz="6" w:space="0" w:color="000000"/>
              <w:bottom w:val="single" w:sz="12" w:space="0" w:color="000000"/>
              <w:right w:val="single" w:sz="6" w:space="0" w:color="000000"/>
            </w:tcBorders>
          </w:tcPr>
          <w:p>
            <w:pPr/>
          </w:p>
        </w:tc>
        <w:tc>
          <w:tcPr>
            <w:tcW w:w="15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298" w:right="0"/>
              <w:jc w:val="left"/>
              <w:rPr>
                <w:rFonts w:ascii="宋体" w:hAnsi="宋体" w:cs="宋体" w:eastAsia="宋体" w:hint="default"/>
                <w:sz w:val="18"/>
                <w:szCs w:val="18"/>
              </w:rPr>
            </w:pPr>
            <w:r>
              <w:rPr>
                <w:rFonts w:ascii="宋体"/>
                <w:sz w:val="18"/>
              </w:rPr>
              <w:t>406,863,902.61</w:t>
            </w:r>
          </w:p>
        </w:tc>
      </w:tr>
    </w:tbl>
    <w:p>
      <w:pPr>
        <w:spacing w:after="0" w:line="240" w:lineRule="auto"/>
        <w:jc w:val="left"/>
        <w:rPr>
          <w:rFonts w:ascii="宋体" w:hAnsi="宋体" w:cs="宋体" w:eastAsia="宋体" w:hint="default"/>
          <w:sz w:val="18"/>
          <w:szCs w:val="18"/>
        </w:rPr>
        <w:sectPr>
          <w:pgSz w:w="11910" w:h="16840"/>
          <w:pgMar w:header="0" w:footer="1003" w:top="1100" w:bottom="1200" w:left="980" w:right="98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2395"/>
        <w:gridCol w:w="1860"/>
        <w:gridCol w:w="1994"/>
        <w:gridCol w:w="1726"/>
        <w:gridCol w:w="1593"/>
      </w:tblGrid>
      <w:tr>
        <w:trPr>
          <w:trHeight w:val="415" w:hRule="exact"/>
        </w:trPr>
        <w:tc>
          <w:tcPr>
            <w:tcW w:w="2395"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361,800.00</w:t>
            </w:r>
          </w:p>
        </w:tc>
        <w:tc>
          <w:tcPr>
            <w:tcW w:w="1994" w:type="dxa"/>
            <w:tcBorders>
              <w:top w:val="single" w:sz="12" w:space="0" w:color="000000"/>
              <w:left w:val="single" w:sz="6" w:space="0" w:color="000000"/>
              <w:bottom w:val="single" w:sz="6" w:space="0" w:color="000000"/>
              <w:right w:val="single" w:sz="6" w:space="0" w:color="000000"/>
            </w:tcBorders>
          </w:tcPr>
          <w:p>
            <w:pPr/>
          </w:p>
        </w:tc>
        <w:tc>
          <w:tcPr>
            <w:tcW w:w="1726" w:type="dxa"/>
            <w:tcBorders>
              <w:top w:val="single" w:sz="12" w:space="0" w:color="000000"/>
              <w:left w:val="single" w:sz="6" w:space="0" w:color="000000"/>
              <w:bottom w:val="single" w:sz="6" w:space="0" w:color="000000"/>
              <w:right w:val="single" w:sz="6" w:space="0" w:color="000000"/>
            </w:tcBorders>
          </w:tcPr>
          <w:p>
            <w:pPr/>
          </w:p>
        </w:tc>
        <w:tc>
          <w:tcPr>
            <w:tcW w:w="159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361,800.00</w:t>
            </w:r>
          </w:p>
        </w:tc>
      </w:tr>
      <w:tr>
        <w:trPr>
          <w:trHeight w:val="415" w:hRule="exact"/>
        </w:trPr>
        <w:tc>
          <w:tcPr>
            <w:tcW w:w="2395"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74,604,508.96</w:t>
            </w:r>
          </w:p>
        </w:tc>
        <w:tc>
          <w:tcPr>
            <w:tcW w:w="1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698" w:right="0"/>
              <w:jc w:val="left"/>
              <w:rPr>
                <w:rFonts w:ascii="宋体" w:hAnsi="宋体" w:cs="宋体" w:eastAsia="宋体" w:hint="default"/>
                <w:sz w:val="18"/>
                <w:szCs w:val="18"/>
              </w:rPr>
            </w:pPr>
            <w:r>
              <w:rPr>
                <w:rFonts w:ascii="宋体"/>
                <w:sz w:val="18"/>
              </w:rPr>
              <w:t>332,621,193.65</w:t>
            </w:r>
          </w:p>
        </w:tc>
        <w:tc>
          <w:tcPr>
            <w:tcW w:w="1726" w:type="dxa"/>
            <w:tcBorders>
              <w:top w:val="single" w:sz="6" w:space="0" w:color="000000"/>
              <w:left w:val="single" w:sz="6" w:space="0" w:color="000000"/>
              <w:bottom w:val="single" w:sz="12" w:space="0" w:color="000000"/>
              <w:right w:val="single" w:sz="6" w:space="0" w:color="000000"/>
            </w:tcBorders>
          </w:tcPr>
          <w:p>
            <w:pPr/>
          </w:p>
        </w:tc>
        <w:tc>
          <w:tcPr>
            <w:tcW w:w="15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407,225,702.61</w:t>
            </w:r>
          </w:p>
        </w:tc>
      </w:tr>
    </w:tbl>
    <w:p>
      <w:pPr>
        <w:pStyle w:val="BodyText"/>
        <w:spacing w:line="240" w:lineRule="auto" w:before="26"/>
        <w:ind w:right="132"/>
        <w:jc w:val="left"/>
      </w:pPr>
      <w:r>
        <w:rPr/>
        <w:t>资本公积说明</w:t>
      </w:r>
    </w:p>
    <w:p>
      <w:pPr>
        <w:pStyle w:val="BodyText"/>
        <w:spacing w:line="535" w:lineRule="auto" w:before="76"/>
        <w:ind w:left="153" w:right="132"/>
        <w:jc w:val="left"/>
        <w:rPr>
          <w:rFonts w:ascii="宋体" w:hAnsi="宋体" w:cs="宋体" w:eastAsia="宋体" w:hint="default"/>
        </w:rPr>
      </w:pPr>
      <w:r>
        <w:rPr>
          <w:spacing w:val="-1"/>
        </w:rPr>
        <w:t>资本公积年末数比年初数增加</w:t>
      </w:r>
      <w:r>
        <w:rPr>
          <w:spacing w:val="-52"/>
        </w:rPr>
        <w:t> </w:t>
      </w:r>
      <w:r>
        <w:rPr>
          <w:spacing w:val="-1"/>
        </w:rPr>
        <w:t>332,621,193.65</w:t>
      </w:r>
      <w:r>
        <w:rPr>
          <w:spacing w:val="-51"/>
        </w:rPr>
        <w:t> </w:t>
      </w:r>
      <w:r>
        <w:rPr>
          <w:spacing w:val="-13"/>
        </w:rPr>
        <w:t>元，增加比例为</w:t>
      </w:r>
      <w:r>
        <w:rPr>
          <w:spacing w:val="-53"/>
        </w:rPr>
        <w:t> </w:t>
      </w:r>
      <w:r>
        <w:rPr>
          <w:spacing w:val="-4"/>
        </w:rPr>
        <w:t>445.85%，增加原因为收到募集资金所致。</w:t>
      </w:r>
      <w:r>
        <w:rPr/>
        <w:t> </w:t>
      </w:r>
      <w:r>
        <w:rPr>
          <w:rFonts w:ascii="宋体" w:hAnsi="宋体" w:cs="宋体" w:eastAsia="宋体" w:hint="default"/>
          <w:b/>
          <w:bCs/>
        </w:rPr>
        <w:t>34、盈余公积</w:t>
      </w:r>
      <w:r>
        <w:rPr>
          <w:rFonts w:ascii="宋体" w:hAnsi="宋体" w:cs="宋体" w:eastAsia="宋体" w:hint="default"/>
        </w:rPr>
      </w:r>
    </w:p>
    <w:p>
      <w:pPr>
        <w:spacing w:before="106"/>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395"/>
        <w:gridCol w:w="1860"/>
        <w:gridCol w:w="1994"/>
        <w:gridCol w:w="1726"/>
        <w:gridCol w:w="1593"/>
      </w:tblGrid>
      <w:tr>
        <w:trPr>
          <w:trHeight w:val="415" w:hRule="exact"/>
        </w:trPr>
        <w:tc>
          <w:tcPr>
            <w:tcW w:w="2395"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62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4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3"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51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7" w:hRule="exact"/>
        </w:trPr>
        <w:tc>
          <w:tcPr>
            <w:tcW w:w="2395"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654" w:right="0"/>
              <w:jc w:val="left"/>
              <w:rPr>
                <w:rFonts w:ascii="宋体" w:hAnsi="宋体" w:cs="宋体" w:eastAsia="宋体" w:hint="default"/>
                <w:sz w:val="18"/>
                <w:szCs w:val="18"/>
              </w:rPr>
            </w:pPr>
            <w:r>
              <w:rPr>
                <w:rFonts w:ascii="宋体"/>
                <w:sz w:val="18"/>
              </w:rPr>
              <w:t>11,420,696.55</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3,801,141.80</w:t>
            </w:r>
          </w:p>
        </w:tc>
        <w:tc>
          <w:tcPr>
            <w:tcW w:w="1726"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15,221,838.35</w:t>
            </w:r>
          </w:p>
        </w:tc>
      </w:tr>
      <w:tr>
        <w:trPr>
          <w:trHeight w:val="415" w:hRule="exact"/>
        </w:trPr>
        <w:tc>
          <w:tcPr>
            <w:tcW w:w="2395"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654" w:right="0"/>
              <w:jc w:val="left"/>
              <w:rPr>
                <w:rFonts w:ascii="宋体" w:hAnsi="宋体" w:cs="宋体" w:eastAsia="宋体" w:hint="default"/>
                <w:sz w:val="18"/>
                <w:szCs w:val="18"/>
              </w:rPr>
            </w:pPr>
            <w:r>
              <w:rPr>
                <w:rFonts w:ascii="宋体"/>
                <w:sz w:val="18"/>
              </w:rPr>
              <w:t>11,420,696.55</w:t>
            </w:r>
          </w:p>
        </w:tc>
        <w:tc>
          <w:tcPr>
            <w:tcW w:w="1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3,801,141.80</w:t>
            </w:r>
          </w:p>
        </w:tc>
        <w:tc>
          <w:tcPr>
            <w:tcW w:w="1726" w:type="dxa"/>
            <w:tcBorders>
              <w:top w:val="single" w:sz="6" w:space="0" w:color="000000"/>
              <w:left w:val="single" w:sz="6" w:space="0" w:color="000000"/>
              <w:bottom w:val="single" w:sz="12" w:space="0" w:color="000000"/>
              <w:right w:val="single" w:sz="6" w:space="0" w:color="000000"/>
            </w:tcBorders>
          </w:tcPr>
          <w:p>
            <w:pPr/>
          </w:p>
        </w:tc>
        <w:tc>
          <w:tcPr>
            <w:tcW w:w="15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15,221,838.35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before="35"/>
        <w:ind w:right="132"/>
        <w:jc w:val="left"/>
        <w:rPr>
          <w:b w:val="0"/>
          <w:bCs w:val="0"/>
        </w:rPr>
      </w:pPr>
      <w:r>
        <w:rPr/>
        <w:t>35、一般风险准备</w:t>
      </w:r>
      <w:r>
        <w:rPr>
          <w:b w:val="0"/>
          <w:bCs w:val="0"/>
        </w:rPr>
      </w:r>
    </w:p>
    <w:p>
      <w:pPr>
        <w:spacing w:line="240" w:lineRule="auto" w:before="11"/>
        <w:rPr>
          <w:rFonts w:ascii="宋体" w:hAnsi="宋体" w:cs="宋体" w:eastAsia="宋体" w:hint="default"/>
          <w:b/>
          <w:bCs/>
          <w:sz w:val="25"/>
          <w:szCs w:val="25"/>
        </w:rPr>
      </w:pPr>
    </w:p>
    <w:p>
      <w:pPr>
        <w:spacing w:line="535" w:lineRule="auto" w:before="0"/>
        <w:ind w:left="154" w:right="79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36、未分配利润</w:t>
      </w:r>
      <w:r>
        <w:rPr>
          <w:rFonts w:ascii="宋体" w:hAnsi="宋体" w:cs="宋体" w:eastAsia="宋体" w:hint="default"/>
          <w:sz w:val="21"/>
          <w:szCs w:val="21"/>
        </w:rPr>
      </w:r>
    </w:p>
    <w:p>
      <w:pPr>
        <w:spacing w:before="105"/>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718"/>
        <w:gridCol w:w="3728"/>
        <w:gridCol w:w="2121"/>
      </w:tblGrid>
      <w:tr>
        <w:trPr>
          <w:trHeight w:val="414" w:hRule="exact"/>
        </w:trPr>
        <w:tc>
          <w:tcPr>
            <w:tcW w:w="3718"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728"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121"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423"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7" w:hRule="exact"/>
        </w:trPr>
        <w:tc>
          <w:tcPr>
            <w:tcW w:w="371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79,705,891.40</w:t>
            </w:r>
          </w:p>
        </w:tc>
        <w:tc>
          <w:tcPr>
            <w:tcW w:w="2121"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2"/>
              <w:ind w:left="8" w:right="0"/>
              <w:jc w:val="center"/>
              <w:rPr>
                <w:rFonts w:ascii="宋体" w:hAnsi="宋体" w:cs="宋体" w:eastAsia="宋体" w:hint="default"/>
                <w:sz w:val="18"/>
                <w:szCs w:val="18"/>
              </w:rPr>
            </w:pPr>
            <w:r>
              <w:rPr>
                <w:rFonts w:ascii="宋体"/>
                <w:sz w:val="18"/>
              </w:rPr>
              <w:t>--</w:t>
            </w:r>
          </w:p>
        </w:tc>
      </w:tr>
      <w:tr>
        <w:trPr>
          <w:trHeight w:val="407" w:hRule="exact"/>
        </w:trPr>
        <w:tc>
          <w:tcPr>
            <w:tcW w:w="371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79,705,891.40</w:t>
            </w:r>
          </w:p>
        </w:tc>
        <w:tc>
          <w:tcPr>
            <w:tcW w:w="2121"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sz w:val="18"/>
              </w:rPr>
              <w:t>--</w:t>
            </w:r>
          </w:p>
        </w:tc>
      </w:tr>
      <w:tr>
        <w:trPr>
          <w:trHeight w:val="407" w:hRule="exact"/>
        </w:trPr>
        <w:tc>
          <w:tcPr>
            <w:tcW w:w="371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72,656,085.71</w:t>
            </w:r>
          </w:p>
        </w:tc>
        <w:tc>
          <w:tcPr>
            <w:tcW w:w="2121"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sz w:val="18"/>
              </w:rPr>
              <w:t>--</w:t>
            </w:r>
          </w:p>
        </w:tc>
      </w:tr>
      <w:tr>
        <w:trPr>
          <w:trHeight w:val="407" w:hRule="exact"/>
        </w:trPr>
        <w:tc>
          <w:tcPr>
            <w:tcW w:w="371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3,801,141.80</w:t>
            </w:r>
          </w:p>
        </w:tc>
        <w:tc>
          <w:tcPr>
            <w:tcW w:w="21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w:t>
            </w:r>
          </w:p>
        </w:tc>
      </w:tr>
      <w:tr>
        <w:trPr>
          <w:trHeight w:val="414" w:hRule="exact"/>
        </w:trPr>
        <w:tc>
          <w:tcPr>
            <w:tcW w:w="3718"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148,560,835.31</w:t>
            </w:r>
          </w:p>
        </w:tc>
        <w:tc>
          <w:tcPr>
            <w:tcW w:w="2121" w:type="dxa"/>
            <w:tcBorders>
              <w:top w:val="single" w:sz="6" w:space="0" w:color="000000"/>
              <w:left w:val="single" w:sz="6" w:space="0" w:color="000000"/>
              <w:bottom w:val="single" w:sz="12" w:space="0" w:color="000000"/>
              <w:right w:val="single" w:sz="12" w:space="0" w:color="000000"/>
            </w:tcBorders>
            <w:shd w:val="clear" w:color="auto" w:fill="D3D3D3"/>
          </w:tcPr>
          <w:p>
            <w:pPr>
              <w:pStyle w:val="TableParagraph"/>
              <w:spacing w:line="240" w:lineRule="auto" w:before="52"/>
              <w:ind w:left="8" w:right="0"/>
              <w:jc w:val="center"/>
              <w:rPr>
                <w:rFonts w:ascii="宋体" w:hAnsi="宋体" w:cs="宋体" w:eastAsia="宋体" w:hint="default"/>
                <w:sz w:val="18"/>
                <w:szCs w:val="18"/>
              </w:rPr>
            </w:pPr>
            <w:r>
              <w:rPr>
                <w:rFonts w:ascii="宋体"/>
                <w:sz w:val="18"/>
              </w:rPr>
              <w:t>--</w:t>
            </w:r>
          </w:p>
        </w:tc>
      </w:tr>
    </w:tbl>
    <w:p>
      <w:pPr>
        <w:pStyle w:val="BodyText"/>
        <w:spacing w:line="307" w:lineRule="auto" w:before="26"/>
        <w:ind w:right="1477"/>
        <w:jc w:val="left"/>
      </w:pPr>
      <w:r>
        <w:rPr/>
        <w:t>调整年初未分配利润明细： 1)、由于《企业会计准则》及其相关新规定进行追溯调整，影响年初未分配利润</w:t>
      </w:r>
      <w:r>
        <w:rPr>
          <w:spacing w:val="-54"/>
        </w:rPr>
        <w:t> </w:t>
      </w:r>
      <w:r>
        <w:rPr/>
        <w:t>0.00</w:t>
      </w:r>
      <w:r>
        <w:rPr>
          <w:spacing w:val="-53"/>
        </w:rPr>
        <w:t> </w:t>
      </w:r>
      <w:r>
        <w:rPr/>
        <w:t>元。</w:t>
      </w:r>
    </w:p>
    <w:p>
      <w:pPr>
        <w:pStyle w:val="BodyText"/>
        <w:spacing w:line="240" w:lineRule="auto" w:before="18"/>
        <w:ind w:right="132"/>
        <w:jc w:val="left"/>
      </w:pPr>
      <w:r>
        <w:rPr/>
        <w:t>2)、由于会计政策变更，影响年初未分配利润</w:t>
      </w:r>
      <w:r>
        <w:rPr>
          <w:spacing w:val="-54"/>
        </w:rPr>
        <w:t> </w:t>
      </w:r>
      <w:r>
        <w:rPr/>
        <w:t>0.00</w:t>
      </w:r>
      <w:r>
        <w:rPr>
          <w:spacing w:val="-53"/>
        </w:rPr>
        <w:t> </w:t>
      </w:r>
      <w:r>
        <w:rPr/>
        <w:t>元。</w:t>
      </w:r>
    </w:p>
    <w:p>
      <w:pPr>
        <w:pStyle w:val="BodyText"/>
        <w:spacing w:line="240" w:lineRule="auto" w:before="78"/>
        <w:ind w:right="132"/>
        <w:jc w:val="left"/>
      </w:pPr>
      <w:r>
        <w:rPr/>
        <w:t>3)、由于重大会计差错更正，影响年初未分配利润</w:t>
      </w:r>
      <w:r>
        <w:rPr>
          <w:spacing w:val="-55"/>
        </w:rPr>
        <w:t> </w:t>
      </w:r>
      <w:r>
        <w:rPr/>
        <w:t>0.00</w:t>
      </w:r>
      <w:r>
        <w:rPr>
          <w:spacing w:val="-54"/>
        </w:rPr>
        <w:t> </w:t>
      </w:r>
      <w:r>
        <w:rPr/>
        <w:t>元。</w:t>
      </w:r>
    </w:p>
    <w:p>
      <w:pPr>
        <w:pStyle w:val="BodyText"/>
        <w:spacing w:line="240" w:lineRule="auto" w:before="76"/>
        <w:ind w:right="132"/>
        <w:jc w:val="left"/>
      </w:pPr>
      <w:r>
        <w:rPr/>
        <w:t>4)、由于同一控制导致的合并范围变更，影响年初未分配利润</w:t>
      </w:r>
      <w:r>
        <w:rPr>
          <w:spacing w:val="-55"/>
        </w:rPr>
        <w:t> </w:t>
      </w:r>
      <w:r>
        <w:rPr/>
        <w:t>0.00</w:t>
      </w:r>
      <w:r>
        <w:rPr>
          <w:spacing w:val="-54"/>
        </w:rPr>
        <w:t> </w:t>
      </w:r>
      <w:r>
        <w:rPr/>
        <w:t>元。</w:t>
      </w:r>
    </w:p>
    <w:p>
      <w:pPr>
        <w:pStyle w:val="BodyText"/>
        <w:spacing w:line="240" w:lineRule="auto" w:before="76"/>
        <w:ind w:right="132"/>
        <w:jc w:val="left"/>
      </w:pPr>
      <w:r>
        <w:rPr/>
        <w:t>5)、其他调整合计影响年初未分配利润</w:t>
      </w:r>
      <w:r>
        <w:rPr>
          <w:spacing w:val="-55"/>
        </w:rPr>
        <w:t> </w:t>
      </w:r>
      <w:r>
        <w:rPr/>
        <w:t>0.00</w:t>
      </w:r>
      <w:r>
        <w:rPr>
          <w:spacing w:val="-54"/>
        </w:rPr>
        <w:t> </w:t>
      </w:r>
      <w:r>
        <w:rPr/>
        <w:t>元。</w:t>
      </w:r>
    </w:p>
    <w:p>
      <w:pPr>
        <w:pStyle w:val="BodyText"/>
        <w:spacing w:line="273" w:lineRule="auto" w:before="76"/>
        <w:ind w:right="132"/>
        <w:jc w:val="left"/>
      </w:pPr>
      <w:r>
        <w:rPr>
          <w:spacing w:val="-4"/>
        </w:rPr>
        <w:t>未分配利润说明：2012</w:t>
      </w:r>
      <w:r>
        <w:rPr>
          <w:spacing w:val="-52"/>
        </w:rPr>
        <w:t> </w:t>
      </w:r>
      <w:r>
        <w:rPr/>
        <w:t>年</w:t>
      </w:r>
      <w:r>
        <w:rPr>
          <w:spacing w:val="-52"/>
        </w:rPr>
        <w:t> </w:t>
      </w:r>
      <w:r>
        <w:rPr/>
        <w:t>6</w:t>
      </w:r>
      <w:r>
        <w:rPr>
          <w:spacing w:val="-51"/>
        </w:rPr>
        <w:t> </w:t>
      </w:r>
      <w:r>
        <w:rPr/>
        <w:t>月</w:t>
      </w:r>
      <w:r>
        <w:rPr>
          <w:spacing w:val="-53"/>
        </w:rPr>
        <w:t> </w:t>
      </w:r>
      <w:r>
        <w:rPr/>
        <w:t>7</w:t>
      </w:r>
      <w:r>
        <w:rPr>
          <w:spacing w:val="-51"/>
        </w:rPr>
        <w:t> </w:t>
      </w:r>
      <w:r>
        <w:rPr/>
        <w:t>日经公司</w:t>
      </w:r>
      <w:r>
        <w:rPr>
          <w:spacing w:val="-52"/>
        </w:rPr>
        <w:t> </w:t>
      </w:r>
      <w:r>
        <w:rPr/>
        <w:t>2012</w:t>
      </w:r>
      <w:r>
        <w:rPr>
          <w:spacing w:val="-52"/>
        </w:rPr>
        <w:t> </w:t>
      </w:r>
      <w:r>
        <w:rPr>
          <w:spacing w:val="-3"/>
        </w:rPr>
        <w:t>年第一次临时股东大会审议批准，公司首次公开发行人民</w:t>
      </w:r>
      <w:r>
        <w:rPr>
          <w:spacing w:val="-1"/>
        </w:rPr>
        <w:t> </w:t>
      </w:r>
      <w:r>
        <w:rPr/>
        <w:t>币普通股（A</w:t>
      </w:r>
      <w:r>
        <w:rPr>
          <w:spacing w:val="-53"/>
        </w:rPr>
        <w:t> </w:t>
      </w:r>
      <w:r>
        <w:rPr/>
        <w:t>股）股票前滚存利润，由发行后的新老股东按持股比例共享。</w:t>
      </w:r>
    </w:p>
    <w:p>
      <w:pPr>
        <w:spacing w:after="0" w:line="273" w:lineRule="auto"/>
        <w:jc w:val="left"/>
        <w:sectPr>
          <w:pgSz w:w="11910" w:h="16840"/>
          <w:pgMar w:header="0" w:footer="1003" w:top="1100" w:bottom="1200" w:left="980" w:right="980"/>
        </w:sectPr>
      </w:pPr>
    </w:p>
    <w:p>
      <w:pPr>
        <w:spacing w:line="240" w:lineRule="auto" w:before="9"/>
        <w:rPr>
          <w:rFonts w:ascii="宋体" w:hAnsi="宋体" w:cs="宋体" w:eastAsia="宋体" w:hint="default"/>
          <w:sz w:val="20"/>
          <w:szCs w:val="20"/>
        </w:rPr>
      </w:pPr>
    </w:p>
    <w:p>
      <w:pPr>
        <w:pStyle w:val="Heading4"/>
        <w:spacing w:line="240" w:lineRule="auto" w:before="35"/>
        <w:ind w:right="132"/>
        <w:jc w:val="left"/>
        <w:rPr>
          <w:b w:val="0"/>
          <w:bCs w:val="0"/>
        </w:rPr>
      </w:pPr>
      <w:r>
        <w:rPr/>
        <w:t>37、营业收入、营业成本</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32"/>
        <w:jc w:val="left"/>
        <w:rPr>
          <w:b w:val="0"/>
          <w:bCs w:val="0"/>
        </w:rPr>
      </w:pPr>
      <w:r>
        <w:rPr/>
        <w:t>（1）营业收入、营业成本</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322"/>
        <w:gridCol w:w="3058"/>
        <w:gridCol w:w="3189"/>
      </w:tblGrid>
      <w:tr>
        <w:trPr>
          <w:trHeight w:val="415" w:hRule="exact"/>
        </w:trPr>
        <w:tc>
          <w:tcPr>
            <w:tcW w:w="3322"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32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385,748,197.22</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255,632,300.51</w:t>
            </w:r>
          </w:p>
        </w:tc>
      </w:tr>
      <w:tr>
        <w:trPr>
          <w:trHeight w:val="407" w:hRule="exact"/>
        </w:trPr>
        <w:tc>
          <w:tcPr>
            <w:tcW w:w="332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150,701.00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1,775,904.00</w:t>
            </w:r>
          </w:p>
        </w:tc>
      </w:tr>
      <w:tr>
        <w:trPr>
          <w:trHeight w:val="416" w:hRule="exact"/>
        </w:trPr>
        <w:tc>
          <w:tcPr>
            <w:tcW w:w="3322"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236,996,904.05</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148,638,185.75</w:t>
            </w:r>
          </w:p>
        </w:tc>
      </w:tr>
    </w:tbl>
    <w:p>
      <w:pPr>
        <w:spacing w:line="240" w:lineRule="auto" w:before="2"/>
        <w:rPr>
          <w:rFonts w:ascii="宋体" w:hAnsi="宋体" w:cs="宋体" w:eastAsia="宋体" w:hint="default"/>
          <w:sz w:val="19"/>
          <w:szCs w:val="19"/>
        </w:rPr>
      </w:pPr>
    </w:p>
    <w:p>
      <w:pPr>
        <w:pStyle w:val="Heading4"/>
        <w:spacing w:line="240" w:lineRule="auto" w:before="35"/>
        <w:ind w:right="132"/>
        <w:jc w:val="left"/>
        <w:rPr>
          <w:b w:val="0"/>
          <w:bCs w:val="0"/>
        </w:rPr>
      </w:pPr>
      <w:r>
        <w:rPr/>
        <w:t>（2）主营业务（分行业）</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528"/>
        <w:gridCol w:w="1726"/>
        <w:gridCol w:w="1861"/>
        <w:gridCol w:w="1727"/>
        <w:gridCol w:w="1726"/>
      </w:tblGrid>
      <w:tr>
        <w:trPr>
          <w:trHeight w:val="415" w:hRule="exact"/>
        </w:trPr>
        <w:tc>
          <w:tcPr>
            <w:tcW w:w="2528" w:type="dxa"/>
            <w:vMerge w:val="restart"/>
            <w:tcBorders>
              <w:top w:val="single" w:sz="12" w:space="0" w:color="000000"/>
              <w:left w:val="single" w:sz="12" w:space="0" w:color="000000"/>
              <w:right w:val="single" w:sz="6"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7" w:type="dxa"/>
            <w:gridSpan w:val="2"/>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3" w:type="dxa"/>
            <w:gridSpan w:val="2"/>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2528" w:type="dxa"/>
            <w:vMerge/>
            <w:tcBorders>
              <w:left w:val="single" w:sz="12" w:space="0" w:color="000000"/>
              <w:bottom w:val="single" w:sz="6" w:space="0" w:color="000000"/>
              <w:right w:val="single" w:sz="6" w:space="0" w:color="000000"/>
            </w:tcBorders>
            <w:shd w:val="clear" w:color="auto" w:fill="D3D3D3"/>
          </w:tcPr>
          <w:p>
            <w:pPr/>
          </w:p>
        </w:tc>
        <w:tc>
          <w:tcPr>
            <w:tcW w:w="172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49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49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7" w:hRule="exact"/>
        </w:trPr>
        <w:tc>
          <w:tcPr>
            <w:tcW w:w="25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电力设备行业</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385,748,197.22</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sz w:val="18"/>
              </w:rPr>
              <w:t>236,996,904.05</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31" w:right="0"/>
              <w:jc w:val="left"/>
              <w:rPr>
                <w:rFonts w:ascii="宋体" w:hAnsi="宋体" w:cs="宋体" w:eastAsia="宋体" w:hint="default"/>
                <w:sz w:val="18"/>
                <w:szCs w:val="18"/>
              </w:rPr>
            </w:pPr>
            <w:r>
              <w:rPr>
                <w:rFonts w:ascii="宋体"/>
                <w:sz w:val="18"/>
              </w:rPr>
              <w:t>255,632,300.51</w:t>
            </w:r>
          </w:p>
        </w:tc>
        <w:tc>
          <w:tcPr>
            <w:tcW w:w="17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432" w:right="0"/>
              <w:jc w:val="left"/>
              <w:rPr>
                <w:rFonts w:ascii="宋体" w:hAnsi="宋体" w:cs="宋体" w:eastAsia="宋体" w:hint="default"/>
                <w:sz w:val="18"/>
                <w:szCs w:val="18"/>
              </w:rPr>
            </w:pPr>
            <w:r>
              <w:rPr>
                <w:rFonts w:ascii="宋体"/>
                <w:sz w:val="18"/>
              </w:rPr>
              <w:t>148,593,648.21</w:t>
            </w:r>
          </w:p>
        </w:tc>
      </w:tr>
      <w:tr>
        <w:trPr>
          <w:trHeight w:val="415" w:hRule="exact"/>
        </w:trPr>
        <w:tc>
          <w:tcPr>
            <w:tcW w:w="2528"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385,748,197.22</w:t>
            </w:r>
          </w:p>
        </w:tc>
        <w:tc>
          <w:tcPr>
            <w:tcW w:w="18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566" w:right="0"/>
              <w:jc w:val="left"/>
              <w:rPr>
                <w:rFonts w:ascii="宋体" w:hAnsi="宋体" w:cs="宋体" w:eastAsia="宋体" w:hint="default"/>
                <w:sz w:val="18"/>
                <w:szCs w:val="18"/>
              </w:rPr>
            </w:pPr>
            <w:r>
              <w:rPr>
                <w:rFonts w:ascii="宋体"/>
                <w:sz w:val="18"/>
              </w:rPr>
              <w:t>236,996,904.05</w:t>
            </w:r>
          </w:p>
        </w:tc>
        <w:tc>
          <w:tcPr>
            <w:tcW w:w="17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431" w:right="0"/>
              <w:jc w:val="left"/>
              <w:rPr>
                <w:rFonts w:ascii="宋体" w:hAnsi="宋体" w:cs="宋体" w:eastAsia="宋体" w:hint="default"/>
                <w:sz w:val="18"/>
                <w:szCs w:val="18"/>
              </w:rPr>
            </w:pPr>
            <w:r>
              <w:rPr>
                <w:rFonts w:ascii="宋体"/>
                <w:sz w:val="18"/>
              </w:rPr>
              <w:t>255,632,300.51</w:t>
            </w:r>
          </w:p>
        </w:tc>
        <w:tc>
          <w:tcPr>
            <w:tcW w:w="172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432" w:right="0"/>
              <w:jc w:val="left"/>
              <w:rPr>
                <w:rFonts w:ascii="宋体" w:hAnsi="宋体" w:cs="宋体" w:eastAsia="宋体" w:hint="default"/>
                <w:sz w:val="18"/>
                <w:szCs w:val="18"/>
              </w:rPr>
            </w:pPr>
            <w:r>
              <w:rPr>
                <w:rFonts w:ascii="宋体"/>
                <w:sz w:val="18"/>
              </w:rPr>
              <w:t>148,593,648.21</w:t>
            </w:r>
          </w:p>
        </w:tc>
      </w:tr>
    </w:tbl>
    <w:p>
      <w:pPr>
        <w:spacing w:line="240" w:lineRule="auto" w:before="2"/>
        <w:rPr>
          <w:rFonts w:ascii="宋体" w:hAnsi="宋体" w:cs="宋体" w:eastAsia="宋体" w:hint="default"/>
          <w:sz w:val="19"/>
          <w:szCs w:val="19"/>
        </w:rPr>
      </w:pPr>
    </w:p>
    <w:p>
      <w:pPr>
        <w:pStyle w:val="Heading4"/>
        <w:spacing w:line="240" w:lineRule="auto" w:before="35"/>
        <w:ind w:right="132"/>
        <w:jc w:val="left"/>
        <w:rPr>
          <w:b w:val="0"/>
          <w:bCs w:val="0"/>
        </w:rPr>
      </w:pPr>
      <w:r>
        <w:rPr/>
        <w:t>（3）主营业务（分产品）</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528"/>
        <w:gridCol w:w="1726"/>
        <w:gridCol w:w="1861"/>
        <w:gridCol w:w="1727"/>
        <w:gridCol w:w="1726"/>
      </w:tblGrid>
      <w:tr>
        <w:trPr>
          <w:trHeight w:val="414" w:hRule="exact"/>
        </w:trPr>
        <w:tc>
          <w:tcPr>
            <w:tcW w:w="2528" w:type="dxa"/>
            <w:vMerge w:val="restart"/>
            <w:tcBorders>
              <w:top w:val="single" w:sz="12" w:space="0" w:color="000000"/>
              <w:left w:val="single" w:sz="12" w:space="0" w:color="000000"/>
              <w:right w:val="single" w:sz="6" w:space="0" w:color="000000"/>
            </w:tcBorders>
            <w:shd w:val="clear" w:color="auto" w:fill="D3D3D3"/>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7" w:type="dxa"/>
            <w:gridSpan w:val="2"/>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3" w:type="dxa"/>
            <w:gridSpan w:val="2"/>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2528" w:type="dxa"/>
            <w:vMerge/>
            <w:tcBorders>
              <w:left w:val="single" w:sz="12" w:space="0" w:color="000000"/>
              <w:bottom w:val="single" w:sz="6" w:space="0" w:color="000000"/>
              <w:right w:val="single" w:sz="6" w:space="0" w:color="000000"/>
            </w:tcBorders>
            <w:shd w:val="clear" w:color="auto" w:fill="D3D3D3"/>
          </w:tcPr>
          <w:p>
            <w:pPr/>
          </w:p>
        </w:tc>
        <w:tc>
          <w:tcPr>
            <w:tcW w:w="172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49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49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2"/>
              <w:ind w:left="49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8" w:hRule="exact"/>
        </w:trPr>
        <w:tc>
          <w:tcPr>
            <w:tcW w:w="25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低压集抄系统</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283,249,552.50</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178,197,940.87</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205,739,807.28</w:t>
            </w:r>
          </w:p>
        </w:tc>
        <w:tc>
          <w:tcPr>
            <w:tcW w:w="17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118,854,063.63</w:t>
            </w:r>
          </w:p>
        </w:tc>
      </w:tr>
      <w:tr>
        <w:trPr>
          <w:trHeight w:val="407" w:hRule="exact"/>
        </w:trPr>
        <w:tc>
          <w:tcPr>
            <w:tcW w:w="25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手持抄表终端</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1,184,589.77</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576,760.13</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3,512,944.50</w:t>
            </w:r>
          </w:p>
        </w:tc>
        <w:tc>
          <w:tcPr>
            <w:tcW w:w="17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1,057,135.85</w:t>
            </w:r>
          </w:p>
        </w:tc>
      </w:tr>
      <w:tr>
        <w:trPr>
          <w:trHeight w:val="407" w:hRule="exact"/>
        </w:trPr>
        <w:tc>
          <w:tcPr>
            <w:tcW w:w="25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专变采集终端</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76,953,796.42</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44,922,301.43</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28,937,886.30</w:t>
            </w:r>
          </w:p>
        </w:tc>
        <w:tc>
          <w:tcPr>
            <w:tcW w:w="17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19,902,683.07</w:t>
            </w:r>
          </w:p>
        </w:tc>
      </w:tr>
      <w:tr>
        <w:trPr>
          <w:trHeight w:val="407" w:hRule="exact"/>
        </w:trPr>
        <w:tc>
          <w:tcPr>
            <w:tcW w:w="25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24,360,258.53</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13,299,901.62</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17,441,662.43</w:t>
            </w:r>
          </w:p>
        </w:tc>
        <w:tc>
          <w:tcPr>
            <w:tcW w:w="17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8,779,765.66</w:t>
            </w:r>
          </w:p>
        </w:tc>
      </w:tr>
      <w:tr>
        <w:trPr>
          <w:trHeight w:val="415" w:hRule="exact"/>
        </w:trPr>
        <w:tc>
          <w:tcPr>
            <w:tcW w:w="2528"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385,748,197.22</w:t>
            </w:r>
          </w:p>
        </w:tc>
        <w:tc>
          <w:tcPr>
            <w:tcW w:w="18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236,996,904.05</w:t>
            </w:r>
          </w:p>
        </w:tc>
        <w:tc>
          <w:tcPr>
            <w:tcW w:w="17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255,632,300.51</w:t>
            </w:r>
          </w:p>
        </w:tc>
        <w:tc>
          <w:tcPr>
            <w:tcW w:w="172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148,593,648.21</w:t>
            </w:r>
          </w:p>
        </w:tc>
      </w:tr>
    </w:tbl>
    <w:p>
      <w:pPr>
        <w:spacing w:line="240" w:lineRule="auto" w:before="2"/>
        <w:rPr>
          <w:rFonts w:ascii="宋体" w:hAnsi="宋体" w:cs="宋体" w:eastAsia="宋体" w:hint="default"/>
          <w:sz w:val="19"/>
          <w:szCs w:val="19"/>
        </w:rPr>
      </w:pPr>
    </w:p>
    <w:p>
      <w:pPr>
        <w:pStyle w:val="Heading4"/>
        <w:spacing w:line="240" w:lineRule="auto" w:before="35"/>
        <w:ind w:right="132"/>
        <w:jc w:val="left"/>
        <w:rPr>
          <w:b w:val="0"/>
          <w:bCs w:val="0"/>
        </w:rPr>
      </w:pPr>
      <w:r>
        <w:rPr/>
        <w:t>（4）主营业务（分地区）</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528"/>
        <w:gridCol w:w="1726"/>
        <w:gridCol w:w="1861"/>
        <w:gridCol w:w="1727"/>
        <w:gridCol w:w="1726"/>
      </w:tblGrid>
      <w:tr>
        <w:trPr>
          <w:trHeight w:val="414" w:hRule="exact"/>
        </w:trPr>
        <w:tc>
          <w:tcPr>
            <w:tcW w:w="2528" w:type="dxa"/>
            <w:vMerge w:val="restart"/>
            <w:tcBorders>
              <w:top w:val="single" w:sz="12" w:space="0" w:color="000000"/>
              <w:left w:val="single" w:sz="12" w:space="0" w:color="000000"/>
              <w:right w:val="single" w:sz="6" w:space="0" w:color="000000"/>
            </w:tcBorders>
            <w:shd w:val="clear" w:color="auto" w:fill="D3D3D3"/>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7" w:type="dxa"/>
            <w:gridSpan w:val="2"/>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3" w:type="dxa"/>
            <w:gridSpan w:val="2"/>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2528" w:type="dxa"/>
            <w:vMerge/>
            <w:tcBorders>
              <w:left w:val="single" w:sz="12" w:space="0" w:color="000000"/>
              <w:bottom w:val="single" w:sz="6" w:space="0" w:color="000000"/>
              <w:right w:val="single" w:sz="6" w:space="0" w:color="000000"/>
            </w:tcBorders>
            <w:shd w:val="clear" w:color="auto" w:fill="D3D3D3"/>
          </w:tcPr>
          <w:p>
            <w:pPr/>
          </w:p>
        </w:tc>
        <w:tc>
          <w:tcPr>
            <w:tcW w:w="172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49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49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2"/>
              <w:ind w:left="49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7" w:hRule="exact"/>
        </w:trPr>
        <w:tc>
          <w:tcPr>
            <w:tcW w:w="25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362,431,323.85</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219,893,700.19</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253,790,309.06</w:t>
            </w:r>
          </w:p>
        </w:tc>
        <w:tc>
          <w:tcPr>
            <w:tcW w:w="17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147,467,298.06</w:t>
            </w:r>
          </w:p>
        </w:tc>
      </w:tr>
      <w:tr>
        <w:trPr>
          <w:trHeight w:val="407" w:hRule="exact"/>
        </w:trPr>
        <w:tc>
          <w:tcPr>
            <w:tcW w:w="25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332,324.93</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173,577.72</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52,948.72</w:t>
            </w:r>
          </w:p>
        </w:tc>
        <w:tc>
          <w:tcPr>
            <w:tcW w:w="17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31,546.36</w:t>
            </w:r>
          </w:p>
        </w:tc>
      </w:tr>
      <w:tr>
        <w:trPr>
          <w:trHeight w:val="415" w:hRule="exact"/>
        </w:trPr>
        <w:tc>
          <w:tcPr>
            <w:tcW w:w="252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7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3,299,745.21</w:t>
            </w:r>
          </w:p>
        </w:tc>
        <w:tc>
          <w:tcPr>
            <w:tcW w:w="18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1,889,361.05</w:t>
            </w:r>
          </w:p>
        </w:tc>
        <w:tc>
          <w:tcPr>
            <w:tcW w:w="17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372,034.18</w:t>
            </w:r>
          </w:p>
        </w:tc>
        <w:tc>
          <w:tcPr>
            <w:tcW w:w="172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297,619.03</w:t>
            </w:r>
          </w:p>
        </w:tc>
      </w:tr>
    </w:tbl>
    <w:p>
      <w:pPr>
        <w:spacing w:after="0" w:line="240" w:lineRule="auto"/>
        <w:jc w:val="right"/>
        <w:rPr>
          <w:rFonts w:ascii="宋体" w:hAnsi="宋体" w:cs="宋体" w:eastAsia="宋体" w:hint="default"/>
          <w:sz w:val="18"/>
          <w:szCs w:val="18"/>
        </w:rPr>
        <w:sectPr>
          <w:pgSz w:w="11910" w:h="16840"/>
          <w:pgMar w:header="0" w:footer="1003" w:top="1100" w:bottom="1200" w:left="980" w:right="98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2528"/>
        <w:gridCol w:w="1726"/>
        <w:gridCol w:w="1861"/>
        <w:gridCol w:w="1727"/>
        <w:gridCol w:w="1726"/>
      </w:tblGrid>
      <w:tr>
        <w:trPr>
          <w:trHeight w:val="415" w:hRule="exact"/>
        </w:trPr>
        <w:tc>
          <w:tcPr>
            <w:tcW w:w="252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7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13,263,941.89</w:t>
            </w:r>
          </w:p>
        </w:tc>
        <w:tc>
          <w:tcPr>
            <w:tcW w:w="186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11,061,766.13</w:t>
            </w:r>
          </w:p>
        </w:tc>
        <w:tc>
          <w:tcPr>
            <w:tcW w:w="17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6,538.47</w:t>
            </w:r>
          </w:p>
        </w:tc>
        <w:tc>
          <w:tcPr>
            <w:tcW w:w="172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3,881.50</w:t>
            </w:r>
          </w:p>
        </w:tc>
      </w:tr>
      <w:tr>
        <w:trPr>
          <w:trHeight w:val="407" w:hRule="exact"/>
        </w:trPr>
        <w:tc>
          <w:tcPr>
            <w:tcW w:w="25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4,305,478.84</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2,546,263.01</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1,410,470.08</w:t>
            </w:r>
          </w:p>
        </w:tc>
        <w:tc>
          <w:tcPr>
            <w:tcW w:w="17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793,303.26</w:t>
            </w:r>
          </w:p>
        </w:tc>
      </w:tr>
      <w:tr>
        <w:trPr>
          <w:trHeight w:val="407" w:hRule="exact"/>
        </w:trPr>
        <w:tc>
          <w:tcPr>
            <w:tcW w:w="25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2,115,382.50</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1,432,235.95</w:t>
            </w:r>
          </w:p>
        </w:tc>
        <w:tc>
          <w:tcPr>
            <w:tcW w:w="1727"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2528"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385,748,197.22</w:t>
            </w:r>
          </w:p>
        </w:tc>
        <w:tc>
          <w:tcPr>
            <w:tcW w:w="18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236,996,904.05</w:t>
            </w:r>
          </w:p>
        </w:tc>
        <w:tc>
          <w:tcPr>
            <w:tcW w:w="17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255,632,300.51</w:t>
            </w:r>
          </w:p>
        </w:tc>
        <w:tc>
          <w:tcPr>
            <w:tcW w:w="172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148,593,648.21</w:t>
            </w:r>
          </w:p>
        </w:tc>
      </w:tr>
    </w:tbl>
    <w:p>
      <w:pPr>
        <w:spacing w:line="240" w:lineRule="auto" w:before="2"/>
        <w:rPr>
          <w:rFonts w:ascii="宋体" w:hAnsi="宋体" w:cs="宋体" w:eastAsia="宋体" w:hint="default"/>
          <w:sz w:val="19"/>
          <w:szCs w:val="19"/>
        </w:rPr>
      </w:pPr>
    </w:p>
    <w:p>
      <w:pPr>
        <w:pStyle w:val="Heading4"/>
        <w:spacing w:line="240" w:lineRule="auto" w:before="35"/>
        <w:ind w:right="132"/>
        <w:jc w:val="left"/>
        <w:rPr>
          <w:b w:val="0"/>
          <w:bCs w:val="0"/>
        </w:rPr>
      </w:pPr>
      <w:r>
        <w:rPr/>
        <w:t>（5）公司前五名客户的营业收入情况</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119"/>
        <w:gridCol w:w="3260"/>
        <w:gridCol w:w="3189"/>
      </w:tblGrid>
      <w:tr>
        <w:trPr>
          <w:trHeight w:val="413" w:hRule="exact"/>
        </w:trPr>
        <w:tc>
          <w:tcPr>
            <w:tcW w:w="3119"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326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3189"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p>
        </w:tc>
      </w:tr>
      <w:tr>
        <w:trPr>
          <w:trHeight w:val="407"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江苏省电力公司物资采购与配送中心</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173,708,437.95</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45.01%</w:t>
            </w:r>
          </w:p>
        </w:tc>
      </w:tr>
      <w:tr>
        <w:trPr>
          <w:trHeight w:val="408"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浙江浙电物资经贸有限公司</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71,671,357.40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18.57%</w:t>
            </w:r>
          </w:p>
        </w:tc>
      </w:tr>
      <w:tr>
        <w:trPr>
          <w:trHeight w:val="407"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山东电力集团公司物资供应公司</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26,415,584.80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6.85%</w:t>
            </w:r>
          </w:p>
        </w:tc>
      </w:tr>
      <w:tr>
        <w:trPr>
          <w:trHeight w:val="407"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浙江省电力物资供应公司</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24,440,170.97</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6.33%</w:t>
            </w:r>
          </w:p>
        </w:tc>
      </w:tr>
      <w:tr>
        <w:trPr>
          <w:trHeight w:val="407"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广州从兴电子开发有限公司</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13,112,446.16</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3.4%</w:t>
            </w:r>
          </w:p>
        </w:tc>
      </w:tr>
      <w:tr>
        <w:trPr>
          <w:trHeight w:val="415" w:hRule="exact"/>
        </w:trPr>
        <w:tc>
          <w:tcPr>
            <w:tcW w:w="3119"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309,347,997.28</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80.16%</w:t>
            </w:r>
          </w:p>
        </w:tc>
      </w:tr>
    </w:tbl>
    <w:p>
      <w:pPr>
        <w:pStyle w:val="BodyText"/>
        <w:spacing w:line="240" w:lineRule="auto" w:before="26"/>
        <w:ind w:right="132"/>
        <w:jc w:val="left"/>
      </w:pPr>
      <w:r>
        <w:rPr/>
        <w:t>营业收入的说明:</w:t>
      </w:r>
    </w:p>
    <w:p>
      <w:pPr>
        <w:pStyle w:val="BodyText"/>
        <w:spacing w:line="273" w:lineRule="auto" w:before="76"/>
        <w:ind w:right="245" w:firstLine="420"/>
        <w:jc w:val="both"/>
      </w:pPr>
      <w:r>
        <w:rPr/>
        <w:t>2012</w:t>
      </w:r>
      <w:r>
        <w:rPr>
          <w:spacing w:val="-57"/>
        </w:rPr>
        <w:t> </w:t>
      </w:r>
      <w:r>
        <w:rPr/>
        <w:t>年度营业收入较</w:t>
      </w:r>
      <w:r>
        <w:rPr>
          <w:spacing w:val="-58"/>
        </w:rPr>
        <w:t> </w:t>
      </w:r>
      <w:r>
        <w:rPr/>
        <w:t>2011</w:t>
      </w:r>
      <w:r>
        <w:rPr>
          <w:spacing w:val="-57"/>
        </w:rPr>
        <w:t> </w:t>
      </w:r>
      <w:r>
        <w:rPr/>
        <w:t>年度增加了</w:t>
      </w:r>
      <w:r>
        <w:rPr>
          <w:spacing w:val="-58"/>
        </w:rPr>
        <w:t> </w:t>
      </w:r>
      <w:r>
        <w:rPr/>
        <w:t>12,849.07</w:t>
      </w:r>
      <w:r>
        <w:rPr>
          <w:spacing w:val="-57"/>
        </w:rPr>
        <w:t> </w:t>
      </w:r>
      <w:r>
        <w:rPr>
          <w:spacing w:val="-3"/>
        </w:rPr>
        <w:t>万元，增长了</w:t>
      </w:r>
      <w:r>
        <w:rPr>
          <w:spacing w:val="-58"/>
        </w:rPr>
        <w:t> </w:t>
      </w:r>
      <w:r>
        <w:rPr/>
        <w:t>49.92%，主要是</w:t>
      </w:r>
      <w:r>
        <w:rPr>
          <w:spacing w:val="-58"/>
        </w:rPr>
        <w:t> </w:t>
      </w:r>
      <w:r>
        <w:rPr/>
        <w:t>2012</w:t>
      </w:r>
      <w:r>
        <w:rPr>
          <w:spacing w:val="-58"/>
        </w:rPr>
        <w:t> </w:t>
      </w:r>
      <w:r>
        <w:rPr/>
        <w:t>年是智能用电</w:t>
      </w:r>
      <w:r>
        <w:rPr>
          <w:spacing w:val="-1"/>
        </w:rPr>
        <w:t> </w:t>
      </w:r>
      <w:r>
        <w:rPr/>
        <w:t>信息采集系统全面建设的第二年，市场容量迅速扩大，公司在江苏、浙江、山东、重庆、吉林等地区相</w:t>
      </w:r>
      <w:r>
        <w:rPr>
          <w:spacing w:val="-28"/>
        </w:rPr>
        <w:t> </w:t>
      </w:r>
      <w:r>
        <w:rPr>
          <w:spacing w:val="-28"/>
        </w:rPr>
      </w:r>
      <w:r>
        <w:rPr/>
        <w:t>继中标，公司营业收入大幅度增加。</w:t>
      </w:r>
    </w:p>
    <w:p>
      <w:pPr>
        <w:spacing w:line="240" w:lineRule="auto" w:before="6"/>
        <w:rPr>
          <w:rFonts w:ascii="宋体" w:hAnsi="宋体" w:cs="宋体" w:eastAsia="宋体" w:hint="default"/>
          <w:sz w:val="23"/>
          <w:szCs w:val="23"/>
        </w:rPr>
      </w:pPr>
    </w:p>
    <w:p>
      <w:pPr>
        <w:pStyle w:val="Heading4"/>
        <w:spacing w:line="240" w:lineRule="auto"/>
        <w:ind w:right="132"/>
        <w:jc w:val="left"/>
        <w:rPr>
          <w:b w:val="0"/>
          <w:bCs w:val="0"/>
        </w:rPr>
      </w:pPr>
      <w:r>
        <w:rPr/>
        <w:t>38、营业税金及附加</w:t>
      </w:r>
      <w:r>
        <w:rPr>
          <w:b w:val="0"/>
          <w:bCs w:val="0"/>
        </w:rPr>
      </w:r>
    </w:p>
    <w:p>
      <w:pPr>
        <w:spacing w:line="240" w:lineRule="auto" w:before="12"/>
        <w:rPr>
          <w:rFonts w:ascii="宋体" w:hAnsi="宋体" w:cs="宋体" w:eastAsia="宋体" w:hint="default"/>
          <w:b/>
          <w:bCs/>
          <w:sz w:val="27"/>
          <w:szCs w:val="27"/>
        </w:rPr>
      </w:pPr>
    </w:p>
    <w:p>
      <w:pPr>
        <w:spacing w:before="0"/>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794"/>
        <w:gridCol w:w="1992"/>
        <w:gridCol w:w="1861"/>
        <w:gridCol w:w="2920"/>
      </w:tblGrid>
      <w:tr>
        <w:trPr>
          <w:trHeight w:val="415" w:hRule="exact"/>
        </w:trPr>
        <w:tc>
          <w:tcPr>
            <w:tcW w:w="2794"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1"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47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0"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7" w:hRule="exact"/>
        </w:trPr>
        <w:tc>
          <w:tcPr>
            <w:tcW w:w="2794"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199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6" w:space="0" w:color="000000"/>
            </w:tcBorders>
          </w:tcPr>
          <w:p>
            <w:pPr/>
          </w:p>
        </w:tc>
        <w:tc>
          <w:tcPr>
            <w:tcW w:w="29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7" w:hRule="exact"/>
        </w:trPr>
        <w:tc>
          <w:tcPr>
            <w:tcW w:w="2794"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978,705.51</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853,206.81</w:t>
            </w:r>
          </w:p>
        </w:tc>
        <w:tc>
          <w:tcPr>
            <w:tcW w:w="29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营业收入的</w:t>
            </w:r>
            <w:r>
              <w:rPr>
                <w:rFonts w:ascii="宋体" w:hAnsi="宋体" w:cs="宋体" w:eastAsia="宋体" w:hint="default"/>
                <w:spacing w:val="-46"/>
                <w:sz w:val="18"/>
                <w:szCs w:val="18"/>
              </w:rPr>
              <w:t> </w:t>
            </w:r>
            <w:r>
              <w:rPr>
                <w:rFonts w:ascii="宋体" w:hAnsi="宋体" w:cs="宋体" w:eastAsia="宋体" w:hint="default"/>
                <w:sz w:val="18"/>
                <w:szCs w:val="18"/>
              </w:rPr>
              <w:t>3%、5%</w:t>
            </w:r>
          </w:p>
        </w:tc>
      </w:tr>
      <w:tr>
        <w:trPr>
          <w:trHeight w:val="407" w:hRule="exact"/>
        </w:trPr>
        <w:tc>
          <w:tcPr>
            <w:tcW w:w="2794"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1,512,770.33</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1,669,944.00</w:t>
            </w:r>
          </w:p>
        </w:tc>
        <w:tc>
          <w:tcPr>
            <w:tcW w:w="29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应缴营业税及增值税的</w:t>
            </w:r>
            <w:r>
              <w:rPr>
                <w:rFonts w:ascii="宋体" w:hAnsi="宋体" w:cs="宋体" w:eastAsia="宋体" w:hint="default"/>
                <w:spacing w:val="-46"/>
                <w:sz w:val="18"/>
                <w:szCs w:val="18"/>
              </w:rPr>
              <w:t> </w:t>
            </w:r>
            <w:r>
              <w:rPr>
                <w:rFonts w:ascii="宋体" w:hAnsi="宋体" w:cs="宋体" w:eastAsia="宋体" w:hint="default"/>
                <w:sz w:val="18"/>
                <w:szCs w:val="18"/>
              </w:rPr>
              <w:t>5%、7%</w:t>
            </w:r>
          </w:p>
        </w:tc>
      </w:tr>
      <w:tr>
        <w:trPr>
          <w:trHeight w:val="408" w:hRule="exact"/>
        </w:trPr>
        <w:tc>
          <w:tcPr>
            <w:tcW w:w="2794"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1,083,055.84</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1,194,490.01</w:t>
            </w:r>
          </w:p>
        </w:tc>
        <w:tc>
          <w:tcPr>
            <w:tcW w:w="29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应缴营业税及增值税的</w:t>
            </w:r>
            <w:r>
              <w:rPr>
                <w:rFonts w:ascii="宋体" w:hAnsi="宋体" w:cs="宋体" w:eastAsia="宋体" w:hint="default"/>
                <w:spacing w:val="-46"/>
                <w:sz w:val="18"/>
                <w:szCs w:val="18"/>
              </w:rPr>
              <w:t> </w:t>
            </w:r>
            <w:r>
              <w:rPr>
                <w:rFonts w:ascii="宋体" w:hAnsi="宋体" w:cs="宋体" w:eastAsia="宋体" w:hint="default"/>
                <w:sz w:val="18"/>
                <w:szCs w:val="18"/>
              </w:rPr>
              <w:t>4%、5%</w:t>
            </w:r>
          </w:p>
        </w:tc>
      </w:tr>
      <w:tr>
        <w:trPr>
          <w:trHeight w:val="407" w:hRule="exact"/>
        </w:trPr>
        <w:tc>
          <w:tcPr>
            <w:tcW w:w="2794"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199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6" w:space="0" w:color="000000"/>
            </w:tcBorders>
          </w:tcPr>
          <w:p>
            <w:pPr/>
          </w:p>
        </w:tc>
        <w:tc>
          <w:tcPr>
            <w:tcW w:w="29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15" w:hRule="exact"/>
        </w:trPr>
        <w:tc>
          <w:tcPr>
            <w:tcW w:w="2794"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3,574,531.68</w:t>
            </w:r>
          </w:p>
        </w:tc>
        <w:tc>
          <w:tcPr>
            <w:tcW w:w="18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3,717,640.82</w:t>
            </w:r>
          </w:p>
        </w:tc>
        <w:tc>
          <w:tcPr>
            <w:tcW w:w="2920" w:type="dxa"/>
            <w:tcBorders>
              <w:top w:val="single" w:sz="6" w:space="0" w:color="000000"/>
              <w:left w:val="single" w:sz="6" w:space="0" w:color="000000"/>
              <w:bottom w:val="single" w:sz="12" w:space="0" w:color="000000"/>
              <w:right w:val="single" w:sz="12"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sz w:val="18"/>
              </w:rPr>
              <w:t>--</w:t>
            </w:r>
          </w:p>
        </w:tc>
      </w:tr>
    </w:tbl>
    <w:p>
      <w:pPr>
        <w:spacing w:line="535" w:lineRule="auto" w:before="26"/>
        <w:ind w:left="154" w:right="7670" w:firstLine="0"/>
        <w:jc w:val="left"/>
        <w:rPr>
          <w:rFonts w:ascii="宋体" w:hAnsi="宋体" w:cs="宋体" w:eastAsia="宋体" w:hint="default"/>
          <w:sz w:val="21"/>
          <w:szCs w:val="21"/>
        </w:rPr>
      </w:pPr>
      <w:r>
        <w:rPr>
          <w:rFonts w:ascii="宋体" w:hAnsi="宋体" w:cs="宋体" w:eastAsia="宋体" w:hint="default"/>
          <w:sz w:val="21"/>
          <w:szCs w:val="21"/>
        </w:rPr>
        <w:t>营业税金及附加的说明 </w:t>
      </w:r>
      <w:r>
        <w:rPr>
          <w:rFonts w:ascii="宋体" w:hAnsi="宋体" w:cs="宋体" w:eastAsia="宋体" w:hint="default"/>
          <w:b/>
          <w:bCs/>
          <w:sz w:val="21"/>
          <w:szCs w:val="21"/>
        </w:rPr>
        <w:t>39、销售费用</w:t>
      </w:r>
      <w:r>
        <w:rPr>
          <w:rFonts w:ascii="宋体" w:hAnsi="宋体" w:cs="宋体" w:eastAsia="宋体" w:hint="default"/>
          <w:sz w:val="21"/>
          <w:szCs w:val="21"/>
        </w:rPr>
      </w:r>
    </w:p>
    <w:p>
      <w:pPr>
        <w:spacing w:before="105"/>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190"/>
        <w:gridCol w:w="3190"/>
        <w:gridCol w:w="3189"/>
      </w:tblGrid>
      <w:tr>
        <w:trPr>
          <w:trHeight w:val="413" w:hRule="exact"/>
        </w:trPr>
        <w:tc>
          <w:tcPr>
            <w:tcW w:w="3190"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6" w:hRule="exact"/>
        </w:trPr>
        <w:tc>
          <w:tcPr>
            <w:tcW w:w="319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074" w:right="0"/>
              <w:jc w:val="left"/>
              <w:rPr>
                <w:rFonts w:ascii="宋体" w:hAnsi="宋体" w:cs="宋体" w:eastAsia="宋体" w:hint="default"/>
                <w:sz w:val="18"/>
                <w:szCs w:val="18"/>
              </w:rPr>
            </w:pPr>
            <w:r>
              <w:rPr>
                <w:rFonts w:ascii="宋体"/>
                <w:sz w:val="18"/>
              </w:rPr>
              <w:t>1,692,816.40</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2074" w:right="0"/>
              <w:jc w:val="left"/>
              <w:rPr>
                <w:rFonts w:ascii="宋体" w:hAnsi="宋体" w:cs="宋体" w:eastAsia="宋体" w:hint="default"/>
                <w:sz w:val="18"/>
                <w:szCs w:val="18"/>
              </w:rPr>
            </w:pPr>
            <w:r>
              <w:rPr>
                <w:rFonts w:ascii="宋体"/>
                <w:sz w:val="18"/>
              </w:rPr>
              <w:t>2,071,490.04</w:t>
            </w:r>
          </w:p>
        </w:tc>
      </w:tr>
    </w:tbl>
    <w:p>
      <w:pPr>
        <w:spacing w:after="0" w:line="240" w:lineRule="auto"/>
        <w:jc w:val="left"/>
        <w:rPr>
          <w:rFonts w:ascii="宋体" w:hAnsi="宋体" w:cs="宋体" w:eastAsia="宋体" w:hint="default"/>
          <w:sz w:val="18"/>
          <w:szCs w:val="18"/>
        </w:rPr>
        <w:sectPr>
          <w:pgSz w:w="11910" w:h="16840"/>
          <w:pgMar w:header="0" w:footer="1003" w:top="1100" w:bottom="1200" w:left="980" w:right="98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3190"/>
        <w:gridCol w:w="3190"/>
        <w:gridCol w:w="3189"/>
      </w:tblGrid>
      <w:tr>
        <w:trPr>
          <w:trHeight w:val="415" w:hRule="exact"/>
        </w:trPr>
        <w:tc>
          <w:tcPr>
            <w:tcW w:w="319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151,639.50</w:t>
            </w:r>
          </w:p>
        </w:tc>
        <w:tc>
          <w:tcPr>
            <w:tcW w:w="318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108,407.50</w:t>
            </w:r>
          </w:p>
        </w:tc>
      </w:tr>
      <w:tr>
        <w:trPr>
          <w:trHeight w:val="407" w:hRule="exact"/>
        </w:trPr>
        <w:tc>
          <w:tcPr>
            <w:tcW w:w="31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166,560.75</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511,287.83</w:t>
            </w:r>
          </w:p>
        </w:tc>
      </w:tr>
      <w:tr>
        <w:trPr>
          <w:trHeight w:val="407" w:hRule="exact"/>
        </w:trPr>
        <w:tc>
          <w:tcPr>
            <w:tcW w:w="31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27,324.99</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64,940.83</w:t>
            </w:r>
          </w:p>
        </w:tc>
      </w:tr>
      <w:tr>
        <w:trPr>
          <w:trHeight w:val="407" w:hRule="exact"/>
        </w:trPr>
        <w:tc>
          <w:tcPr>
            <w:tcW w:w="31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1,559,943.40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1,915,267.18</w:t>
            </w:r>
          </w:p>
        </w:tc>
      </w:tr>
      <w:tr>
        <w:trPr>
          <w:trHeight w:val="407" w:hRule="exact"/>
        </w:trPr>
        <w:tc>
          <w:tcPr>
            <w:tcW w:w="31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119,745.80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127,128.46</w:t>
            </w:r>
          </w:p>
        </w:tc>
      </w:tr>
      <w:tr>
        <w:trPr>
          <w:trHeight w:val="407" w:hRule="exact"/>
        </w:trPr>
        <w:tc>
          <w:tcPr>
            <w:tcW w:w="31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505,572.38</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615,899.98</w:t>
            </w:r>
          </w:p>
        </w:tc>
      </w:tr>
      <w:tr>
        <w:trPr>
          <w:trHeight w:val="408" w:hRule="exact"/>
        </w:trPr>
        <w:tc>
          <w:tcPr>
            <w:tcW w:w="31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零星耗材</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567,394.30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39,994.66</w:t>
            </w:r>
          </w:p>
        </w:tc>
      </w:tr>
      <w:tr>
        <w:trPr>
          <w:trHeight w:val="407" w:hRule="exact"/>
        </w:trPr>
        <w:tc>
          <w:tcPr>
            <w:tcW w:w="31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729,863.21</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125,399.08</w:t>
            </w:r>
          </w:p>
        </w:tc>
      </w:tr>
      <w:tr>
        <w:trPr>
          <w:trHeight w:val="407" w:hRule="exact"/>
        </w:trPr>
        <w:tc>
          <w:tcPr>
            <w:tcW w:w="31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2,114,138.87</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822,242.15</w:t>
            </w:r>
          </w:p>
        </w:tc>
      </w:tr>
      <w:tr>
        <w:trPr>
          <w:trHeight w:val="407" w:hRule="exact"/>
        </w:trPr>
        <w:tc>
          <w:tcPr>
            <w:tcW w:w="31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咨询、中标服务费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6,535,445.80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5,728,366.00</w:t>
            </w:r>
          </w:p>
        </w:tc>
      </w:tr>
      <w:tr>
        <w:trPr>
          <w:trHeight w:val="407" w:hRule="exact"/>
        </w:trPr>
        <w:tc>
          <w:tcPr>
            <w:tcW w:w="31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279,484.55</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68,128.69</w:t>
            </w:r>
          </w:p>
        </w:tc>
      </w:tr>
      <w:tr>
        <w:trPr>
          <w:trHeight w:val="415" w:hRule="exact"/>
        </w:trPr>
        <w:tc>
          <w:tcPr>
            <w:tcW w:w="3190"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14,449,929.95</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12,198,552.40</w:t>
            </w:r>
          </w:p>
        </w:tc>
      </w:tr>
    </w:tbl>
    <w:p>
      <w:pPr>
        <w:spacing w:line="240" w:lineRule="auto" w:before="2"/>
        <w:rPr>
          <w:rFonts w:ascii="宋体" w:hAnsi="宋体" w:cs="宋体" w:eastAsia="宋体" w:hint="default"/>
          <w:sz w:val="19"/>
          <w:szCs w:val="19"/>
        </w:rPr>
      </w:pPr>
    </w:p>
    <w:p>
      <w:pPr>
        <w:pStyle w:val="Heading4"/>
        <w:spacing w:line="240" w:lineRule="auto" w:before="35"/>
        <w:ind w:right="132"/>
        <w:jc w:val="left"/>
        <w:rPr>
          <w:b w:val="0"/>
          <w:bCs w:val="0"/>
        </w:rPr>
      </w:pPr>
      <w:r>
        <w:rPr/>
        <w:t>40、管理费用</w:t>
      </w:r>
      <w:r>
        <w:rPr>
          <w:b w:val="0"/>
          <w:bCs w:val="0"/>
        </w:rPr>
      </w:r>
    </w:p>
    <w:p>
      <w:pPr>
        <w:spacing w:line="240" w:lineRule="auto" w:before="7"/>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90"/>
        <w:gridCol w:w="3190"/>
        <w:gridCol w:w="3189"/>
      </w:tblGrid>
      <w:tr>
        <w:trPr>
          <w:trHeight w:val="415" w:hRule="exact"/>
        </w:trPr>
        <w:tc>
          <w:tcPr>
            <w:tcW w:w="3190"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10,761,406.18</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6,995,128.78</w:t>
            </w:r>
          </w:p>
        </w:tc>
      </w:tr>
      <w:tr>
        <w:trPr>
          <w:trHeight w:val="407" w:hRule="exact"/>
        </w:trPr>
        <w:tc>
          <w:tcPr>
            <w:tcW w:w="31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1,865,407.08</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549,841.27</w:t>
            </w:r>
          </w:p>
        </w:tc>
      </w:tr>
      <w:tr>
        <w:trPr>
          <w:trHeight w:val="407" w:hRule="exact"/>
        </w:trPr>
        <w:tc>
          <w:tcPr>
            <w:tcW w:w="31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1,427,377.76</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854,988.37</w:t>
            </w:r>
          </w:p>
        </w:tc>
      </w:tr>
      <w:tr>
        <w:trPr>
          <w:trHeight w:val="407" w:hRule="exact"/>
        </w:trPr>
        <w:tc>
          <w:tcPr>
            <w:tcW w:w="31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241,063.58</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276,545.01</w:t>
            </w:r>
          </w:p>
        </w:tc>
      </w:tr>
      <w:tr>
        <w:trPr>
          <w:trHeight w:val="407" w:hRule="exact"/>
        </w:trPr>
        <w:tc>
          <w:tcPr>
            <w:tcW w:w="31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3,779,930.92</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1,528,063.21</w:t>
            </w:r>
          </w:p>
        </w:tc>
      </w:tr>
      <w:tr>
        <w:trPr>
          <w:trHeight w:val="408" w:hRule="exact"/>
        </w:trPr>
        <w:tc>
          <w:tcPr>
            <w:tcW w:w="31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1,088,779.50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994,078.52</w:t>
            </w:r>
          </w:p>
        </w:tc>
      </w:tr>
      <w:tr>
        <w:trPr>
          <w:trHeight w:val="407" w:hRule="exact"/>
        </w:trPr>
        <w:tc>
          <w:tcPr>
            <w:tcW w:w="31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1,411,830.82</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1,020,071.33</w:t>
            </w:r>
          </w:p>
        </w:tc>
      </w:tr>
      <w:tr>
        <w:trPr>
          <w:trHeight w:val="407" w:hRule="exact"/>
        </w:trPr>
        <w:tc>
          <w:tcPr>
            <w:tcW w:w="31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3,038,604.79</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1,110,217.77</w:t>
            </w:r>
          </w:p>
        </w:tc>
      </w:tr>
      <w:tr>
        <w:trPr>
          <w:trHeight w:val="407" w:hRule="exact"/>
        </w:trPr>
        <w:tc>
          <w:tcPr>
            <w:tcW w:w="31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1,256,331.60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696,413.65</w:t>
            </w:r>
          </w:p>
        </w:tc>
      </w:tr>
      <w:tr>
        <w:trPr>
          <w:trHeight w:val="407" w:hRule="exact"/>
        </w:trPr>
        <w:tc>
          <w:tcPr>
            <w:tcW w:w="31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社会保险</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1,861,639.79</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1,420,149.89</w:t>
            </w:r>
          </w:p>
        </w:tc>
      </w:tr>
      <w:tr>
        <w:trPr>
          <w:trHeight w:val="407" w:hRule="exact"/>
        </w:trPr>
        <w:tc>
          <w:tcPr>
            <w:tcW w:w="31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439,956.43</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213,552.00</w:t>
            </w:r>
          </w:p>
        </w:tc>
      </w:tr>
      <w:tr>
        <w:trPr>
          <w:trHeight w:val="408" w:hRule="exact"/>
        </w:trPr>
        <w:tc>
          <w:tcPr>
            <w:tcW w:w="31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物业水电</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921,127.34</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787,696.06</w:t>
            </w:r>
          </w:p>
        </w:tc>
      </w:tr>
      <w:tr>
        <w:trPr>
          <w:trHeight w:val="407" w:hRule="exact"/>
        </w:trPr>
        <w:tc>
          <w:tcPr>
            <w:tcW w:w="31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1,908,741.32</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229,490.51</w:t>
            </w:r>
          </w:p>
        </w:tc>
      </w:tr>
      <w:tr>
        <w:trPr>
          <w:trHeight w:val="407" w:hRule="exact"/>
        </w:trPr>
        <w:tc>
          <w:tcPr>
            <w:tcW w:w="31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19,554,833.12</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15,221,588.55</w:t>
            </w:r>
          </w:p>
        </w:tc>
      </w:tr>
      <w:tr>
        <w:trPr>
          <w:trHeight w:val="407" w:hRule="exact"/>
        </w:trPr>
        <w:tc>
          <w:tcPr>
            <w:tcW w:w="31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1,205,416.00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369,975.00</w:t>
            </w:r>
          </w:p>
        </w:tc>
      </w:tr>
      <w:tr>
        <w:trPr>
          <w:trHeight w:val="407" w:hRule="exact"/>
        </w:trPr>
        <w:tc>
          <w:tcPr>
            <w:tcW w:w="31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232,544.90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232,188.00</w:t>
            </w:r>
          </w:p>
        </w:tc>
      </w:tr>
      <w:tr>
        <w:trPr>
          <w:trHeight w:val="415" w:hRule="exact"/>
        </w:trPr>
        <w:tc>
          <w:tcPr>
            <w:tcW w:w="3190"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50,994,991.13</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32,499,987.92</w:t>
            </w:r>
          </w:p>
        </w:tc>
      </w:tr>
    </w:tbl>
    <w:p>
      <w:pPr>
        <w:spacing w:after="0" w:line="240" w:lineRule="auto"/>
        <w:jc w:val="right"/>
        <w:rPr>
          <w:rFonts w:ascii="宋体" w:hAnsi="宋体" w:cs="宋体" w:eastAsia="宋体" w:hint="default"/>
          <w:sz w:val="18"/>
          <w:szCs w:val="18"/>
        </w:rPr>
        <w:sectPr>
          <w:pgSz w:w="11910" w:h="16840"/>
          <w:pgMar w:header="0" w:footer="1003" w:top="1100" w:bottom="120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132"/>
        <w:jc w:val="left"/>
        <w:rPr>
          <w:b w:val="0"/>
          <w:bCs w:val="0"/>
        </w:rPr>
      </w:pPr>
      <w:r>
        <w:rPr/>
        <w:t>41、财务费用</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90"/>
        <w:gridCol w:w="3190"/>
        <w:gridCol w:w="3189"/>
      </w:tblGrid>
      <w:tr>
        <w:trPr>
          <w:trHeight w:val="415" w:hRule="exact"/>
        </w:trPr>
        <w:tc>
          <w:tcPr>
            <w:tcW w:w="3190"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90"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1,877,060.44</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892,529.81</w:t>
            </w:r>
          </w:p>
        </w:tc>
      </w:tr>
      <w:tr>
        <w:trPr>
          <w:trHeight w:val="407" w:hRule="exact"/>
        </w:trPr>
        <w:tc>
          <w:tcPr>
            <w:tcW w:w="31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-1,255,457.03</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-723,379.49</w:t>
            </w:r>
          </w:p>
        </w:tc>
      </w:tr>
      <w:tr>
        <w:trPr>
          <w:trHeight w:val="408" w:hRule="exact"/>
        </w:trPr>
        <w:tc>
          <w:tcPr>
            <w:tcW w:w="31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308,455.52</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120,144.11</w:t>
            </w:r>
          </w:p>
        </w:tc>
      </w:tr>
      <w:tr>
        <w:trPr>
          <w:trHeight w:val="415" w:hRule="exact"/>
        </w:trPr>
        <w:tc>
          <w:tcPr>
            <w:tcW w:w="3190"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930,058.93</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289,294.43</w:t>
            </w:r>
          </w:p>
        </w:tc>
      </w:tr>
    </w:tbl>
    <w:p>
      <w:pPr>
        <w:spacing w:line="240" w:lineRule="auto" w:before="2"/>
        <w:rPr>
          <w:rFonts w:ascii="宋体" w:hAnsi="宋体" w:cs="宋体" w:eastAsia="宋体" w:hint="default"/>
          <w:sz w:val="19"/>
          <w:szCs w:val="19"/>
        </w:rPr>
      </w:pPr>
    </w:p>
    <w:p>
      <w:pPr>
        <w:pStyle w:val="Heading4"/>
        <w:spacing w:line="240" w:lineRule="auto" w:before="35"/>
        <w:ind w:right="132"/>
        <w:jc w:val="left"/>
        <w:rPr>
          <w:b w:val="0"/>
          <w:bCs w:val="0"/>
        </w:rPr>
      </w:pPr>
      <w:r>
        <w:rPr/>
        <w:t>42、投资收益</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132"/>
        <w:jc w:val="left"/>
        <w:rPr>
          <w:b w:val="0"/>
          <w:bCs w:val="0"/>
        </w:rPr>
      </w:pPr>
      <w:r>
        <w:rPr/>
        <w:t>（1）投资收益明细情况</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857"/>
        <w:gridCol w:w="2789"/>
        <w:gridCol w:w="2921"/>
      </w:tblGrid>
      <w:tr>
        <w:trPr>
          <w:trHeight w:val="415" w:hRule="exact"/>
        </w:trPr>
        <w:tc>
          <w:tcPr>
            <w:tcW w:w="3857"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857"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27,162.53</w:t>
            </w:r>
          </w:p>
        </w:tc>
        <w:tc>
          <w:tcPr>
            <w:tcW w:w="29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-4,511.60</w:t>
            </w:r>
          </w:p>
        </w:tc>
      </w:tr>
      <w:tr>
        <w:trPr>
          <w:trHeight w:val="414" w:hRule="exact"/>
        </w:trPr>
        <w:tc>
          <w:tcPr>
            <w:tcW w:w="3857"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27,162.53</w:t>
            </w:r>
          </w:p>
        </w:tc>
        <w:tc>
          <w:tcPr>
            <w:tcW w:w="292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-4,511.60</w:t>
            </w:r>
          </w:p>
        </w:tc>
      </w:tr>
    </w:tbl>
    <w:p>
      <w:pPr>
        <w:spacing w:line="240" w:lineRule="auto" w:before="2"/>
        <w:rPr>
          <w:rFonts w:ascii="宋体" w:hAnsi="宋体" w:cs="宋体" w:eastAsia="宋体" w:hint="default"/>
          <w:sz w:val="19"/>
          <w:szCs w:val="19"/>
        </w:rPr>
      </w:pPr>
    </w:p>
    <w:p>
      <w:pPr>
        <w:pStyle w:val="Heading4"/>
        <w:spacing w:line="240" w:lineRule="auto" w:before="35"/>
        <w:ind w:right="132"/>
        <w:jc w:val="left"/>
        <w:rPr>
          <w:b w:val="0"/>
          <w:bCs w:val="0"/>
        </w:rPr>
      </w:pPr>
      <w:r>
        <w:rPr/>
        <w:t>（2）按成本法核算的长期股权投资收益</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32"/>
        <w:jc w:val="left"/>
        <w:rPr>
          <w:b w:val="0"/>
          <w:bCs w:val="0"/>
        </w:rPr>
      </w:pPr>
      <w:r>
        <w:rPr/>
        <w:t>（3）按权益法核算的长期股权投资收益</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927"/>
        <w:gridCol w:w="1993"/>
        <w:gridCol w:w="1727"/>
        <w:gridCol w:w="2920"/>
      </w:tblGrid>
      <w:tr>
        <w:trPr>
          <w:trHeight w:val="413" w:hRule="exact"/>
        </w:trPr>
        <w:tc>
          <w:tcPr>
            <w:tcW w:w="2927"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3"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5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7"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40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0"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right="361"/>
              <w:jc w:val="righ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16" w:hRule="exact"/>
        </w:trPr>
        <w:tc>
          <w:tcPr>
            <w:tcW w:w="292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江苏大烨电气有限公司</w:t>
            </w:r>
          </w:p>
        </w:tc>
        <w:tc>
          <w:tcPr>
            <w:tcW w:w="19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1148" w:right="0"/>
              <w:jc w:val="left"/>
              <w:rPr>
                <w:rFonts w:ascii="宋体" w:hAnsi="宋体" w:cs="宋体" w:eastAsia="宋体" w:hint="default"/>
                <w:sz w:val="18"/>
                <w:szCs w:val="18"/>
              </w:rPr>
            </w:pPr>
            <w:r>
              <w:rPr>
                <w:rFonts w:ascii="宋体"/>
                <w:sz w:val="18"/>
              </w:rPr>
              <w:t>27,162.53</w:t>
            </w:r>
          </w:p>
        </w:tc>
        <w:tc>
          <w:tcPr>
            <w:tcW w:w="17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882" w:right="0"/>
              <w:jc w:val="left"/>
              <w:rPr>
                <w:rFonts w:ascii="宋体" w:hAnsi="宋体" w:cs="宋体" w:eastAsia="宋体" w:hint="default"/>
                <w:sz w:val="18"/>
                <w:szCs w:val="18"/>
              </w:rPr>
            </w:pPr>
            <w:r>
              <w:rPr>
                <w:rFonts w:ascii="宋体"/>
                <w:sz w:val="18"/>
              </w:rPr>
              <w:t>-4,511.60</w:t>
            </w:r>
          </w:p>
        </w:tc>
        <w:tc>
          <w:tcPr>
            <w:tcW w:w="292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354"/>
              <w:jc w:val="right"/>
              <w:rPr>
                <w:rFonts w:ascii="宋体" w:hAnsi="宋体" w:cs="宋体" w:eastAsia="宋体" w:hint="default"/>
                <w:sz w:val="18"/>
                <w:szCs w:val="18"/>
              </w:rPr>
            </w:pPr>
            <w:r>
              <w:rPr>
                <w:rFonts w:ascii="宋体" w:hAnsi="宋体" w:cs="宋体" w:eastAsia="宋体" w:hint="default"/>
                <w:sz w:val="18"/>
                <w:szCs w:val="18"/>
              </w:rPr>
              <w:t>江苏大烨电气有限公司开始盈利</w:t>
            </w:r>
          </w:p>
        </w:tc>
      </w:tr>
    </w:tbl>
    <w:p>
      <w:pPr>
        <w:spacing w:line="532" w:lineRule="auto" w:before="26"/>
        <w:ind w:left="154" w:right="6830" w:firstLine="0"/>
        <w:jc w:val="left"/>
        <w:rPr>
          <w:rFonts w:ascii="宋体" w:hAnsi="宋体" w:cs="宋体" w:eastAsia="宋体" w:hint="default"/>
          <w:sz w:val="21"/>
          <w:szCs w:val="21"/>
        </w:rPr>
      </w:pPr>
      <w:r>
        <w:rPr>
          <w:rFonts w:ascii="宋体" w:hAnsi="宋体" w:cs="宋体" w:eastAsia="宋体" w:hint="default"/>
          <w:sz w:val="21"/>
          <w:szCs w:val="21"/>
        </w:rPr>
        <w:t>投资收益汇回不存在重大限制。 </w:t>
      </w:r>
      <w:r>
        <w:rPr>
          <w:rFonts w:ascii="宋体" w:hAnsi="宋体" w:cs="宋体" w:eastAsia="宋体" w:hint="default"/>
          <w:b/>
          <w:bCs/>
          <w:sz w:val="21"/>
          <w:szCs w:val="21"/>
        </w:rPr>
        <w:t>43、资产减值损失</w:t>
      </w:r>
      <w:r>
        <w:rPr>
          <w:rFonts w:ascii="宋体" w:hAnsi="宋体" w:cs="宋体" w:eastAsia="宋体" w:hint="default"/>
          <w:sz w:val="21"/>
          <w:szCs w:val="21"/>
        </w:rPr>
      </w:r>
    </w:p>
    <w:p>
      <w:pPr>
        <w:spacing w:before="109"/>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4255"/>
        <w:gridCol w:w="2525"/>
        <w:gridCol w:w="2788"/>
      </w:tblGrid>
      <w:tr>
        <w:trPr>
          <w:trHeight w:val="415" w:hRule="exact"/>
        </w:trPr>
        <w:tc>
          <w:tcPr>
            <w:tcW w:w="4255"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80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8"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4255"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1,413,258.15</w:t>
            </w:r>
          </w:p>
        </w:tc>
        <w:tc>
          <w:tcPr>
            <w:tcW w:w="27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4,178,043.62</w:t>
            </w:r>
          </w:p>
        </w:tc>
      </w:tr>
      <w:tr>
        <w:trPr>
          <w:trHeight w:val="407" w:hRule="exact"/>
        </w:trPr>
        <w:tc>
          <w:tcPr>
            <w:tcW w:w="4255"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-339,035.74</w:t>
            </w:r>
          </w:p>
        </w:tc>
        <w:tc>
          <w:tcPr>
            <w:tcW w:w="27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213,168.75</w:t>
            </w:r>
          </w:p>
        </w:tc>
      </w:tr>
      <w:tr>
        <w:trPr>
          <w:trHeight w:val="414" w:hRule="exact"/>
        </w:trPr>
        <w:tc>
          <w:tcPr>
            <w:tcW w:w="4255"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1,074,222.41</w:t>
            </w:r>
          </w:p>
        </w:tc>
        <w:tc>
          <w:tcPr>
            <w:tcW w:w="27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4,391,212.37</w:t>
            </w:r>
          </w:p>
        </w:tc>
      </w:tr>
    </w:tbl>
    <w:p>
      <w:pPr>
        <w:spacing w:after="0" w:line="240" w:lineRule="auto"/>
        <w:jc w:val="right"/>
        <w:rPr>
          <w:rFonts w:ascii="宋体" w:hAnsi="宋体" w:cs="宋体" w:eastAsia="宋体" w:hint="default"/>
          <w:sz w:val="18"/>
          <w:szCs w:val="18"/>
        </w:rPr>
        <w:sectPr>
          <w:pgSz w:w="11910" w:h="16840"/>
          <w:pgMar w:header="0" w:footer="1003" w:top="1100" w:bottom="120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132"/>
        <w:jc w:val="left"/>
        <w:rPr>
          <w:b w:val="0"/>
          <w:bCs w:val="0"/>
        </w:rPr>
      </w:pPr>
      <w:r>
        <w:rPr/>
        <w:t>44、营业外收入</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132"/>
        <w:jc w:val="left"/>
        <w:rPr>
          <w:b w:val="0"/>
          <w:bCs w:val="0"/>
        </w:rPr>
      </w:pPr>
      <w:r>
        <w:rPr/>
        <w:t>（1）营业外收入情况</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293"/>
        <w:gridCol w:w="1955"/>
        <w:gridCol w:w="2160"/>
        <w:gridCol w:w="2159"/>
      </w:tblGrid>
      <w:tr>
        <w:trPr>
          <w:trHeight w:val="171" w:hRule="exact"/>
        </w:trPr>
        <w:tc>
          <w:tcPr>
            <w:tcW w:w="3293" w:type="dxa"/>
            <w:tcBorders>
              <w:top w:val="single" w:sz="12" w:space="0" w:color="000000"/>
              <w:left w:val="single" w:sz="12" w:space="0" w:color="000000"/>
              <w:bottom w:val="nil" w:sz="6" w:space="0" w:color="auto"/>
              <w:right w:val="single" w:sz="6" w:space="0" w:color="000000"/>
            </w:tcBorders>
            <w:shd w:val="clear" w:color="auto" w:fill="D3D3D3"/>
          </w:tcPr>
          <w:p>
            <w:pPr/>
          </w:p>
        </w:tc>
        <w:tc>
          <w:tcPr>
            <w:tcW w:w="1955" w:type="dxa"/>
            <w:vMerge w:val="restart"/>
            <w:tcBorders>
              <w:top w:val="single" w:sz="12" w:space="0" w:color="000000"/>
              <w:left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vMerge w:val="restart"/>
            <w:tcBorders>
              <w:top w:val="single" w:sz="12" w:space="0" w:color="000000"/>
              <w:left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59" w:type="dxa"/>
            <w:vMerge w:val="restart"/>
            <w:tcBorders>
              <w:top w:val="single" w:sz="12" w:space="0" w:color="000000"/>
              <w:left w:val="single" w:sz="6" w:space="0" w:color="000000"/>
              <w:right w:val="single" w:sz="12" w:space="0" w:color="000000"/>
            </w:tcBorders>
            <w:shd w:val="clear" w:color="auto" w:fill="D3D3D3"/>
          </w:tcPr>
          <w:p>
            <w:pPr>
              <w:pStyle w:val="TableParagraph"/>
              <w:spacing w:line="319" w:lineRule="auto" w:before="51"/>
              <w:ind w:left="892" w:right="7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2" w:hRule="exact"/>
        </w:trPr>
        <w:tc>
          <w:tcPr>
            <w:tcW w:w="3293" w:type="dxa"/>
            <w:tcBorders>
              <w:top w:val="nil" w:sz="6" w:space="0" w:color="auto"/>
              <w:left w:val="single" w:sz="12" w:space="0" w:color="000000"/>
              <w:bottom w:val="nil" w:sz="6" w:space="0" w:color="auto"/>
              <w:right w:val="single" w:sz="6" w:space="0" w:color="000000"/>
            </w:tcBorders>
            <w:shd w:val="clear" w:color="auto" w:fill="D3D3D3"/>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955" w:type="dxa"/>
            <w:vMerge/>
            <w:tcBorders>
              <w:left w:val="single" w:sz="6" w:space="0" w:color="000000"/>
              <w:right w:val="single" w:sz="6" w:space="0" w:color="000000"/>
            </w:tcBorders>
            <w:shd w:val="clear" w:color="auto" w:fill="D3D3D3"/>
          </w:tcPr>
          <w:p>
            <w:pPr/>
          </w:p>
        </w:tc>
        <w:tc>
          <w:tcPr>
            <w:tcW w:w="2160" w:type="dxa"/>
            <w:vMerge/>
            <w:tcBorders>
              <w:left w:val="single" w:sz="6" w:space="0" w:color="000000"/>
              <w:right w:val="single" w:sz="6" w:space="0" w:color="000000"/>
            </w:tcBorders>
            <w:shd w:val="clear" w:color="auto" w:fill="D3D3D3"/>
          </w:tcPr>
          <w:p>
            <w:pPr/>
          </w:p>
        </w:tc>
        <w:tc>
          <w:tcPr>
            <w:tcW w:w="2159" w:type="dxa"/>
            <w:vMerge/>
            <w:tcBorders>
              <w:left w:val="single" w:sz="6" w:space="0" w:color="000000"/>
              <w:right w:val="single" w:sz="12" w:space="0" w:color="000000"/>
            </w:tcBorders>
            <w:shd w:val="clear" w:color="auto" w:fill="D3D3D3"/>
          </w:tcPr>
          <w:p>
            <w:pPr/>
          </w:p>
        </w:tc>
      </w:tr>
      <w:tr>
        <w:trPr>
          <w:trHeight w:val="163" w:hRule="exact"/>
        </w:trPr>
        <w:tc>
          <w:tcPr>
            <w:tcW w:w="3293" w:type="dxa"/>
            <w:tcBorders>
              <w:top w:val="nil" w:sz="6" w:space="0" w:color="auto"/>
              <w:left w:val="single" w:sz="12" w:space="0" w:color="000000"/>
              <w:bottom w:val="single" w:sz="6" w:space="0" w:color="000000"/>
              <w:right w:val="single" w:sz="6" w:space="0" w:color="000000"/>
            </w:tcBorders>
            <w:shd w:val="clear" w:color="auto" w:fill="D3D3D3"/>
          </w:tcPr>
          <w:p>
            <w:pPr/>
          </w:p>
        </w:tc>
        <w:tc>
          <w:tcPr>
            <w:tcW w:w="1955" w:type="dxa"/>
            <w:vMerge/>
            <w:tcBorders>
              <w:left w:val="single" w:sz="6" w:space="0" w:color="000000"/>
              <w:bottom w:val="single" w:sz="6" w:space="0" w:color="000000"/>
              <w:right w:val="single" w:sz="6" w:space="0" w:color="000000"/>
            </w:tcBorders>
            <w:shd w:val="clear" w:color="auto" w:fill="D3D3D3"/>
          </w:tcPr>
          <w:p>
            <w:pPr/>
          </w:p>
        </w:tc>
        <w:tc>
          <w:tcPr>
            <w:tcW w:w="2160" w:type="dxa"/>
            <w:vMerge/>
            <w:tcBorders>
              <w:left w:val="single" w:sz="6" w:space="0" w:color="000000"/>
              <w:bottom w:val="single" w:sz="6" w:space="0" w:color="000000"/>
              <w:right w:val="single" w:sz="6" w:space="0" w:color="000000"/>
            </w:tcBorders>
            <w:shd w:val="clear" w:color="auto" w:fill="D3D3D3"/>
          </w:tcPr>
          <w:p>
            <w:pPr/>
          </w:p>
        </w:tc>
        <w:tc>
          <w:tcPr>
            <w:tcW w:w="2159" w:type="dxa"/>
            <w:vMerge/>
            <w:tcBorders>
              <w:left w:val="single" w:sz="6" w:space="0" w:color="000000"/>
              <w:bottom w:val="single" w:sz="6" w:space="0" w:color="000000"/>
              <w:right w:val="single" w:sz="12" w:space="0" w:color="000000"/>
            </w:tcBorders>
            <w:shd w:val="clear" w:color="auto" w:fill="D3D3D3"/>
          </w:tcPr>
          <w:p>
            <w:pPr/>
          </w:p>
        </w:tc>
      </w:tr>
      <w:tr>
        <w:trPr>
          <w:trHeight w:val="407" w:hRule="exact"/>
        </w:trPr>
        <w:tc>
          <w:tcPr>
            <w:tcW w:w="329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5" w:type="dxa"/>
            <w:tcBorders>
              <w:top w:val="single" w:sz="6" w:space="0" w:color="000000"/>
              <w:left w:val="single" w:sz="6" w:space="0" w:color="000000"/>
              <w:bottom w:val="single" w:sz="6" w:space="0" w:color="000000"/>
              <w:right w:val="single" w:sz="6" w:space="0" w:color="000000"/>
            </w:tcBorders>
          </w:tcPr>
          <w:p>
            <w:pP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3,746.32</w:t>
            </w:r>
          </w:p>
        </w:tc>
        <w:tc>
          <w:tcPr>
            <w:tcW w:w="215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29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5" w:type="dxa"/>
            <w:tcBorders>
              <w:top w:val="single" w:sz="6" w:space="0" w:color="000000"/>
              <w:left w:val="single" w:sz="6" w:space="0" w:color="000000"/>
              <w:bottom w:val="single" w:sz="6" w:space="0" w:color="000000"/>
              <w:right w:val="single" w:sz="6" w:space="0" w:color="000000"/>
            </w:tcBorders>
          </w:tcPr>
          <w:p>
            <w:pP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3,746.32</w:t>
            </w:r>
          </w:p>
        </w:tc>
        <w:tc>
          <w:tcPr>
            <w:tcW w:w="215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29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250,000.00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2,825,000.00</w:t>
            </w:r>
          </w:p>
        </w:tc>
        <w:tc>
          <w:tcPr>
            <w:tcW w:w="21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250,000.00</w:t>
            </w:r>
          </w:p>
        </w:tc>
      </w:tr>
      <w:tr>
        <w:trPr>
          <w:trHeight w:val="407" w:hRule="exact"/>
        </w:trPr>
        <w:tc>
          <w:tcPr>
            <w:tcW w:w="32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7,777,619.75</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4,769,780.12</w:t>
            </w:r>
          </w:p>
        </w:tc>
        <w:tc>
          <w:tcPr>
            <w:tcW w:w="215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2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32,727.76</w:t>
            </w:r>
          </w:p>
        </w:tc>
        <w:tc>
          <w:tcPr>
            <w:tcW w:w="2160" w:type="dxa"/>
            <w:tcBorders>
              <w:top w:val="single" w:sz="6" w:space="0" w:color="000000"/>
              <w:left w:val="single" w:sz="6" w:space="0" w:color="000000"/>
              <w:bottom w:val="single" w:sz="6" w:space="0" w:color="000000"/>
              <w:right w:val="single" w:sz="6" w:space="0" w:color="000000"/>
            </w:tcBorders>
          </w:tcPr>
          <w:p>
            <w:pPr/>
          </w:p>
        </w:tc>
        <w:tc>
          <w:tcPr>
            <w:tcW w:w="21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32,727.76</w:t>
            </w:r>
          </w:p>
        </w:tc>
      </w:tr>
      <w:tr>
        <w:trPr>
          <w:trHeight w:val="415" w:hRule="exact"/>
        </w:trPr>
        <w:tc>
          <w:tcPr>
            <w:tcW w:w="3293"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8,060,347.51</w:t>
            </w:r>
          </w:p>
        </w:tc>
        <w:tc>
          <w:tcPr>
            <w:tcW w:w="21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7,598,526.44</w:t>
            </w:r>
          </w:p>
        </w:tc>
        <w:tc>
          <w:tcPr>
            <w:tcW w:w="215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282,727.76</w:t>
            </w:r>
          </w:p>
        </w:tc>
      </w:tr>
    </w:tbl>
    <w:p>
      <w:pPr>
        <w:spacing w:line="240" w:lineRule="auto" w:before="2"/>
        <w:rPr>
          <w:rFonts w:ascii="宋体" w:hAnsi="宋体" w:cs="宋体" w:eastAsia="宋体" w:hint="default"/>
          <w:sz w:val="19"/>
          <w:szCs w:val="19"/>
        </w:rPr>
      </w:pPr>
    </w:p>
    <w:p>
      <w:pPr>
        <w:pStyle w:val="Heading4"/>
        <w:spacing w:line="240" w:lineRule="auto" w:before="35"/>
        <w:ind w:right="132"/>
        <w:jc w:val="left"/>
        <w:rPr>
          <w:b w:val="0"/>
          <w:bCs w:val="0"/>
        </w:rPr>
      </w:pPr>
      <w:r>
        <w:rPr/>
        <w:t>（2）政府补助明细</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836"/>
        <w:gridCol w:w="1818"/>
        <w:gridCol w:w="1993"/>
        <w:gridCol w:w="2920"/>
      </w:tblGrid>
      <w:tr>
        <w:trPr>
          <w:trHeight w:val="413" w:hRule="exact"/>
        </w:trPr>
        <w:tc>
          <w:tcPr>
            <w:tcW w:w="2836"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1818"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3"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5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0"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7" w:hRule="exact"/>
        </w:trPr>
        <w:tc>
          <w:tcPr>
            <w:tcW w:w="28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南京江宁开发区发上市奖励费</w:t>
            </w:r>
          </w:p>
        </w:tc>
        <w:tc>
          <w:tcPr>
            <w:tcW w:w="181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300,000.00</w:t>
            </w:r>
          </w:p>
        </w:tc>
        <w:tc>
          <w:tcPr>
            <w:tcW w:w="2920"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2836"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98"/>
              <w:jc w:val="left"/>
              <w:rPr>
                <w:rFonts w:ascii="宋体" w:hAnsi="宋体" w:cs="宋体" w:eastAsia="宋体" w:hint="default"/>
                <w:sz w:val="18"/>
                <w:szCs w:val="18"/>
              </w:rPr>
            </w:pPr>
            <w:r>
              <w:rPr>
                <w:rFonts w:ascii="宋体" w:hAnsi="宋体" w:cs="宋体" w:eastAsia="宋体" w:hint="default"/>
                <w:sz w:val="18"/>
                <w:szCs w:val="18"/>
              </w:rPr>
              <w:t>用电量收益监测系统及信息采集设 备开发项目验收</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100,000.00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1,125,000.00</w:t>
            </w:r>
          </w:p>
        </w:tc>
        <w:tc>
          <w:tcPr>
            <w:tcW w:w="2920"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8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南京市财政局软件企业上市补助款</w:t>
            </w:r>
          </w:p>
        </w:tc>
        <w:tc>
          <w:tcPr>
            <w:tcW w:w="181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1,400,000.00</w:t>
            </w:r>
          </w:p>
        </w:tc>
        <w:tc>
          <w:tcPr>
            <w:tcW w:w="2920"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8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科技发展计划及科技经费</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100,000.00</w:t>
            </w:r>
          </w:p>
        </w:tc>
        <w:tc>
          <w:tcPr>
            <w:tcW w:w="1993" w:type="dxa"/>
            <w:tcBorders>
              <w:top w:val="single" w:sz="6" w:space="0" w:color="000000"/>
              <w:left w:val="single" w:sz="6" w:space="0" w:color="000000"/>
              <w:bottom w:val="single" w:sz="6" w:space="0" w:color="000000"/>
              <w:right w:val="single" w:sz="6" w:space="0" w:color="000000"/>
            </w:tcBorders>
          </w:tcPr>
          <w:p>
            <w:pPr/>
          </w:p>
        </w:tc>
        <w:tc>
          <w:tcPr>
            <w:tcW w:w="2920"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8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扶持中小微工业企业加快发展经费</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50,000.00</w:t>
            </w:r>
          </w:p>
        </w:tc>
        <w:tc>
          <w:tcPr>
            <w:tcW w:w="1993" w:type="dxa"/>
            <w:tcBorders>
              <w:top w:val="single" w:sz="6" w:space="0" w:color="000000"/>
              <w:left w:val="single" w:sz="6" w:space="0" w:color="000000"/>
              <w:bottom w:val="single" w:sz="6" w:space="0" w:color="000000"/>
              <w:right w:val="single" w:sz="6" w:space="0" w:color="000000"/>
            </w:tcBorders>
          </w:tcPr>
          <w:p>
            <w:pPr/>
          </w:p>
        </w:tc>
        <w:tc>
          <w:tcPr>
            <w:tcW w:w="2920"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2836"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250,000.00</w:t>
            </w:r>
          </w:p>
        </w:tc>
        <w:tc>
          <w:tcPr>
            <w:tcW w:w="19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2,825,000.00</w:t>
            </w:r>
          </w:p>
        </w:tc>
        <w:tc>
          <w:tcPr>
            <w:tcW w:w="2920" w:type="dxa"/>
            <w:tcBorders>
              <w:top w:val="single" w:sz="6" w:space="0" w:color="000000"/>
              <w:left w:val="single" w:sz="6" w:space="0" w:color="000000"/>
              <w:bottom w:val="single" w:sz="12" w:space="0" w:color="000000"/>
              <w:right w:val="single" w:sz="12"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sz w:val="18"/>
              </w:rPr>
              <w:t>--</w:t>
            </w:r>
          </w:p>
        </w:tc>
      </w:tr>
    </w:tbl>
    <w:p>
      <w:pPr>
        <w:pStyle w:val="BodyText"/>
        <w:spacing w:line="290" w:lineRule="auto" w:before="26"/>
        <w:ind w:right="215"/>
        <w:jc w:val="left"/>
      </w:pPr>
      <w:r>
        <w:rPr/>
        <w:t>营业外收入说明 营业外收入中的税费返还为:销售自行开发生产的软件产品，按17％的法定税率征收增值税后，对增值税 实际税负超过3％的部分实行即征即退返还的税款。</w:t>
      </w:r>
    </w:p>
    <w:p>
      <w:pPr>
        <w:spacing w:line="240" w:lineRule="auto" w:before="6"/>
        <w:rPr>
          <w:rFonts w:ascii="宋体" w:hAnsi="宋体" w:cs="宋体" w:eastAsia="宋体" w:hint="default"/>
          <w:sz w:val="22"/>
          <w:szCs w:val="22"/>
        </w:rPr>
      </w:pPr>
    </w:p>
    <w:p>
      <w:pPr>
        <w:pStyle w:val="Heading4"/>
        <w:spacing w:line="240" w:lineRule="auto"/>
        <w:ind w:right="132"/>
        <w:jc w:val="left"/>
        <w:rPr>
          <w:b w:val="0"/>
          <w:bCs w:val="0"/>
        </w:rPr>
      </w:pPr>
      <w:r>
        <w:rPr/>
        <w:t>45、营业外支出</w:t>
      </w:r>
      <w:r>
        <w:rPr>
          <w:b w:val="0"/>
          <w:bCs w:val="0"/>
        </w:rPr>
      </w:r>
    </w:p>
    <w:p>
      <w:pPr>
        <w:spacing w:line="240" w:lineRule="auto" w:before="11"/>
        <w:rPr>
          <w:rFonts w:ascii="宋体" w:hAnsi="宋体" w:cs="宋体" w:eastAsia="宋体" w:hint="default"/>
          <w:b/>
          <w:bCs/>
          <w:sz w:val="27"/>
          <w:szCs w:val="27"/>
        </w:rPr>
      </w:pPr>
    </w:p>
    <w:p>
      <w:pPr>
        <w:spacing w:before="0"/>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721"/>
        <w:gridCol w:w="2021"/>
        <w:gridCol w:w="1914"/>
        <w:gridCol w:w="1913"/>
      </w:tblGrid>
      <w:tr>
        <w:trPr>
          <w:trHeight w:val="171" w:hRule="exact"/>
        </w:trPr>
        <w:tc>
          <w:tcPr>
            <w:tcW w:w="3721" w:type="dxa"/>
            <w:tcBorders>
              <w:top w:val="single" w:sz="12" w:space="0" w:color="000000"/>
              <w:left w:val="single" w:sz="12" w:space="0" w:color="000000"/>
              <w:bottom w:val="nil" w:sz="6" w:space="0" w:color="auto"/>
              <w:right w:val="single" w:sz="6" w:space="0" w:color="000000"/>
            </w:tcBorders>
            <w:shd w:val="clear" w:color="auto" w:fill="D3D3D3"/>
          </w:tcPr>
          <w:p>
            <w:pPr/>
          </w:p>
        </w:tc>
        <w:tc>
          <w:tcPr>
            <w:tcW w:w="2021" w:type="dxa"/>
            <w:vMerge w:val="restart"/>
            <w:tcBorders>
              <w:top w:val="single" w:sz="12" w:space="0" w:color="000000"/>
              <w:left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vMerge w:val="restart"/>
            <w:tcBorders>
              <w:top w:val="single" w:sz="12" w:space="0" w:color="000000"/>
              <w:left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val="restart"/>
            <w:tcBorders>
              <w:top w:val="single" w:sz="12" w:space="0" w:color="000000"/>
              <w:left w:val="single" w:sz="6" w:space="0" w:color="000000"/>
              <w:right w:val="single" w:sz="12" w:space="0" w:color="000000"/>
            </w:tcBorders>
            <w:shd w:val="clear" w:color="auto" w:fill="D3D3D3"/>
          </w:tcPr>
          <w:p>
            <w:pPr>
              <w:pStyle w:val="TableParagraph"/>
              <w:spacing w:line="319" w:lineRule="auto" w:before="51"/>
              <w:ind w:left="680" w:right="38"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2" w:hRule="exact"/>
        </w:trPr>
        <w:tc>
          <w:tcPr>
            <w:tcW w:w="3721" w:type="dxa"/>
            <w:tcBorders>
              <w:top w:val="nil" w:sz="6" w:space="0" w:color="auto"/>
              <w:left w:val="single" w:sz="12" w:space="0" w:color="000000"/>
              <w:bottom w:val="nil" w:sz="6" w:space="0" w:color="auto"/>
              <w:right w:val="single" w:sz="6" w:space="0" w:color="000000"/>
            </w:tcBorders>
            <w:shd w:val="clear" w:color="auto" w:fill="D3D3D3"/>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vMerge/>
            <w:tcBorders>
              <w:left w:val="single" w:sz="6" w:space="0" w:color="000000"/>
              <w:right w:val="single" w:sz="6" w:space="0" w:color="000000"/>
            </w:tcBorders>
            <w:shd w:val="clear" w:color="auto" w:fill="D3D3D3"/>
          </w:tcPr>
          <w:p>
            <w:pPr/>
          </w:p>
        </w:tc>
        <w:tc>
          <w:tcPr>
            <w:tcW w:w="1914" w:type="dxa"/>
            <w:vMerge/>
            <w:tcBorders>
              <w:left w:val="single" w:sz="6" w:space="0" w:color="000000"/>
              <w:right w:val="single" w:sz="6" w:space="0" w:color="000000"/>
            </w:tcBorders>
            <w:shd w:val="clear" w:color="auto" w:fill="D3D3D3"/>
          </w:tcPr>
          <w:p>
            <w:pPr/>
          </w:p>
        </w:tc>
        <w:tc>
          <w:tcPr>
            <w:tcW w:w="1913" w:type="dxa"/>
            <w:vMerge/>
            <w:tcBorders>
              <w:left w:val="single" w:sz="6" w:space="0" w:color="000000"/>
              <w:right w:val="single" w:sz="12" w:space="0" w:color="000000"/>
            </w:tcBorders>
            <w:shd w:val="clear" w:color="auto" w:fill="D3D3D3"/>
          </w:tcPr>
          <w:p>
            <w:pPr/>
          </w:p>
        </w:tc>
      </w:tr>
      <w:tr>
        <w:trPr>
          <w:trHeight w:val="163" w:hRule="exact"/>
        </w:trPr>
        <w:tc>
          <w:tcPr>
            <w:tcW w:w="3721" w:type="dxa"/>
            <w:tcBorders>
              <w:top w:val="nil" w:sz="6" w:space="0" w:color="auto"/>
              <w:left w:val="single" w:sz="12" w:space="0" w:color="000000"/>
              <w:bottom w:val="single" w:sz="6" w:space="0" w:color="000000"/>
              <w:right w:val="single" w:sz="6" w:space="0" w:color="000000"/>
            </w:tcBorders>
            <w:shd w:val="clear" w:color="auto" w:fill="D3D3D3"/>
          </w:tcPr>
          <w:p>
            <w:pPr/>
          </w:p>
        </w:tc>
        <w:tc>
          <w:tcPr>
            <w:tcW w:w="2021" w:type="dxa"/>
            <w:vMerge/>
            <w:tcBorders>
              <w:left w:val="single" w:sz="6" w:space="0" w:color="000000"/>
              <w:bottom w:val="single" w:sz="6" w:space="0" w:color="000000"/>
              <w:right w:val="single" w:sz="6" w:space="0" w:color="000000"/>
            </w:tcBorders>
            <w:shd w:val="clear" w:color="auto" w:fill="D3D3D3"/>
          </w:tcPr>
          <w:p>
            <w:pPr/>
          </w:p>
        </w:tc>
        <w:tc>
          <w:tcPr>
            <w:tcW w:w="1914" w:type="dxa"/>
            <w:vMerge/>
            <w:tcBorders>
              <w:left w:val="single" w:sz="6" w:space="0" w:color="000000"/>
              <w:bottom w:val="single" w:sz="6" w:space="0" w:color="000000"/>
              <w:right w:val="single" w:sz="6" w:space="0" w:color="000000"/>
            </w:tcBorders>
            <w:shd w:val="clear" w:color="auto" w:fill="D3D3D3"/>
          </w:tcPr>
          <w:p>
            <w:pPr/>
          </w:p>
        </w:tc>
        <w:tc>
          <w:tcPr>
            <w:tcW w:w="1913" w:type="dxa"/>
            <w:vMerge/>
            <w:tcBorders>
              <w:left w:val="single" w:sz="6" w:space="0" w:color="000000"/>
              <w:bottom w:val="single" w:sz="6" w:space="0" w:color="000000"/>
              <w:right w:val="single" w:sz="12" w:space="0" w:color="000000"/>
            </w:tcBorders>
            <w:shd w:val="clear" w:color="auto" w:fill="D3D3D3"/>
          </w:tcPr>
          <w:p>
            <w:pPr/>
          </w:p>
        </w:tc>
      </w:tr>
      <w:tr>
        <w:trPr>
          <w:trHeight w:val="407" w:hRule="exact"/>
        </w:trPr>
        <w:tc>
          <w:tcPr>
            <w:tcW w:w="3721"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28,703.95</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28,703.95</w:t>
            </w:r>
          </w:p>
        </w:tc>
      </w:tr>
      <w:tr>
        <w:trPr>
          <w:trHeight w:val="407" w:hRule="exact"/>
        </w:trPr>
        <w:tc>
          <w:tcPr>
            <w:tcW w:w="3721"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28,703.95</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28,703.95</w:t>
            </w:r>
          </w:p>
        </w:tc>
      </w:tr>
      <w:tr>
        <w:trPr>
          <w:trHeight w:val="407" w:hRule="exact"/>
        </w:trPr>
        <w:tc>
          <w:tcPr>
            <w:tcW w:w="3721"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1,620,000.00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1,343,000.00</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1,620,000.00</w:t>
            </w:r>
          </w:p>
        </w:tc>
      </w:tr>
      <w:tr>
        <w:trPr>
          <w:trHeight w:val="415" w:hRule="exact"/>
        </w:trPr>
        <w:tc>
          <w:tcPr>
            <w:tcW w:w="3721"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1,648,703.95</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1,343,000.00</w:t>
            </w: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1,648,703.95</w:t>
            </w:r>
          </w:p>
        </w:tc>
      </w:tr>
    </w:tbl>
    <w:p>
      <w:pPr>
        <w:spacing w:after="0" w:line="240" w:lineRule="auto"/>
        <w:jc w:val="right"/>
        <w:rPr>
          <w:rFonts w:ascii="宋体" w:hAnsi="宋体" w:cs="宋体" w:eastAsia="宋体" w:hint="default"/>
          <w:sz w:val="18"/>
          <w:szCs w:val="18"/>
        </w:rPr>
        <w:sectPr>
          <w:pgSz w:w="11910" w:h="16840"/>
          <w:pgMar w:header="0" w:footer="1003" w:top="1100" w:bottom="120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132"/>
        <w:jc w:val="left"/>
        <w:rPr>
          <w:b w:val="0"/>
          <w:bCs w:val="0"/>
        </w:rPr>
      </w:pPr>
      <w:r>
        <w:rPr/>
        <w:t>46、所得税费用</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4655"/>
        <w:gridCol w:w="2524"/>
        <w:gridCol w:w="2389"/>
      </w:tblGrid>
      <w:tr>
        <w:trPr>
          <w:trHeight w:val="415" w:hRule="exact"/>
        </w:trPr>
        <w:tc>
          <w:tcPr>
            <w:tcW w:w="4655"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80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9"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73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4655"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10,402,163.86</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10,277,316.41</w:t>
            </w:r>
          </w:p>
        </w:tc>
      </w:tr>
      <w:tr>
        <w:trPr>
          <w:trHeight w:val="407" w:hRule="exact"/>
        </w:trPr>
        <w:tc>
          <w:tcPr>
            <w:tcW w:w="4655"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1,258,816.59</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-853,962.31</w:t>
            </w:r>
          </w:p>
        </w:tc>
      </w:tr>
      <w:tr>
        <w:trPr>
          <w:trHeight w:val="415" w:hRule="exact"/>
        </w:trPr>
        <w:tc>
          <w:tcPr>
            <w:tcW w:w="4655"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11,660,980.45</w:t>
            </w:r>
          </w:p>
        </w:tc>
        <w:tc>
          <w:tcPr>
            <w:tcW w:w="23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9,423,354.10</w:t>
            </w:r>
          </w:p>
        </w:tc>
      </w:tr>
    </w:tbl>
    <w:p>
      <w:pPr>
        <w:spacing w:line="240" w:lineRule="auto" w:before="2"/>
        <w:rPr>
          <w:rFonts w:ascii="宋体" w:hAnsi="宋体" w:cs="宋体" w:eastAsia="宋体" w:hint="default"/>
          <w:sz w:val="19"/>
          <w:szCs w:val="19"/>
        </w:rPr>
      </w:pPr>
    </w:p>
    <w:p>
      <w:pPr>
        <w:pStyle w:val="Heading4"/>
        <w:spacing w:line="240" w:lineRule="auto" w:before="35"/>
        <w:ind w:right="132"/>
        <w:jc w:val="left"/>
        <w:rPr>
          <w:b w:val="0"/>
          <w:bCs w:val="0"/>
        </w:rPr>
      </w:pPr>
      <w:r>
        <w:rPr/>
        <w:t>47、基本每股收益和稀释每股收益的计算过程</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1003" w:top="1100" w:bottom="1200" w:left="980" w:right="980"/>
        </w:sectPr>
      </w:pPr>
    </w:p>
    <w:p>
      <w:pPr>
        <w:pStyle w:val="BodyText"/>
        <w:spacing w:line="240" w:lineRule="auto" w:before="35"/>
        <w:ind w:left="259" w:right="-11"/>
        <w:jc w:val="left"/>
      </w:pPr>
      <w:r>
        <w:rPr/>
        <w:pict>
          <v:group style="position:absolute;margin-left:56.700001pt;margin-top:18.843800pt;width:446.55pt;height:.1pt;mso-position-horizontal-relative:page;mso-position-vertical-relative:paragraph;z-index:2368" coordorigin="1134,377" coordsize="8931,2">
            <v:shape style="position:absolute;left:1134;top:377;width:8931;height:2" coordorigin="1134,377" coordsize="8931,0" path="m1134,377l10064,377e" filled="false" stroked="true" strokeweight="1.5pt" strokecolor="#000000">
              <v:path arrowok="t"/>
            </v:shape>
            <w10:wrap type="none"/>
          </v:group>
        </w:pict>
      </w:r>
      <w:r>
        <w:rPr>
          <w:spacing w:val="-1"/>
        </w:rPr>
        <w:t>2012年度每股收益</w:t>
      </w:r>
    </w:p>
    <w:p>
      <w:pPr>
        <w:spacing w:line="240" w:lineRule="auto" w:before="7"/>
        <w:rPr>
          <w:rFonts w:ascii="宋体" w:hAnsi="宋体" w:cs="宋体" w:eastAsia="宋体" w:hint="default"/>
          <w:sz w:val="29"/>
          <w:szCs w:val="29"/>
        </w:rPr>
      </w:pPr>
      <w:r>
        <w:rPr/>
        <w:br w:type="column"/>
      </w:r>
      <w:r>
        <w:rPr>
          <w:rFonts w:ascii="宋体"/>
          <w:sz w:val="29"/>
        </w:rPr>
      </w:r>
    </w:p>
    <w:p>
      <w:pPr>
        <w:pStyle w:val="BodyText"/>
        <w:spacing w:line="240" w:lineRule="auto"/>
        <w:ind w:left="4914" w:right="0"/>
        <w:jc w:val="left"/>
      </w:pPr>
      <w:r>
        <w:rPr/>
        <w:t>每股收益</w:t>
      </w:r>
    </w:p>
    <w:p>
      <w:pPr>
        <w:pStyle w:val="BodyText"/>
        <w:tabs>
          <w:tab w:pos="3783" w:val="left" w:leader="none"/>
          <w:tab w:pos="5696" w:val="left" w:leader="none"/>
        </w:tabs>
        <w:spacing w:line="240" w:lineRule="auto" w:before="72"/>
        <w:ind w:left="201" w:right="0"/>
        <w:jc w:val="left"/>
      </w:pPr>
      <w:r>
        <w:rPr/>
        <w:pict>
          <v:group style="position:absolute;margin-left:56.700001pt;margin-top:3.443984pt;width:446.55pt;height:.1pt;mso-position-horizontal-relative:page;mso-position-vertical-relative:paragraph;z-index:2392" coordorigin="1134,69" coordsize="8931,2">
            <v:shape style="position:absolute;left:1134;top:69;width:8931;height:2" coordorigin="1134,69" coordsize="8931,0" path="m1134,69l10064,69e" filled="false" stroked="true" strokeweight=".72003pt" strokecolor="#000000">
              <v:path arrowok="t"/>
            </v:shape>
            <w10:wrap type="none"/>
          </v:group>
        </w:pict>
      </w:r>
      <w:r>
        <w:rPr/>
        <w:pict>
          <v:group style="position:absolute;margin-left:56.700001pt;margin-top:20.783983pt;width:446.55pt;height:.1pt;mso-position-horizontal-relative:page;mso-position-vertical-relative:paragraph;z-index:2416" coordorigin="1134,416" coordsize="8931,2">
            <v:shape style="position:absolute;left:1134;top:416;width:8931;height:2" coordorigin="1134,416" coordsize="8931,0" path="m1134,416l10064,416e" filled="false" stroked="true" strokeweight=".72003pt" strokecolor="#000000">
              <v:path arrowok="t"/>
            </v:shape>
            <w10:wrap type="none"/>
          </v:group>
        </w:pict>
      </w:r>
      <w:r>
        <w:rPr/>
        <w:t>报告期利润</w:t>
        <w:tab/>
        <w:t>基本每股收益</w:t>
        <w:tab/>
        <w:t>稀释每股收益</w:t>
      </w:r>
    </w:p>
    <w:p>
      <w:pPr>
        <w:spacing w:after="0" w:line="240" w:lineRule="auto"/>
        <w:jc w:val="left"/>
        <w:sectPr>
          <w:type w:val="continuous"/>
          <w:pgSz w:w="11910" w:h="16840"/>
          <w:pgMar w:top="1040" w:bottom="1200" w:left="980" w:right="980"/>
          <w:cols w:num="2" w:equalWidth="0">
            <w:col w:w="1939" w:space="40"/>
            <w:col w:w="7971"/>
          </w:cols>
        </w:sectPr>
      </w:pPr>
    </w:p>
    <w:p>
      <w:pPr>
        <w:pStyle w:val="BodyText"/>
        <w:tabs>
          <w:tab w:pos="6813" w:val="left" w:leader="none"/>
          <w:tab w:pos="9074" w:val="right" w:leader="none"/>
        </w:tabs>
        <w:spacing w:line="240" w:lineRule="auto" w:before="72"/>
        <w:ind w:left="163" w:right="0"/>
        <w:jc w:val="left"/>
      </w:pPr>
      <w:r>
        <w:rPr/>
        <w:t>归属于公司普通股股东的净利润</w:t>
        <w:tab/>
        <w:t>1.03</w:t>
      </w:r>
      <w:r>
        <w:rPr>
          <w:rFonts w:ascii="Times New Roman" w:hAnsi="Times New Roman" w:cs="Times New Roman" w:eastAsia="Times New Roman" w:hint="default"/>
        </w:rPr>
        <w:tab/>
      </w:r>
      <w:r>
        <w:rPr/>
        <w:t>1.03</w:t>
      </w:r>
    </w:p>
    <w:p>
      <w:pPr>
        <w:pStyle w:val="BodyText"/>
        <w:tabs>
          <w:tab w:pos="6813" w:val="left" w:leader="none"/>
          <w:tab w:pos="9074" w:val="right" w:leader="none"/>
        </w:tabs>
        <w:spacing w:line="240" w:lineRule="auto" w:before="72"/>
        <w:ind w:left="163" w:right="0"/>
        <w:jc w:val="left"/>
      </w:pPr>
      <w:r>
        <w:rPr/>
        <w:pict>
          <v:group style="position:absolute;margin-left:56.700001pt;margin-top:3.503991pt;width:446.55pt;height:.1pt;mso-position-horizontal-relative:page;mso-position-vertical-relative:paragraph;z-index:2440" coordorigin="1134,70" coordsize="8931,2">
            <v:shape style="position:absolute;left:1134;top:70;width:8931;height:2" coordorigin="1134,70" coordsize="8931,0" path="m1134,70l10064,70e" filled="false" stroked="true" strokeweight=".71997pt" strokecolor="#000000">
              <v:path arrowok="t"/>
            </v:shape>
            <w10:wrap type="none"/>
          </v:group>
        </w:pict>
      </w:r>
      <w:r>
        <w:rPr/>
        <w:pict>
          <v:group style="position:absolute;margin-left:55.23pt;margin-top:20.483976pt;width:448.75pt;height:1.5pt;mso-position-horizontal-relative:page;mso-position-vertical-relative:paragraph;z-index:2464" coordorigin="1105,410" coordsize="8975,30">
            <v:group style="position:absolute;left:1120;top:425;width:5118;height:2" coordorigin="1120,425" coordsize="5118,2">
              <v:shape style="position:absolute;left:1120;top:425;width:5118;height:2" coordorigin="1120,425" coordsize="5118,0" path="m1120,425l6238,425e" filled="false" stroked="true" strokeweight="1.5pt" strokecolor="#000000">
                <v:path arrowok="t"/>
              </v:shape>
            </v:group>
            <v:group style="position:absolute;left:6223;top:425;width:298;height:2" coordorigin="6223,425" coordsize="298,2">
              <v:shape style="position:absolute;left:6223;top:425;width:298;height:2" coordorigin="6223,425" coordsize="298,0" path="m6223,425l6521,425e" filled="false" stroked="true" strokeweight="1.5pt" strokecolor="#000000">
                <v:path arrowok="t"/>
              </v:shape>
            </v:group>
            <v:group style="position:absolute;left:6506;top:425;width:1716;height:2" coordorigin="6506,425" coordsize="1716,2">
              <v:shape style="position:absolute;left:6506;top:425;width:1716;height:2" coordorigin="6506,425" coordsize="1716,0" path="m6506,425l8222,425e" filled="false" stroked="true" strokeweight="1.5pt" strokecolor="#000000">
                <v:path arrowok="t"/>
              </v:shape>
            </v:group>
            <v:group style="position:absolute;left:8208;top:425;width:298;height:2" coordorigin="8208,425" coordsize="298,2">
              <v:shape style="position:absolute;left:8208;top:425;width:298;height:2" coordorigin="8208,425" coordsize="298,0" path="m8208,425l8506,425e" filled="false" stroked="true" strokeweight="1.5pt" strokecolor="#000000">
                <v:path arrowok="t"/>
              </v:shape>
            </v:group>
            <v:group style="position:absolute;left:8491;top:425;width:1574;height:2" coordorigin="8491,425" coordsize="1574,2">
              <v:shape style="position:absolute;left:8491;top:425;width:1574;height:2" coordorigin="8491,425" coordsize="1574,0" path="m8491,425l10064,425e" filled="false" stroked="true" strokeweight="1.5pt" strokecolor="#000000">
                <v:path arrowok="t"/>
              </v:shape>
            </v:group>
            <w10:wrap type="none"/>
          </v:group>
        </w:pict>
      </w:r>
      <w:r>
        <w:rPr/>
        <w:t>扣除非经常性损益后归属于公司普通股股东的净利润</w:t>
        <w:tab/>
        <w:t>1.05</w:t>
      </w:r>
      <w:r>
        <w:rPr>
          <w:rFonts w:ascii="Times New Roman" w:hAnsi="Times New Roman" w:cs="Times New Roman" w:eastAsia="Times New Roman" w:hint="default"/>
        </w:rPr>
        <w:tab/>
      </w:r>
      <w:r>
        <w:rPr/>
        <w:t>1.05</w:t>
      </w:r>
    </w:p>
    <w:p>
      <w:pPr>
        <w:spacing w:after="0" w:line="240" w:lineRule="auto"/>
        <w:jc w:val="left"/>
        <w:sectPr>
          <w:type w:val="continuous"/>
          <w:pgSz w:w="11910" w:h="16840"/>
          <w:pgMar w:top="1040" w:bottom="1200" w:left="980" w:right="980"/>
        </w:sectPr>
      </w:pPr>
    </w:p>
    <w:p>
      <w:pPr>
        <w:pStyle w:val="BodyText"/>
        <w:spacing w:line="240" w:lineRule="auto" w:before="390"/>
        <w:ind w:right="-11"/>
        <w:jc w:val="left"/>
      </w:pPr>
      <w:r>
        <w:rPr/>
        <w:pict>
          <v:group style="position:absolute;margin-left:56.700001pt;margin-top:36.594109pt;width:446.55pt;height:.1pt;mso-position-horizontal-relative:page;mso-position-vertical-relative:paragraph;z-index:2488" coordorigin="1134,732" coordsize="8931,2">
            <v:shape style="position:absolute;left:1134;top:732;width:8931;height:2" coordorigin="1134,732" coordsize="8931,0" path="m1134,732l10064,732e" filled="false" stroked="true" strokeweight="1.5pt" strokecolor="#000000">
              <v:path arrowok="t"/>
            </v:shape>
            <w10:wrap type="none"/>
          </v:group>
        </w:pict>
      </w:r>
      <w:r>
        <w:rPr>
          <w:spacing w:val="-1"/>
        </w:rPr>
        <w:t>2011年度每股收益</w:t>
      </w:r>
    </w:p>
    <w:p>
      <w:pPr>
        <w:pStyle w:val="BodyText"/>
        <w:spacing w:line="240" w:lineRule="auto" w:before="741"/>
        <w:ind w:left="4867" w:right="0"/>
        <w:jc w:val="left"/>
      </w:pPr>
      <w:r>
        <w:rPr/>
        <w:br w:type="column"/>
      </w:r>
      <w:r>
        <w:rPr/>
        <w:t>每股收益</w:t>
      </w:r>
    </w:p>
    <w:p>
      <w:pPr>
        <w:pStyle w:val="BodyText"/>
        <w:tabs>
          <w:tab w:pos="3735" w:val="left" w:leader="none"/>
          <w:tab w:pos="5648" w:val="left" w:leader="none"/>
        </w:tabs>
        <w:spacing w:line="240" w:lineRule="auto" w:before="72"/>
        <w:ind w:right="0"/>
        <w:jc w:val="left"/>
      </w:pPr>
      <w:r>
        <w:rPr/>
        <w:pict>
          <v:group style="position:absolute;margin-left:56.700001pt;margin-top:3.443972pt;width:446.55pt;height:.1pt;mso-position-horizontal-relative:page;mso-position-vertical-relative:paragraph;z-index:2512" coordorigin="1134,69" coordsize="8931,2">
            <v:shape style="position:absolute;left:1134;top:69;width:8931;height:2" coordorigin="1134,69" coordsize="8931,0" path="m1134,69l10064,69e" filled="false" stroked="true" strokeweight=".72pt" strokecolor="#000000">
              <v:path arrowok="t"/>
            </v:shape>
            <w10:wrap type="none"/>
          </v:group>
        </w:pict>
      </w:r>
      <w:r>
        <w:rPr/>
        <w:t>报告期利润</w:t>
        <w:tab/>
        <w:t>基本每股收益</w:t>
        <w:tab/>
        <w:t>稀释每股收益</w:t>
      </w:r>
    </w:p>
    <w:p>
      <w:pPr>
        <w:spacing w:after="0" w:line="240" w:lineRule="auto"/>
        <w:jc w:val="left"/>
        <w:sectPr>
          <w:type w:val="continuous"/>
          <w:pgSz w:w="11910" w:h="16840"/>
          <w:pgMar w:top="1040" w:bottom="1200" w:left="980" w:right="980"/>
          <w:cols w:num="2" w:equalWidth="0">
            <w:col w:w="1834" w:space="191"/>
            <w:col w:w="7925"/>
          </w:cols>
        </w:sectPr>
      </w:pPr>
    </w:p>
    <w:p>
      <w:pPr>
        <w:spacing w:line="240" w:lineRule="auto" w:before="11"/>
        <w:rPr>
          <w:rFonts w:ascii="宋体" w:hAnsi="宋体" w:cs="宋体" w:eastAsia="宋体" w:hint="default"/>
          <w:sz w:val="4"/>
          <w:szCs w:val="4"/>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447.25pt;height:.75pt;mso-position-horizontal-relative:char;mso-position-vertical-relative:line" coordorigin="0,0" coordsize="8945,15">
            <v:group style="position:absolute;left:7;top:7;width:8931;height:2" coordorigin="7,7" coordsize="8931,2">
              <v:shape style="position:absolute;left:7;top:7;width:8931;height:2" coordorigin="7,7" coordsize="8931,0" path="m7,7l8938,7e" filled="false" stroked="true" strokeweight=".72pt" strokecolor="#000000">
                <v:path arrowok="t"/>
              </v:shape>
            </v:group>
          </v:group>
        </w:pict>
      </w:r>
      <w:r>
        <w:rPr>
          <w:rFonts w:ascii="宋体" w:hAnsi="宋体" w:cs="宋体" w:eastAsia="宋体" w:hint="default"/>
          <w:sz w:val="2"/>
          <w:szCs w:val="2"/>
        </w:rPr>
      </w:r>
    </w:p>
    <w:p>
      <w:pPr>
        <w:pStyle w:val="BodyText"/>
        <w:tabs>
          <w:tab w:pos="6813" w:val="left" w:leader="none"/>
          <w:tab w:pos="8654" w:val="left" w:leader="none"/>
        </w:tabs>
        <w:spacing w:line="240" w:lineRule="auto"/>
        <w:ind w:left="163" w:right="132"/>
        <w:jc w:val="left"/>
      </w:pPr>
      <w:r>
        <w:rPr/>
        <w:t>归属于公司普通股股东的净利润</w:t>
        <w:tab/>
        <w:t>0.81</w:t>
      </w:r>
      <w:r>
        <w:rPr>
          <w:rFonts w:ascii="Times New Roman" w:hAnsi="Times New Roman" w:cs="Times New Roman" w:eastAsia="Times New Roman" w:hint="default"/>
        </w:rPr>
        <w:tab/>
      </w:r>
      <w:r>
        <w:rPr/>
        <w:t>0.81</w:t>
      </w:r>
    </w:p>
    <w:p>
      <w:pPr>
        <w:spacing w:line="240" w:lineRule="auto" w:before="11"/>
        <w:rPr>
          <w:rFonts w:ascii="宋体" w:hAnsi="宋体" w:cs="宋体" w:eastAsia="宋体" w:hint="default"/>
          <w:sz w:val="4"/>
          <w:szCs w:val="4"/>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447.25pt;height:.75pt;mso-position-horizontal-relative:char;mso-position-vertical-relative:line" coordorigin="0,0" coordsize="8945,15">
            <v:group style="position:absolute;left:7;top:7;width:8931;height:2" coordorigin="7,7" coordsize="8931,2">
              <v:shape style="position:absolute;left:7;top:7;width:8931;height:2" coordorigin="7,7" coordsize="8931,0" path="m7,7l8938,7e" filled="false" stroked="true" strokeweight=".72pt" strokecolor="#000000">
                <v:path arrowok="t"/>
              </v:shape>
            </v:group>
          </v:group>
        </w:pict>
      </w:r>
      <w:r>
        <w:rPr>
          <w:rFonts w:ascii="宋体" w:hAnsi="宋体" w:cs="宋体" w:eastAsia="宋体" w:hint="default"/>
          <w:sz w:val="2"/>
          <w:szCs w:val="2"/>
        </w:rPr>
      </w:r>
    </w:p>
    <w:p>
      <w:pPr>
        <w:pStyle w:val="BodyText"/>
        <w:tabs>
          <w:tab w:pos="6813" w:val="left" w:leader="none"/>
          <w:tab w:pos="8654" w:val="left" w:leader="none"/>
        </w:tabs>
        <w:spacing w:line="240" w:lineRule="auto"/>
        <w:ind w:left="163" w:right="132"/>
        <w:jc w:val="left"/>
      </w:pPr>
      <w:r>
        <w:rPr/>
        <w:t>扣除非经常性损益后归属于公司普通股股东的净利润</w:t>
        <w:tab/>
        <w:t>0.79</w:t>
      </w:r>
      <w:r>
        <w:rPr>
          <w:rFonts w:ascii="Times New Roman" w:hAnsi="Times New Roman" w:cs="Times New Roman" w:eastAsia="Times New Roman" w:hint="default"/>
        </w:rPr>
        <w:tab/>
      </w:r>
      <w:r>
        <w:rPr/>
        <w:t>0.79</w:t>
      </w:r>
    </w:p>
    <w:p>
      <w:pPr>
        <w:spacing w:line="240" w:lineRule="auto" w:before="9"/>
        <w:rPr>
          <w:rFonts w:ascii="宋体" w:hAnsi="宋体" w:cs="宋体" w:eastAsia="宋体" w:hint="default"/>
          <w:sz w:val="4"/>
          <w:szCs w:val="4"/>
        </w:rPr>
      </w:pPr>
    </w:p>
    <w:p>
      <w:pPr>
        <w:spacing w:line="30" w:lineRule="exact"/>
        <w:ind w:left="13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48.05pt;height:1.5pt;mso-position-horizontal-relative:char;mso-position-vertical-relative:line" coordorigin="0,0" coordsize="8961,30">
            <v:group style="position:absolute;left:15;top:15;width:8931;height:2" coordorigin="15,15" coordsize="8931,2">
              <v:shape style="position:absolute;left:15;top:15;width:8931;height:2" coordorigin="15,15" coordsize="8931,0" path="m15,15l8945,15e" filled="false" stroked="true" strokeweight="1.5pt" strokecolor="#000000">
                <v:path arrowok="t"/>
              </v:shape>
            </v:group>
          </v:group>
        </w:pict>
      </w:r>
      <w:r>
        <w:rPr>
          <w:rFonts w:ascii="宋体" w:hAnsi="宋体" w:cs="宋体" w:eastAsia="宋体" w:hint="default"/>
          <w:position w:val="0"/>
          <w:sz w:val="3"/>
          <w:szCs w:val="3"/>
        </w:rPr>
      </w:r>
    </w:p>
    <w:p>
      <w:pPr>
        <w:pStyle w:val="BodyText"/>
        <w:spacing w:line="240" w:lineRule="auto"/>
        <w:ind w:left="163" w:right="132"/>
        <w:jc w:val="left"/>
      </w:pPr>
      <w:r>
        <w:rPr/>
        <w:t>上述数据采用以下计算公式计算而得：</w:t>
      </w:r>
    </w:p>
    <w:p>
      <w:pPr>
        <w:spacing w:line="240" w:lineRule="auto" w:before="1"/>
        <w:rPr>
          <w:rFonts w:ascii="宋体" w:hAnsi="宋体" w:cs="宋体" w:eastAsia="宋体" w:hint="default"/>
          <w:sz w:val="27"/>
          <w:szCs w:val="27"/>
        </w:rPr>
      </w:pPr>
    </w:p>
    <w:p>
      <w:pPr>
        <w:pStyle w:val="BodyText"/>
        <w:spacing w:line="240" w:lineRule="auto" w:before="35"/>
        <w:ind w:left="163" w:right="132"/>
        <w:jc w:val="left"/>
      </w:pPr>
      <w:r>
        <w:rPr/>
        <w:t>基本每股收益=P0÷S</w:t>
      </w:r>
    </w:p>
    <w:p>
      <w:pPr>
        <w:pStyle w:val="BodyText"/>
        <w:spacing w:line="240" w:lineRule="auto" w:before="37"/>
        <w:ind w:left="583" w:right="132"/>
        <w:jc w:val="left"/>
      </w:pPr>
      <w:r>
        <w:rPr/>
        <w:t>S= S0＋S1＋Si×Mi÷M0–</w:t>
      </w:r>
      <w:r>
        <w:rPr>
          <w:spacing w:val="-16"/>
        </w:rPr>
        <w:t> </w:t>
      </w:r>
      <w:r>
        <w:rPr/>
        <w:t>Sj×Mj÷M0-Sk</w:t>
      </w:r>
    </w:p>
    <w:p>
      <w:pPr>
        <w:pStyle w:val="BodyText"/>
        <w:spacing w:line="273" w:lineRule="auto" w:before="37"/>
        <w:ind w:left="163" w:right="132" w:firstLine="420"/>
        <w:jc w:val="left"/>
      </w:pPr>
      <w:r>
        <w:rPr/>
        <w:t>其中：P0为归属于公司普通股股东的净利润或扣除非经常性损益后归属于普通股股东的净利 润；S为发行在外的普通股加权平均数；S0为期初股份总数；S1为报告期因公积金转增股本或股票 股利分配等增加股份数；Si为报告期因发行新股或债转股等增加股份数；Sj为报告期因回购等减 </w:t>
      </w:r>
      <w:r>
        <w:rPr>
          <w:spacing w:val="-1"/>
        </w:rPr>
        <w:t>少股份数；Sk为报告期缩股数；M0报告期月份数；Mi为增加股份次月起至报告期期末的累计月数；</w:t>
      </w:r>
      <w:r>
        <w:rPr>
          <w:spacing w:val="-80"/>
        </w:rPr>
        <w:t> </w:t>
      </w:r>
      <w:r>
        <w:rPr>
          <w:spacing w:val="-80"/>
        </w:rPr>
      </w:r>
      <w:r>
        <w:rPr/>
        <w:t>Mj为减少股份次月起至报告期期末的累计月数。</w:t>
      </w:r>
    </w:p>
    <w:p>
      <w:pPr>
        <w:spacing w:line="240" w:lineRule="auto" w:before="12"/>
        <w:rPr>
          <w:rFonts w:ascii="宋体" w:hAnsi="宋体" w:cs="宋体" w:eastAsia="宋体" w:hint="default"/>
          <w:sz w:val="25"/>
          <w:szCs w:val="25"/>
        </w:rPr>
      </w:pPr>
    </w:p>
    <w:p>
      <w:pPr>
        <w:pStyle w:val="BodyText"/>
        <w:spacing w:line="273" w:lineRule="auto"/>
        <w:ind w:left="163" w:right="941"/>
        <w:jc w:val="left"/>
      </w:pPr>
      <w:r>
        <w:rPr/>
        <w:t>公司若存在发行可转换债券、股份期权、认股权证等稀释性潜在普通股情况下，稀释每股收益可 参照如下公式计算：</w:t>
      </w:r>
    </w:p>
    <w:p>
      <w:pPr>
        <w:pStyle w:val="BodyText"/>
        <w:spacing w:line="273" w:lineRule="auto" w:before="7"/>
        <w:ind w:left="163" w:right="941" w:firstLine="420"/>
        <w:jc w:val="left"/>
      </w:pPr>
      <w:r>
        <w:rPr/>
        <w:t>稀释每股收益=P1/(S0＋S1＋Si×Mi÷M0–Sj×Mj÷M0–Sk+认股权证、股份期权、可转换债 券等增加的普通股加权平均数)</w:t>
      </w:r>
    </w:p>
    <w:p>
      <w:pPr>
        <w:pStyle w:val="BodyText"/>
        <w:spacing w:line="273" w:lineRule="auto" w:before="7"/>
        <w:ind w:left="163" w:right="958" w:firstLine="420"/>
        <w:jc w:val="both"/>
      </w:pPr>
      <w:r>
        <w:rPr/>
        <w:t>其中，P1为归属于公司普通股股东的净利润或扣除非经常性损益后归属于公司普通股股东的 净利润，并考虑稀释性潜在普通股对其影响，按《企业会计准则》及有关规定进行调整。公司在 计算稀释每股收益时，应考虑所有稀释性潜在普通股对归属于公司普通股股东的净利润或扣除非 经常性损益后归属于公司普通股股东的净利润和加权平均股数的影响，按照其稀释程度从大到小 的顺序计入稀释每股收益，直至稀释每股收益达到最小值。</w:t>
      </w:r>
    </w:p>
    <w:p>
      <w:pPr>
        <w:spacing w:after="0" w:line="273" w:lineRule="auto"/>
        <w:jc w:val="both"/>
        <w:sectPr>
          <w:type w:val="continuous"/>
          <w:pgSz w:w="11910" w:h="16840"/>
          <w:pgMar w:top="1040" w:bottom="120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132"/>
        <w:jc w:val="left"/>
        <w:rPr>
          <w:b w:val="0"/>
          <w:bCs w:val="0"/>
        </w:rPr>
      </w:pPr>
      <w:r>
        <w:rPr/>
        <w:t>48、现金流量表附注</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132"/>
        <w:jc w:val="left"/>
        <w:rPr>
          <w:b w:val="0"/>
          <w:bCs w:val="0"/>
        </w:rPr>
      </w:pPr>
      <w:r>
        <w:rPr/>
        <w:t>（1）收到的其他与经营活动有关的现金</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5584"/>
        <w:gridCol w:w="3983"/>
      </w:tblGrid>
      <w:tr>
        <w:trPr>
          <w:trHeight w:val="415" w:hRule="exact"/>
        </w:trPr>
        <w:tc>
          <w:tcPr>
            <w:tcW w:w="5584"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2603"/>
              <w:jc w:val="right"/>
              <w:rPr>
                <w:rFonts w:ascii="宋体" w:hAnsi="宋体" w:cs="宋体" w:eastAsia="宋体" w:hint="default"/>
                <w:sz w:val="18"/>
                <w:szCs w:val="18"/>
              </w:rPr>
            </w:pPr>
            <w:r>
              <w:rPr>
                <w:rFonts w:ascii="宋体" w:hAnsi="宋体" w:cs="宋体" w:eastAsia="宋体" w:hint="default"/>
                <w:sz w:val="18"/>
                <w:szCs w:val="18"/>
              </w:rPr>
              <w:t>项目</w:t>
            </w:r>
          </w:p>
        </w:tc>
        <w:tc>
          <w:tcPr>
            <w:tcW w:w="3983"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7" w:hRule="exact"/>
        </w:trPr>
        <w:tc>
          <w:tcPr>
            <w:tcW w:w="55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w:t>
            </w:r>
          </w:p>
        </w:tc>
        <w:tc>
          <w:tcPr>
            <w:tcW w:w="3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41,043,322.71</w:t>
            </w:r>
          </w:p>
        </w:tc>
      </w:tr>
      <w:tr>
        <w:trPr>
          <w:trHeight w:val="415" w:hRule="exact"/>
        </w:trPr>
        <w:tc>
          <w:tcPr>
            <w:tcW w:w="5584"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right="2603"/>
              <w:jc w:val="right"/>
              <w:rPr>
                <w:rFonts w:ascii="宋体" w:hAnsi="宋体" w:cs="宋体" w:eastAsia="宋体" w:hint="default"/>
                <w:sz w:val="18"/>
                <w:szCs w:val="18"/>
              </w:rPr>
            </w:pPr>
            <w:r>
              <w:rPr>
                <w:rFonts w:ascii="宋体" w:hAnsi="宋体" w:cs="宋体" w:eastAsia="宋体" w:hint="default"/>
                <w:sz w:val="18"/>
                <w:szCs w:val="18"/>
              </w:rPr>
              <w:t>合计</w:t>
            </w:r>
          </w:p>
        </w:tc>
        <w:tc>
          <w:tcPr>
            <w:tcW w:w="39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41,043,322.71</w:t>
            </w:r>
          </w:p>
        </w:tc>
      </w:tr>
    </w:tbl>
    <w:p>
      <w:pPr>
        <w:pStyle w:val="BodyText"/>
        <w:spacing w:line="240" w:lineRule="auto" w:before="26"/>
        <w:ind w:right="132"/>
        <w:jc w:val="left"/>
      </w:pPr>
      <w:r>
        <w:rPr/>
        <w:t>收到的其他与经营活动有关的现金说明</w:t>
      </w:r>
    </w:p>
    <w:p>
      <w:pPr>
        <w:spacing w:line="240" w:lineRule="auto" w:before="0"/>
        <w:rPr>
          <w:rFonts w:ascii="宋体" w:hAnsi="宋体" w:cs="宋体" w:eastAsia="宋体" w:hint="default"/>
          <w:sz w:val="7"/>
          <w:szCs w:val="7"/>
        </w:rPr>
      </w:pPr>
    </w:p>
    <w:p>
      <w:pPr>
        <w:spacing w:line="30" w:lineRule="exact"/>
        <w:ind w:left="13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83.5pt;height:1.5pt;mso-position-horizontal-relative:char;mso-position-vertical-relative:line" coordorigin="0,0" coordsize="9670,30">
            <v:group style="position:absolute;left:15;top:15;width:9640;height:2" coordorigin="15,15" coordsize="9640,2">
              <v:shape style="position:absolute;left:15;top:15;width:9640;height:2" coordorigin="15,15" coordsize="9640,0" path="m15,15l9655,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2"/>
        <w:rPr>
          <w:rFonts w:ascii="宋体" w:hAnsi="宋体" w:cs="宋体" w:eastAsia="宋体" w:hint="default"/>
          <w:sz w:val="25"/>
          <w:szCs w:val="25"/>
        </w:rPr>
      </w:pPr>
    </w:p>
    <w:tbl>
      <w:tblPr>
        <w:tblW w:w="0" w:type="auto"/>
        <w:jc w:val="left"/>
        <w:tblInd w:w="153" w:type="dxa"/>
        <w:tblLayout w:type="fixed"/>
        <w:tblCellMar>
          <w:top w:w="0" w:type="dxa"/>
          <w:left w:w="0" w:type="dxa"/>
          <w:bottom w:w="0" w:type="dxa"/>
          <w:right w:w="0" w:type="dxa"/>
        </w:tblCellMar>
        <w:tblLook w:val="01E0"/>
      </w:tblPr>
      <w:tblGrid>
        <w:gridCol w:w="3037"/>
        <w:gridCol w:w="4066"/>
        <w:gridCol w:w="2537"/>
      </w:tblGrid>
      <w:tr>
        <w:trPr>
          <w:trHeight w:val="349" w:hRule="exact"/>
        </w:trPr>
        <w:tc>
          <w:tcPr>
            <w:tcW w:w="3037"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right="399"/>
              <w:jc w:val="center"/>
              <w:rPr>
                <w:rFonts w:ascii="宋体" w:hAnsi="宋体" w:cs="宋体" w:eastAsia="宋体" w:hint="default"/>
                <w:sz w:val="18"/>
                <w:szCs w:val="18"/>
              </w:rPr>
            </w:pPr>
            <w:r>
              <w:rPr>
                <w:rFonts w:ascii="宋体" w:hAnsi="宋体" w:cs="宋体" w:eastAsia="宋体" w:hint="default"/>
                <w:sz w:val="18"/>
                <w:szCs w:val="18"/>
              </w:rPr>
              <w:t>项目</w:t>
            </w:r>
          </w:p>
        </w:tc>
        <w:tc>
          <w:tcPr>
            <w:tcW w:w="4066"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right="1354"/>
              <w:jc w:val="right"/>
              <w:rPr>
                <w:rFonts w:ascii="宋体" w:hAnsi="宋体" w:cs="宋体" w:eastAsia="宋体" w:hint="default"/>
                <w:sz w:val="18"/>
                <w:szCs w:val="18"/>
              </w:rPr>
            </w:pPr>
            <w:r>
              <w:rPr>
                <w:rFonts w:ascii="宋体" w:hAnsi="宋体" w:cs="宋体" w:eastAsia="宋体" w:hint="default"/>
                <w:sz w:val="18"/>
                <w:szCs w:val="18"/>
              </w:rPr>
              <w:t>2012年度</w:t>
            </w:r>
          </w:p>
        </w:tc>
        <w:tc>
          <w:tcPr>
            <w:tcW w:w="2537"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hAnsi="宋体" w:cs="宋体" w:eastAsia="宋体" w:hint="default"/>
                <w:sz w:val="18"/>
                <w:szCs w:val="18"/>
              </w:rPr>
              <w:t>2011年度</w:t>
            </w:r>
          </w:p>
        </w:tc>
      </w:tr>
      <w:tr>
        <w:trPr>
          <w:trHeight w:val="347" w:hRule="exact"/>
        </w:trPr>
        <w:tc>
          <w:tcPr>
            <w:tcW w:w="3037"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4066"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1354"/>
              <w:jc w:val="right"/>
              <w:rPr>
                <w:rFonts w:ascii="宋体" w:hAnsi="宋体" w:cs="宋体" w:eastAsia="宋体" w:hint="default"/>
                <w:sz w:val="18"/>
                <w:szCs w:val="18"/>
              </w:rPr>
            </w:pPr>
            <w:r>
              <w:rPr>
                <w:rFonts w:ascii="宋体"/>
                <w:sz w:val="18"/>
              </w:rPr>
              <w:t>4,150,000.00</w:t>
            </w:r>
          </w:p>
        </w:tc>
        <w:tc>
          <w:tcPr>
            <w:tcW w:w="2537"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8"/>
              <w:jc w:val="right"/>
              <w:rPr>
                <w:rFonts w:ascii="宋体" w:hAnsi="宋体" w:cs="宋体" w:eastAsia="宋体" w:hint="default"/>
                <w:sz w:val="18"/>
                <w:szCs w:val="18"/>
              </w:rPr>
            </w:pPr>
            <w:r>
              <w:rPr>
                <w:rFonts w:ascii="宋体"/>
                <w:sz w:val="18"/>
              </w:rPr>
              <w:t>1,700,000.00</w:t>
            </w:r>
          </w:p>
        </w:tc>
      </w:tr>
      <w:tr>
        <w:trPr>
          <w:trHeight w:val="347" w:hRule="exact"/>
        </w:trPr>
        <w:tc>
          <w:tcPr>
            <w:tcW w:w="3037"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4066"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1354"/>
              <w:jc w:val="right"/>
              <w:rPr>
                <w:rFonts w:ascii="宋体" w:hAnsi="宋体" w:cs="宋体" w:eastAsia="宋体" w:hint="default"/>
                <w:sz w:val="18"/>
                <w:szCs w:val="18"/>
              </w:rPr>
            </w:pPr>
            <w:r>
              <w:rPr>
                <w:rFonts w:ascii="宋体"/>
                <w:sz w:val="18"/>
              </w:rPr>
              <w:t>1,255,457.03</w:t>
            </w:r>
          </w:p>
        </w:tc>
        <w:tc>
          <w:tcPr>
            <w:tcW w:w="2537"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8"/>
              <w:jc w:val="right"/>
              <w:rPr>
                <w:rFonts w:ascii="宋体" w:hAnsi="宋体" w:cs="宋体" w:eastAsia="宋体" w:hint="default"/>
                <w:sz w:val="18"/>
                <w:szCs w:val="18"/>
              </w:rPr>
            </w:pPr>
            <w:r>
              <w:rPr>
                <w:rFonts w:ascii="宋体"/>
                <w:sz w:val="18"/>
              </w:rPr>
              <w:t>723,379.49</w:t>
            </w:r>
          </w:p>
        </w:tc>
      </w:tr>
      <w:tr>
        <w:trPr>
          <w:trHeight w:val="347" w:hRule="exact"/>
        </w:trPr>
        <w:tc>
          <w:tcPr>
            <w:tcW w:w="3037"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员工还款</w:t>
            </w:r>
          </w:p>
        </w:tc>
        <w:tc>
          <w:tcPr>
            <w:tcW w:w="4066"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1354"/>
              <w:jc w:val="right"/>
              <w:rPr>
                <w:rFonts w:ascii="宋体" w:hAnsi="宋体" w:cs="宋体" w:eastAsia="宋体" w:hint="default"/>
                <w:sz w:val="18"/>
                <w:szCs w:val="18"/>
              </w:rPr>
            </w:pPr>
            <w:r>
              <w:rPr>
                <w:rFonts w:ascii="宋体"/>
                <w:sz w:val="18"/>
              </w:rPr>
              <w:t>6,293,834.46</w:t>
            </w:r>
          </w:p>
        </w:tc>
        <w:tc>
          <w:tcPr>
            <w:tcW w:w="2537"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8"/>
              <w:jc w:val="right"/>
              <w:rPr>
                <w:rFonts w:ascii="宋体" w:hAnsi="宋体" w:cs="宋体" w:eastAsia="宋体" w:hint="default"/>
                <w:sz w:val="18"/>
                <w:szCs w:val="18"/>
              </w:rPr>
            </w:pPr>
            <w:r>
              <w:rPr>
                <w:rFonts w:ascii="宋体"/>
                <w:sz w:val="18"/>
              </w:rPr>
              <w:t>1,720,822.20</w:t>
            </w:r>
          </w:p>
        </w:tc>
      </w:tr>
      <w:tr>
        <w:trPr>
          <w:trHeight w:val="348" w:hRule="exact"/>
        </w:trPr>
        <w:tc>
          <w:tcPr>
            <w:tcW w:w="3037"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退保函银票</w:t>
            </w:r>
          </w:p>
        </w:tc>
        <w:tc>
          <w:tcPr>
            <w:tcW w:w="4066"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1354"/>
              <w:jc w:val="right"/>
              <w:rPr>
                <w:rFonts w:ascii="宋体" w:hAnsi="宋体" w:cs="宋体" w:eastAsia="宋体" w:hint="default"/>
                <w:sz w:val="18"/>
                <w:szCs w:val="18"/>
              </w:rPr>
            </w:pPr>
            <w:r>
              <w:rPr>
                <w:rFonts w:ascii="宋体"/>
                <w:sz w:val="18"/>
              </w:rPr>
              <w:t>2,312,501.05</w:t>
            </w:r>
          </w:p>
        </w:tc>
        <w:tc>
          <w:tcPr>
            <w:tcW w:w="2537"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8"/>
              <w:jc w:val="right"/>
              <w:rPr>
                <w:rFonts w:ascii="宋体" w:hAnsi="宋体" w:cs="宋体" w:eastAsia="宋体" w:hint="default"/>
                <w:sz w:val="18"/>
                <w:szCs w:val="18"/>
              </w:rPr>
            </w:pPr>
            <w:r>
              <w:rPr>
                <w:rFonts w:ascii="宋体"/>
                <w:sz w:val="18"/>
              </w:rPr>
              <w:t>-</w:t>
            </w:r>
          </w:p>
        </w:tc>
      </w:tr>
      <w:tr>
        <w:trPr>
          <w:trHeight w:val="347" w:hRule="exact"/>
        </w:trPr>
        <w:tc>
          <w:tcPr>
            <w:tcW w:w="3037"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9" w:right="0"/>
              <w:jc w:val="left"/>
              <w:rPr>
                <w:rFonts w:ascii="宋体" w:hAnsi="宋体" w:cs="宋体" w:eastAsia="宋体" w:hint="default"/>
                <w:sz w:val="18"/>
                <w:szCs w:val="18"/>
              </w:rPr>
            </w:pPr>
            <w:r>
              <w:rPr>
                <w:rFonts w:ascii="宋体" w:hAnsi="宋体" w:cs="宋体" w:eastAsia="宋体" w:hint="default"/>
                <w:sz w:val="18"/>
                <w:szCs w:val="18"/>
              </w:rPr>
              <w:t>退误收增值税</w:t>
            </w:r>
          </w:p>
        </w:tc>
        <w:tc>
          <w:tcPr>
            <w:tcW w:w="4066"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right="1354"/>
              <w:jc w:val="right"/>
              <w:rPr>
                <w:rFonts w:ascii="宋体" w:hAnsi="宋体" w:cs="宋体" w:eastAsia="宋体" w:hint="default"/>
                <w:sz w:val="18"/>
                <w:szCs w:val="18"/>
              </w:rPr>
            </w:pPr>
            <w:r>
              <w:rPr>
                <w:rFonts w:ascii="宋体"/>
                <w:sz w:val="18"/>
              </w:rPr>
              <w:t>1,100,326.00</w:t>
            </w:r>
          </w:p>
        </w:tc>
        <w:tc>
          <w:tcPr>
            <w:tcW w:w="2537" w:type="dxa"/>
            <w:tcBorders>
              <w:top w:val="single" w:sz="8" w:space="0" w:color="000000"/>
              <w:left w:val="nil" w:sz="6" w:space="0" w:color="auto"/>
              <w:bottom w:val="single" w:sz="8" w:space="0" w:color="000000"/>
              <w:right w:val="nil" w:sz="6" w:space="0" w:color="auto"/>
            </w:tcBorders>
          </w:tcPr>
          <w:p>
            <w:pPr/>
          </w:p>
        </w:tc>
      </w:tr>
      <w:tr>
        <w:trPr>
          <w:trHeight w:val="347" w:hRule="exact"/>
        </w:trPr>
        <w:tc>
          <w:tcPr>
            <w:tcW w:w="3037"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收回投标保证金</w:t>
            </w:r>
          </w:p>
        </w:tc>
        <w:tc>
          <w:tcPr>
            <w:tcW w:w="4066"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1354"/>
              <w:jc w:val="right"/>
              <w:rPr>
                <w:rFonts w:ascii="宋体" w:hAnsi="宋体" w:cs="宋体" w:eastAsia="宋体" w:hint="default"/>
                <w:sz w:val="18"/>
                <w:szCs w:val="18"/>
              </w:rPr>
            </w:pPr>
            <w:r>
              <w:rPr>
                <w:rFonts w:ascii="宋体"/>
                <w:sz w:val="18"/>
              </w:rPr>
              <w:t>25,554,089.00</w:t>
            </w:r>
          </w:p>
        </w:tc>
        <w:tc>
          <w:tcPr>
            <w:tcW w:w="2537"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8"/>
              <w:jc w:val="right"/>
              <w:rPr>
                <w:rFonts w:ascii="宋体" w:hAnsi="宋体" w:cs="宋体" w:eastAsia="宋体" w:hint="default"/>
                <w:sz w:val="18"/>
                <w:szCs w:val="18"/>
              </w:rPr>
            </w:pPr>
            <w:r>
              <w:rPr>
                <w:rFonts w:ascii="宋体"/>
                <w:sz w:val="18"/>
              </w:rPr>
              <w:t>10,510,316.00</w:t>
            </w:r>
          </w:p>
        </w:tc>
      </w:tr>
      <w:tr>
        <w:trPr>
          <w:trHeight w:val="347" w:hRule="exact"/>
        </w:trPr>
        <w:tc>
          <w:tcPr>
            <w:tcW w:w="3037"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066"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1354"/>
              <w:jc w:val="right"/>
              <w:rPr>
                <w:rFonts w:ascii="宋体" w:hAnsi="宋体" w:cs="宋体" w:eastAsia="宋体" w:hint="default"/>
                <w:sz w:val="18"/>
                <w:szCs w:val="18"/>
              </w:rPr>
            </w:pPr>
            <w:r>
              <w:rPr>
                <w:rFonts w:ascii="宋体"/>
                <w:sz w:val="18"/>
              </w:rPr>
              <w:t>377,115.17</w:t>
            </w:r>
          </w:p>
        </w:tc>
        <w:tc>
          <w:tcPr>
            <w:tcW w:w="2537"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8"/>
              <w:jc w:val="right"/>
              <w:rPr>
                <w:rFonts w:ascii="宋体" w:hAnsi="宋体" w:cs="宋体" w:eastAsia="宋体" w:hint="default"/>
                <w:sz w:val="18"/>
                <w:szCs w:val="18"/>
              </w:rPr>
            </w:pPr>
            <w:r>
              <w:rPr>
                <w:rFonts w:ascii="宋体"/>
                <w:sz w:val="18"/>
              </w:rPr>
              <w:t>755,727.69</w:t>
            </w:r>
          </w:p>
        </w:tc>
      </w:tr>
      <w:tr>
        <w:trPr>
          <w:trHeight w:val="352" w:hRule="exact"/>
        </w:trPr>
        <w:tc>
          <w:tcPr>
            <w:tcW w:w="3037" w:type="dxa"/>
            <w:tcBorders>
              <w:top w:val="single" w:sz="8" w:space="0" w:color="000000"/>
              <w:left w:val="nil" w:sz="6" w:space="0" w:color="auto"/>
              <w:bottom w:val="single" w:sz="12" w:space="0" w:color="000000"/>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066" w:type="dxa"/>
            <w:tcBorders>
              <w:top w:val="single" w:sz="8" w:space="0" w:color="000000"/>
              <w:left w:val="nil" w:sz="6" w:space="0" w:color="auto"/>
              <w:bottom w:val="single" w:sz="12" w:space="0" w:color="000000"/>
              <w:right w:val="nil" w:sz="6" w:space="0" w:color="auto"/>
            </w:tcBorders>
          </w:tcPr>
          <w:p>
            <w:pPr>
              <w:pStyle w:val="TableParagraph"/>
              <w:spacing w:line="240" w:lineRule="auto" w:before="16"/>
              <w:ind w:right="1354"/>
              <w:jc w:val="right"/>
              <w:rPr>
                <w:rFonts w:ascii="宋体" w:hAnsi="宋体" w:cs="宋体" w:eastAsia="宋体" w:hint="default"/>
                <w:sz w:val="18"/>
                <w:szCs w:val="18"/>
              </w:rPr>
            </w:pPr>
            <w:r>
              <w:rPr>
                <w:rFonts w:ascii="宋体"/>
                <w:sz w:val="18"/>
              </w:rPr>
              <w:t>41,043,322.71</w:t>
            </w:r>
          </w:p>
        </w:tc>
        <w:tc>
          <w:tcPr>
            <w:tcW w:w="2537" w:type="dxa"/>
            <w:tcBorders>
              <w:top w:val="single" w:sz="8" w:space="0" w:color="000000"/>
              <w:left w:val="nil" w:sz="6" w:space="0" w:color="auto"/>
              <w:bottom w:val="single" w:sz="12" w:space="0" w:color="000000"/>
              <w:right w:val="nil" w:sz="6" w:space="0" w:color="auto"/>
            </w:tcBorders>
          </w:tcPr>
          <w:p>
            <w:pPr>
              <w:pStyle w:val="TableParagraph"/>
              <w:spacing w:line="240" w:lineRule="auto" w:before="16"/>
              <w:ind w:right="8"/>
              <w:jc w:val="right"/>
              <w:rPr>
                <w:rFonts w:ascii="宋体" w:hAnsi="宋体" w:cs="宋体" w:eastAsia="宋体" w:hint="default"/>
                <w:sz w:val="18"/>
                <w:szCs w:val="18"/>
              </w:rPr>
            </w:pPr>
            <w:r>
              <w:rPr>
                <w:rFonts w:ascii="宋体"/>
                <w:sz w:val="18"/>
              </w:rPr>
              <w:t>15,410,245.38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4"/>
        <w:spacing w:line="240" w:lineRule="auto" w:before="35"/>
        <w:ind w:right="132"/>
        <w:jc w:val="left"/>
        <w:rPr>
          <w:b w:val="0"/>
          <w:bCs w:val="0"/>
        </w:rPr>
      </w:pPr>
      <w:r>
        <w:rPr/>
        <w:t>（2）支付的其他与经营活动有关的现金</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5584"/>
        <w:gridCol w:w="3983"/>
      </w:tblGrid>
      <w:tr>
        <w:trPr>
          <w:trHeight w:val="413" w:hRule="exact"/>
        </w:trPr>
        <w:tc>
          <w:tcPr>
            <w:tcW w:w="5584"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2603"/>
              <w:jc w:val="right"/>
              <w:rPr>
                <w:rFonts w:ascii="宋体" w:hAnsi="宋体" w:cs="宋体" w:eastAsia="宋体" w:hint="default"/>
                <w:sz w:val="18"/>
                <w:szCs w:val="18"/>
              </w:rPr>
            </w:pPr>
            <w:r>
              <w:rPr>
                <w:rFonts w:ascii="宋体" w:hAnsi="宋体" w:cs="宋体" w:eastAsia="宋体" w:hint="default"/>
                <w:sz w:val="18"/>
                <w:szCs w:val="18"/>
              </w:rPr>
              <w:t>项目</w:t>
            </w:r>
          </w:p>
        </w:tc>
        <w:tc>
          <w:tcPr>
            <w:tcW w:w="3983"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8" w:hRule="exact"/>
        </w:trPr>
        <w:tc>
          <w:tcPr>
            <w:tcW w:w="55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w:t>
            </w:r>
          </w:p>
        </w:tc>
        <w:tc>
          <w:tcPr>
            <w:tcW w:w="3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77,381,336.01</w:t>
            </w:r>
          </w:p>
        </w:tc>
      </w:tr>
      <w:tr>
        <w:trPr>
          <w:trHeight w:val="415" w:hRule="exact"/>
        </w:trPr>
        <w:tc>
          <w:tcPr>
            <w:tcW w:w="5584"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right="2603"/>
              <w:jc w:val="right"/>
              <w:rPr>
                <w:rFonts w:ascii="宋体" w:hAnsi="宋体" w:cs="宋体" w:eastAsia="宋体" w:hint="default"/>
                <w:sz w:val="18"/>
                <w:szCs w:val="18"/>
              </w:rPr>
            </w:pPr>
            <w:r>
              <w:rPr>
                <w:rFonts w:ascii="宋体" w:hAnsi="宋体" w:cs="宋体" w:eastAsia="宋体" w:hint="default"/>
                <w:sz w:val="18"/>
                <w:szCs w:val="18"/>
              </w:rPr>
              <w:t>合计</w:t>
            </w:r>
          </w:p>
        </w:tc>
        <w:tc>
          <w:tcPr>
            <w:tcW w:w="39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77,381,336.01</w:t>
            </w:r>
          </w:p>
        </w:tc>
      </w:tr>
    </w:tbl>
    <w:p>
      <w:pPr>
        <w:spacing w:before="51"/>
        <w:ind w:left="154" w:right="132"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2"/>
        <w:rPr>
          <w:rFonts w:ascii="宋体" w:hAnsi="宋体" w:cs="宋体" w:eastAsia="宋体" w:hint="default"/>
          <w:sz w:val="9"/>
          <w:szCs w:val="9"/>
        </w:rPr>
      </w:pPr>
    </w:p>
    <w:tbl>
      <w:tblPr>
        <w:tblW w:w="0" w:type="auto"/>
        <w:jc w:val="left"/>
        <w:tblInd w:w="153" w:type="dxa"/>
        <w:tblLayout w:type="fixed"/>
        <w:tblCellMar>
          <w:top w:w="0" w:type="dxa"/>
          <w:left w:w="0" w:type="dxa"/>
          <w:bottom w:w="0" w:type="dxa"/>
          <w:right w:w="0" w:type="dxa"/>
        </w:tblCellMar>
        <w:tblLook w:val="01E0"/>
      </w:tblPr>
      <w:tblGrid>
        <w:gridCol w:w="2981"/>
        <w:gridCol w:w="3623"/>
        <w:gridCol w:w="2270"/>
      </w:tblGrid>
      <w:tr>
        <w:trPr>
          <w:trHeight w:val="357" w:hRule="exact"/>
        </w:trPr>
        <w:tc>
          <w:tcPr>
            <w:tcW w:w="2981" w:type="dxa"/>
            <w:tcBorders>
              <w:top w:val="single" w:sz="12" w:space="0" w:color="000000"/>
              <w:left w:val="nil" w:sz="6" w:space="0" w:color="auto"/>
              <w:bottom w:val="single" w:sz="8" w:space="0" w:color="000000"/>
              <w:right w:val="nil" w:sz="6" w:space="0" w:color="auto"/>
            </w:tcBorders>
          </w:tcPr>
          <w:p>
            <w:pPr>
              <w:pStyle w:val="TableParagraph"/>
              <w:spacing w:line="271" w:lineRule="exact"/>
              <w:ind w:right="344"/>
              <w:jc w:val="center"/>
              <w:rPr>
                <w:rFonts w:ascii="宋体" w:hAnsi="宋体" w:cs="宋体" w:eastAsia="宋体" w:hint="default"/>
                <w:sz w:val="21"/>
                <w:szCs w:val="21"/>
              </w:rPr>
            </w:pPr>
            <w:r>
              <w:rPr>
                <w:rFonts w:ascii="宋体" w:hAnsi="宋体" w:cs="宋体" w:eastAsia="宋体" w:hint="default"/>
                <w:sz w:val="21"/>
                <w:szCs w:val="21"/>
              </w:rPr>
              <w:t>项目</w:t>
            </w:r>
          </w:p>
        </w:tc>
        <w:tc>
          <w:tcPr>
            <w:tcW w:w="3623" w:type="dxa"/>
            <w:tcBorders>
              <w:top w:val="single" w:sz="12" w:space="0" w:color="000000"/>
              <w:left w:val="nil" w:sz="6" w:space="0" w:color="auto"/>
              <w:bottom w:val="single" w:sz="8" w:space="0" w:color="000000"/>
              <w:right w:val="nil" w:sz="6" w:space="0" w:color="auto"/>
            </w:tcBorders>
          </w:tcPr>
          <w:p>
            <w:pPr>
              <w:pStyle w:val="TableParagraph"/>
              <w:spacing w:line="271" w:lineRule="exact"/>
              <w:ind w:right="196"/>
              <w:jc w:val="center"/>
              <w:rPr>
                <w:rFonts w:ascii="宋体" w:hAnsi="宋体" w:cs="宋体" w:eastAsia="宋体" w:hint="default"/>
                <w:sz w:val="21"/>
                <w:szCs w:val="21"/>
              </w:rPr>
            </w:pPr>
            <w:r>
              <w:rPr>
                <w:rFonts w:ascii="宋体" w:hAnsi="宋体" w:cs="宋体" w:eastAsia="宋体" w:hint="default"/>
                <w:sz w:val="21"/>
                <w:szCs w:val="21"/>
              </w:rPr>
              <w:t>2012年度</w:t>
            </w:r>
          </w:p>
        </w:tc>
        <w:tc>
          <w:tcPr>
            <w:tcW w:w="2270" w:type="dxa"/>
            <w:tcBorders>
              <w:top w:val="single" w:sz="12" w:space="0" w:color="000000"/>
              <w:left w:val="nil" w:sz="6" w:space="0" w:color="auto"/>
              <w:bottom w:val="single" w:sz="8" w:space="0" w:color="000000"/>
              <w:right w:val="nil" w:sz="6" w:space="0" w:color="auto"/>
            </w:tcBorders>
          </w:tcPr>
          <w:p>
            <w:pPr>
              <w:pStyle w:val="TableParagraph"/>
              <w:spacing w:line="271" w:lineRule="exact"/>
              <w:ind w:left="857" w:right="0"/>
              <w:jc w:val="left"/>
              <w:rPr>
                <w:rFonts w:ascii="宋体" w:hAnsi="宋体" w:cs="宋体" w:eastAsia="宋体" w:hint="default"/>
                <w:sz w:val="21"/>
                <w:szCs w:val="21"/>
              </w:rPr>
            </w:pPr>
            <w:r>
              <w:rPr>
                <w:rFonts w:ascii="宋体" w:hAnsi="宋体" w:cs="宋体" w:eastAsia="宋体" w:hint="default"/>
                <w:sz w:val="21"/>
                <w:szCs w:val="21"/>
              </w:rPr>
              <w:t>2011年度</w:t>
            </w:r>
          </w:p>
        </w:tc>
      </w:tr>
      <w:tr>
        <w:trPr>
          <w:trHeight w:val="352" w:hRule="exact"/>
        </w:trPr>
        <w:tc>
          <w:tcPr>
            <w:tcW w:w="2981" w:type="dxa"/>
            <w:tcBorders>
              <w:top w:val="single" w:sz="8" w:space="0" w:color="000000"/>
              <w:left w:val="nil" w:sz="6" w:space="0" w:color="auto"/>
              <w:bottom w:val="single" w:sz="8"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623" w:type="dxa"/>
            <w:tcBorders>
              <w:top w:val="single" w:sz="8" w:space="0" w:color="000000"/>
              <w:left w:val="nil" w:sz="6" w:space="0" w:color="auto"/>
              <w:bottom w:val="single" w:sz="8" w:space="0" w:color="000000"/>
              <w:right w:val="nil" w:sz="6" w:space="0" w:color="auto"/>
            </w:tcBorders>
          </w:tcPr>
          <w:p>
            <w:pPr>
              <w:pStyle w:val="TableParagraph"/>
              <w:spacing w:line="271" w:lineRule="exact"/>
              <w:ind w:right="857"/>
              <w:jc w:val="right"/>
              <w:rPr>
                <w:rFonts w:ascii="宋体" w:hAnsi="宋体" w:cs="宋体" w:eastAsia="宋体" w:hint="default"/>
                <w:sz w:val="21"/>
                <w:szCs w:val="21"/>
              </w:rPr>
            </w:pPr>
            <w:r>
              <w:rPr>
                <w:rFonts w:ascii="宋体"/>
                <w:spacing w:val="-1"/>
                <w:sz w:val="21"/>
              </w:rPr>
              <w:t>22,465,898.54</w:t>
            </w:r>
            <w:r>
              <w:rPr>
                <w:rFonts w:ascii="宋体"/>
                <w:sz w:val="21"/>
              </w:rPr>
            </w:r>
          </w:p>
        </w:tc>
        <w:tc>
          <w:tcPr>
            <w:tcW w:w="2270" w:type="dxa"/>
            <w:tcBorders>
              <w:top w:val="single" w:sz="8" w:space="0" w:color="000000"/>
              <w:left w:val="nil" w:sz="6" w:space="0" w:color="auto"/>
              <w:bottom w:val="single" w:sz="8" w:space="0" w:color="000000"/>
              <w:right w:val="nil" w:sz="6" w:space="0" w:color="auto"/>
            </w:tcBorders>
          </w:tcPr>
          <w:p>
            <w:pPr>
              <w:pStyle w:val="TableParagraph"/>
              <w:spacing w:line="271" w:lineRule="exact"/>
              <w:ind w:right="7"/>
              <w:jc w:val="right"/>
              <w:rPr>
                <w:rFonts w:ascii="宋体" w:hAnsi="宋体" w:cs="宋体" w:eastAsia="宋体" w:hint="default"/>
                <w:sz w:val="21"/>
                <w:szCs w:val="21"/>
              </w:rPr>
            </w:pPr>
            <w:r>
              <w:rPr>
                <w:rFonts w:ascii="宋体"/>
                <w:spacing w:val="-1"/>
                <w:sz w:val="21"/>
              </w:rPr>
              <w:t>12,070,094.86</w:t>
            </w:r>
            <w:r>
              <w:rPr>
                <w:rFonts w:ascii="宋体"/>
                <w:sz w:val="21"/>
              </w:rPr>
            </w:r>
          </w:p>
        </w:tc>
      </w:tr>
      <w:tr>
        <w:trPr>
          <w:trHeight w:val="353" w:hRule="exact"/>
        </w:trPr>
        <w:tc>
          <w:tcPr>
            <w:tcW w:w="2981" w:type="dxa"/>
            <w:tcBorders>
              <w:top w:val="single" w:sz="8" w:space="0" w:color="000000"/>
              <w:left w:val="nil" w:sz="6" w:space="0" w:color="auto"/>
              <w:bottom w:val="single" w:sz="8"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3623" w:type="dxa"/>
            <w:tcBorders>
              <w:top w:val="single" w:sz="8" w:space="0" w:color="000000"/>
              <w:left w:val="nil" w:sz="6" w:space="0" w:color="auto"/>
              <w:bottom w:val="single" w:sz="8" w:space="0" w:color="000000"/>
              <w:right w:val="nil" w:sz="6" w:space="0" w:color="auto"/>
            </w:tcBorders>
          </w:tcPr>
          <w:p>
            <w:pPr>
              <w:pStyle w:val="TableParagraph"/>
              <w:spacing w:line="271" w:lineRule="exact"/>
              <w:ind w:right="855"/>
              <w:jc w:val="right"/>
              <w:rPr>
                <w:rFonts w:ascii="宋体" w:hAnsi="宋体" w:cs="宋体" w:eastAsia="宋体" w:hint="default"/>
                <w:sz w:val="21"/>
                <w:szCs w:val="21"/>
              </w:rPr>
            </w:pPr>
            <w:r>
              <w:rPr>
                <w:rFonts w:ascii="宋体"/>
                <w:spacing w:val="-1"/>
                <w:sz w:val="21"/>
              </w:rPr>
              <w:t>8,325,976.85</w:t>
            </w:r>
          </w:p>
        </w:tc>
        <w:tc>
          <w:tcPr>
            <w:tcW w:w="2270" w:type="dxa"/>
            <w:tcBorders>
              <w:top w:val="single" w:sz="8" w:space="0" w:color="000000"/>
              <w:left w:val="nil" w:sz="6" w:space="0" w:color="auto"/>
              <w:bottom w:val="single" w:sz="8" w:space="0" w:color="000000"/>
              <w:right w:val="nil" w:sz="6" w:space="0" w:color="auto"/>
            </w:tcBorders>
          </w:tcPr>
          <w:p>
            <w:pPr>
              <w:pStyle w:val="TableParagraph"/>
              <w:spacing w:line="271" w:lineRule="exact"/>
              <w:ind w:right="8"/>
              <w:jc w:val="right"/>
              <w:rPr>
                <w:rFonts w:ascii="宋体" w:hAnsi="宋体" w:cs="宋体" w:eastAsia="宋体" w:hint="default"/>
                <w:sz w:val="21"/>
                <w:szCs w:val="21"/>
              </w:rPr>
            </w:pPr>
            <w:r>
              <w:rPr>
                <w:rFonts w:ascii="宋体"/>
                <w:spacing w:val="-1"/>
                <w:sz w:val="21"/>
              </w:rPr>
              <w:t>6,870,028.13</w:t>
            </w:r>
            <w:r>
              <w:rPr>
                <w:rFonts w:ascii="宋体"/>
                <w:sz w:val="21"/>
              </w:rPr>
            </w:r>
          </w:p>
        </w:tc>
      </w:tr>
      <w:tr>
        <w:trPr>
          <w:trHeight w:val="352" w:hRule="exact"/>
        </w:trPr>
        <w:tc>
          <w:tcPr>
            <w:tcW w:w="2981" w:type="dxa"/>
            <w:tcBorders>
              <w:top w:val="single" w:sz="8" w:space="0" w:color="000000"/>
              <w:left w:val="nil" w:sz="6" w:space="0" w:color="auto"/>
              <w:bottom w:val="single" w:sz="8"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3623" w:type="dxa"/>
            <w:tcBorders>
              <w:top w:val="single" w:sz="8" w:space="0" w:color="000000"/>
              <w:left w:val="nil" w:sz="6" w:space="0" w:color="auto"/>
              <w:bottom w:val="single" w:sz="8" w:space="0" w:color="000000"/>
              <w:right w:val="nil" w:sz="6" w:space="0" w:color="auto"/>
            </w:tcBorders>
          </w:tcPr>
          <w:p>
            <w:pPr>
              <w:pStyle w:val="TableParagraph"/>
              <w:spacing w:line="271" w:lineRule="exact"/>
              <w:ind w:right="855"/>
              <w:jc w:val="right"/>
              <w:rPr>
                <w:rFonts w:ascii="宋体" w:hAnsi="宋体" w:cs="宋体" w:eastAsia="宋体" w:hint="default"/>
                <w:sz w:val="21"/>
                <w:szCs w:val="21"/>
              </w:rPr>
            </w:pPr>
            <w:r>
              <w:rPr>
                <w:rFonts w:ascii="宋体"/>
                <w:spacing w:val="-1"/>
                <w:sz w:val="21"/>
              </w:rPr>
              <w:t>308,455.52</w:t>
            </w:r>
            <w:r>
              <w:rPr>
                <w:rFonts w:ascii="宋体"/>
                <w:sz w:val="21"/>
              </w:rPr>
            </w:r>
          </w:p>
        </w:tc>
        <w:tc>
          <w:tcPr>
            <w:tcW w:w="2270" w:type="dxa"/>
            <w:tcBorders>
              <w:top w:val="single" w:sz="8" w:space="0" w:color="000000"/>
              <w:left w:val="nil" w:sz="6" w:space="0" w:color="auto"/>
              <w:bottom w:val="single" w:sz="8" w:space="0" w:color="000000"/>
              <w:right w:val="nil" w:sz="6" w:space="0" w:color="auto"/>
            </w:tcBorders>
          </w:tcPr>
          <w:p>
            <w:pPr>
              <w:pStyle w:val="TableParagraph"/>
              <w:spacing w:line="271" w:lineRule="exact"/>
              <w:ind w:right="6"/>
              <w:jc w:val="right"/>
              <w:rPr>
                <w:rFonts w:ascii="宋体" w:hAnsi="宋体" w:cs="宋体" w:eastAsia="宋体" w:hint="default"/>
                <w:sz w:val="21"/>
                <w:szCs w:val="21"/>
              </w:rPr>
            </w:pPr>
            <w:r>
              <w:rPr>
                <w:rFonts w:ascii="宋体"/>
                <w:spacing w:val="-1"/>
                <w:sz w:val="21"/>
              </w:rPr>
              <w:t>120,144.11</w:t>
            </w:r>
            <w:r>
              <w:rPr>
                <w:rFonts w:ascii="宋体"/>
                <w:sz w:val="21"/>
              </w:rPr>
            </w:r>
          </w:p>
        </w:tc>
      </w:tr>
      <w:tr>
        <w:trPr>
          <w:trHeight w:val="352" w:hRule="exact"/>
        </w:trPr>
        <w:tc>
          <w:tcPr>
            <w:tcW w:w="2981" w:type="dxa"/>
            <w:tcBorders>
              <w:top w:val="single" w:sz="8" w:space="0" w:color="000000"/>
              <w:left w:val="nil" w:sz="6" w:space="0" w:color="auto"/>
              <w:bottom w:val="single" w:sz="8"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sz w:val="21"/>
                <w:szCs w:val="21"/>
              </w:rPr>
              <w:t>员工借款</w:t>
            </w:r>
          </w:p>
        </w:tc>
        <w:tc>
          <w:tcPr>
            <w:tcW w:w="3623" w:type="dxa"/>
            <w:tcBorders>
              <w:top w:val="single" w:sz="8" w:space="0" w:color="000000"/>
              <w:left w:val="nil" w:sz="6" w:space="0" w:color="auto"/>
              <w:bottom w:val="single" w:sz="8" w:space="0" w:color="000000"/>
              <w:right w:val="nil" w:sz="6" w:space="0" w:color="auto"/>
            </w:tcBorders>
          </w:tcPr>
          <w:p>
            <w:pPr>
              <w:pStyle w:val="TableParagraph"/>
              <w:spacing w:line="271" w:lineRule="exact"/>
              <w:ind w:right="855"/>
              <w:jc w:val="right"/>
              <w:rPr>
                <w:rFonts w:ascii="宋体" w:hAnsi="宋体" w:cs="宋体" w:eastAsia="宋体" w:hint="default"/>
                <w:sz w:val="21"/>
                <w:szCs w:val="21"/>
              </w:rPr>
            </w:pPr>
            <w:r>
              <w:rPr>
                <w:rFonts w:ascii="宋体"/>
                <w:spacing w:val="-1"/>
                <w:sz w:val="21"/>
              </w:rPr>
              <w:t>7,157,756.35</w:t>
            </w:r>
          </w:p>
        </w:tc>
        <w:tc>
          <w:tcPr>
            <w:tcW w:w="2270" w:type="dxa"/>
            <w:tcBorders>
              <w:top w:val="single" w:sz="8" w:space="0" w:color="000000"/>
              <w:left w:val="nil" w:sz="6" w:space="0" w:color="auto"/>
              <w:bottom w:val="single" w:sz="8" w:space="0" w:color="000000"/>
              <w:right w:val="nil" w:sz="6" w:space="0" w:color="auto"/>
            </w:tcBorders>
          </w:tcPr>
          <w:p>
            <w:pPr>
              <w:pStyle w:val="TableParagraph"/>
              <w:spacing w:line="271" w:lineRule="exact"/>
              <w:ind w:right="8"/>
              <w:jc w:val="right"/>
              <w:rPr>
                <w:rFonts w:ascii="宋体" w:hAnsi="宋体" w:cs="宋体" w:eastAsia="宋体" w:hint="default"/>
                <w:sz w:val="21"/>
                <w:szCs w:val="21"/>
              </w:rPr>
            </w:pPr>
            <w:r>
              <w:rPr>
                <w:rFonts w:ascii="宋体"/>
                <w:spacing w:val="-1"/>
                <w:sz w:val="21"/>
              </w:rPr>
              <w:t>3,449,605.34</w:t>
            </w:r>
            <w:r>
              <w:rPr>
                <w:rFonts w:ascii="宋体"/>
                <w:sz w:val="21"/>
              </w:rPr>
            </w:r>
          </w:p>
        </w:tc>
      </w:tr>
      <w:tr>
        <w:trPr>
          <w:trHeight w:val="353" w:hRule="exact"/>
        </w:trPr>
        <w:tc>
          <w:tcPr>
            <w:tcW w:w="2981" w:type="dxa"/>
            <w:tcBorders>
              <w:top w:val="single" w:sz="8" w:space="0" w:color="000000"/>
              <w:left w:val="nil" w:sz="6" w:space="0" w:color="auto"/>
              <w:bottom w:val="single" w:sz="8"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sz w:val="21"/>
                <w:szCs w:val="21"/>
              </w:rPr>
              <w:t>投标、履约保证金</w:t>
            </w:r>
          </w:p>
        </w:tc>
        <w:tc>
          <w:tcPr>
            <w:tcW w:w="3623" w:type="dxa"/>
            <w:tcBorders>
              <w:top w:val="single" w:sz="8" w:space="0" w:color="000000"/>
              <w:left w:val="nil" w:sz="6" w:space="0" w:color="auto"/>
              <w:bottom w:val="single" w:sz="8" w:space="0" w:color="000000"/>
              <w:right w:val="nil" w:sz="6" w:space="0" w:color="auto"/>
            </w:tcBorders>
          </w:tcPr>
          <w:p>
            <w:pPr>
              <w:pStyle w:val="TableParagraph"/>
              <w:spacing w:line="271" w:lineRule="exact"/>
              <w:ind w:right="855"/>
              <w:jc w:val="right"/>
              <w:rPr>
                <w:rFonts w:ascii="宋体" w:hAnsi="宋体" w:cs="宋体" w:eastAsia="宋体" w:hint="default"/>
                <w:sz w:val="21"/>
                <w:szCs w:val="21"/>
              </w:rPr>
            </w:pPr>
            <w:r>
              <w:rPr>
                <w:rFonts w:ascii="宋体"/>
                <w:spacing w:val="-1"/>
                <w:sz w:val="21"/>
              </w:rPr>
              <w:t>35,596,738.62</w:t>
            </w:r>
          </w:p>
        </w:tc>
        <w:tc>
          <w:tcPr>
            <w:tcW w:w="2270" w:type="dxa"/>
            <w:tcBorders>
              <w:top w:val="single" w:sz="8" w:space="0" w:color="000000"/>
              <w:left w:val="nil" w:sz="6" w:space="0" w:color="auto"/>
              <w:bottom w:val="single" w:sz="8" w:space="0" w:color="000000"/>
              <w:right w:val="nil" w:sz="6" w:space="0" w:color="auto"/>
            </w:tcBorders>
          </w:tcPr>
          <w:p>
            <w:pPr>
              <w:pStyle w:val="TableParagraph"/>
              <w:spacing w:line="271" w:lineRule="exact"/>
              <w:ind w:right="7"/>
              <w:jc w:val="right"/>
              <w:rPr>
                <w:rFonts w:ascii="宋体" w:hAnsi="宋体" w:cs="宋体" w:eastAsia="宋体" w:hint="default"/>
                <w:sz w:val="21"/>
                <w:szCs w:val="21"/>
              </w:rPr>
            </w:pPr>
            <w:r>
              <w:rPr>
                <w:rFonts w:ascii="宋体"/>
                <w:spacing w:val="-1"/>
                <w:sz w:val="21"/>
              </w:rPr>
              <w:t>25,570,294.04</w:t>
            </w:r>
            <w:r>
              <w:rPr>
                <w:rFonts w:ascii="宋体"/>
                <w:sz w:val="21"/>
              </w:rPr>
            </w:r>
          </w:p>
        </w:tc>
      </w:tr>
      <w:tr>
        <w:trPr>
          <w:trHeight w:val="352" w:hRule="exact"/>
        </w:trPr>
        <w:tc>
          <w:tcPr>
            <w:tcW w:w="2981" w:type="dxa"/>
            <w:tcBorders>
              <w:top w:val="single" w:sz="8" w:space="0" w:color="000000"/>
              <w:left w:val="nil" w:sz="6" w:space="0" w:color="auto"/>
              <w:bottom w:val="single" w:sz="8"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sz w:val="21"/>
                <w:szCs w:val="21"/>
              </w:rPr>
              <w:t>捐赠</w:t>
            </w:r>
          </w:p>
        </w:tc>
        <w:tc>
          <w:tcPr>
            <w:tcW w:w="3623" w:type="dxa"/>
            <w:tcBorders>
              <w:top w:val="single" w:sz="8" w:space="0" w:color="000000"/>
              <w:left w:val="nil" w:sz="6" w:space="0" w:color="auto"/>
              <w:bottom w:val="single" w:sz="8" w:space="0" w:color="000000"/>
              <w:right w:val="nil" w:sz="6" w:space="0" w:color="auto"/>
            </w:tcBorders>
          </w:tcPr>
          <w:p>
            <w:pPr>
              <w:pStyle w:val="TableParagraph"/>
              <w:spacing w:line="271" w:lineRule="exact"/>
              <w:ind w:right="856"/>
              <w:jc w:val="right"/>
              <w:rPr>
                <w:rFonts w:ascii="宋体" w:hAnsi="宋体" w:cs="宋体" w:eastAsia="宋体" w:hint="default"/>
                <w:sz w:val="21"/>
                <w:szCs w:val="21"/>
              </w:rPr>
            </w:pPr>
            <w:r>
              <w:rPr>
                <w:rFonts w:ascii="宋体"/>
                <w:spacing w:val="-1"/>
                <w:sz w:val="21"/>
              </w:rPr>
              <w:t>1,620,000.00</w:t>
            </w:r>
          </w:p>
        </w:tc>
        <w:tc>
          <w:tcPr>
            <w:tcW w:w="2270" w:type="dxa"/>
            <w:tcBorders>
              <w:top w:val="single" w:sz="8" w:space="0" w:color="000000"/>
              <w:left w:val="nil" w:sz="6" w:space="0" w:color="auto"/>
              <w:bottom w:val="single" w:sz="8" w:space="0" w:color="000000"/>
              <w:right w:val="nil" w:sz="6" w:space="0" w:color="auto"/>
            </w:tcBorders>
          </w:tcPr>
          <w:p>
            <w:pPr>
              <w:pStyle w:val="TableParagraph"/>
              <w:spacing w:line="271" w:lineRule="exact"/>
              <w:ind w:right="7"/>
              <w:jc w:val="right"/>
              <w:rPr>
                <w:rFonts w:ascii="宋体" w:hAnsi="宋体" w:cs="宋体" w:eastAsia="宋体" w:hint="default"/>
                <w:sz w:val="21"/>
                <w:szCs w:val="21"/>
              </w:rPr>
            </w:pPr>
            <w:r>
              <w:rPr>
                <w:rFonts w:ascii="宋体"/>
                <w:spacing w:val="-1"/>
                <w:sz w:val="21"/>
              </w:rPr>
              <w:t>1,343,000.00</w:t>
            </w:r>
            <w:r>
              <w:rPr>
                <w:rFonts w:ascii="宋体"/>
                <w:sz w:val="21"/>
              </w:rPr>
            </w:r>
          </w:p>
        </w:tc>
      </w:tr>
      <w:tr>
        <w:trPr>
          <w:trHeight w:val="352" w:hRule="exact"/>
        </w:trPr>
        <w:tc>
          <w:tcPr>
            <w:tcW w:w="2981" w:type="dxa"/>
            <w:tcBorders>
              <w:top w:val="single" w:sz="8" w:space="0" w:color="000000"/>
              <w:left w:val="nil" w:sz="6" w:space="0" w:color="auto"/>
              <w:bottom w:val="single" w:sz="8"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sz w:val="21"/>
                <w:szCs w:val="21"/>
              </w:rPr>
              <w:t>误扣增值税</w:t>
            </w:r>
          </w:p>
        </w:tc>
        <w:tc>
          <w:tcPr>
            <w:tcW w:w="3623" w:type="dxa"/>
            <w:tcBorders>
              <w:top w:val="single" w:sz="8" w:space="0" w:color="000000"/>
              <w:left w:val="nil" w:sz="6" w:space="0" w:color="auto"/>
              <w:bottom w:val="single" w:sz="8" w:space="0" w:color="000000"/>
              <w:right w:val="nil" w:sz="6" w:space="0" w:color="auto"/>
            </w:tcBorders>
          </w:tcPr>
          <w:p>
            <w:pPr>
              <w:pStyle w:val="TableParagraph"/>
              <w:spacing w:line="271" w:lineRule="exact"/>
              <w:ind w:right="857"/>
              <w:jc w:val="right"/>
              <w:rPr>
                <w:rFonts w:ascii="宋体" w:hAnsi="宋体" w:cs="宋体" w:eastAsia="宋体" w:hint="default"/>
                <w:sz w:val="21"/>
                <w:szCs w:val="21"/>
              </w:rPr>
            </w:pPr>
            <w:r>
              <w:rPr>
                <w:rFonts w:ascii="宋体"/>
                <w:spacing w:val="-1"/>
                <w:sz w:val="21"/>
              </w:rPr>
              <w:t>1,100,326.00</w:t>
            </w:r>
            <w:r>
              <w:rPr>
                <w:rFonts w:ascii="宋体"/>
                <w:sz w:val="21"/>
              </w:rPr>
            </w:r>
          </w:p>
        </w:tc>
        <w:tc>
          <w:tcPr>
            <w:tcW w:w="2270" w:type="dxa"/>
            <w:tcBorders>
              <w:top w:val="single" w:sz="8" w:space="0" w:color="000000"/>
              <w:left w:val="nil" w:sz="6" w:space="0" w:color="auto"/>
              <w:bottom w:val="single" w:sz="8" w:space="0" w:color="000000"/>
              <w:right w:val="nil" w:sz="6" w:space="0" w:color="auto"/>
            </w:tcBorders>
          </w:tcPr>
          <w:p>
            <w:pPr/>
          </w:p>
        </w:tc>
      </w:tr>
      <w:tr>
        <w:trPr>
          <w:trHeight w:val="353" w:hRule="exact"/>
        </w:trPr>
        <w:tc>
          <w:tcPr>
            <w:tcW w:w="2981" w:type="dxa"/>
            <w:tcBorders>
              <w:top w:val="single" w:sz="8" w:space="0" w:color="000000"/>
              <w:left w:val="nil" w:sz="6" w:space="0" w:color="auto"/>
              <w:bottom w:val="single" w:sz="8"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623" w:type="dxa"/>
            <w:tcBorders>
              <w:top w:val="single" w:sz="8" w:space="0" w:color="000000"/>
              <w:left w:val="nil" w:sz="6" w:space="0" w:color="auto"/>
              <w:bottom w:val="single" w:sz="8" w:space="0" w:color="000000"/>
              <w:right w:val="nil" w:sz="6" w:space="0" w:color="auto"/>
            </w:tcBorders>
          </w:tcPr>
          <w:p>
            <w:pPr>
              <w:pStyle w:val="TableParagraph"/>
              <w:spacing w:line="271" w:lineRule="exact"/>
              <w:ind w:right="856"/>
              <w:jc w:val="right"/>
              <w:rPr>
                <w:rFonts w:ascii="宋体" w:hAnsi="宋体" w:cs="宋体" w:eastAsia="宋体" w:hint="default"/>
                <w:sz w:val="21"/>
                <w:szCs w:val="21"/>
              </w:rPr>
            </w:pPr>
            <w:r>
              <w:rPr>
                <w:rFonts w:ascii="宋体"/>
                <w:spacing w:val="-1"/>
                <w:sz w:val="21"/>
              </w:rPr>
              <w:t>806,184.13</w:t>
            </w:r>
            <w:r>
              <w:rPr>
                <w:rFonts w:ascii="宋体"/>
                <w:sz w:val="21"/>
              </w:rPr>
            </w:r>
          </w:p>
        </w:tc>
        <w:tc>
          <w:tcPr>
            <w:tcW w:w="2270" w:type="dxa"/>
            <w:tcBorders>
              <w:top w:val="single" w:sz="8" w:space="0" w:color="000000"/>
              <w:left w:val="nil" w:sz="6" w:space="0" w:color="auto"/>
              <w:bottom w:val="single" w:sz="8" w:space="0" w:color="000000"/>
              <w:right w:val="nil" w:sz="6" w:space="0" w:color="auto"/>
            </w:tcBorders>
          </w:tcPr>
          <w:p>
            <w:pPr>
              <w:pStyle w:val="TableParagraph"/>
              <w:spacing w:line="271" w:lineRule="exact"/>
              <w:ind w:right="7"/>
              <w:jc w:val="right"/>
              <w:rPr>
                <w:rFonts w:ascii="宋体" w:hAnsi="宋体" w:cs="宋体" w:eastAsia="宋体" w:hint="default"/>
                <w:sz w:val="21"/>
                <w:szCs w:val="21"/>
              </w:rPr>
            </w:pPr>
            <w:r>
              <w:rPr>
                <w:rFonts w:ascii="宋体"/>
                <w:spacing w:val="-1"/>
                <w:sz w:val="21"/>
              </w:rPr>
              <w:t>212,976.84</w:t>
            </w:r>
          </w:p>
        </w:tc>
      </w:tr>
      <w:tr>
        <w:trPr>
          <w:trHeight w:val="357" w:hRule="exact"/>
        </w:trPr>
        <w:tc>
          <w:tcPr>
            <w:tcW w:w="2981" w:type="dxa"/>
            <w:tcBorders>
              <w:top w:val="single" w:sz="8" w:space="0" w:color="000000"/>
              <w:left w:val="nil" w:sz="6" w:space="0" w:color="auto"/>
              <w:bottom w:val="single" w:sz="12"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623" w:type="dxa"/>
            <w:tcBorders>
              <w:top w:val="single" w:sz="8" w:space="0" w:color="000000"/>
              <w:left w:val="nil" w:sz="6" w:space="0" w:color="auto"/>
              <w:bottom w:val="single" w:sz="12" w:space="0" w:color="000000"/>
              <w:right w:val="nil" w:sz="6" w:space="0" w:color="auto"/>
            </w:tcBorders>
          </w:tcPr>
          <w:p>
            <w:pPr>
              <w:pStyle w:val="TableParagraph"/>
              <w:spacing w:line="271" w:lineRule="exact"/>
              <w:ind w:right="858"/>
              <w:jc w:val="right"/>
              <w:rPr>
                <w:rFonts w:ascii="宋体" w:hAnsi="宋体" w:cs="宋体" w:eastAsia="宋体" w:hint="default"/>
                <w:sz w:val="21"/>
                <w:szCs w:val="21"/>
              </w:rPr>
            </w:pPr>
            <w:r>
              <w:rPr>
                <w:rFonts w:ascii="宋体"/>
                <w:spacing w:val="-1"/>
                <w:sz w:val="21"/>
              </w:rPr>
              <w:t>77,381,336.01</w:t>
            </w:r>
            <w:r>
              <w:rPr>
                <w:rFonts w:ascii="宋体"/>
                <w:sz w:val="21"/>
              </w:rPr>
            </w:r>
          </w:p>
        </w:tc>
        <w:tc>
          <w:tcPr>
            <w:tcW w:w="2270" w:type="dxa"/>
            <w:tcBorders>
              <w:top w:val="single" w:sz="8" w:space="0" w:color="000000"/>
              <w:left w:val="nil" w:sz="6" w:space="0" w:color="auto"/>
              <w:bottom w:val="single" w:sz="12" w:space="0" w:color="000000"/>
              <w:right w:val="nil" w:sz="6" w:space="0" w:color="auto"/>
            </w:tcBorders>
          </w:tcPr>
          <w:p>
            <w:pPr>
              <w:pStyle w:val="TableParagraph"/>
              <w:spacing w:line="271" w:lineRule="exact"/>
              <w:ind w:right="7"/>
              <w:jc w:val="right"/>
              <w:rPr>
                <w:rFonts w:ascii="宋体" w:hAnsi="宋体" w:cs="宋体" w:eastAsia="宋体" w:hint="default"/>
                <w:sz w:val="21"/>
                <w:szCs w:val="21"/>
              </w:rPr>
            </w:pPr>
            <w:r>
              <w:rPr>
                <w:rFonts w:ascii="宋体"/>
                <w:spacing w:val="-1"/>
                <w:sz w:val="21"/>
              </w:rPr>
              <w:t>49,636,143.32</w:t>
            </w:r>
          </w:p>
        </w:tc>
      </w:tr>
    </w:tbl>
    <w:p>
      <w:pPr>
        <w:spacing w:after="0" w:line="271" w:lineRule="exact"/>
        <w:jc w:val="right"/>
        <w:rPr>
          <w:rFonts w:ascii="宋体" w:hAnsi="宋体" w:cs="宋体" w:eastAsia="宋体" w:hint="default"/>
          <w:sz w:val="21"/>
          <w:szCs w:val="21"/>
        </w:rPr>
        <w:sectPr>
          <w:pgSz w:w="11910" w:h="16840"/>
          <w:pgMar w:header="0" w:footer="1003" w:top="1100" w:bottom="120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132"/>
        <w:jc w:val="left"/>
        <w:rPr>
          <w:b w:val="0"/>
          <w:bCs w:val="0"/>
        </w:rPr>
      </w:pPr>
      <w:r>
        <w:rPr/>
        <w:t>（3）收到的其他与投资活动有关的现金</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32"/>
        <w:jc w:val="left"/>
        <w:rPr>
          <w:b w:val="0"/>
          <w:bCs w:val="0"/>
        </w:rPr>
      </w:pPr>
      <w:r>
        <w:rPr/>
        <w:t>（4）支付的其他与投资活动有关的现金</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32"/>
        <w:jc w:val="left"/>
        <w:rPr>
          <w:b w:val="0"/>
          <w:bCs w:val="0"/>
        </w:rPr>
      </w:pPr>
      <w:r>
        <w:rPr/>
        <w:t>（5）收到的其他与筹资活动有关的现金</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32"/>
        <w:jc w:val="left"/>
        <w:rPr>
          <w:b w:val="0"/>
          <w:bCs w:val="0"/>
        </w:rPr>
      </w:pPr>
      <w:r>
        <w:rPr/>
        <w:t>（6）支付的其他与筹资活动有关的现金</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5584"/>
        <w:gridCol w:w="3983"/>
      </w:tblGrid>
      <w:tr>
        <w:trPr>
          <w:trHeight w:val="413" w:hRule="exact"/>
        </w:trPr>
        <w:tc>
          <w:tcPr>
            <w:tcW w:w="5584"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2603"/>
              <w:jc w:val="right"/>
              <w:rPr>
                <w:rFonts w:ascii="宋体" w:hAnsi="宋体" w:cs="宋体" w:eastAsia="宋体" w:hint="default"/>
                <w:sz w:val="18"/>
                <w:szCs w:val="18"/>
              </w:rPr>
            </w:pPr>
            <w:r>
              <w:rPr>
                <w:rFonts w:ascii="宋体" w:hAnsi="宋体" w:cs="宋体" w:eastAsia="宋体" w:hint="default"/>
                <w:sz w:val="18"/>
                <w:szCs w:val="18"/>
              </w:rPr>
              <w:t>项目</w:t>
            </w:r>
          </w:p>
        </w:tc>
        <w:tc>
          <w:tcPr>
            <w:tcW w:w="3983"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7" w:hRule="exact"/>
        </w:trPr>
        <w:tc>
          <w:tcPr>
            <w:tcW w:w="55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w:t>
            </w:r>
          </w:p>
        </w:tc>
        <w:tc>
          <w:tcPr>
            <w:tcW w:w="3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2,158,335.00</w:t>
            </w:r>
          </w:p>
        </w:tc>
      </w:tr>
      <w:tr>
        <w:trPr>
          <w:trHeight w:val="416" w:hRule="exact"/>
        </w:trPr>
        <w:tc>
          <w:tcPr>
            <w:tcW w:w="5584"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right="2603"/>
              <w:jc w:val="right"/>
              <w:rPr>
                <w:rFonts w:ascii="宋体" w:hAnsi="宋体" w:cs="宋体" w:eastAsia="宋体" w:hint="default"/>
                <w:sz w:val="18"/>
                <w:szCs w:val="18"/>
              </w:rPr>
            </w:pPr>
            <w:r>
              <w:rPr>
                <w:rFonts w:ascii="宋体" w:hAnsi="宋体" w:cs="宋体" w:eastAsia="宋体" w:hint="default"/>
                <w:sz w:val="18"/>
                <w:szCs w:val="18"/>
              </w:rPr>
              <w:t>合计</w:t>
            </w:r>
          </w:p>
        </w:tc>
        <w:tc>
          <w:tcPr>
            <w:tcW w:w="39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2,158,335.00</w:t>
            </w:r>
          </w:p>
        </w:tc>
      </w:tr>
    </w:tbl>
    <w:p>
      <w:pPr>
        <w:pStyle w:val="BodyText"/>
        <w:spacing w:line="240" w:lineRule="auto" w:before="26"/>
        <w:ind w:right="132"/>
        <w:jc w:val="left"/>
      </w:pPr>
      <w:r>
        <w:rPr/>
        <w:t>支付的其他与筹资活动有关的现金说明</w:t>
      </w:r>
    </w:p>
    <w:p>
      <w:pPr>
        <w:spacing w:line="240" w:lineRule="auto" w:before="1"/>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3076"/>
        <w:gridCol w:w="3997"/>
        <w:gridCol w:w="2425"/>
      </w:tblGrid>
      <w:tr>
        <w:trPr>
          <w:trHeight w:val="357" w:hRule="exact"/>
        </w:trPr>
        <w:tc>
          <w:tcPr>
            <w:tcW w:w="3076" w:type="dxa"/>
            <w:tcBorders>
              <w:top w:val="single" w:sz="12" w:space="0" w:color="000000"/>
              <w:left w:val="nil" w:sz="6" w:space="0" w:color="auto"/>
              <w:bottom w:val="single" w:sz="8" w:space="0" w:color="000000"/>
              <w:right w:val="nil" w:sz="6" w:space="0" w:color="auto"/>
            </w:tcBorders>
          </w:tcPr>
          <w:p>
            <w:pPr>
              <w:pStyle w:val="TableParagraph"/>
              <w:spacing w:line="240" w:lineRule="auto" w:before="21"/>
              <w:ind w:right="446"/>
              <w:jc w:val="center"/>
              <w:rPr>
                <w:rFonts w:ascii="宋体" w:hAnsi="宋体" w:cs="宋体" w:eastAsia="宋体" w:hint="default"/>
                <w:sz w:val="18"/>
                <w:szCs w:val="18"/>
              </w:rPr>
            </w:pPr>
            <w:r>
              <w:rPr>
                <w:rFonts w:ascii="宋体" w:hAnsi="宋体" w:cs="宋体" w:eastAsia="宋体" w:hint="default"/>
                <w:sz w:val="18"/>
                <w:szCs w:val="18"/>
              </w:rPr>
              <w:t>项目</w:t>
            </w:r>
          </w:p>
        </w:tc>
        <w:tc>
          <w:tcPr>
            <w:tcW w:w="3997" w:type="dxa"/>
            <w:tcBorders>
              <w:top w:val="single" w:sz="12" w:space="0" w:color="000000"/>
              <w:left w:val="nil" w:sz="6" w:space="0" w:color="auto"/>
              <w:bottom w:val="single" w:sz="8" w:space="0" w:color="000000"/>
              <w:right w:val="nil" w:sz="6" w:space="0" w:color="auto"/>
            </w:tcBorders>
          </w:tcPr>
          <w:p>
            <w:pPr>
              <w:pStyle w:val="TableParagraph"/>
              <w:spacing w:line="240" w:lineRule="auto" w:before="21"/>
              <w:ind w:right="1334"/>
              <w:jc w:val="right"/>
              <w:rPr>
                <w:rFonts w:ascii="宋体" w:hAnsi="宋体" w:cs="宋体" w:eastAsia="宋体" w:hint="default"/>
                <w:sz w:val="18"/>
                <w:szCs w:val="18"/>
              </w:rPr>
            </w:pPr>
            <w:r>
              <w:rPr>
                <w:rFonts w:ascii="宋体" w:hAnsi="宋体" w:cs="宋体" w:eastAsia="宋体" w:hint="default"/>
                <w:sz w:val="18"/>
                <w:szCs w:val="18"/>
              </w:rPr>
              <w:t>2012年度</w:t>
            </w:r>
          </w:p>
        </w:tc>
        <w:tc>
          <w:tcPr>
            <w:tcW w:w="2425" w:type="dxa"/>
            <w:tcBorders>
              <w:top w:val="single" w:sz="12" w:space="0" w:color="000000"/>
              <w:left w:val="nil" w:sz="6" w:space="0" w:color="auto"/>
              <w:bottom w:val="single" w:sz="8"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hAnsi="宋体" w:cs="宋体" w:eastAsia="宋体" w:hint="default"/>
                <w:sz w:val="18"/>
                <w:szCs w:val="18"/>
              </w:rPr>
              <w:t>2011年度</w:t>
            </w:r>
          </w:p>
        </w:tc>
      </w:tr>
      <w:tr>
        <w:trPr>
          <w:trHeight w:val="352" w:hRule="exact"/>
        </w:trPr>
        <w:tc>
          <w:tcPr>
            <w:tcW w:w="307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汇票保证金</w:t>
            </w:r>
          </w:p>
        </w:tc>
        <w:tc>
          <w:tcPr>
            <w:tcW w:w="3997" w:type="dxa"/>
            <w:tcBorders>
              <w:top w:val="single" w:sz="8" w:space="0" w:color="000000"/>
              <w:left w:val="nil" w:sz="6" w:space="0" w:color="auto"/>
              <w:bottom w:val="single" w:sz="8" w:space="0" w:color="000000"/>
              <w:right w:val="nil" w:sz="6" w:space="0" w:color="auto"/>
            </w:tcBorders>
          </w:tcPr>
          <w:p>
            <w:pPr/>
          </w:p>
        </w:tc>
        <w:tc>
          <w:tcPr>
            <w:tcW w:w="242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z w:val="18"/>
              </w:rPr>
              <w:t>5,514,935.00</w:t>
            </w:r>
          </w:p>
        </w:tc>
      </w:tr>
      <w:tr>
        <w:trPr>
          <w:trHeight w:val="353" w:hRule="exact"/>
        </w:trPr>
        <w:tc>
          <w:tcPr>
            <w:tcW w:w="307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上市中介服务费</w:t>
            </w:r>
          </w:p>
        </w:tc>
        <w:tc>
          <w:tcPr>
            <w:tcW w:w="3997"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1333"/>
              <w:jc w:val="right"/>
              <w:rPr>
                <w:rFonts w:ascii="宋体" w:hAnsi="宋体" w:cs="宋体" w:eastAsia="宋体" w:hint="default"/>
                <w:sz w:val="18"/>
                <w:szCs w:val="18"/>
              </w:rPr>
            </w:pPr>
            <w:r>
              <w:rPr>
                <w:rFonts w:ascii="宋体"/>
                <w:sz w:val="18"/>
              </w:rPr>
              <w:t>2,158,335.00</w:t>
            </w:r>
          </w:p>
        </w:tc>
        <w:tc>
          <w:tcPr>
            <w:tcW w:w="242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z w:val="18"/>
              </w:rPr>
              <w:t>2,630,000.00</w:t>
            </w:r>
          </w:p>
        </w:tc>
      </w:tr>
      <w:tr>
        <w:trPr>
          <w:trHeight w:val="357" w:hRule="exact"/>
        </w:trPr>
        <w:tc>
          <w:tcPr>
            <w:tcW w:w="3076" w:type="dxa"/>
            <w:tcBorders>
              <w:top w:val="single" w:sz="8" w:space="0" w:color="000000"/>
              <w:left w:val="nil" w:sz="6" w:space="0" w:color="auto"/>
              <w:bottom w:val="single" w:sz="12"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997" w:type="dxa"/>
            <w:tcBorders>
              <w:top w:val="single" w:sz="8" w:space="0" w:color="000000"/>
              <w:left w:val="nil" w:sz="6" w:space="0" w:color="auto"/>
              <w:bottom w:val="single" w:sz="12" w:space="0" w:color="000000"/>
              <w:right w:val="nil" w:sz="6" w:space="0" w:color="auto"/>
            </w:tcBorders>
          </w:tcPr>
          <w:p>
            <w:pPr>
              <w:pStyle w:val="TableParagraph"/>
              <w:spacing w:line="240" w:lineRule="auto" w:before="21"/>
              <w:ind w:right="1333"/>
              <w:jc w:val="right"/>
              <w:rPr>
                <w:rFonts w:ascii="宋体" w:hAnsi="宋体" w:cs="宋体" w:eastAsia="宋体" w:hint="default"/>
                <w:sz w:val="18"/>
                <w:szCs w:val="18"/>
              </w:rPr>
            </w:pPr>
            <w:r>
              <w:rPr>
                <w:rFonts w:ascii="宋体"/>
                <w:sz w:val="18"/>
              </w:rPr>
              <w:t>2,158,335.00</w:t>
            </w:r>
          </w:p>
        </w:tc>
        <w:tc>
          <w:tcPr>
            <w:tcW w:w="2425" w:type="dxa"/>
            <w:tcBorders>
              <w:top w:val="single" w:sz="8" w:space="0" w:color="000000"/>
              <w:left w:val="nil" w:sz="6" w:space="0" w:color="auto"/>
              <w:bottom w:val="single" w:sz="12"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z w:val="18"/>
              </w:rPr>
              <w:t>8,144,935.00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4"/>
        <w:spacing w:line="240" w:lineRule="auto" w:before="35"/>
        <w:ind w:right="132"/>
        <w:jc w:val="left"/>
        <w:rPr>
          <w:b w:val="0"/>
          <w:bCs w:val="0"/>
        </w:rPr>
      </w:pPr>
      <w:r>
        <w:rPr/>
        <w:t>49、现金流量表补充资料</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132"/>
        <w:jc w:val="left"/>
        <w:rPr>
          <w:b w:val="0"/>
          <w:bCs w:val="0"/>
        </w:rPr>
      </w:pPr>
      <w:r>
        <w:rPr/>
        <w:t>（1）现金流量表补充资料</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4390"/>
        <w:gridCol w:w="2522"/>
        <w:gridCol w:w="2655"/>
      </w:tblGrid>
      <w:tr>
        <w:trPr>
          <w:trHeight w:val="415" w:hRule="exact"/>
        </w:trPr>
        <w:tc>
          <w:tcPr>
            <w:tcW w:w="4390"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5"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7" w:hRule="exact"/>
        </w:trPr>
        <w:tc>
          <w:tcPr>
            <w:tcW w:w="4390"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1．将净利润调节为经营活动现金流量：</w:t>
            </w:r>
          </w:p>
        </w:tc>
        <w:tc>
          <w:tcPr>
            <w:tcW w:w="252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2655"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2"/>
              <w:ind w:left="7" w:right="0"/>
              <w:jc w:val="center"/>
              <w:rPr>
                <w:rFonts w:ascii="宋体" w:hAnsi="宋体" w:cs="宋体" w:eastAsia="宋体" w:hint="default"/>
                <w:sz w:val="18"/>
                <w:szCs w:val="18"/>
              </w:rPr>
            </w:pPr>
            <w:r>
              <w:rPr>
                <w:rFonts w:ascii="宋体"/>
                <w:sz w:val="18"/>
              </w:rPr>
              <w:t>--</w:t>
            </w:r>
          </w:p>
        </w:tc>
      </w:tr>
      <w:tr>
        <w:trPr>
          <w:trHeight w:val="407" w:hRule="exact"/>
        </w:trPr>
        <w:tc>
          <w:tcPr>
            <w:tcW w:w="4390"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72,656,085.71</w:t>
            </w:r>
          </w:p>
        </w:tc>
        <w:tc>
          <w:tcPr>
            <w:tcW w:w="26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52,500,991.56</w:t>
            </w:r>
          </w:p>
        </w:tc>
      </w:tr>
      <w:tr>
        <w:trPr>
          <w:trHeight w:val="407" w:hRule="exact"/>
        </w:trPr>
        <w:tc>
          <w:tcPr>
            <w:tcW w:w="4390"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1,074,222.41</w:t>
            </w:r>
          </w:p>
        </w:tc>
        <w:tc>
          <w:tcPr>
            <w:tcW w:w="26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4,391,212.37</w:t>
            </w:r>
          </w:p>
        </w:tc>
      </w:tr>
      <w:tr>
        <w:trPr>
          <w:trHeight w:val="407" w:hRule="exact"/>
        </w:trPr>
        <w:tc>
          <w:tcPr>
            <w:tcW w:w="4390"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5,339,883.99</w:t>
            </w:r>
          </w:p>
        </w:tc>
        <w:tc>
          <w:tcPr>
            <w:tcW w:w="26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2,744,368.94</w:t>
            </w:r>
          </w:p>
        </w:tc>
      </w:tr>
      <w:tr>
        <w:trPr>
          <w:trHeight w:val="407" w:hRule="exact"/>
        </w:trPr>
        <w:tc>
          <w:tcPr>
            <w:tcW w:w="4390"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468,338.79</w:t>
            </w:r>
          </w:p>
        </w:tc>
        <w:tc>
          <w:tcPr>
            <w:tcW w:w="26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235,765.03</w:t>
            </w:r>
          </w:p>
        </w:tc>
      </w:tr>
      <w:tr>
        <w:trPr>
          <w:trHeight w:val="719" w:hRule="exact"/>
        </w:trPr>
        <w:tc>
          <w:tcPr>
            <w:tcW w:w="4390"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9" w:lineRule="auto" w:before="51"/>
              <w:ind w:left="13" w:right="3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以“－”号填列）</w:t>
            </w:r>
          </w:p>
        </w:tc>
        <w:tc>
          <w:tcPr>
            <w:tcW w:w="2522" w:type="dxa"/>
            <w:tcBorders>
              <w:top w:val="single" w:sz="6" w:space="0" w:color="000000"/>
              <w:left w:val="single" w:sz="14" w:space="0" w:color="D3D3D3"/>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28,703.95</w:t>
            </w:r>
          </w:p>
        </w:tc>
        <w:tc>
          <w:tcPr>
            <w:tcW w:w="26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-3,746.32</w:t>
            </w:r>
          </w:p>
        </w:tc>
      </w:tr>
      <w:tr>
        <w:trPr>
          <w:trHeight w:val="407" w:hRule="exact"/>
        </w:trPr>
        <w:tc>
          <w:tcPr>
            <w:tcW w:w="4390"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1,877,060.44</w:t>
            </w:r>
          </w:p>
        </w:tc>
        <w:tc>
          <w:tcPr>
            <w:tcW w:w="26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892,529.81</w:t>
            </w:r>
          </w:p>
        </w:tc>
      </w:tr>
      <w:tr>
        <w:trPr>
          <w:trHeight w:val="414" w:hRule="exact"/>
        </w:trPr>
        <w:tc>
          <w:tcPr>
            <w:tcW w:w="4390"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5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-27,162.53</w:t>
            </w:r>
          </w:p>
        </w:tc>
        <w:tc>
          <w:tcPr>
            <w:tcW w:w="265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4,511.60</w:t>
            </w:r>
          </w:p>
        </w:tc>
      </w:tr>
    </w:tbl>
    <w:p>
      <w:pPr>
        <w:spacing w:after="0" w:line="240" w:lineRule="auto"/>
        <w:jc w:val="right"/>
        <w:rPr>
          <w:rFonts w:ascii="宋体" w:hAnsi="宋体" w:cs="宋体" w:eastAsia="宋体" w:hint="default"/>
          <w:sz w:val="18"/>
          <w:szCs w:val="18"/>
        </w:rPr>
        <w:sectPr>
          <w:pgSz w:w="11910" w:h="16840"/>
          <w:pgMar w:header="0" w:footer="1003" w:top="1100" w:bottom="1200" w:left="980" w:right="98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4390"/>
        <w:gridCol w:w="2522"/>
        <w:gridCol w:w="2655"/>
      </w:tblGrid>
      <w:tr>
        <w:trPr>
          <w:trHeight w:val="415" w:hRule="exact"/>
        </w:trPr>
        <w:tc>
          <w:tcPr>
            <w:tcW w:w="4390"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5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1,258,816.59</w:t>
            </w:r>
          </w:p>
        </w:tc>
        <w:tc>
          <w:tcPr>
            <w:tcW w:w="265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-853,962.31</w:t>
            </w:r>
          </w:p>
        </w:tc>
      </w:tr>
      <w:tr>
        <w:trPr>
          <w:trHeight w:val="407" w:hRule="exact"/>
        </w:trPr>
        <w:tc>
          <w:tcPr>
            <w:tcW w:w="4390"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-1,779,600.35</w:t>
            </w:r>
          </w:p>
        </w:tc>
        <w:tc>
          <w:tcPr>
            <w:tcW w:w="26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-22,738,273.86</w:t>
            </w:r>
          </w:p>
        </w:tc>
      </w:tr>
      <w:tr>
        <w:trPr>
          <w:trHeight w:val="407" w:hRule="exact"/>
        </w:trPr>
        <w:tc>
          <w:tcPr>
            <w:tcW w:w="4390"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-20,715,711.25</w:t>
            </w:r>
          </w:p>
        </w:tc>
        <w:tc>
          <w:tcPr>
            <w:tcW w:w="26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-70,591,455.35</w:t>
            </w:r>
          </w:p>
        </w:tc>
      </w:tr>
      <w:tr>
        <w:trPr>
          <w:trHeight w:val="407" w:hRule="exact"/>
        </w:trPr>
        <w:tc>
          <w:tcPr>
            <w:tcW w:w="4390"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12,394,381.29</w:t>
            </w:r>
          </w:p>
        </w:tc>
        <w:tc>
          <w:tcPr>
            <w:tcW w:w="26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57,056,377.23</w:t>
            </w:r>
          </w:p>
        </w:tc>
      </w:tr>
      <w:tr>
        <w:trPr>
          <w:trHeight w:val="415" w:hRule="exact"/>
        </w:trPr>
        <w:tc>
          <w:tcPr>
            <w:tcW w:w="4390"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72,575,019.04</w:t>
            </w:r>
          </w:p>
        </w:tc>
        <w:tc>
          <w:tcPr>
            <w:tcW w:w="26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23,638,318.70</w:t>
            </w:r>
          </w:p>
        </w:tc>
      </w:tr>
      <w:tr>
        <w:trPr>
          <w:trHeight w:val="399" w:hRule="exact"/>
        </w:trPr>
        <w:tc>
          <w:tcPr>
            <w:tcW w:w="4390"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44"/>
              <w:ind w:left="13" w:right="0"/>
              <w:jc w:val="left"/>
              <w:rPr>
                <w:rFonts w:ascii="宋体" w:hAnsi="宋体" w:cs="宋体" w:eastAsia="宋体" w:hint="default"/>
                <w:sz w:val="18"/>
                <w:szCs w:val="18"/>
              </w:rPr>
            </w:pPr>
            <w:r>
              <w:rPr>
                <w:rFonts w:ascii="宋体" w:hAnsi="宋体" w:cs="宋体" w:eastAsia="宋体" w:hint="default"/>
                <w:sz w:val="18"/>
                <w:szCs w:val="18"/>
              </w:rPr>
              <w:t>2．不涉及现金收支的重大投资和筹资活动：</w:t>
            </w:r>
          </w:p>
        </w:tc>
        <w:tc>
          <w:tcPr>
            <w:tcW w:w="252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44"/>
              <w:ind w:left="1163" w:right="0"/>
              <w:jc w:val="left"/>
              <w:rPr>
                <w:rFonts w:ascii="宋体" w:hAnsi="宋体" w:cs="宋体" w:eastAsia="宋体" w:hint="default"/>
                <w:sz w:val="18"/>
                <w:szCs w:val="18"/>
              </w:rPr>
            </w:pPr>
            <w:r>
              <w:rPr>
                <w:rFonts w:ascii="宋体"/>
                <w:sz w:val="18"/>
              </w:rPr>
              <w:t>--</w:t>
            </w:r>
          </w:p>
        </w:tc>
        <w:tc>
          <w:tcPr>
            <w:tcW w:w="2655"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44"/>
              <w:ind w:left="1230" w:right="0"/>
              <w:jc w:val="left"/>
              <w:rPr>
                <w:rFonts w:ascii="宋体" w:hAnsi="宋体" w:cs="宋体" w:eastAsia="宋体" w:hint="default"/>
                <w:sz w:val="18"/>
                <w:szCs w:val="18"/>
              </w:rPr>
            </w:pPr>
            <w:r>
              <w:rPr>
                <w:rFonts w:ascii="宋体"/>
                <w:sz w:val="18"/>
              </w:rPr>
              <w:t>--</w:t>
            </w:r>
          </w:p>
        </w:tc>
      </w:tr>
      <w:tr>
        <w:trPr>
          <w:trHeight w:val="407" w:hRule="exact"/>
        </w:trPr>
        <w:tc>
          <w:tcPr>
            <w:tcW w:w="4390"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3．现金及现金等价物净变动情况：</w:t>
            </w:r>
          </w:p>
        </w:tc>
        <w:tc>
          <w:tcPr>
            <w:tcW w:w="252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1163" w:right="0"/>
              <w:jc w:val="left"/>
              <w:rPr>
                <w:rFonts w:ascii="宋体" w:hAnsi="宋体" w:cs="宋体" w:eastAsia="宋体" w:hint="default"/>
                <w:sz w:val="18"/>
                <w:szCs w:val="18"/>
              </w:rPr>
            </w:pPr>
            <w:r>
              <w:rPr>
                <w:rFonts w:ascii="宋体"/>
                <w:sz w:val="18"/>
              </w:rPr>
              <w:t>--</w:t>
            </w:r>
          </w:p>
        </w:tc>
        <w:tc>
          <w:tcPr>
            <w:tcW w:w="2655"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2"/>
              <w:ind w:left="1230" w:right="0"/>
              <w:jc w:val="left"/>
              <w:rPr>
                <w:rFonts w:ascii="宋体" w:hAnsi="宋体" w:cs="宋体" w:eastAsia="宋体" w:hint="default"/>
                <w:sz w:val="18"/>
                <w:szCs w:val="18"/>
              </w:rPr>
            </w:pPr>
            <w:r>
              <w:rPr>
                <w:rFonts w:ascii="宋体"/>
                <w:sz w:val="18"/>
              </w:rPr>
              <w:t>--</w:t>
            </w:r>
          </w:p>
        </w:tc>
      </w:tr>
      <w:tr>
        <w:trPr>
          <w:trHeight w:val="407" w:hRule="exact"/>
        </w:trPr>
        <w:tc>
          <w:tcPr>
            <w:tcW w:w="4390"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455,506,356.75</w:t>
            </w:r>
          </w:p>
        </w:tc>
        <w:tc>
          <w:tcPr>
            <w:tcW w:w="26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83,735,046.69</w:t>
            </w:r>
          </w:p>
        </w:tc>
      </w:tr>
      <w:tr>
        <w:trPr>
          <w:trHeight w:val="407" w:hRule="exact"/>
        </w:trPr>
        <w:tc>
          <w:tcPr>
            <w:tcW w:w="4390"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83,735,046.69</w:t>
            </w:r>
          </w:p>
        </w:tc>
        <w:tc>
          <w:tcPr>
            <w:tcW w:w="26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116,046,463.07</w:t>
            </w:r>
          </w:p>
        </w:tc>
      </w:tr>
      <w:tr>
        <w:trPr>
          <w:trHeight w:val="415" w:hRule="exact"/>
        </w:trPr>
        <w:tc>
          <w:tcPr>
            <w:tcW w:w="4390"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371,771,310.06</w:t>
            </w:r>
          </w:p>
        </w:tc>
        <w:tc>
          <w:tcPr>
            <w:tcW w:w="265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-32,311,416.38</w:t>
            </w:r>
          </w:p>
        </w:tc>
      </w:tr>
    </w:tbl>
    <w:p>
      <w:pPr>
        <w:spacing w:line="240" w:lineRule="auto" w:before="2"/>
        <w:rPr>
          <w:rFonts w:ascii="宋体" w:hAnsi="宋体" w:cs="宋体" w:eastAsia="宋体" w:hint="default"/>
          <w:sz w:val="19"/>
          <w:szCs w:val="19"/>
        </w:rPr>
      </w:pPr>
    </w:p>
    <w:p>
      <w:pPr>
        <w:pStyle w:val="Heading4"/>
        <w:spacing w:line="240" w:lineRule="auto" w:before="35"/>
        <w:ind w:right="132"/>
        <w:jc w:val="left"/>
        <w:rPr>
          <w:b w:val="0"/>
          <w:bCs w:val="0"/>
        </w:rPr>
      </w:pPr>
      <w:r>
        <w:rPr/>
        <w:t>（2）本报告期取得或处置子公司及其他营业单位的相关信息</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32"/>
        <w:jc w:val="left"/>
        <w:rPr>
          <w:b w:val="0"/>
          <w:bCs w:val="0"/>
        </w:rPr>
      </w:pPr>
      <w:r>
        <w:rPr/>
        <w:t>（3）现金和现金等价物的构成</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4388"/>
        <w:gridCol w:w="2524"/>
        <w:gridCol w:w="2656"/>
      </w:tblGrid>
      <w:tr>
        <w:trPr>
          <w:trHeight w:val="414" w:hRule="exact"/>
        </w:trPr>
        <w:tc>
          <w:tcPr>
            <w:tcW w:w="4388"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6"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7" w:hRule="exact"/>
        </w:trPr>
        <w:tc>
          <w:tcPr>
            <w:tcW w:w="438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455,506,356.75</w:t>
            </w:r>
          </w:p>
        </w:tc>
        <w:tc>
          <w:tcPr>
            <w:tcW w:w="2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8"/>
              <w:jc w:val="right"/>
              <w:rPr>
                <w:rFonts w:ascii="宋体" w:hAnsi="宋体" w:cs="宋体" w:eastAsia="宋体" w:hint="default"/>
                <w:sz w:val="18"/>
                <w:szCs w:val="18"/>
              </w:rPr>
            </w:pPr>
            <w:r>
              <w:rPr>
                <w:rFonts w:ascii="宋体"/>
                <w:sz w:val="18"/>
              </w:rPr>
              <w:t>83,735,046.69</w:t>
            </w:r>
          </w:p>
        </w:tc>
      </w:tr>
      <w:tr>
        <w:trPr>
          <w:trHeight w:val="407" w:hRule="exact"/>
        </w:trPr>
        <w:tc>
          <w:tcPr>
            <w:tcW w:w="438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6,664.13</w:t>
            </w:r>
          </w:p>
        </w:tc>
        <w:tc>
          <w:tcPr>
            <w:tcW w:w="2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8"/>
              <w:jc w:val="right"/>
              <w:rPr>
                <w:rFonts w:ascii="宋体" w:hAnsi="宋体" w:cs="宋体" w:eastAsia="宋体" w:hint="default"/>
                <w:sz w:val="18"/>
                <w:szCs w:val="18"/>
              </w:rPr>
            </w:pPr>
            <w:r>
              <w:rPr>
                <w:rFonts w:ascii="宋体"/>
                <w:sz w:val="18"/>
              </w:rPr>
              <w:t>88,110.28</w:t>
            </w:r>
          </w:p>
        </w:tc>
      </w:tr>
      <w:tr>
        <w:trPr>
          <w:trHeight w:val="407" w:hRule="exact"/>
        </w:trPr>
        <w:tc>
          <w:tcPr>
            <w:tcW w:w="438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455,499,692.62</w:t>
            </w:r>
          </w:p>
        </w:tc>
        <w:tc>
          <w:tcPr>
            <w:tcW w:w="2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81,807,211.40</w:t>
            </w:r>
          </w:p>
        </w:tc>
      </w:tr>
      <w:tr>
        <w:trPr>
          <w:trHeight w:val="407" w:hRule="exact"/>
        </w:trPr>
        <w:tc>
          <w:tcPr>
            <w:tcW w:w="4388"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24" w:type="dxa"/>
            <w:tcBorders>
              <w:top w:val="single" w:sz="6" w:space="0" w:color="000000"/>
              <w:left w:val="single" w:sz="6" w:space="0" w:color="000000"/>
              <w:bottom w:val="single" w:sz="6" w:space="0" w:color="000000"/>
              <w:right w:val="single" w:sz="6" w:space="0" w:color="000000"/>
            </w:tcBorders>
          </w:tcPr>
          <w:p>
            <w:pPr/>
          </w:p>
        </w:tc>
        <w:tc>
          <w:tcPr>
            <w:tcW w:w="2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1,839,725.01</w:t>
            </w:r>
          </w:p>
        </w:tc>
      </w:tr>
      <w:tr>
        <w:trPr>
          <w:trHeight w:val="415" w:hRule="exact"/>
        </w:trPr>
        <w:tc>
          <w:tcPr>
            <w:tcW w:w="4388"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455,506,356.75</w:t>
            </w:r>
          </w:p>
        </w:tc>
        <w:tc>
          <w:tcPr>
            <w:tcW w:w="265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83,735,046.69</w:t>
            </w:r>
          </w:p>
        </w:tc>
      </w:tr>
    </w:tbl>
    <w:p>
      <w:pPr>
        <w:pStyle w:val="BodyText"/>
        <w:spacing w:line="307" w:lineRule="auto" w:before="26"/>
        <w:ind w:left="574" w:right="4310" w:hanging="420"/>
        <w:jc w:val="left"/>
      </w:pPr>
      <w:r>
        <w:rPr/>
        <w:t>现金流量表补充资料的说明 本期无取得或处置子公司及其他营业单位的相关信息。</w:t>
      </w:r>
    </w:p>
    <w:p>
      <w:pPr>
        <w:pStyle w:val="BodyText"/>
        <w:spacing w:line="273" w:lineRule="auto" w:before="17"/>
        <w:ind w:right="132" w:firstLine="420"/>
        <w:jc w:val="left"/>
      </w:pPr>
      <w:r>
        <w:rPr>
          <w:spacing w:val="-1"/>
        </w:rPr>
        <w:t>由于其他货币资金中履约保函保证金存款的流动性受到限制，故未确认为现金和现金等价物。2012年</w:t>
      </w:r>
      <w:r>
        <w:rPr/>
        <w:t> 12月31日余额为18,672,294.07元，2011年12月31日的余额为8,098,784.04元。</w:t>
      </w:r>
    </w:p>
    <w:p>
      <w:pPr>
        <w:spacing w:line="535" w:lineRule="auto" w:before="7"/>
        <w:ind w:left="154" w:right="6818" w:firstLine="420"/>
        <w:jc w:val="left"/>
        <w:rPr>
          <w:rFonts w:ascii="宋体" w:hAnsi="宋体" w:cs="宋体" w:eastAsia="宋体" w:hint="default"/>
          <w:sz w:val="21"/>
          <w:szCs w:val="21"/>
        </w:rPr>
      </w:pPr>
      <w:r>
        <w:rPr>
          <w:rFonts w:ascii="宋体" w:hAnsi="宋体" w:cs="宋体" w:eastAsia="宋体" w:hint="default"/>
          <w:sz w:val="21"/>
          <w:szCs w:val="21"/>
        </w:rPr>
        <w:t>公司无资产证券化业务。 </w:t>
      </w:r>
      <w:r>
        <w:rPr>
          <w:rFonts w:ascii="宋体" w:hAnsi="宋体" w:cs="宋体" w:eastAsia="宋体" w:hint="default"/>
          <w:b/>
          <w:bCs/>
          <w:sz w:val="21"/>
          <w:szCs w:val="21"/>
        </w:rPr>
        <w:t>50、所有者权益变动表项目注释</w:t>
      </w:r>
      <w:r>
        <w:rPr>
          <w:rFonts w:ascii="宋体" w:hAnsi="宋体" w:cs="宋体" w:eastAsia="宋体" w:hint="default"/>
          <w:sz w:val="21"/>
          <w:szCs w:val="21"/>
        </w:rPr>
      </w:r>
    </w:p>
    <w:p>
      <w:pPr>
        <w:spacing w:line="499" w:lineRule="auto" w:before="80"/>
        <w:ind w:left="154" w:right="7361"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4"/>
          <w:szCs w:val="24"/>
        </w:rPr>
        <w:t>八、关联方及关联交易</w:t>
      </w:r>
      <w:r>
        <w:rPr>
          <w:rFonts w:ascii="宋体" w:hAnsi="宋体" w:cs="宋体" w:eastAsia="宋体" w:hint="default"/>
          <w:b/>
          <w:bCs/>
          <w:w w:val="99"/>
          <w:sz w:val="24"/>
          <w:szCs w:val="24"/>
        </w:rPr>
        <w:t> </w:t>
      </w:r>
      <w:r>
        <w:rPr>
          <w:rFonts w:ascii="宋体" w:hAnsi="宋体" w:cs="宋体" w:eastAsia="宋体" w:hint="default"/>
          <w:b/>
          <w:bCs/>
          <w:sz w:val="21"/>
          <w:szCs w:val="21"/>
        </w:rPr>
        <w:t>1、本企业的母公司情况</w:t>
      </w:r>
      <w:r>
        <w:rPr>
          <w:rFonts w:ascii="宋体" w:hAnsi="宋体" w:cs="宋体" w:eastAsia="宋体" w:hint="default"/>
          <w:sz w:val="21"/>
          <w:szCs w:val="21"/>
        </w:rPr>
      </w:r>
    </w:p>
    <w:p>
      <w:pPr>
        <w:spacing w:before="137"/>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0" w:footer="1003" w:top="1100" w:bottom="1200" w:left="980" w:right="98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874"/>
        <w:gridCol w:w="870"/>
        <w:gridCol w:w="870"/>
        <w:gridCol w:w="870"/>
        <w:gridCol w:w="628"/>
        <w:gridCol w:w="851"/>
        <w:gridCol w:w="1132"/>
        <w:gridCol w:w="870"/>
        <w:gridCol w:w="870"/>
        <w:gridCol w:w="672"/>
        <w:gridCol w:w="1058"/>
      </w:tblGrid>
      <w:tr>
        <w:trPr>
          <w:trHeight w:val="1351" w:hRule="exact"/>
        </w:trPr>
        <w:tc>
          <w:tcPr>
            <w:tcW w:w="874"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1" w:right="68"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7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7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28"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5" w:right="35" w:hanging="90"/>
              <w:jc w:val="left"/>
              <w:rPr>
                <w:rFonts w:ascii="宋体" w:hAnsi="宋体" w:cs="宋体" w:eastAsia="宋体" w:hint="default"/>
                <w:sz w:val="18"/>
                <w:szCs w:val="18"/>
              </w:rPr>
            </w:pPr>
            <w:r>
              <w:rPr>
                <w:rFonts w:ascii="宋体" w:hAnsi="宋体" w:cs="宋体" w:eastAsia="宋体" w:hint="default"/>
                <w:sz w:val="18"/>
                <w:szCs w:val="18"/>
              </w:rPr>
              <w:t>法定代 表人</w:t>
            </w:r>
          </w:p>
        </w:tc>
        <w:tc>
          <w:tcPr>
            <w:tcW w:w="851"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132"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87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7" w:right="66"/>
              <w:jc w:val="both"/>
              <w:rPr>
                <w:rFonts w:ascii="宋体" w:hAnsi="宋体" w:cs="宋体" w:eastAsia="宋体" w:hint="default"/>
                <w:sz w:val="18"/>
                <w:szCs w:val="18"/>
              </w:rPr>
            </w:pPr>
            <w:r>
              <w:rPr>
                <w:rFonts w:ascii="宋体" w:hAnsi="宋体" w:cs="宋体" w:eastAsia="宋体" w:hint="default"/>
                <w:sz w:val="18"/>
                <w:szCs w:val="18"/>
              </w:rPr>
              <w:t>母公司对 本企业的 持股比例</w:t>
            </w:r>
          </w:p>
        </w:tc>
        <w:tc>
          <w:tcPr>
            <w:tcW w:w="870"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51"/>
              <w:ind w:left="67" w:right="66"/>
              <w:jc w:val="center"/>
              <w:rPr>
                <w:rFonts w:ascii="宋体" w:hAnsi="宋体" w:cs="宋体" w:eastAsia="宋体" w:hint="default"/>
                <w:sz w:val="18"/>
                <w:szCs w:val="18"/>
              </w:rPr>
            </w:pPr>
            <w:r>
              <w:rPr>
                <w:rFonts w:ascii="宋体" w:hAnsi="宋体" w:cs="宋体" w:eastAsia="宋体" w:hint="default"/>
                <w:sz w:val="18"/>
                <w:szCs w:val="18"/>
              </w:rPr>
              <w:t>母公司对 本企业的 表决权比 例</w:t>
            </w:r>
          </w:p>
        </w:tc>
        <w:tc>
          <w:tcPr>
            <w:tcW w:w="672"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7" w:right="59"/>
              <w:jc w:val="both"/>
              <w:rPr>
                <w:rFonts w:ascii="宋体" w:hAnsi="宋体" w:cs="宋体" w:eastAsia="宋体" w:hint="default"/>
                <w:sz w:val="18"/>
                <w:szCs w:val="18"/>
              </w:rPr>
            </w:pPr>
            <w:r>
              <w:rPr>
                <w:rFonts w:ascii="宋体" w:hAnsi="宋体" w:cs="宋体" w:eastAsia="宋体" w:hint="default"/>
                <w:sz w:val="18"/>
                <w:szCs w:val="18"/>
              </w:rPr>
              <w:t>本企业 最终控 制方</w:t>
            </w:r>
          </w:p>
        </w:tc>
        <w:tc>
          <w:tcPr>
            <w:tcW w:w="1058"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1" w:right="61"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360" w:hRule="exact"/>
        </w:trPr>
        <w:tc>
          <w:tcPr>
            <w:tcW w:w="874" w:type="dxa"/>
            <w:tcBorders>
              <w:top w:val="single" w:sz="6" w:space="0" w:color="000000"/>
              <w:left w:val="single" w:sz="12" w:space="0" w:color="000000"/>
              <w:bottom w:val="nil" w:sz="6" w:space="0" w:color="auto"/>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江苏光一</w:t>
            </w:r>
          </w:p>
        </w:tc>
        <w:tc>
          <w:tcPr>
            <w:tcW w:w="870" w:type="dxa"/>
            <w:tcBorders>
              <w:top w:val="single" w:sz="6" w:space="0" w:color="000000"/>
              <w:left w:val="single" w:sz="6" w:space="0" w:color="000000"/>
              <w:bottom w:val="nil" w:sz="6" w:space="0" w:color="auto"/>
              <w:right w:val="single" w:sz="6" w:space="0" w:color="000000"/>
            </w:tcBorders>
          </w:tcPr>
          <w:p>
            <w:pPr/>
          </w:p>
        </w:tc>
        <w:tc>
          <w:tcPr>
            <w:tcW w:w="870" w:type="dxa"/>
            <w:tcBorders>
              <w:top w:val="single" w:sz="6" w:space="0" w:color="000000"/>
              <w:left w:val="single" w:sz="6" w:space="0" w:color="000000"/>
              <w:bottom w:val="nil" w:sz="6" w:space="0" w:color="auto"/>
              <w:right w:val="single" w:sz="6" w:space="0" w:color="000000"/>
            </w:tcBorders>
          </w:tcPr>
          <w:p>
            <w:pPr/>
          </w:p>
        </w:tc>
        <w:tc>
          <w:tcPr>
            <w:tcW w:w="870" w:type="dxa"/>
            <w:tcBorders>
              <w:top w:val="single" w:sz="6" w:space="0" w:color="000000"/>
              <w:left w:val="single" w:sz="6" w:space="0" w:color="000000"/>
              <w:bottom w:val="nil" w:sz="6" w:space="0" w:color="auto"/>
              <w:right w:val="single" w:sz="6" w:space="0" w:color="000000"/>
            </w:tcBorders>
          </w:tcPr>
          <w:p>
            <w:pPr/>
          </w:p>
        </w:tc>
        <w:tc>
          <w:tcPr>
            <w:tcW w:w="628" w:type="dxa"/>
            <w:tcBorders>
              <w:top w:val="single" w:sz="6" w:space="0" w:color="000000"/>
              <w:left w:val="single" w:sz="6" w:space="0" w:color="000000"/>
              <w:bottom w:val="nil" w:sz="6" w:space="0" w:color="auto"/>
              <w:right w:val="single" w:sz="6" w:space="0" w:color="000000"/>
            </w:tcBorders>
          </w:tcPr>
          <w:p>
            <w:pPr/>
          </w:p>
        </w:tc>
        <w:tc>
          <w:tcPr>
            <w:tcW w:w="851" w:type="dxa"/>
            <w:tcBorders>
              <w:top w:val="single" w:sz="6" w:space="0" w:color="000000"/>
              <w:left w:val="single" w:sz="6" w:space="0" w:color="000000"/>
              <w:bottom w:val="nil" w:sz="6" w:space="0" w:color="auto"/>
              <w:right w:val="single" w:sz="6" w:space="0" w:color="000000"/>
            </w:tcBorders>
          </w:tcPr>
          <w:p>
            <w:pPr/>
          </w:p>
        </w:tc>
        <w:tc>
          <w:tcPr>
            <w:tcW w:w="1132" w:type="dxa"/>
            <w:tcBorders>
              <w:top w:val="single" w:sz="6" w:space="0" w:color="000000"/>
              <w:left w:val="single" w:sz="6" w:space="0" w:color="000000"/>
              <w:bottom w:val="nil" w:sz="6" w:space="0" w:color="auto"/>
              <w:right w:val="single" w:sz="6" w:space="0" w:color="000000"/>
            </w:tcBorders>
          </w:tcPr>
          <w:p>
            <w:pPr/>
          </w:p>
        </w:tc>
        <w:tc>
          <w:tcPr>
            <w:tcW w:w="870" w:type="dxa"/>
            <w:tcBorders>
              <w:top w:val="single" w:sz="6" w:space="0" w:color="000000"/>
              <w:left w:val="single" w:sz="6" w:space="0" w:color="000000"/>
              <w:bottom w:val="nil" w:sz="6" w:space="0" w:color="auto"/>
              <w:right w:val="single" w:sz="6" w:space="0" w:color="000000"/>
            </w:tcBorders>
          </w:tcPr>
          <w:p>
            <w:pPr/>
          </w:p>
        </w:tc>
        <w:tc>
          <w:tcPr>
            <w:tcW w:w="870" w:type="dxa"/>
            <w:tcBorders>
              <w:top w:val="single" w:sz="6" w:space="0" w:color="000000"/>
              <w:left w:val="single" w:sz="6" w:space="0" w:color="000000"/>
              <w:bottom w:val="nil" w:sz="6" w:space="0" w:color="auto"/>
              <w:right w:val="single" w:sz="6" w:space="0" w:color="000000"/>
            </w:tcBorders>
          </w:tcPr>
          <w:p>
            <w:pPr/>
          </w:p>
        </w:tc>
        <w:tc>
          <w:tcPr>
            <w:tcW w:w="672" w:type="dxa"/>
            <w:tcBorders>
              <w:top w:val="single" w:sz="6" w:space="0" w:color="000000"/>
              <w:left w:val="single" w:sz="6" w:space="0" w:color="000000"/>
              <w:bottom w:val="nil" w:sz="6" w:space="0" w:color="auto"/>
              <w:right w:val="single" w:sz="6" w:space="0" w:color="000000"/>
            </w:tcBorders>
          </w:tcPr>
          <w:p>
            <w:pPr/>
          </w:p>
        </w:tc>
        <w:tc>
          <w:tcPr>
            <w:tcW w:w="1058" w:type="dxa"/>
            <w:tcBorders>
              <w:top w:val="single" w:sz="6" w:space="0" w:color="000000"/>
              <w:left w:val="single" w:sz="6" w:space="0" w:color="000000"/>
              <w:bottom w:val="nil" w:sz="6" w:space="0" w:color="auto"/>
              <w:right w:val="single" w:sz="12" w:space="0" w:color="000000"/>
            </w:tcBorders>
          </w:tcPr>
          <w:p>
            <w:pPr/>
          </w:p>
        </w:tc>
      </w:tr>
      <w:tr>
        <w:trPr>
          <w:trHeight w:val="624" w:hRule="exact"/>
        </w:trPr>
        <w:tc>
          <w:tcPr>
            <w:tcW w:w="874" w:type="dxa"/>
            <w:tcBorders>
              <w:top w:val="nil" w:sz="6" w:space="0" w:color="auto"/>
              <w:left w:val="single" w:sz="12" w:space="0" w:color="000000"/>
              <w:bottom w:val="nil" w:sz="6" w:space="0" w:color="auto"/>
              <w:right w:val="single" w:sz="6" w:space="0" w:color="000000"/>
            </w:tcBorders>
          </w:tcPr>
          <w:p>
            <w:pPr>
              <w:pStyle w:val="TableParagraph"/>
              <w:spacing w:line="316" w:lineRule="auto" w:before="10"/>
              <w:ind w:left="13" w:right="116"/>
              <w:jc w:val="left"/>
              <w:rPr>
                <w:rFonts w:ascii="宋体" w:hAnsi="宋体" w:cs="宋体" w:eastAsia="宋体" w:hint="default"/>
                <w:sz w:val="18"/>
                <w:szCs w:val="18"/>
              </w:rPr>
            </w:pPr>
            <w:r>
              <w:rPr>
                <w:rFonts w:ascii="宋体" w:hAnsi="宋体" w:cs="宋体" w:eastAsia="宋体" w:hint="default"/>
                <w:sz w:val="18"/>
                <w:szCs w:val="18"/>
              </w:rPr>
              <w:t>投资管理 有限责任</w:t>
            </w:r>
          </w:p>
        </w:tc>
        <w:tc>
          <w:tcPr>
            <w:tcW w:w="8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8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62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13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4"/>
              <w:jc w:val="right"/>
              <w:rPr>
                <w:rFonts w:ascii="宋体" w:hAnsi="宋体" w:cs="宋体" w:eastAsia="宋体" w:hint="default"/>
                <w:sz w:val="18"/>
                <w:szCs w:val="18"/>
              </w:rPr>
            </w:pPr>
            <w:r>
              <w:rPr>
                <w:rFonts w:ascii="宋体"/>
                <w:sz w:val="18"/>
              </w:rPr>
              <w:t>10,000,000</w:t>
            </w:r>
          </w:p>
        </w:tc>
        <w:tc>
          <w:tcPr>
            <w:tcW w:w="8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3" w:right="0"/>
              <w:jc w:val="left"/>
              <w:rPr>
                <w:rFonts w:ascii="宋体" w:hAnsi="宋体" w:cs="宋体" w:eastAsia="宋体" w:hint="default"/>
                <w:sz w:val="18"/>
                <w:szCs w:val="18"/>
              </w:rPr>
            </w:pPr>
            <w:r>
              <w:rPr>
                <w:rFonts w:ascii="宋体"/>
                <w:sz w:val="18"/>
              </w:rPr>
              <w:t>32.77%</w:t>
            </w:r>
          </w:p>
        </w:tc>
        <w:tc>
          <w:tcPr>
            <w:tcW w:w="8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3" w:right="0"/>
              <w:jc w:val="left"/>
              <w:rPr>
                <w:rFonts w:ascii="宋体" w:hAnsi="宋体" w:cs="宋体" w:eastAsia="宋体" w:hint="default"/>
                <w:sz w:val="18"/>
                <w:szCs w:val="18"/>
              </w:rPr>
            </w:pPr>
            <w:r>
              <w:rPr>
                <w:rFonts w:ascii="宋体"/>
                <w:sz w:val="18"/>
              </w:rPr>
              <w:t>32.77%</w:t>
            </w:r>
          </w:p>
        </w:tc>
        <w:tc>
          <w:tcPr>
            <w:tcW w:w="67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1058" w:type="dxa"/>
            <w:tcBorders>
              <w:top w:val="nil" w:sz="6" w:space="0" w:color="auto"/>
              <w:left w:val="single" w:sz="6" w:space="0" w:color="000000"/>
              <w:bottom w:val="nil" w:sz="6" w:space="0" w:color="auto"/>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sz w:val="18"/>
              </w:rPr>
              <w:t>68251774-3</w:t>
            </w:r>
          </w:p>
        </w:tc>
      </w:tr>
      <w:tr>
        <w:trPr>
          <w:trHeight w:val="367" w:hRule="exact"/>
        </w:trPr>
        <w:tc>
          <w:tcPr>
            <w:tcW w:w="874" w:type="dxa"/>
            <w:tcBorders>
              <w:top w:val="nil" w:sz="6" w:space="0" w:color="auto"/>
              <w:left w:val="single" w:sz="12" w:space="0" w:color="000000"/>
              <w:bottom w:val="single" w:sz="12" w:space="0" w:color="000000"/>
              <w:right w:val="single" w:sz="6" w:space="0" w:color="000000"/>
            </w:tcBorders>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70" w:type="dxa"/>
            <w:tcBorders>
              <w:top w:val="nil" w:sz="6" w:space="0" w:color="auto"/>
              <w:left w:val="single" w:sz="6" w:space="0" w:color="000000"/>
              <w:bottom w:val="single" w:sz="12" w:space="0" w:color="000000"/>
              <w:right w:val="single" w:sz="6" w:space="0" w:color="000000"/>
            </w:tcBorders>
          </w:tcPr>
          <w:p>
            <w:pPr/>
          </w:p>
        </w:tc>
        <w:tc>
          <w:tcPr>
            <w:tcW w:w="870" w:type="dxa"/>
            <w:tcBorders>
              <w:top w:val="nil" w:sz="6" w:space="0" w:color="auto"/>
              <w:left w:val="single" w:sz="6" w:space="0" w:color="000000"/>
              <w:bottom w:val="single" w:sz="12" w:space="0" w:color="000000"/>
              <w:right w:val="single" w:sz="6" w:space="0" w:color="000000"/>
            </w:tcBorders>
          </w:tcPr>
          <w:p>
            <w:pPr/>
          </w:p>
        </w:tc>
        <w:tc>
          <w:tcPr>
            <w:tcW w:w="870" w:type="dxa"/>
            <w:tcBorders>
              <w:top w:val="nil" w:sz="6" w:space="0" w:color="auto"/>
              <w:left w:val="single" w:sz="6" w:space="0" w:color="000000"/>
              <w:bottom w:val="single" w:sz="12" w:space="0" w:color="000000"/>
              <w:right w:val="single" w:sz="6" w:space="0" w:color="000000"/>
            </w:tcBorders>
          </w:tcPr>
          <w:p>
            <w:pPr/>
          </w:p>
        </w:tc>
        <w:tc>
          <w:tcPr>
            <w:tcW w:w="628" w:type="dxa"/>
            <w:tcBorders>
              <w:top w:val="nil" w:sz="6" w:space="0" w:color="auto"/>
              <w:left w:val="single" w:sz="6" w:space="0" w:color="000000"/>
              <w:bottom w:val="single" w:sz="12" w:space="0" w:color="000000"/>
              <w:right w:val="single" w:sz="6" w:space="0" w:color="000000"/>
            </w:tcBorders>
          </w:tcPr>
          <w:p>
            <w:pPr/>
          </w:p>
        </w:tc>
        <w:tc>
          <w:tcPr>
            <w:tcW w:w="851" w:type="dxa"/>
            <w:tcBorders>
              <w:top w:val="nil" w:sz="6" w:space="0" w:color="auto"/>
              <w:left w:val="single" w:sz="6" w:space="0" w:color="000000"/>
              <w:bottom w:val="single" w:sz="12" w:space="0" w:color="000000"/>
              <w:right w:val="single" w:sz="6" w:space="0" w:color="000000"/>
            </w:tcBorders>
          </w:tcPr>
          <w:p>
            <w:pPr/>
          </w:p>
        </w:tc>
        <w:tc>
          <w:tcPr>
            <w:tcW w:w="1132" w:type="dxa"/>
            <w:tcBorders>
              <w:top w:val="nil" w:sz="6" w:space="0" w:color="auto"/>
              <w:left w:val="single" w:sz="6" w:space="0" w:color="000000"/>
              <w:bottom w:val="single" w:sz="12" w:space="0" w:color="000000"/>
              <w:right w:val="single" w:sz="6" w:space="0" w:color="000000"/>
            </w:tcBorders>
          </w:tcPr>
          <w:p>
            <w:pPr/>
          </w:p>
        </w:tc>
        <w:tc>
          <w:tcPr>
            <w:tcW w:w="870" w:type="dxa"/>
            <w:tcBorders>
              <w:top w:val="nil" w:sz="6" w:space="0" w:color="auto"/>
              <w:left w:val="single" w:sz="6" w:space="0" w:color="000000"/>
              <w:bottom w:val="single" w:sz="12" w:space="0" w:color="000000"/>
              <w:right w:val="single" w:sz="6" w:space="0" w:color="000000"/>
            </w:tcBorders>
          </w:tcPr>
          <w:p>
            <w:pPr/>
          </w:p>
        </w:tc>
        <w:tc>
          <w:tcPr>
            <w:tcW w:w="870" w:type="dxa"/>
            <w:tcBorders>
              <w:top w:val="nil" w:sz="6" w:space="0" w:color="auto"/>
              <w:left w:val="single" w:sz="6" w:space="0" w:color="000000"/>
              <w:bottom w:val="single" w:sz="12" w:space="0" w:color="000000"/>
              <w:right w:val="single" w:sz="6" w:space="0" w:color="000000"/>
            </w:tcBorders>
          </w:tcPr>
          <w:p>
            <w:pPr/>
          </w:p>
        </w:tc>
        <w:tc>
          <w:tcPr>
            <w:tcW w:w="672" w:type="dxa"/>
            <w:tcBorders>
              <w:top w:val="nil" w:sz="6" w:space="0" w:color="auto"/>
              <w:left w:val="single" w:sz="6" w:space="0" w:color="000000"/>
              <w:bottom w:val="single" w:sz="12" w:space="0" w:color="000000"/>
              <w:right w:val="single" w:sz="6" w:space="0" w:color="000000"/>
            </w:tcBorders>
          </w:tcPr>
          <w:p>
            <w:pPr/>
          </w:p>
        </w:tc>
        <w:tc>
          <w:tcPr>
            <w:tcW w:w="1058" w:type="dxa"/>
            <w:tcBorders>
              <w:top w:val="nil" w:sz="6" w:space="0" w:color="auto"/>
              <w:left w:val="single" w:sz="6" w:space="0" w:color="000000"/>
              <w:bottom w:val="single" w:sz="12" w:space="0" w:color="000000"/>
              <w:right w:val="single" w:sz="12" w:space="0" w:color="000000"/>
            </w:tcBorders>
          </w:tcPr>
          <w:p>
            <w:pPr/>
          </w:p>
        </w:tc>
      </w:tr>
    </w:tbl>
    <w:p>
      <w:pPr>
        <w:spacing w:line="532" w:lineRule="auto" w:before="26"/>
        <w:ind w:left="154" w:right="7250" w:firstLine="0"/>
        <w:jc w:val="left"/>
        <w:rPr>
          <w:rFonts w:ascii="宋体" w:hAnsi="宋体" w:cs="宋体" w:eastAsia="宋体" w:hint="default"/>
          <w:sz w:val="21"/>
          <w:szCs w:val="21"/>
        </w:rPr>
      </w:pPr>
      <w:r>
        <w:rPr>
          <w:rFonts w:ascii="宋体" w:hAnsi="宋体" w:cs="宋体" w:eastAsia="宋体" w:hint="default"/>
          <w:sz w:val="21"/>
          <w:szCs w:val="21"/>
        </w:rPr>
        <w:t>本企业的母公司情况的说明 </w:t>
      </w:r>
      <w:r>
        <w:rPr>
          <w:rFonts w:ascii="宋体" w:hAnsi="宋体" w:cs="宋体" w:eastAsia="宋体" w:hint="default"/>
          <w:b/>
          <w:bCs/>
          <w:sz w:val="21"/>
          <w:szCs w:val="21"/>
        </w:rPr>
        <w:t>2、本企业的子公司情况</w:t>
      </w:r>
      <w:r>
        <w:rPr>
          <w:rFonts w:ascii="宋体" w:hAnsi="宋体" w:cs="宋体" w:eastAsia="宋体" w:hint="default"/>
          <w:sz w:val="21"/>
          <w:szCs w:val="21"/>
        </w:rPr>
      </w:r>
    </w:p>
    <w:p>
      <w:pPr>
        <w:spacing w:before="109"/>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707"/>
        <w:gridCol w:w="1205"/>
      </w:tblGrid>
      <w:tr>
        <w:trPr>
          <w:trHeight w:val="725" w:hRule="exact"/>
        </w:trPr>
        <w:tc>
          <w:tcPr>
            <w:tcW w:w="958"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6"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958"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9"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0"/>
              <w:jc w:val="right"/>
              <w:rPr>
                <w:rFonts w:ascii="宋体" w:hAnsi="宋体" w:cs="宋体" w:eastAsia="宋体" w:hint="default"/>
                <w:sz w:val="18"/>
                <w:szCs w:val="18"/>
              </w:rPr>
            </w:pPr>
            <w:r>
              <w:rPr>
                <w:rFonts w:ascii="宋体" w:hAnsi="宋体" w:cs="宋体" w:eastAsia="宋体" w:hint="default"/>
                <w:sz w:val="18"/>
                <w:szCs w:val="18"/>
              </w:rPr>
              <w:t>注册地</w:t>
            </w:r>
          </w:p>
        </w:tc>
        <w:tc>
          <w:tcPr>
            <w:tcW w:w="956"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8"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6"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07"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51"/>
              <w:ind w:left="165" w:right="74" w:hanging="90"/>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205"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361" w:hRule="exact"/>
        </w:trPr>
        <w:tc>
          <w:tcPr>
            <w:tcW w:w="958" w:type="dxa"/>
            <w:tcBorders>
              <w:top w:val="single" w:sz="6" w:space="0" w:color="000000"/>
              <w:left w:val="single" w:sz="12" w:space="0" w:color="000000"/>
              <w:bottom w:val="nil" w:sz="6" w:space="0" w:color="auto"/>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江苏苏源光</w:t>
            </w:r>
          </w:p>
        </w:tc>
        <w:tc>
          <w:tcPr>
            <w:tcW w:w="956" w:type="dxa"/>
            <w:tcBorders>
              <w:top w:val="single" w:sz="6" w:space="0" w:color="000000"/>
              <w:left w:val="single" w:sz="6" w:space="0" w:color="000000"/>
              <w:bottom w:val="nil" w:sz="6" w:space="0" w:color="auto"/>
              <w:right w:val="single" w:sz="6" w:space="0" w:color="000000"/>
            </w:tcBorders>
          </w:tcPr>
          <w:p>
            <w:pPr/>
          </w:p>
        </w:tc>
        <w:tc>
          <w:tcPr>
            <w:tcW w:w="958" w:type="dxa"/>
            <w:tcBorders>
              <w:top w:val="single" w:sz="6" w:space="0" w:color="000000"/>
              <w:left w:val="single" w:sz="6" w:space="0" w:color="000000"/>
              <w:bottom w:val="nil" w:sz="6" w:space="0" w:color="auto"/>
              <w:right w:val="single" w:sz="6" w:space="0" w:color="000000"/>
            </w:tcBorders>
          </w:tcPr>
          <w:p>
            <w:pPr/>
          </w:p>
        </w:tc>
        <w:tc>
          <w:tcPr>
            <w:tcW w:w="959" w:type="dxa"/>
            <w:tcBorders>
              <w:top w:val="single" w:sz="6" w:space="0" w:color="000000"/>
              <w:left w:val="single" w:sz="6" w:space="0" w:color="000000"/>
              <w:bottom w:val="nil" w:sz="6" w:space="0" w:color="auto"/>
              <w:right w:val="single" w:sz="6" w:space="0" w:color="000000"/>
            </w:tcBorders>
          </w:tcPr>
          <w:p>
            <w:pPr/>
          </w:p>
        </w:tc>
        <w:tc>
          <w:tcPr>
            <w:tcW w:w="956" w:type="dxa"/>
            <w:tcBorders>
              <w:top w:val="single" w:sz="6" w:space="0" w:color="000000"/>
              <w:left w:val="single" w:sz="6" w:space="0" w:color="000000"/>
              <w:bottom w:val="nil" w:sz="6" w:space="0" w:color="auto"/>
              <w:right w:val="single" w:sz="6" w:space="0" w:color="000000"/>
            </w:tcBorders>
          </w:tcPr>
          <w:p>
            <w:pPr/>
          </w:p>
        </w:tc>
        <w:tc>
          <w:tcPr>
            <w:tcW w:w="958" w:type="dxa"/>
            <w:tcBorders>
              <w:top w:val="single" w:sz="6" w:space="0" w:color="000000"/>
              <w:left w:val="single" w:sz="6" w:space="0" w:color="000000"/>
              <w:bottom w:val="nil" w:sz="6" w:space="0" w:color="auto"/>
              <w:right w:val="single" w:sz="6" w:space="0" w:color="000000"/>
            </w:tcBorders>
          </w:tcPr>
          <w:p>
            <w:pPr/>
          </w:p>
        </w:tc>
        <w:tc>
          <w:tcPr>
            <w:tcW w:w="956" w:type="dxa"/>
            <w:tcBorders>
              <w:top w:val="single" w:sz="6" w:space="0" w:color="000000"/>
              <w:left w:val="single" w:sz="6" w:space="0" w:color="000000"/>
              <w:bottom w:val="nil" w:sz="6" w:space="0" w:color="auto"/>
              <w:right w:val="single" w:sz="6" w:space="0" w:color="000000"/>
            </w:tcBorders>
          </w:tcPr>
          <w:p>
            <w:pPr/>
          </w:p>
        </w:tc>
        <w:tc>
          <w:tcPr>
            <w:tcW w:w="956" w:type="dxa"/>
            <w:tcBorders>
              <w:top w:val="single" w:sz="6" w:space="0" w:color="000000"/>
              <w:left w:val="single" w:sz="6" w:space="0" w:color="000000"/>
              <w:bottom w:val="nil" w:sz="6" w:space="0" w:color="auto"/>
              <w:right w:val="single" w:sz="6" w:space="0" w:color="000000"/>
            </w:tcBorders>
          </w:tcPr>
          <w:p>
            <w:pPr/>
          </w:p>
        </w:tc>
        <w:tc>
          <w:tcPr>
            <w:tcW w:w="707" w:type="dxa"/>
            <w:tcBorders>
              <w:top w:val="single" w:sz="6" w:space="0" w:color="000000"/>
              <w:left w:val="single" w:sz="6" w:space="0" w:color="000000"/>
              <w:bottom w:val="nil" w:sz="6" w:space="0" w:color="auto"/>
              <w:right w:val="single" w:sz="6" w:space="0" w:color="000000"/>
            </w:tcBorders>
          </w:tcPr>
          <w:p>
            <w:pPr/>
          </w:p>
        </w:tc>
        <w:tc>
          <w:tcPr>
            <w:tcW w:w="1205" w:type="dxa"/>
            <w:tcBorders>
              <w:top w:val="single" w:sz="6" w:space="0" w:color="000000"/>
              <w:left w:val="single" w:sz="6" w:space="0" w:color="000000"/>
              <w:bottom w:val="nil" w:sz="6" w:space="0" w:color="auto"/>
              <w:right w:val="single" w:sz="12" w:space="0" w:color="000000"/>
            </w:tcBorders>
          </w:tcPr>
          <w:p>
            <w:pPr/>
          </w:p>
        </w:tc>
      </w:tr>
      <w:tr>
        <w:trPr>
          <w:trHeight w:val="313" w:hRule="exact"/>
        </w:trPr>
        <w:tc>
          <w:tcPr>
            <w:tcW w:w="958" w:type="dxa"/>
            <w:tcBorders>
              <w:top w:val="nil" w:sz="6" w:space="0" w:color="auto"/>
              <w:left w:val="single" w:sz="12" w:space="0" w:color="000000"/>
              <w:bottom w:val="nil" w:sz="6" w:space="0" w:color="auto"/>
              <w:right w:val="single" w:sz="6" w:space="0" w:color="000000"/>
            </w:tcBorders>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一科技有限</w:t>
            </w:r>
          </w:p>
        </w:tc>
        <w:tc>
          <w:tcPr>
            <w:tcW w:w="956"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18"/>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59"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20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56"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958"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工业生产</w:t>
            </w:r>
          </w:p>
        </w:tc>
        <w:tc>
          <w:tcPr>
            <w:tcW w:w="956"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30,000,000</w:t>
            </w:r>
          </w:p>
        </w:tc>
        <w:tc>
          <w:tcPr>
            <w:tcW w:w="956"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561" w:right="0"/>
              <w:jc w:val="left"/>
              <w:rPr>
                <w:rFonts w:ascii="宋体" w:hAnsi="宋体" w:cs="宋体" w:eastAsia="宋体" w:hint="default"/>
                <w:sz w:val="18"/>
                <w:szCs w:val="18"/>
              </w:rPr>
            </w:pPr>
            <w:r>
              <w:rPr>
                <w:rFonts w:ascii="宋体"/>
                <w:sz w:val="18"/>
              </w:rPr>
              <w:t>100%</w:t>
            </w:r>
          </w:p>
        </w:tc>
        <w:tc>
          <w:tcPr>
            <w:tcW w:w="707"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311" w:right="0"/>
              <w:jc w:val="left"/>
              <w:rPr>
                <w:rFonts w:ascii="宋体" w:hAnsi="宋体" w:cs="宋体" w:eastAsia="宋体" w:hint="default"/>
                <w:sz w:val="18"/>
                <w:szCs w:val="18"/>
              </w:rPr>
            </w:pPr>
            <w:r>
              <w:rPr>
                <w:rFonts w:ascii="宋体"/>
                <w:sz w:val="18"/>
              </w:rPr>
              <w:t>100%</w:t>
            </w:r>
          </w:p>
        </w:tc>
        <w:tc>
          <w:tcPr>
            <w:tcW w:w="1205" w:type="dxa"/>
            <w:tcBorders>
              <w:top w:val="nil" w:sz="6" w:space="0" w:color="auto"/>
              <w:left w:val="single" w:sz="6" w:space="0" w:color="000000"/>
              <w:bottom w:val="nil" w:sz="6" w:space="0" w:color="auto"/>
              <w:right w:val="single" w:sz="12"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sz w:val="18"/>
              </w:rPr>
              <w:t>75463937-X</w:t>
            </w:r>
          </w:p>
        </w:tc>
      </w:tr>
      <w:tr>
        <w:trPr>
          <w:trHeight w:val="365" w:hRule="exact"/>
        </w:trPr>
        <w:tc>
          <w:tcPr>
            <w:tcW w:w="958" w:type="dxa"/>
            <w:tcBorders>
              <w:top w:val="nil" w:sz="6" w:space="0" w:color="auto"/>
              <w:left w:val="single" w:sz="12" w:space="0" w:color="000000"/>
              <w:bottom w:val="single" w:sz="12" w:space="0" w:color="000000"/>
              <w:right w:val="single" w:sz="6" w:space="0" w:color="000000"/>
            </w:tcBorders>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56" w:type="dxa"/>
            <w:tcBorders>
              <w:top w:val="nil" w:sz="6" w:space="0" w:color="auto"/>
              <w:left w:val="single" w:sz="6" w:space="0" w:color="000000"/>
              <w:bottom w:val="single" w:sz="12" w:space="0" w:color="000000"/>
              <w:right w:val="single" w:sz="6" w:space="0" w:color="000000"/>
            </w:tcBorders>
          </w:tcPr>
          <w:p>
            <w:pPr/>
          </w:p>
        </w:tc>
        <w:tc>
          <w:tcPr>
            <w:tcW w:w="958" w:type="dxa"/>
            <w:tcBorders>
              <w:top w:val="nil" w:sz="6" w:space="0" w:color="auto"/>
              <w:left w:val="single" w:sz="6" w:space="0" w:color="000000"/>
              <w:bottom w:val="single" w:sz="12" w:space="0" w:color="000000"/>
              <w:right w:val="single" w:sz="6" w:space="0" w:color="000000"/>
            </w:tcBorders>
          </w:tcPr>
          <w:p>
            <w:pPr/>
          </w:p>
        </w:tc>
        <w:tc>
          <w:tcPr>
            <w:tcW w:w="959" w:type="dxa"/>
            <w:tcBorders>
              <w:top w:val="nil" w:sz="6" w:space="0" w:color="auto"/>
              <w:left w:val="single" w:sz="6" w:space="0" w:color="000000"/>
              <w:bottom w:val="single" w:sz="12" w:space="0" w:color="000000"/>
              <w:right w:val="single" w:sz="6" w:space="0" w:color="000000"/>
            </w:tcBorders>
          </w:tcPr>
          <w:p>
            <w:pPr/>
          </w:p>
        </w:tc>
        <w:tc>
          <w:tcPr>
            <w:tcW w:w="956" w:type="dxa"/>
            <w:tcBorders>
              <w:top w:val="nil" w:sz="6" w:space="0" w:color="auto"/>
              <w:left w:val="single" w:sz="6" w:space="0" w:color="000000"/>
              <w:bottom w:val="single" w:sz="12" w:space="0" w:color="000000"/>
              <w:right w:val="single" w:sz="6" w:space="0" w:color="000000"/>
            </w:tcBorders>
          </w:tcPr>
          <w:p>
            <w:pPr/>
          </w:p>
        </w:tc>
        <w:tc>
          <w:tcPr>
            <w:tcW w:w="958" w:type="dxa"/>
            <w:tcBorders>
              <w:top w:val="nil" w:sz="6" w:space="0" w:color="auto"/>
              <w:left w:val="single" w:sz="6" w:space="0" w:color="000000"/>
              <w:bottom w:val="single" w:sz="12" w:space="0" w:color="000000"/>
              <w:right w:val="single" w:sz="6" w:space="0" w:color="000000"/>
            </w:tcBorders>
          </w:tcPr>
          <w:p>
            <w:pPr/>
          </w:p>
        </w:tc>
        <w:tc>
          <w:tcPr>
            <w:tcW w:w="956" w:type="dxa"/>
            <w:tcBorders>
              <w:top w:val="nil" w:sz="6" w:space="0" w:color="auto"/>
              <w:left w:val="single" w:sz="6" w:space="0" w:color="000000"/>
              <w:bottom w:val="single" w:sz="12" w:space="0" w:color="000000"/>
              <w:right w:val="single" w:sz="6" w:space="0" w:color="000000"/>
            </w:tcBorders>
          </w:tcPr>
          <w:p>
            <w:pPr/>
          </w:p>
        </w:tc>
        <w:tc>
          <w:tcPr>
            <w:tcW w:w="956" w:type="dxa"/>
            <w:tcBorders>
              <w:top w:val="nil" w:sz="6" w:space="0" w:color="auto"/>
              <w:left w:val="single" w:sz="6" w:space="0" w:color="000000"/>
              <w:bottom w:val="single" w:sz="12" w:space="0" w:color="000000"/>
              <w:right w:val="single" w:sz="6" w:space="0" w:color="000000"/>
            </w:tcBorders>
          </w:tcPr>
          <w:p>
            <w:pPr/>
          </w:p>
        </w:tc>
        <w:tc>
          <w:tcPr>
            <w:tcW w:w="707" w:type="dxa"/>
            <w:tcBorders>
              <w:top w:val="nil" w:sz="6" w:space="0" w:color="auto"/>
              <w:left w:val="single" w:sz="6" w:space="0" w:color="000000"/>
              <w:bottom w:val="single" w:sz="12" w:space="0" w:color="000000"/>
              <w:right w:val="single" w:sz="6" w:space="0" w:color="000000"/>
            </w:tcBorders>
          </w:tcPr>
          <w:p>
            <w:pPr/>
          </w:p>
        </w:tc>
        <w:tc>
          <w:tcPr>
            <w:tcW w:w="1205" w:type="dxa"/>
            <w:tcBorders>
              <w:top w:val="nil" w:sz="6" w:space="0" w:color="auto"/>
              <w:left w:val="single" w:sz="6"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32"/>
        <w:jc w:val="left"/>
        <w:rPr>
          <w:b w:val="0"/>
          <w:bCs w:val="0"/>
        </w:rPr>
      </w:pPr>
      <w:r>
        <w:rPr/>
        <w:t>3、本企业的合营和联营企业情况</w:t>
      </w:r>
      <w:r>
        <w:rPr>
          <w:b w:val="0"/>
          <w:bCs w:val="0"/>
        </w:rPr>
      </w:r>
    </w:p>
    <w:p>
      <w:pPr>
        <w:spacing w:line="240" w:lineRule="auto" w:before="11"/>
        <w:rPr>
          <w:rFonts w:ascii="宋体" w:hAnsi="宋体" w:cs="宋体" w:eastAsia="宋体" w:hint="default"/>
          <w:b/>
          <w:bCs/>
          <w:sz w:val="25"/>
          <w:szCs w:val="25"/>
        </w:rPr>
      </w:pPr>
    </w:p>
    <w:p>
      <w:pPr>
        <w:spacing w:line="535" w:lineRule="auto" w:before="0"/>
        <w:ind w:left="154" w:right="713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4、本企业的其他关联方情况</w:t>
      </w:r>
      <w:r>
        <w:rPr>
          <w:rFonts w:ascii="宋体" w:hAnsi="宋体" w:cs="宋体" w:eastAsia="宋体" w:hint="default"/>
          <w:sz w:val="21"/>
          <w:szCs w:val="21"/>
        </w:rPr>
      </w:r>
    </w:p>
    <w:p>
      <w:pPr>
        <w:spacing w:line="532" w:lineRule="auto" w:before="81"/>
        <w:ind w:left="154" w:right="79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5、关联方交易</w:t>
      </w:r>
      <w:r>
        <w:rPr>
          <w:rFonts w:ascii="宋体" w:hAnsi="宋体" w:cs="宋体" w:eastAsia="宋体" w:hint="default"/>
          <w:sz w:val="21"/>
          <w:szCs w:val="21"/>
        </w:rPr>
      </w:r>
    </w:p>
    <w:p>
      <w:pPr>
        <w:pStyle w:val="Heading4"/>
        <w:spacing w:line="240" w:lineRule="auto" w:before="83"/>
        <w:ind w:right="132"/>
        <w:jc w:val="left"/>
        <w:rPr>
          <w:b w:val="0"/>
          <w:bCs w:val="0"/>
        </w:rPr>
      </w:pPr>
      <w:r>
        <w:rPr/>
        <w:t>（1）采购商品、接受劳务情况表</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32"/>
        <w:jc w:val="left"/>
        <w:rPr>
          <w:b w:val="0"/>
          <w:bCs w:val="0"/>
        </w:rPr>
      </w:pPr>
      <w:r>
        <w:rPr/>
        <w:t>（2）关联托管/承包情况</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32"/>
        <w:jc w:val="left"/>
        <w:rPr>
          <w:b w:val="0"/>
          <w:bCs w:val="0"/>
        </w:rPr>
      </w:pPr>
      <w:r>
        <w:rPr/>
        <w:t>（3）关联租赁情况</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after="0" w:line="240" w:lineRule="auto"/>
        <w:jc w:val="left"/>
        <w:sectPr>
          <w:pgSz w:w="11910" w:h="16840"/>
          <w:pgMar w:header="0" w:footer="1003" w:top="1100" w:bottom="1200" w:left="980" w:right="980"/>
        </w:sectPr>
      </w:pPr>
    </w:p>
    <w:p>
      <w:pPr>
        <w:spacing w:line="240" w:lineRule="auto" w:before="9"/>
        <w:rPr>
          <w:rFonts w:ascii="宋体" w:hAnsi="宋体" w:cs="宋体" w:eastAsia="宋体" w:hint="default"/>
          <w:sz w:val="20"/>
          <w:szCs w:val="20"/>
        </w:rPr>
      </w:pPr>
    </w:p>
    <w:p>
      <w:pPr>
        <w:pStyle w:val="Heading4"/>
        <w:spacing w:line="240" w:lineRule="auto" w:before="35"/>
        <w:ind w:right="132"/>
        <w:jc w:val="left"/>
        <w:rPr>
          <w:b w:val="0"/>
          <w:bCs w:val="0"/>
        </w:rPr>
      </w:pPr>
      <w:r>
        <w:rPr/>
        <w:t>（4）关联担保情况</w:t>
      </w:r>
      <w:r>
        <w:rPr>
          <w:b w:val="0"/>
          <w:bCs w:val="0"/>
        </w:rPr>
      </w:r>
    </w:p>
    <w:p>
      <w:pPr>
        <w:spacing w:line="240" w:lineRule="auto" w:before="7"/>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844"/>
        <w:gridCol w:w="2126"/>
        <w:gridCol w:w="1417"/>
        <w:gridCol w:w="1559"/>
        <w:gridCol w:w="1702"/>
        <w:gridCol w:w="919"/>
      </w:tblGrid>
      <w:tr>
        <w:trPr>
          <w:trHeight w:val="1039" w:hRule="exact"/>
        </w:trPr>
        <w:tc>
          <w:tcPr>
            <w:tcW w:w="1844"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
              <w:jc w:val="center"/>
              <w:rPr>
                <w:rFonts w:ascii="宋体" w:hAnsi="宋体" w:cs="宋体" w:eastAsia="宋体" w:hint="default"/>
                <w:sz w:val="18"/>
                <w:szCs w:val="18"/>
              </w:rPr>
            </w:pPr>
            <w:r>
              <w:rPr>
                <w:rFonts w:ascii="宋体" w:hAnsi="宋体" w:cs="宋体" w:eastAsia="宋体" w:hint="default"/>
                <w:sz w:val="18"/>
                <w:szCs w:val="18"/>
              </w:rPr>
              <w:t>担保方</w:t>
            </w:r>
          </w:p>
        </w:tc>
        <w:tc>
          <w:tcPr>
            <w:tcW w:w="2126"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417"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1559"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702"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919"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319" w:lineRule="auto" w:before="51"/>
              <w:ind w:left="91" w:right="83"/>
              <w:jc w:val="center"/>
              <w:rPr>
                <w:rFonts w:ascii="宋体" w:hAnsi="宋体" w:cs="宋体" w:eastAsia="宋体" w:hint="default"/>
                <w:sz w:val="18"/>
                <w:szCs w:val="18"/>
              </w:rPr>
            </w:pPr>
            <w:r>
              <w:rPr>
                <w:rFonts w:ascii="宋体" w:hAnsi="宋体" w:cs="宋体" w:eastAsia="宋体" w:hint="default"/>
                <w:sz w:val="18"/>
                <w:szCs w:val="18"/>
              </w:rPr>
              <w:t>担保是否 已经履行 完毕</w:t>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光一科技股份有限公司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5,000,000.00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光一科技股份有限公司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5,000,000.00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455" w:right="103" w:hanging="360"/>
              <w:jc w:val="left"/>
              <w:rPr>
                <w:rFonts w:ascii="宋体" w:hAnsi="宋体" w:cs="宋体" w:eastAsia="宋体" w:hint="default"/>
                <w:sz w:val="18"/>
                <w:szCs w:val="18"/>
              </w:rPr>
            </w:pPr>
            <w:r>
              <w:rPr>
                <w:rFonts w:ascii="宋体" w:hAnsi="宋体" w:cs="宋体" w:eastAsia="宋体" w:hint="default"/>
                <w:sz w:val="18"/>
                <w:szCs w:val="18"/>
              </w:rPr>
              <w:t>江苏光一投资管理有 限责任公司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光一科技股份有限公司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20,000,000.00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9"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95" w:right="103"/>
              <w:jc w:val="left"/>
              <w:rPr>
                <w:rFonts w:ascii="宋体" w:hAnsi="宋体" w:cs="宋体" w:eastAsia="宋体" w:hint="default"/>
                <w:sz w:val="18"/>
                <w:szCs w:val="18"/>
              </w:rPr>
            </w:pPr>
            <w:r>
              <w:rPr>
                <w:rFonts w:ascii="宋体" w:hAnsi="宋体" w:cs="宋体" w:eastAsia="宋体" w:hint="default"/>
                <w:sz w:val="18"/>
                <w:szCs w:val="18"/>
              </w:rPr>
              <w:t>江苏光一投资管理有 限责任公司、龙昌明</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光一科技股份有限公司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3,000,000.00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光一科技股份有限公司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15,000,000.00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9"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95" w:right="103"/>
              <w:jc w:val="left"/>
              <w:rPr>
                <w:rFonts w:ascii="宋体" w:hAnsi="宋体" w:cs="宋体" w:eastAsia="宋体" w:hint="default"/>
                <w:sz w:val="18"/>
                <w:szCs w:val="18"/>
              </w:rPr>
            </w:pPr>
            <w:r>
              <w:rPr>
                <w:rFonts w:ascii="宋体" w:hAnsi="宋体" w:cs="宋体" w:eastAsia="宋体" w:hint="default"/>
                <w:sz w:val="18"/>
                <w:szCs w:val="18"/>
              </w:rPr>
              <w:t>江苏光一投资管理有 限责任公司、龙昌明</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光一科技股份有限公司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3,000,000.00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9"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455" w:right="103" w:hanging="360"/>
              <w:jc w:val="left"/>
              <w:rPr>
                <w:rFonts w:ascii="宋体" w:hAnsi="宋体" w:cs="宋体" w:eastAsia="宋体" w:hint="default"/>
                <w:sz w:val="18"/>
                <w:szCs w:val="18"/>
              </w:rPr>
            </w:pPr>
            <w:r>
              <w:rPr>
                <w:rFonts w:ascii="宋体" w:hAnsi="宋体" w:cs="宋体" w:eastAsia="宋体" w:hint="default"/>
                <w:sz w:val="18"/>
                <w:szCs w:val="18"/>
              </w:rPr>
              <w:t>江苏光一投资管理有 限责任公司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光一科技股份有限公司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40,000,000.00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光一科技股份有限公司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5,000,000.00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光一科技股份有限公司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5,000,000.00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27" w:hRule="exact"/>
        </w:trPr>
        <w:tc>
          <w:tcPr>
            <w:tcW w:w="1844"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51"/>
              <w:ind w:left="455" w:right="103" w:hanging="360"/>
              <w:jc w:val="left"/>
              <w:rPr>
                <w:rFonts w:ascii="宋体" w:hAnsi="宋体" w:cs="宋体" w:eastAsia="宋体" w:hint="default"/>
                <w:sz w:val="18"/>
                <w:szCs w:val="18"/>
              </w:rPr>
            </w:pPr>
            <w:r>
              <w:rPr>
                <w:rFonts w:ascii="宋体" w:hAnsi="宋体" w:cs="宋体" w:eastAsia="宋体" w:hint="default"/>
                <w:sz w:val="18"/>
                <w:szCs w:val="18"/>
              </w:rPr>
              <w:t>江苏光一投资管理有 限责任公司</w:t>
            </w:r>
          </w:p>
        </w:tc>
        <w:tc>
          <w:tcPr>
            <w:tcW w:w="21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光一科技股份有限公司</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40,000,000.00</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26"/>
        <w:ind w:right="132"/>
        <w:jc w:val="left"/>
      </w:pPr>
      <w:r>
        <w:rPr/>
        <w:t>关联担保情况说明</w:t>
      </w:r>
    </w:p>
    <w:p>
      <w:pPr>
        <w:pStyle w:val="BodyText"/>
        <w:spacing w:line="273" w:lineRule="auto" w:before="75"/>
        <w:ind w:right="277" w:firstLine="420"/>
        <w:jc w:val="left"/>
      </w:pPr>
      <w:r>
        <w:rPr/>
        <w:t>2012</w:t>
      </w:r>
      <w:r>
        <w:rPr>
          <w:spacing w:val="-54"/>
        </w:rPr>
        <w:t> </w:t>
      </w:r>
      <w:r>
        <w:rPr/>
        <w:t>年</w:t>
      </w:r>
      <w:r>
        <w:rPr>
          <w:spacing w:val="-54"/>
        </w:rPr>
        <w:t> </w:t>
      </w:r>
      <w:r>
        <w:rPr/>
        <w:t>4</w:t>
      </w:r>
      <w:r>
        <w:rPr>
          <w:spacing w:val="-54"/>
        </w:rPr>
        <w:t> </w:t>
      </w:r>
      <w:r>
        <w:rPr/>
        <w:t>月</w:t>
      </w:r>
      <w:r>
        <w:rPr>
          <w:spacing w:val="-55"/>
        </w:rPr>
        <w:t> </w:t>
      </w:r>
      <w:r>
        <w:rPr/>
        <w:t>17</w:t>
      </w:r>
      <w:r>
        <w:rPr>
          <w:spacing w:val="-53"/>
        </w:rPr>
        <w:t> </w:t>
      </w:r>
      <w:r>
        <w:rPr/>
        <w:t>日，控股股东江苏光一投资管理有限责任公司为光一科技股份有限公司提供</w:t>
      </w:r>
      <w:r>
        <w:rPr>
          <w:spacing w:val="-54"/>
        </w:rPr>
        <w:t> </w:t>
      </w:r>
      <w:r>
        <w:rPr/>
        <w:t>4000</w:t>
      </w:r>
      <w:r>
        <w:rPr>
          <w:spacing w:val="-53"/>
        </w:rPr>
        <w:t> </w:t>
      </w:r>
      <w:r>
        <w:rPr/>
        <w:t>万</w:t>
      </w:r>
      <w:r>
        <w:rPr/>
        <w:t> 元担保，担保期限至《授信协议》项下每笔业务到期日后两年。</w:t>
      </w:r>
    </w:p>
    <w:p>
      <w:pPr>
        <w:spacing w:line="240" w:lineRule="auto" w:before="7"/>
        <w:rPr>
          <w:rFonts w:ascii="宋体" w:hAnsi="宋体" w:cs="宋体" w:eastAsia="宋体" w:hint="default"/>
          <w:sz w:val="23"/>
          <w:szCs w:val="23"/>
        </w:rPr>
      </w:pPr>
    </w:p>
    <w:p>
      <w:pPr>
        <w:pStyle w:val="Heading4"/>
        <w:spacing w:line="240" w:lineRule="auto"/>
        <w:ind w:right="132"/>
        <w:jc w:val="left"/>
        <w:rPr>
          <w:b w:val="0"/>
          <w:bCs w:val="0"/>
        </w:rPr>
      </w:pPr>
      <w:r>
        <w:rPr/>
        <w:t>（5）关联方资金拆借</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32"/>
        <w:jc w:val="left"/>
        <w:rPr>
          <w:b w:val="0"/>
          <w:bCs w:val="0"/>
        </w:rPr>
      </w:pPr>
      <w:r>
        <w:rPr/>
        <w:t>（6）关联方资产转让、债务重组情况</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line="240" w:lineRule="auto" w:before="9"/>
        <w:rPr>
          <w:rFonts w:ascii="宋体" w:hAnsi="宋体" w:cs="宋体" w:eastAsia="宋体" w:hint="default"/>
          <w:sz w:val="25"/>
          <w:szCs w:val="25"/>
        </w:rPr>
      </w:pPr>
    </w:p>
    <w:p>
      <w:pPr>
        <w:spacing w:line="561" w:lineRule="auto" w:before="0"/>
        <w:ind w:left="163" w:right="5771" w:hanging="10"/>
        <w:jc w:val="left"/>
        <w:rPr>
          <w:rFonts w:ascii="宋体" w:hAnsi="宋体" w:cs="宋体" w:eastAsia="宋体" w:hint="default"/>
          <w:sz w:val="21"/>
          <w:szCs w:val="21"/>
        </w:rPr>
      </w:pPr>
      <w:r>
        <w:rPr>
          <w:rFonts w:ascii="宋体" w:hAnsi="宋体" w:cs="宋体" w:eastAsia="宋体" w:hint="default"/>
          <w:b/>
          <w:bCs/>
          <w:sz w:val="21"/>
          <w:szCs w:val="21"/>
        </w:rPr>
        <w:t>（7）其他关联交易</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本公司无关联方资金拆借。 本公司无关联方资产转让、债务重组情况。</w:t>
      </w:r>
    </w:p>
    <w:p>
      <w:pPr>
        <w:pStyle w:val="BodyText"/>
        <w:spacing w:line="240" w:lineRule="auto" w:before="108"/>
        <w:ind w:left="163" w:right="132"/>
        <w:jc w:val="left"/>
      </w:pPr>
      <w:r>
        <w:rPr/>
        <w:t>关键管理人员薪酬</w:t>
      </w:r>
    </w:p>
    <w:p>
      <w:pPr>
        <w:spacing w:after="0" w:line="240" w:lineRule="auto"/>
        <w:jc w:val="left"/>
        <w:sectPr>
          <w:pgSz w:w="11910" w:h="16840"/>
          <w:pgMar w:header="0" w:footer="1003" w:top="1100" w:bottom="1200" w:left="980" w:right="9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240" w:lineRule="auto" w:before="35"/>
        <w:ind w:left="583" w:right="132"/>
        <w:jc w:val="left"/>
      </w:pPr>
      <w:r>
        <w:rPr/>
        <w:t>2012年度本公司关键管理人员的报酬（包括货币和非货币形式）总额为578.15万元（2011年度为</w:t>
      </w:r>
    </w:p>
    <w:p>
      <w:pPr>
        <w:pStyle w:val="BodyText"/>
        <w:spacing w:line="273" w:lineRule="auto" w:before="37"/>
        <w:ind w:left="163" w:right="132"/>
        <w:jc w:val="left"/>
      </w:pPr>
      <w:r>
        <w:rPr>
          <w:spacing w:val="-3"/>
        </w:rPr>
        <w:t>419.68万元）。2012年度本公司关键管理人员包括董事、总经理、副总经理和总会计师等共19人（2011</w:t>
      </w:r>
      <w:r>
        <w:rPr>
          <w:spacing w:val="-60"/>
        </w:rPr>
        <w:t> </w:t>
      </w:r>
      <w:r>
        <w:rPr>
          <w:spacing w:val="-60"/>
        </w:rPr>
      </w:r>
      <w:r>
        <w:rPr/>
        <w:t>年度为19人），其中在本公司领取报酬的为15人（2011年度为15人）。</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Heading4"/>
        <w:spacing w:line="240" w:lineRule="auto"/>
        <w:ind w:right="132"/>
        <w:jc w:val="left"/>
        <w:rPr>
          <w:b w:val="0"/>
          <w:bCs w:val="0"/>
        </w:rPr>
      </w:pPr>
      <w:r>
        <w:rPr/>
        <w:t>6、关联方应收应付款项</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line="240" w:lineRule="auto" w:before="0"/>
        <w:rPr>
          <w:rFonts w:ascii="宋体" w:hAnsi="宋体" w:cs="宋体" w:eastAsia="宋体" w:hint="default"/>
          <w:sz w:val="24"/>
          <w:szCs w:val="24"/>
        </w:rPr>
      </w:pPr>
    </w:p>
    <w:p>
      <w:pPr>
        <w:pStyle w:val="Heading2"/>
        <w:spacing w:line="240" w:lineRule="auto" w:before="0"/>
        <w:ind w:right="132"/>
        <w:jc w:val="left"/>
        <w:rPr>
          <w:b w:val="0"/>
          <w:bCs w:val="0"/>
        </w:rPr>
      </w:pPr>
      <w:r>
        <w:rPr/>
        <w:t>九、股份支付</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132"/>
        <w:jc w:val="left"/>
      </w:pPr>
      <w:r>
        <w:rPr/>
        <w:t>□ 适用 √</w:t>
      </w:r>
      <w:r>
        <w:rPr>
          <w:spacing w:val="-2"/>
        </w:rPr>
        <w:t> </w:t>
      </w:r>
      <w:r>
        <w:rPr/>
        <w:t>不适用</w:t>
      </w:r>
    </w:p>
    <w:p>
      <w:pPr>
        <w:spacing w:line="240" w:lineRule="auto" w:before="0"/>
        <w:rPr>
          <w:rFonts w:ascii="宋体" w:hAnsi="宋体" w:cs="宋体" w:eastAsia="宋体" w:hint="default"/>
          <w:sz w:val="24"/>
          <w:szCs w:val="24"/>
        </w:rPr>
      </w:pPr>
    </w:p>
    <w:p>
      <w:pPr>
        <w:pStyle w:val="Heading2"/>
        <w:spacing w:line="240" w:lineRule="auto" w:before="0"/>
        <w:ind w:right="132"/>
        <w:jc w:val="left"/>
        <w:rPr>
          <w:b w:val="0"/>
          <w:bCs w:val="0"/>
        </w:rPr>
      </w:pPr>
      <w:r>
        <w:rPr/>
        <w:t>十、或有事项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32"/>
        <w:jc w:val="left"/>
        <w:rPr>
          <w:b w:val="0"/>
          <w:bCs w:val="0"/>
        </w:rPr>
      </w:pPr>
      <w:r>
        <w:rPr/>
        <w:t>1、未决诉讼或仲裁形成的或有负债及其财务影响</w:t>
      </w:r>
      <w:r>
        <w:rPr>
          <w:b w:val="0"/>
          <w:bCs w:val="0"/>
        </w:rPr>
      </w:r>
    </w:p>
    <w:p>
      <w:pPr>
        <w:spacing w:line="240" w:lineRule="auto" w:before="10"/>
        <w:rPr>
          <w:rFonts w:ascii="宋体" w:hAnsi="宋体" w:cs="宋体" w:eastAsia="宋体" w:hint="default"/>
          <w:b/>
          <w:bCs/>
          <w:sz w:val="25"/>
          <w:szCs w:val="25"/>
        </w:rPr>
      </w:pPr>
    </w:p>
    <w:p>
      <w:pPr>
        <w:spacing w:line="535" w:lineRule="auto" w:before="0"/>
        <w:ind w:left="154" w:right="439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2、为其他单位提供债务担保形成的或有负债及其财务影响</w:t>
      </w:r>
      <w:r>
        <w:rPr>
          <w:rFonts w:ascii="宋体" w:hAnsi="宋体" w:cs="宋体" w:eastAsia="宋体" w:hint="default"/>
          <w:sz w:val="21"/>
          <w:szCs w:val="21"/>
        </w:rPr>
      </w:r>
    </w:p>
    <w:p>
      <w:pPr>
        <w:pStyle w:val="BodyText"/>
        <w:spacing w:line="240" w:lineRule="auto" w:before="79"/>
        <w:ind w:right="132"/>
        <w:jc w:val="left"/>
      </w:pPr>
      <w:r>
        <w:rPr/>
        <w:t>□ 适用 √</w:t>
      </w:r>
      <w:r>
        <w:rPr>
          <w:spacing w:val="-2"/>
        </w:rPr>
        <w:t> </w:t>
      </w:r>
      <w:r>
        <w:rPr/>
        <w:t>不适用</w:t>
      </w:r>
    </w:p>
    <w:p>
      <w:pPr>
        <w:spacing w:line="240" w:lineRule="auto" w:before="9"/>
        <w:rPr>
          <w:rFonts w:ascii="宋体" w:hAnsi="宋体" w:cs="宋体" w:eastAsia="宋体" w:hint="default"/>
          <w:sz w:val="26"/>
          <w:szCs w:val="26"/>
        </w:rPr>
      </w:pPr>
    </w:p>
    <w:p>
      <w:pPr>
        <w:pStyle w:val="BodyText"/>
        <w:spacing w:line="273" w:lineRule="auto"/>
        <w:ind w:right="2210"/>
        <w:jc w:val="left"/>
      </w:pPr>
      <w:r>
        <w:rPr/>
        <w:t>其他或有负债及其财务影响 截至2012年12月31日，本公司未发生影响本财务报表阅读和理解的重大或有事项。</w:t>
      </w:r>
    </w:p>
    <w:p>
      <w:pPr>
        <w:spacing w:line="240" w:lineRule="auto" w:before="11"/>
        <w:rPr>
          <w:rFonts w:ascii="宋体" w:hAnsi="宋体" w:cs="宋体" w:eastAsia="宋体" w:hint="default"/>
          <w:sz w:val="21"/>
          <w:szCs w:val="21"/>
        </w:rPr>
      </w:pPr>
    </w:p>
    <w:p>
      <w:pPr>
        <w:pStyle w:val="Heading2"/>
        <w:spacing w:line="240" w:lineRule="auto" w:before="0"/>
        <w:ind w:right="132"/>
        <w:jc w:val="left"/>
        <w:rPr>
          <w:b w:val="0"/>
          <w:bCs w:val="0"/>
        </w:rPr>
      </w:pPr>
      <w:r>
        <w:rPr/>
        <w:t>十一、承诺事项</w:t>
      </w:r>
      <w:r>
        <w:rPr>
          <w:b w:val="0"/>
          <w:bCs w:val="0"/>
        </w:rPr>
      </w:r>
    </w:p>
    <w:p>
      <w:pPr>
        <w:spacing w:line="240" w:lineRule="auto" w:before="8"/>
        <w:rPr>
          <w:rFonts w:ascii="宋体" w:hAnsi="宋体" w:cs="宋体" w:eastAsia="宋体" w:hint="default"/>
          <w:b/>
          <w:bCs/>
          <w:sz w:val="24"/>
          <w:szCs w:val="24"/>
        </w:rPr>
      </w:pPr>
    </w:p>
    <w:p>
      <w:pPr>
        <w:spacing w:line="535" w:lineRule="auto" w:before="0"/>
        <w:ind w:left="154" w:right="2210" w:firstLine="0"/>
        <w:jc w:val="left"/>
        <w:rPr>
          <w:rFonts w:ascii="宋体" w:hAnsi="宋体" w:cs="宋体" w:eastAsia="宋体" w:hint="default"/>
          <w:sz w:val="21"/>
          <w:szCs w:val="21"/>
        </w:rPr>
      </w:pPr>
      <w:r>
        <w:rPr>
          <w:rFonts w:ascii="宋体" w:hAnsi="宋体" w:cs="宋体" w:eastAsia="宋体" w:hint="default"/>
          <w:b/>
          <w:bCs/>
          <w:sz w:val="21"/>
          <w:szCs w:val="21"/>
        </w:rPr>
        <w:t>1、重大承诺事项</w:t>
      </w:r>
      <w:r>
        <w:rPr>
          <w:rFonts w:ascii="宋体" w:hAnsi="宋体" w:cs="宋体" w:eastAsia="宋体" w:hint="default"/>
          <w:b/>
          <w:bCs/>
          <w:spacing w:val="1"/>
          <w:w w:val="99"/>
          <w:sz w:val="21"/>
          <w:szCs w:val="21"/>
        </w:rPr>
        <w:t> </w:t>
      </w:r>
      <w:r>
        <w:rPr>
          <w:rFonts w:ascii="宋体" w:hAnsi="宋体" w:cs="宋体" w:eastAsia="宋体" w:hint="default"/>
          <w:sz w:val="21"/>
          <w:szCs w:val="21"/>
        </w:rPr>
        <w:t>截至2012年12月31日，本公司未发生影响本财务报表阅读和理解的重大承诺事项。 </w:t>
      </w:r>
      <w:r>
        <w:rPr>
          <w:rFonts w:ascii="宋体" w:hAnsi="宋体" w:cs="宋体" w:eastAsia="宋体" w:hint="default"/>
          <w:b/>
          <w:bCs/>
          <w:sz w:val="21"/>
          <w:szCs w:val="21"/>
        </w:rPr>
        <w:t>2、前期承诺履行情况</w:t>
      </w:r>
      <w:r>
        <w:rPr>
          <w:rFonts w:ascii="宋体" w:hAnsi="宋体" w:cs="宋体" w:eastAsia="宋体" w:hint="default"/>
          <w:sz w:val="21"/>
          <w:szCs w:val="21"/>
        </w:rPr>
      </w:r>
    </w:p>
    <w:p>
      <w:pPr>
        <w:pStyle w:val="BodyText"/>
        <w:spacing w:line="240" w:lineRule="auto" w:before="79"/>
        <w:ind w:right="132"/>
        <w:jc w:val="left"/>
      </w:pPr>
      <w:r>
        <w:rPr/>
        <w:t>□ 适用 √</w:t>
      </w:r>
      <w:r>
        <w:rPr>
          <w:spacing w:val="-2"/>
        </w:rPr>
        <w:t> </w:t>
      </w:r>
      <w:r>
        <w:rPr/>
        <w:t>不适用</w:t>
      </w:r>
    </w:p>
    <w:p>
      <w:pPr>
        <w:spacing w:line="240" w:lineRule="auto" w:before="1"/>
        <w:rPr>
          <w:rFonts w:ascii="宋体" w:hAnsi="宋体" w:cs="宋体" w:eastAsia="宋体" w:hint="default"/>
          <w:sz w:val="24"/>
          <w:szCs w:val="24"/>
        </w:rPr>
      </w:pPr>
    </w:p>
    <w:p>
      <w:pPr>
        <w:pStyle w:val="Heading2"/>
        <w:spacing w:line="240" w:lineRule="auto" w:before="0"/>
        <w:ind w:right="132"/>
        <w:jc w:val="left"/>
        <w:rPr>
          <w:b w:val="0"/>
          <w:bCs w:val="0"/>
        </w:rPr>
      </w:pPr>
      <w:r>
        <w:rPr/>
        <w:t>十二、资产负债表日后事项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2"/>
        <w:jc w:val="left"/>
        <w:rPr>
          <w:b w:val="0"/>
          <w:bCs w:val="0"/>
        </w:rPr>
      </w:pPr>
      <w:r>
        <w:rPr/>
        <w:t>1、</w:t>
      </w:r>
      <w:r>
        <w:rPr>
          <w:spacing w:val="-66"/>
        </w:rPr>
        <w:t> </w:t>
      </w:r>
      <w:r>
        <w:rPr/>
        <w:t>重要的资产负债表日后事项说明</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after="0" w:line="240" w:lineRule="auto"/>
        <w:jc w:val="left"/>
        <w:sectPr>
          <w:pgSz w:w="11910" w:h="16840"/>
          <w:pgMar w:header="0" w:footer="1003" w:top="1100" w:bottom="1200" w:left="980" w:right="980"/>
        </w:sectPr>
      </w:pPr>
    </w:p>
    <w:p>
      <w:pPr>
        <w:spacing w:line="240" w:lineRule="auto" w:before="9"/>
        <w:rPr>
          <w:rFonts w:ascii="宋体" w:hAnsi="宋体" w:cs="宋体" w:eastAsia="宋体" w:hint="default"/>
          <w:sz w:val="20"/>
          <w:szCs w:val="20"/>
        </w:rPr>
      </w:pPr>
    </w:p>
    <w:p>
      <w:pPr>
        <w:pStyle w:val="Heading4"/>
        <w:spacing w:line="240" w:lineRule="auto" w:before="35"/>
        <w:ind w:right="132"/>
        <w:jc w:val="left"/>
        <w:rPr>
          <w:b w:val="0"/>
          <w:bCs w:val="0"/>
        </w:rPr>
      </w:pPr>
      <w:r>
        <w:rPr/>
        <w:t>2、资产负债表日后利润分配情况说明</w:t>
      </w:r>
      <w:r>
        <w:rPr>
          <w:b w:val="0"/>
          <w:bCs w:val="0"/>
        </w:rPr>
      </w:r>
    </w:p>
    <w:p>
      <w:pPr>
        <w:spacing w:line="240" w:lineRule="auto" w:before="7"/>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4785"/>
        <w:gridCol w:w="4783"/>
      </w:tblGrid>
      <w:tr>
        <w:trPr>
          <w:trHeight w:val="415" w:hRule="exact"/>
        </w:trPr>
        <w:tc>
          <w:tcPr>
            <w:tcW w:w="4785"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26,001,000.00</w:t>
            </w:r>
          </w:p>
        </w:tc>
      </w:tr>
      <w:tr>
        <w:trPr>
          <w:trHeight w:val="415" w:hRule="exact"/>
        </w:trPr>
        <w:tc>
          <w:tcPr>
            <w:tcW w:w="4785"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26,001,000.00</w:t>
            </w:r>
          </w:p>
        </w:tc>
      </w:tr>
    </w:tbl>
    <w:p>
      <w:pPr>
        <w:spacing w:line="240" w:lineRule="auto" w:before="2"/>
        <w:rPr>
          <w:rFonts w:ascii="宋体" w:hAnsi="宋体" w:cs="宋体" w:eastAsia="宋体" w:hint="default"/>
          <w:sz w:val="19"/>
          <w:szCs w:val="19"/>
        </w:rPr>
      </w:pPr>
    </w:p>
    <w:p>
      <w:pPr>
        <w:pStyle w:val="Heading4"/>
        <w:spacing w:line="240" w:lineRule="auto" w:before="35"/>
        <w:ind w:right="132"/>
        <w:jc w:val="left"/>
        <w:rPr>
          <w:b w:val="0"/>
          <w:bCs w:val="0"/>
        </w:rPr>
      </w:pPr>
      <w:r>
        <w:rPr/>
        <w:t>3、其他资产负债表日后事项说明</w:t>
      </w:r>
      <w:r>
        <w:rPr>
          <w:b w:val="0"/>
          <w:bCs w:val="0"/>
        </w:rPr>
      </w:r>
    </w:p>
    <w:p>
      <w:pPr>
        <w:spacing w:line="240" w:lineRule="auto" w:before="10"/>
        <w:rPr>
          <w:rFonts w:ascii="宋体" w:hAnsi="宋体" w:cs="宋体" w:eastAsia="宋体" w:hint="default"/>
          <w:b/>
          <w:bCs/>
          <w:sz w:val="25"/>
          <w:szCs w:val="25"/>
        </w:rPr>
      </w:pPr>
    </w:p>
    <w:p>
      <w:pPr>
        <w:spacing w:line="501" w:lineRule="auto" w:before="0"/>
        <w:ind w:left="154" w:right="7601"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4"/>
          <w:szCs w:val="24"/>
        </w:rPr>
        <w:t>十三、其他重要事项</w:t>
      </w:r>
      <w:r>
        <w:rPr>
          <w:rFonts w:ascii="宋体" w:hAnsi="宋体" w:cs="宋体" w:eastAsia="宋体" w:hint="default"/>
          <w:b/>
          <w:bCs/>
          <w:w w:val="99"/>
          <w:sz w:val="24"/>
          <w:szCs w:val="24"/>
        </w:rPr>
        <w:t> </w:t>
      </w:r>
      <w:r>
        <w:rPr>
          <w:rFonts w:ascii="宋体" w:hAnsi="宋体" w:cs="宋体" w:eastAsia="宋体" w:hint="default"/>
          <w:b/>
          <w:bCs/>
          <w:sz w:val="21"/>
          <w:szCs w:val="21"/>
        </w:rPr>
        <w:t>1、非货币性资产交换</w:t>
      </w:r>
      <w:r>
        <w:rPr>
          <w:rFonts w:ascii="宋体" w:hAnsi="宋体" w:cs="宋体" w:eastAsia="宋体" w:hint="default"/>
          <w:sz w:val="21"/>
          <w:szCs w:val="21"/>
        </w:rPr>
      </w:r>
    </w:p>
    <w:p>
      <w:pPr>
        <w:spacing w:line="535" w:lineRule="auto" w:before="108"/>
        <w:ind w:left="154" w:right="79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2、债务重组</w:t>
      </w:r>
      <w:r>
        <w:rPr>
          <w:rFonts w:ascii="宋体" w:hAnsi="宋体" w:cs="宋体" w:eastAsia="宋体" w:hint="default"/>
          <w:sz w:val="21"/>
          <w:szCs w:val="21"/>
        </w:rPr>
      </w:r>
    </w:p>
    <w:p>
      <w:pPr>
        <w:spacing w:line="535" w:lineRule="auto" w:before="80"/>
        <w:ind w:left="154" w:right="79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3、企业合并</w:t>
      </w:r>
      <w:r>
        <w:rPr>
          <w:rFonts w:ascii="宋体" w:hAnsi="宋体" w:cs="宋体" w:eastAsia="宋体" w:hint="default"/>
          <w:sz w:val="21"/>
          <w:szCs w:val="21"/>
        </w:rPr>
      </w:r>
    </w:p>
    <w:p>
      <w:pPr>
        <w:spacing w:line="535" w:lineRule="auto" w:before="79"/>
        <w:ind w:left="154" w:right="79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4、租赁</w:t>
      </w:r>
      <w:r>
        <w:rPr>
          <w:rFonts w:ascii="宋体" w:hAnsi="宋体" w:cs="宋体" w:eastAsia="宋体" w:hint="default"/>
          <w:sz w:val="21"/>
          <w:szCs w:val="21"/>
        </w:rPr>
      </w:r>
    </w:p>
    <w:p>
      <w:pPr>
        <w:spacing w:line="535" w:lineRule="auto" w:before="79"/>
        <w:ind w:left="154" w:right="544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5、期末发行在外的、可转换为股份的金融工具</w:t>
      </w:r>
      <w:r>
        <w:rPr>
          <w:rFonts w:ascii="宋体" w:hAnsi="宋体" w:cs="宋体" w:eastAsia="宋体" w:hint="default"/>
          <w:sz w:val="21"/>
          <w:szCs w:val="21"/>
        </w:rPr>
      </w:r>
    </w:p>
    <w:p>
      <w:pPr>
        <w:spacing w:line="535" w:lineRule="auto" w:before="79"/>
        <w:ind w:left="154" w:right="6713"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6、以公允价值计量的资产和负债</w:t>
      </w:r>
      <w:r>
        <w:rPr>
          <w:rFonts w:ascii="宋体" w:hAnsi="宋体" w:cs="宋体" w:eastAsia="宋体" w:hint="default"/>
          <w:sz w:val="21"/>
          <w:szCs w:val="21"/>
        </w:rPr>
      </w:r>
    </w:p>
    <w:p>
      <w:pPr>
        <w:spacing w:line="532" w:lineRule="auto" w:before="80"/>
        <w:ind w:left="154" w:right="6713"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7、外币金融资产和外币金融负债</w:t>
      </w:r>
      <w:r>
        <w:rPr>
          <w:rFonts w:ascii="宋体" w:hAnsi="宋体" w:cs="宋体" w:eastAsia="宋体" w:hint="default"/>
          <w:sz w:val="21"/>
          <w:szCs w:val="21"/>
        </w:rPr>
      </w:r>
    </w:p>
    <w:p>
      <w:pPr>
        <w:spacing w:line="532" w:lineRule="auto" w:before="83"/>
        <w:ind w:left="154" w:right="6713"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8、年金计划主要内容及重大变化</w:t>
      </w:r>
      <w:r>
        <w:rPr>
          <w:rFonts w:ascii="宋体" w:hAnsi="宋体" w:cs="宋体" w:eastAsia="宋体" w:hint="default"/>
          <w:sz w:val="21"/>
          <w:szCs w:val="21"/>
        </w:rPr>
      </w:r>
    </w:p>
    <w:p>
      <w:pPr>
        <w:pStyle w:val="BodyText"/>
        <w:spacing w:line="240" w:lineRule="auto" w:before="83"/>
        <w:ind w:right="132"/>
        <w:jc w:val="left"/>
      </w:pPr>
      <w:r>
        <w:rPr/>
        <w:t>□ 适用 √</w:t>
      </w:r>
      <w:r>
        <w:rPr>
          <w:spacing w:val="-2"/>
        </w:rPr>
        <w:t> </w:t>
      </w:r>
      <w:r>
        <w:rPr/>
        <w:t>不适用</w:t>
      </w:r>
    </w:p>
    <w:p>
      <w:pPr>
        <w:spacing w:after="0" w:line="240" w:lineRule="auto"/>
        <w:jc w:val="left"/>
        <w:sectPr>
          <w:pgSz w:w="11910" w:h="16840"/>
          <w:pgMar w:header="0" w:footer="1003" w:top="1100" w:bottom="1200" w:left="980" w:right="980"/>
        </w:sectPr>
      </w:pPr>
    </w:p>
    <w:p>
      <w:pPr>
        <w:spacing w:line="240" w:lineRule="auto" w:before="9"/>
        <w:rPr>
          <w:rFonts w:ascii="宋体" w:hAnsi="宋体" w:cs="宋体" w:eastAsia="宋体" w:hint="default"/>
          <w:sz w:val="20"/>
          <w:szCs w:val="20"/>
        </w:rPr>
      </w:pPr>
    </w:p>
    <w:p>
      <w:pPr>
        <w:pStyle w:val="Heading4"/>
        <w:spacing w:line="240" w:lineRule="auto" w:before="35"/>
        <w:ind w:right="132"/>
        <w:jc w:val="left"/>
        <w:rPr>
          <w:b w:val="0"/>
          <w:bCs w:val="0"/>
        </w:rPr>
      </w:pPr>
      <w:r>
        <w:rPr/>
        <w:t>9、其他</w:t>
      </w:r>
      <w:r>
        <w:rPr>
          <w:b w:val="0"/>
          <w:bCs w:val="0"/>
        </w:rPr>
      </w:r>
    </w:p>
    <w:p>
      <w:pPr>
        <w:spacing w:line="240" w:lineRule="auto" w:before="12"/>
        <w:rPr>
          <w:rFonts w:ascii="宋体" w:hAnsi="宋体" w:cs="宋体" w:eastAsia="宋体" w:hint="default"/>
          <w:b/>
          <w:bCs/>
          <w:sz w:val="25"/>
          <w:szCs w:val="25"/>
        </w:rPr>
      </w:pPr>
    </w:p>
    <w:p>
      <w:pPr>
        <w:spacing w:line="499" w:lineRule="auto" w:before="0"/>
        <w:ind w:left="154" w:right="591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4"/>
          <w:szCs w:val="24"/>
        </w:rPr>
        <w:t>十四、母公司财务报表主要项目注释</w:t>
      </w:r>
      <w:r>
        <w:rPr>
          <w:rFonts w:ascii="宋体" w:hAnsi="宋体" w:cs="宋体" w:eastAsia="宋体" w:hint="default"/>
          <w:b/>
          <w:bCs/>
          <w:spacing w:val="1"/>
          <w:w w:val="99"/>
          <w:sz w:val="24"/>
          <w:szCs w:val="24"/>
        </w:rPr>
        <w:t> </w:t>
      </w:r>
      <w:r>
        <w:rPr>
          <w:rFonts w:ascii="宋体" w:hAnsi="宋体" w:cs="宋体" w:eastAsia="宋体" w:hint="default"/>
          <w:b/>
          <w:bCs/>
          <w:sz w:val="21"/>
          <w:szCs w:val="21"/>
        </w:rPr>
        <w:t>1、应收账款</w:t>
      </w:r>
      <w:r>
        <w:rPr>
          <w:rFonts w:ascii="宋体" w:hAnsi="宋体" w:cs="宋体" w:eastAsia="宋体" w:hint="default"/>
          <w:sz w:val="21"/>
          <w:szCs w:val="21"/>
        </w:rPr>
      </w:r>
    </w:p>
    <w:p>
      <w:pPr>
        <w:pStyle w:val="Heading4"/>
        <w:spacing w:line="240" w:lineRule="auto" w:before="111"/>
        <w:ind w:right="132"/>
        <w:jc w:val="left"/>
        <w:rPr>
          <w:b w:val="0"/>
          <w:bCs w:val="0"/>
        </w:rPr>
      </w:pPr>
      <w:r>
        <w:rPr/>
        <w:t>（1）应收账款</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000"/>
        <w:gridCol w:w="1194"/>
        <w:gridCol w:w="530"/>
        <w:gridCol w:w="1328"/>
        <w:gridCol w:w="665"/>
        <w:gridCol w:w="1194"/>
        <w:gridCol w:w="665"/>
        <w:gridCol w:w="1328"/>
        <w:gridCol w:w="664"/>
      </w:tblGrid>
      <w:tr>
        <w:trPr>
          <w:trHeight w:val="414" w:hRule="exact"/>
        </w:trPr>
        <w:tc>
          <w:tcPr>
            <w:tcW w:w="2000" w:type="dxa"/>
            <w:vMerge w:val="restart"/>
            <w:tcBorders>
              <w:top w:val="single" w:sz="12" w:space="0" w:color="000000"/>
              <w:left w:val="single" w:sz="12"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7"/>
              <w:jc w:val="center"/>
              <w:rPr>
                <w:rFonts w:ascii="宋体" w:hAnsi="宋体" w:cs="宋体" w:eastAsia="宋体" w:hint="default"/>
                <w:sz w:val="18"/>
                <w:szCs w:val="18"/>
              </w:rPr>
            </w:pPr>
            <w:r>
              <w:rPr>
                <w:rFonts w:ascii="宋体" w:hAnsi="宋体" w:cs="宋体" w:eastAsia="宋体" w:hint="default"/>
                <w:sz w:val="18"/>
                <w:szCs w:val="18"/>
              </w:rPr>
              <w:t>种类</w:t>
            </w:r>
          </w:p>
        </w:tc>
        <w:tc>
          <w:tcPr>
            <w:tcW w:w="3718" w:type="dxa"/>
            <w:gridSpan w:val="4"/>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4"/>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7" w:hRule="exact"/>
        </w:trPr>
        <w:tc>
          <w:tcPr>
            <w:tcW w:w="2000" w:type="dxa"/>
            <w:vMerge/>
            <w:tcBorders>
              <w:left w:val="single" w:sz="12" w:space="0" w:color="000000"/>
              <w:right w:val="single" w:sz="6" w:space="0" w:color="000000"/>
            </w:tcBorders>
            <w:shd w:val="clear" w:color="auto" w:fill="D3D3D3"/>
          </w:tcPr>
          <w:p>
            <w:pPr/>
          </w:p>
        </w:tc>
        <w:tc>
          <w:tcPr>
            <w:tcW w:w="1724" w:type="dxa"/>
            <w:gridSpan w:val="2"/>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6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9" w:type="dxa"/>
            <w:gridSpan w:val="2"/>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2"/>
              <w:ind w:left="63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9" w:hRule="exact"/>
        </w:trPr>
        <w:tc>
          <w:tcPr>
            <w:tcW w:w="2000" w:type="dxa"/>
            <w:vMerge/>
            <w:tcBorders>
              <w:left w:val="single" w:sz="12" w:space="0" w:color="000000"/>
              <w:bottom w:val="single" w:sz="6" w:space="0" w:color="000000"/>
              <w:right w:val="single" w:sz="6" w:space="0" w:color="000000"/>
            </w:tcBorders>
            <w:shd w:val="clear" w:color="auto" w:fill="D3D3D3"/>
          </w:tcPr>
          <w:p>
            <w:pPr/>
          </w:p>
        </w:tc>
        <w:tc>
          <w:tcPr>
            <w:tcW w:w="119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3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52"/>
              <w:ind w:left="122" w:right="77" w:hanging="45"/>
              <w:jc w:val="left"/>
              <w:rPr>
                <w:rFonts w:ascii="宋体" w:hAnsi="宋体" w:cs="宋体" w:eastAsia="宋体" w:hint="default"/>
                <w:sz w:val="18"/>
                <w:szCs w:val="18"/>
              </w:rPr>
            </w:pPr>
            <w:r>
              <w:rPr>
                <w:rFonts w:ascii="宋体" w:hAnsi="宋体" w:cs="宋体" w:eastAsia="宋体" w:hint="default"/>
                <w:sz w:val="18"/>
                <w:szCs w:val="18"/>
              </w:rPr>
              <w:t>比例 (%)</w:t>
            </w:r>
          </w:p>
        </w:tc>
        <w:tc>
          <w:tcPr>
            <w:tcW w:w="132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52"/>
              <w:ind w:left="189" w:right="144"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19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52"/>
              <w:ind w:left="190" w:right="143"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32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316" w:lineRule="auto" w:before="52"/>
              <w:ind w:left="189" w:right="137" w:hanging="46"/>
              <w:jc w:val="left"/>
              <w:rPr>
                <w:rFonts w:ascii="宋体" w:hAnsi="宋体" w:cs="宋体" w:eastAsia="宋体" w:hint="default"/>
                <w:sz w:val="18"/>
                <w:szCs w:val="18"/>
              </w:rPr>
            </w:pPr>
            <w:r>
              <w:rPr>
                <w:rFonts w:ascii="宋体" w:hAnsi="宋体" w:cs="宋体" w:eastAsia="宋体" w:hint="default"/>
                <w:sz w:val="18"/>
                <w:szCs w:val="18"/>
              </w:rPr>
              <w:t>比例 (%)</w:t>
            </w:r>
          </w:p>
        </w:tc>
      </w:tr>
      <w:tr>
        <w:trPr>
          <w:trHeight w:val="407" w:hRule="exact"/>
        </w:trPr>
        <w:tc>
          <w:tcPr>
            <w:tcW w:w="9569" w:type="dxa"/>
            <w:gridSpan w:val="9"/>
            <w:tcBorders>
              <w:top w:val="single" w:sz="6" w:space="0" w:color="000000"/>
              <w:left w:val="single" w:sz="12" w:space="0" w:color="000000"/>
              <w:bottom w:val="single" w:sz="6" w:space="0" w:color="000000"/>
              <w:right w:val="single" w:sz="12"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9" w:hRule="exact"/>
        </w:trPr>
        <w:tc>
          <w:tcPr>
            <w:tcW w:w="2000"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162"/>
              <w:jc w:val="left"/>
              <w:rPr>
                <w:rFonts w:ascii="宋体" w:hAnsi="宋体" w:cs="宋体" w:eastAsia="宋体" w:hint="default"/>
                <w:sz w:val="18"/>
                <w:szCs w:val="18"/>
              </w:rPr>
            </w:pPr>
            <w:r>
              <w:rPr>
                <w:rFonts w:ascii="宋体" w:hAnsi="宋体" w:cs="宋体" w:eastAsia="宋体" w:hint="default"/>
                <w:sz w:val="18"/>
                <w:szCs w:val="18"/>
              </w:rPr>
              <w:t>以账龄为信用风险特征 划分组合的应收账款</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123,244,005.</w:t>
            </w:r>
          </w:p>
          <w:p>
            <w:pPr>
              <w:pStyle w:val="TableParagraph"/>
              <w:spacing w:line="240" w:lineRule="auto" w:before="77"/>
              <w:ind w:right="19"/>
              <w:jc w:val="right"/>
              <w:rPr>
                <w:rFonts w:ascii="宋体" w:hAnsi="宋体" w:cs="宋体" w:eastAsia="宋体" w:hint="default"/>
                <w:sz w:val="18"/>
                <w:szCs w:val="18"/>
              </w:rPr>
            </w:pPr>
            <w:r>
              <w:rPr>
                <w:rFonts w:ascii="宋体"/>
                <w:sz w:val="18"/>
              </w:rPr>
              <w:t>47</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6,696,402.00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5.43%</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127,942,640.</w:t>
            </w:r>
          </w:p>
          <w:p>
            <w:pPr>
              <w:pStyle w:val="TableParagraph"/>
              <w:spacing w:line="240" w:lineRule="auto" w:before="77"/>
              <w:ind w:right="18"/>
              <w:jc w:val="right"/>
              <w:rPr>
                <w:rFonts w:ascii="宋体" w:hAnsi="宋体" w:cs="宋体" w:eastAsia="宋体" w:hint="default"/>
                <w:sz w:val="18"/>
                <w:szCs w:val="18"/>
              </w:rPr>
            </w:pPr>
            <w:r>
              <w:rPr>
                <w:rFonts w:ascii="宋体"/>
                <w:sz w:val="18"/>
              </w:rPr>
              <w:t>12</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4,771,732.52</w:t>
            </w:r>
          </w:p>
        </w:tc>
        <w:tc>
          <w:tcPr>
            <w:tcW w:w="6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3.73%</w:t>
            </w:r>
          </w:p>
        </w:tc>
      </w:tr>
      <w:tr>
        <w:trPr>
          <w:trHeight w:val="719" w:hRule="exact"/>
        </w:trPr>
        <w:tc>
          <w:tcPr>
            <w:tcW w:w="2000"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123,244,005.</w:t>
            </w:r>
          </w:p>
          <w:p>
            <w:pPr>
              <w:pStyle w:val="TableParagraph"/>
              <w:spacing w:line="240" w:lineRule="auto" w:before="77"/>
              <w:ind w:right="19"/>
              <w:jc w:val="right"/>
              <w:rPr>
                <w:rFonts w:ascii="宋体" w:hAnsi="宋体" w:cs="宋体" w:eastAsia="宋体" w:hint="default"/>
                <w:sz w:val="18"/>
                <w:szCs w:val="18"/>
              </w:rPr>
            </w:pPr>
            <w:r>
              <w:rPr>
                <w:rFonts w:ascii="宋体"/>
                <w:sz w:val="18"/>
              </w:rPr>
              <w:t>47</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6,696,402.00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5.43%</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127,942,640.</w:t>
            </w:r>
          </w:p>
          <w:p>
            <w:pPr>
              <w:pStyle w:val="TableParagraph"/>
              <w:spacing w:line="240" w:lineRule="auto" w:before="77"/>
              <w:ind w:right="18"/>
              <w:jc w:val="right"/>
              <w:rPr>
                <w:rFonts w:ascii="宋体" w:hAnsi="宋体" w:cs="宋体" w:eastAsia="宋体" w:hint="default"/>
                <w:sz w:val="18"/>
                <w:szCs w:val="18"/>
              </w:rPr>
            </w:pPr>
            <w:r>
              <w:rPr>
                <w:rFonts w:ascii="宋体"/>
                <w:sz w:val="18"/>
              </w:rPr>
              <w:t>12</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4,771,732.52</w:t>
            </w:r>
          </w:p>
        </w:tc>
        <w:tc>
          <w:tcPr>
            <w:tcW w:w="6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3.73%</w:t>
            </w:r>
          </w:p>
        </w:tc>
      </w:tr>
      <w:tr>
        <w:trPr>
          <w:trHeight w:val="727" w:hRule="exact"/>
        </w:trPr>
        <w:tc>
          <w:tcPr>
            <w:tcW w:w="2000"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123,244,005.</w:t>
            </w:r>
          </w:p>
          <w:p>
            <w:pPr>
              <w:pStyle w:val="TableParagraph"/>
              <w:spacing w:line="240" w:lineRule="auto" w:before="76"/>
              <w:ind w:right="19"/>
              <w:jc w:val="right"/>
              <w:rPr>
                <w:rFonts w:ascii="宋体" w:hAnsi="宋体" w:cs="宋体" w:eastAsia="宋体" w:hint="default"/>
                <w:sz w:val="18"/>
                <w:szCs w:val="18"/>
              </w:rPr>
            </w:pPr>
            <w:r>
              <w:rPr>
                <w:rFonts w:ascii="宋体"/>
                <w:sz w:val="18"/>
              </w:rPr>
              <w:t>47</w:t>
            </w:r>
          </w:p>
        </w:tc>
        <w:tc>
          <w:tcPr>
            <w:tcW w:w="530"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sz w:val="18"/>
              </w:rPr>
              <w:t>--</w:t>
            </w:r>
          </w:p>
        </w:tc>
        <w:tc>
          <w:tcPr>
            <w:tcW w:w="13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6,696,402.00</w:t>
            </w:r>
          </w:p>
        </w:tc>
        <w:tc>
          <w:tcPr>
            <w:tcW w:w="665"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sz w:val="18"/>
              </w:rPr>
              <w:t>--</w:t>
            </w:r>
          </w:p>
        </w:tc>
        <w:tc>
          <w:tcPr>
            <w:tcW w:w="1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127,942,640.</w:t>
            </w:r>
          </w:p>
          <w:p>
            <w:pPr>
              <w:pStyle w:val="TableParagraph"/>
              <w:spacing w:line="240" w:lineRule="auto" w:before="76"/>
              <w:ind w:right="18"/>
              <w:jc w:val="right"/>
              <w:rPr>
                <w:rFonts w:ascii="宋体" w:hAnsi="宋体" w:cs="宋体" w:eastAsia="宋体" w:hint="default"/>
                <w:sz w:val="18"/>
                <w:szCs w:val="18"/>
              </w:rPr>
            </w:pPr>
            <w:r>
              <w:rPr>
                <w:rFonts w:ascii="宋体"/>
                <w:sz w:val="18"/>
              </w:rPr>
              <w:t>12</w:t>
            </w:r>
          </w:p>
        </w:tc>
        <w:tc>
          <w:tcPr>
            <w:tcW w:w="665"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w:t>
            </w:r>
          </w:p>
        </w:tc>
        <w:tc>
          <w:tcPr>
            <w:tcW w:w="13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4,771,732.52</w:t>
            </w:r>
          </w:p>
        </w:tc>
        <w:tc>
          <w:tcPr>
            <w:tcW w:w="664" w:type="dxa"/>
            <w:tcBorders>
              <w:top w:val="single" w:sz="6" w:space="0" w:color="000000"/>
              <w:left w:val="single" w:sz="6" w:space="0" w:color="000000"/>
              <w:bottom w:val="single" w:sz="12" w:space="0" w:color="000000"/>
              <w:right w:val="single" w:sz="12"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sz w:val="18"/>
              </w:rPr>
              <w:t>--</w:t>
            </w:r>
          </w:p>
        </w:tc>
      </w:tr>
    </w:tbl>
    <w:p>
      <w:pPr>
        <w:pStyle w:val="BodyText"/>
        <w:spacing w:line="240" w:lineRule="auto" w:before="63"/>
        <w:ind w:right="132"/>
        <w:jc w:val="left"/>
      </w:pPr>
      <w:r>
        <w:rPr/>
        <w:t>期末单项金额重大并单项计提坏账准备的应收账款</w:t>
      </w:r>
    </w:p>
    <w:p>
      <w:pPr>
        <w:spacing w:line="240" w:lineRule="auto" w:before="10"/>
        <w:rPr>
          <w:rFonts w:ascii="宋体" w:hAnsi="宋体" w:cs="宋体" w:eastAsia="宋体" w:hint="default"/>
          <w:sz w:val="14"/>
          <w:szCs w:val="14"/>
        </w:rPr>
      </w:pPr>
    </w:p>
    <w:p>
      <w:pPr>
        <w:pStyle w:val="BodyText"/>
        <w:spacing w:line="408" w:lineRule="auto"/>
        <w:ind w:right="5150"/>
        <w:jc w:val="left"/>
      </w:pPr>
      <w:r>
        <w:rPr/>
        <w:t>□ 适用 √</w:t>
      </w:r>
      <w:r>
        <w:rPr>
          <w:spacing w:val="-2"/>
        </w:rPr>
        <w:t> </w:t>
      </w:r>
      <w:r>
        <w:rPr/>
        <w:t>不适用</w:t>
      </w:r>
      <w:r>
        <w:rPr/>
        <w:t> 组合中，采用账龄分析法计提坏账准备的应收账款</w:t>
      </w:r>
    </w:p>
    <w:p>
      <w:pPr>
        <w:pStyle w:val="BodyText"/>
        <w:spacing w:line="240" w:lineRule="auto" w:before="46"/>
        <w:ind w:right="132"/>
        <w:jc w:val="left"/>
      </w:pPr>
      <w:r>
        <w:rPr/>
        <w:t>√ 适用 □</w:t>
      </w:r>
      <w:r>
        <w:rPr>
          <w:spacing w:val="-2"/>
        </w:rPr>
        <w:t> </w:t>
      </w:r>
      <w:r>
        <w:rPr/>
        <w:t>不适用</w:t>
      </w:r>
    </w:p>
    <w:p>
      <w:pPr>
        <w:spacing w:line="240" w:lineRule="auto" w:before="6"/>
        <w:rPr>
          <w:rFonts w:ascii="宋体" w:hAnsi="宋体" w:cs="宋体" w:eastAsia="宋体" w:hint="default"/>
          <w:sz w:val="10"/>
          <w:szCs w:val="10"/>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276"/>
        <w:gridCol w:w="1783"/>
        <w:gridCol w:w="665"/>
        <w:gridCol w:w="1462"/>
        <w:gridCol w:w="2126"/>
        <w:gridCol w:w="664"/>
        <w:gridCol w:w="1593"/>
      </w:tblGrid>
      <w:tr>
        <w:trPr>
          <w:trHeight w:val="415" w:hRule="exact"/>
        </w:trPr>
        <w:tc>
          <w:tcPr>
            <w:tcW w:w="1276" w:type="dxa"/>
            <w:vMerge w:val="restart"/>
            <w:tcBorders>
              <w:top w:val="single" w:sz="12" w:space="0" w:color="000000"/>
              <w:left w:val="single" w:sz="12"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6"/>
              <w:jc w:val="center"/>
              <w:rPr>
                <w:rFonts w:ascii="宋体" w:hAnsi="宋体" w:cs="宋体" w:eastAsia="宋体" w:hint="default"/>
                <w:sz w:val="18"/>
                <w:szCs w:val="18"/>
              </w:rPr>
            </w:pPr>
            <w:r>
              <w:rPr>
                <w:rFonts w:ascii="宋体" w:hAnsi="宋体" w:cs="宋体" w:eastAsia="宋体" w:hint="default"/>
                <w:sz w:val="18"/>
                <w:szCs w:val="18"/>
              </w:rPr>
              <w:t>账龄</w:t>
            </w:r>
          </w:p>
        </w:tc>
        <w:tc>
          <w:tcPr>
            <w:tcW w:w="3910" w:type="dxa"/>
            <w:gridSpan w:val="3"/>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3" w:type="dxa"/>
            <w:gridSpan w:val="3"/>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7" w:hRule="exact"/>
        </w:trPr>
        <w:tc>
          <w:tcPr>
            <w:tcW w:w="1276" w:type="dxa"/>
            <w:vMerge/>
            <w:tcBorders>
              <w:left w:val="single" w:sz="12" w:space="0" w:color="000000"/>
              <w:right w:val="single" w:sz="6" w:space="0" w:color="000000"/>
            </w:tcBorders>
            <w:shd w:val="clear" w:color="auto" w:fill="D3D3D3"/>
          </w:tcPr>
          <w:p>
            <w:pPr/>
          </w:p>
        </w:tc>
        <w:tc>
          <w:tcPr>
            <w:tcW w:w="2448" w:type="dxa"/>
            <w:gridSpan w:val="2"/>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6" w:space="0" w:color="000000"/>
              <w:left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0" w:type="dxa"/>
            <w:gridSpan w:val="2"/>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3" w:type="dxa"/>
            <w:vMerge w:val="restart"/>
            <w:tcBorders>
              <w:top w:val="single" w:sz="6" w:space="0" w:color="000000"/>
              <w:left w:val="single" w:sz="6" w:space="0" w:color="000000"/>
              <w:right w:val="single" w:sz="12"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9" w:hRule="exact"/>
        </w:trPr>
        <w:tc>
          <w:tcPr>
            <w:tcW w:w="1276" w:type="dxa"/>
            <w:vMerge/>
            <w:tcBorders>
              <w:left w:val="single" w:sz="12" w:space="0" w:color="000000"/>
              <w:bottom w:val="single" w:sz="6" w:space="0" w:color="000000"/>
              <w:right w:val="single" w:sz="6" w:space="0" w:color="000000"/>
            </w:tcBorders>
            <w:shd w:val="clear" w:color="auto" w:fill="D3D3D3"/>
          </w:tcPr>
          <w:p>
            <w:pPr/>
          </w:p>
        </w:tc>
        <w:tc>
          <w:tcPr>
            <w:tcW w:w="1783"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9" w:lineRule="auto" w:before="51"/>
              <w:ind w:left="190" w:right="143"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462" w:type="dxa"/>
            <w:vMerge/>
            <w:tcBorders>
              <w:left w:val="single" w:sz="6" w:space="0" w:color="000000"/>
              <w:bottom w:val="single" w:sz="6" w:space="0" w:color="000000"/>
              <w:right w:val="single" w:sz="6" w:space="0" w:color="000000"/>
            </w:tcBorders>
            <w:shd w:val="clear" w:color="auto" w:fill="D3D3D3"/>
          </w:tcPr>
          <w:p>
            <w:pPr/>
          </w:p>
        </w:tc>
        <w:tc>
          <w:tcPr>
            <w:tcW w:w="212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9" w:lineRule="auto" w:before="51"/>
              <w:ind w:left="189" w:right="143"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593" w:type="dxa"/>
            <w:vMerge/>
            <w:tcBorders>
              <w:left w:val="single" w:sz="6" w:space="0" w:color="000000"/>
              <w:bottom w:val="single" w:sz="6" w:space="0" w:color="000000"/>
              <w:right w:val="single" w:sz="12" w:space="0" w:color="000000"/>
            </w:tcBorders>
            <w:shd w:val="clear" w:color="auto" w:fill="D3D3D3"/>
          </w:tcPr>
          <w:p>
            <w:pPr/>
          </w:p>
        </w:tc>
      </w:tr>
      <w:tr>
        <w:trPr>
          <w:trHeight w:val="407" w:hRule="exact"/>
        </w:trPr>
        <w:tc>
          <w:tcPr>
            <w:tcW w:w="9569" w:type="dxa"/>
            <w:gridSpan w:val="7"/>
            <w:tcBorders>
              <w:top w:val="single" w:sz="6" w:space="0" w:color="000000"/>
              <w:left w:val="single" w:sz="12" w:space="0" w:color="000000"/>
              <w:bottom w:val="single" w:sz="6" w:space="0" w:color="000000"/>
              <w:right w:val="single" w:sz="12"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r>
      <w:tr>
        <w:trPr>
          <w:trHeight w:val="406" w:hRule="exact"/>
        </w:trPr>
        <w:tc>
          <w:tcPr>
            <w:tcW w:w="1276"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83"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21" w:right="0"/>
              <w:jc w:val="left"/>
              <w:rPr>
                <w:rFonts w:ascii="宋体" w:hAnsi="宋体" w:cs="宋体" w:eastAsia="宋体" w:hint="default"/>
                <w:sz w:val="18"/>
                <w:szCs w:val="18"/>
              </w:rPr>
            </w:pPr>
            <w:r>
              <w:rPr>
                <w:rFonts w:ascii="宋体"/>
                <w:sz w:val="18"/>
              </w:rPr>
              <w:t>--</w:t>
            </w:r>
          </w:p>
        </w:tc>
        <w:tc>
          <w:tcPr>
            <w:tcW w:w="665"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21" w:right="0"/>
              <w:jc w:val="left"/>
              <w:rPr>
                <w:rFonts w:ascii="宋体" w:hAnsi="宋体" w:cs="宋体" w:eastAsia="宋体" w:hint="default"/>
                <w:sz w:val="18"/>
                <w:szCs w:val="18"/>
              </w:rPr>
            </w:pPr>
            <w:r>
              <w:rPr>
                <w:rFonts w:ascii="宋体"/>
                <w:sz w:val="18"/>
              </w:rPr>
              <w:t>--</w:t>
            </w:r>
          </w:p>
        </w:tc>
        <w:tc>
          <w:tcPr>
            <w:tcW w:w="146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20" w:right="0"/>
              <w:jc w:val="left"/>
              <w:rPr>
                <w:rFonts w:ascii="宋体" w:hAnsi="宋体" w:cs="宋体" w:eastAsia="宋体" w:hint="default"/>
                <w:sz w:val="18"/>
                <w:szCs w:val="18"/>
              </w:rPr>
            </w:pPr>
            <w:r>
              <w:rPr>
                <w:rFonts w:ascii="宋体"/>
                <w:sz w:val="18"/>
              </w:rPr>
              <w:t>--</w:t>
            </w:r>
          </w:p>
        </w:tc>
        <w:tc>
          <w:tcPr>
            <w:tcW w:w="212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20" w:right="0"/>
              <w:jc w:val="left"/>
              <w:rPr>
                <w:rFonts w:ascii="宋体" w:hAnsi="宋体" w:cs="宋体" w:eastAsia="宋体" w:hint="default"/>
                <w:sz w:val="18"/>
                <w:szCs w:val="18"/>
              </w:rPr>
            </w:pPr>
            <w:r>
              <w:rPr>
                <w:rFonts w:ascii="宋体"/>
                <w:sz w:val="18"/>
              </w:rPr>
              <w:t>--</w:t>
            </w:r>
          </w:p>
        </w:tc>
        <w:tc>
          <w:tcPr>
            <w:tcW w:w="66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20" w:right="0"/>
              <w:jc w:val="left"/>
              <w:rPr>
                <w:rFonts w:ascii="宋体" w:hAnsi="宋体" w:cs="宋体" w:eastAsia="宋体" w:hint="default"/>
                <w:sz w:val="18"/>
                <w:szCs w:val="18"/>
              </w:rPr>
            </w:pPr>
            <w:r>
              <w:rPr>
                <w:rFonts w:ascii="宋体"/>
                <w:sz w:val="18"/>
              </w:rPr>
              <w:t>--</w:t>
            </w:r>
          </w:p>
        </w:tc>
        <w:tc>
          <w:tcPr>
            <w:tcW w:w="1593"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2"/>
              <w:ind w:left="20" w:right="0"/>
              <w:jc w:val="left"/>
              <w:rPr>
                <w:rFonts w:ascii="宋体" w:hAnsi="宋体" w:cs="宋体" w:eastAsia="宋体" w:hint="default"/>
                <w:sz w:val="18"/>
                <w:szCs w:val="18"/>
              </w:rPr>
            </w:pPr>
            <w:r>
              <w:rPr>
                <w:rFonts w:ascii="宋体"/>
                <w:sz w:val="18"/>
              </w:rPr>
              <w:t>--</w:t>
            </w:r>
          </w:p>
        </w:tc>
      </w:tr>
      <w:tr>
        <w:trPr>
          <w:trHeight w:val="407" w:hRule="exact"/>
        </w:trPr>
        <w:tc>
          <w:tcPr>
            <w:tcW w:w="1276" w:type="dxa"/>
            <w:tcBorders>
              <w:top w:val="single" w:sz="6" w:space="0" w:color="000000"/>
              <w:left w:val="single" w:sz="12" w:space="0" w:color="000000"/>
              <w:bottom w:val="single" w:sz="6" w:space="0" w:color="000000"/>
              <w:right w:val="single" w:sz="6" w:space="0" w:color="000000"/>
            </w:tcBorders>
          </w:tcPr>
          <w:p>
            <w:pP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110,331,342.59</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89.52%</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3,309,940.28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120,632,090.31</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94.29%</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2,590,345.76</w:t>
            </w:r>
          </w:p>
        </w:tc>
      </w:tr>
      <w:tr>
        <w:trPr>
          <w:trHeight w:val="408" w:hRule="exact"/>
        </w:trPr>
        <w:tc>
          <w:tcPr>
            <w:tcW w:w="1276"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110,331,342.59</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89.52%</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3,309,940.28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120,632,090.31</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94.29%</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2,590,345.76</w:t>
            </w:r>
          </w:p>
        </w:tc>
      </w:tr>
      <w:tr>
        <w:trPr>
          <w:trHeight w:val="407" w:hRule="exact"/>
        </w:trPr>
        <w:tc>
          <w:tcPr>
            <w:tcW w:w="1276"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pacing w:val="33"/>
                <w:sz w:val="18"/>
                <w:szCs w:val="18"/>
              </w:rPr>
              <w:t>1至2年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8,899,957.63</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7.22%</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889,995.76</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3,396,164.47</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2.65%</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339,616.45</w:t>
            </w:r>
          </w:p>
        </w:tc>
      </w:tr>
      <w:tr>
        <w:trPr>
          <w:trHeight w:val="415" w:hRule="exact"/>
        </w:trPr>
        <w:tc>
          <w:tcPr>
            <w:tcW w:w="1276"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pacing w:val="33"/>
                <w:sz w:val="18"/>
                <w:szCs w:val="18"/>
              </w:rPr>
              <w:t>2至3年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7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483,029.51</w:t>
            </w:r>
          </w:p>
        </w:tc>
        <w:tc>
          <w:tcPr>
            <w:tcW w:w="6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0.39%</w:t>
            </w:r>
          </w:p>
        </w:tc>
        <w:tc>
          <w:tcPr>
            <w:tcW w:w="14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144,908.85</w:t>
            </w:r>
          </w:p>
        </w:tc>
        <w:tc>
          <w:tcPr>
            <w:tcW w:w="21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2,105,654.20</w:t>
            </w:r>
          </w:p>
        </w:tc>
        <w:tc>
          <w:tcPr>
            <w:tcW w:w="6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1.65%</w:t>
            </w:r>
          </w:p>
        </w:tc>
        <w:tc>
          <w:tcPr>
            <w:tcW w:w="15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631,696.26</w:t>
            </w:r>
          </w:p>
        </w:tc>
      </w:tr>
    </w:tbl>
    <w:p>
      <w:pPr>
        <w:spacing w:after="0" w:line="240" w:lineRule="auto"/>
        <w:jc w:val="right"/>
        <w:rPr>
          <w:rFonts w:ascii="宋体" w:hAnsi="宋体" w:cs="宋体" w:eastAsia="宋体" w:hint="default"/>
          <w:sz w:val="18"/>
          <w:szCs w:val="18"/>
        </w:rPr>
        <w:sectPr>
          <w:pgSz w:w="11910" w:h="16840"/>
          <w:pgMar w:header="0" w:footer="1003" w:top="1100" w:bottom="1200" w:left="980" w:right="98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1276"/>
        <w:gridCol w:w="1783"/>
        <w:gridCol w:w="665"/>
        <w:gridCol w:w="1462"/>
        <w:gridCol w:w="2126"/>
        <w:gridCol w:w="664"/>
        <w:gridCol w:w="1593"/>
      </w:tblGrid>
      <w:tr>
        <w:trPr>
          <w:trHeight w:val="415" w:hRule="exact"/>
        </w:trPr>
        <w:tc>
          <w:tcPr>
            <w:tcW w:w="1276"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7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3,529,675.74</w:t>
            </w:r>
          </w:p>
        </w:tc>
        <w:tc>
          <w:tcPr>
            <w:tcW w:w="6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180" w:right="0"/>
              <w:jc w:val="left"/>
              <w:rPr>
                <w:rFonts w:ascii="宋体" w:hAnsi="宋体" w:cs="宋体" w:eastAsia="宋体" w:hint="default"/>
                <w:sz w:val="18"/>
                <w:szCs w:val="18"/>
              </w:rPr>
            </w:pPr>
            <w:r>
              <w:rPr>
                <w:rFonts w:ascii="宋体"/>
                <w:sz w:val="18"/>
              </w:rPr>
              <w:t>2.86%</w:t>
            </w:r>
          </w:p>
        </w:tc>
        <w:tc>
          <w:tcPr>
            <w:tcW w:w="14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2,351,557.10</w:t>
            </w:r>
          </w:p>
        </w:tc>
        <w:tc>
          <w:tcPr>
            <w:tcW w:w="21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1,808,731.14</w:t>
            </w:r>
          </w:p>
        </w:tc>
        <w:tc>
          <w:tcPr>
            <w:tcW w:w="6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1.41%</w:t>
            </w:r>
          </w:p>
        </w:tc>
        <w:tc>
          <w:tcPr>
            <w:tcW w:w="159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1,210,074.05</w:t>
            </w:r>
          </w:p>
        </w:tc>
      </w:tr>
      <w:tr>
        <w:trPr>
          <w:trHeight w:val="407" w:hRule="exact"/>
        </w:trPr>
        <w:tc>
          <w:tcPr>
            <w:tcW w:w="1276"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pacing w:val="33"/>
                <w:sz w:val="18"/>
                <w:szCs w:val="18"/>
              </w:rPr>
              <w:t>3至4年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2,070,944.60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80" w:right="0"/>
              <w:jc w:val="left"/>
              <w:rPr>
                <w:rFonts w:ascii="宋体" w:hAnsi="宋体" w:cs="宋体" w:eastAsia="宋体" w:hint="default"/>
                <w:sz w:val="18"/>
                <w:szCs w:val="18"/>
              </w:rPr>
            </w:pPr>
            <w:r>
              <w:rPr>
                <w:rFonts w:ascii="宋体"/>
                <w:sz w:val="18"/>
              </w:rPr>
              <w:t>1.68%</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1,035,472.30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728,005.43</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0.57%</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364,002.72</w:t>
            </w:r>
          </w:p>
        </w:tc>
      </w:tr>
      <w:tr>
        <w:trPr>
          <w:trHeight w:val="407" w:hRule="exact"/>
        </w:trPr>
        <w:tc>
          <w:tcPr>
            <w:tcW w:w="1276"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pacing w:val="33"/>
                <w:sz w:val="18"/>
                <w:szCs w:val="18"/>
              </w:rPr>
              <w:t>4至5年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475,487.79</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80" w:right="0"/>
              <w:jc w:val="left"/>
              <w:rPr>
                <w:rFonts w:ascii="宋体" w:hAnsi="宋体" w:cs="宋体" w:eastAsia="宋体" w:hint="default"/>
                <w:sz w:val="18"/>
                <w:szCs w:val="18"/>
              </w:rPr>
            </w:pPr>
            <w:r>
              <w:rPr>
                <w:rFonts w:ascii="宋体"/>
                <w:sz w:val="18"/>
              </w:rPr>
              <w:t>0.39%</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332,841.45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782,181.26</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0.61%</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547,526.88</w:t>
            </w:r>
          </w:p>
        </w:tc>
      </w:tr>
      <w:tr>
        <w:trPr>
          <w:trHeight w:val="407" w:hRule="exact"/>
        </w:trPr>
        <w:tc>
          <w:tcPr>
            <w:tcW w:w="1276"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983,243.35</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70" w:right="0"/>
              <w:jc w:val="left"/>
              <w:rPr>
                <w:rFonts w:ascii="宋体" w:hAnsi="宋体" w:cs="宋体" w:eastAsia="宋体" w:hint="default"/>
                <w:sz w:val="18"/>
                <w:szCs w:val="18"/>
              </w:rPr>
            </w:pPr>
            <w:r>
              <w:rPr>
                <w:rFonts w:ascii="宋体"/>
                <w:sz w:val="18"/>
              </w:rPr>
              <w:t>0.8%</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983,243.35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298,544.45</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0.23%</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298,544.45</w:t>
            </w:r>
          </w:p>
        </w:tc>
      </w:tr>
      <w:tr>
        <w:trPr>
          <w:trHeight w:val="415" w:hRule="exact"/>
        </w:trPr>
        <w:tc>
          <w:tcPr>
            <w:tcW w:w="1276"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123,244,005.47</w:t>
            </w:r>
          </w:p>
        </w:tc>
        <w:tc>
          <w:tcPr>
            <w:tcW w:w="665"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2"/>
              <w:ind w:left="235" w:right="0"/>
              <w:jc w:val="left"/>
              <w:rPr>
                <w:rFonts w:ascii="宋体" w:hAnsi="宋体" w:cs="宋体" w:eastAsia="宋体" w:hint="default"/>
                <w:sz w:val="18"/>
                <w:szCs w:val="18"/>
              </w:rPr>
            </w:pPr>
            <w:r>
              <w:rPr>
                <w:rFonts w:ascii="宋体"/>
                <w:sz w:val="18"/>
              </w:rPr>
              <w:t>--</w:t>
            </w:r>
          </w:p>
        </w:tc>
        <w:tc>
          <w:tcPr>
            <w:tcW w:w="14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6,696,402.00</w:t>
            </w:r>
          </w:p>
        </w:tc>
        <w:tc>
          <w:tcPr>
            <w:tcW w:w="21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127,942,640.12</w:t>
            </w:r>
          </w:p>
        </w:tc>
        <w:tc>
          <w:tcPr>
            <w:tcW w:w="664"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5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4,771,732.52</w:t>
            </w:r>
          </w:p>
        </w:tc>
      </w:tr>
    </w:tbl>
    <w:p>
      <w:pPr>
        <w:pStyle w:val="BodyText"/>
        <w:spacing w:line="240" w:lineRule="auto" w:before="63"/>
        <w:ind w:right="132"/>
        <w:jc w:val="left"/>
      </w:pPr>
      <w:r>
        <w:rPr/>
        <w:t>组合中，采用余额百分比法计提坏账准备的应收账款</w:t>
      </w:r>
    </w:p>
    <w:p>
      <w:pPr>
        <w:spacing w:line="240" w:lineRule="auto" w:before="10"/>
        <w:rPr>
          <w:rFonts w:ascii="宋体" w:hAnsi="宋体" w:cs="宋体" w:eastAsia="宋体" w:hint="default"/>
          <w:sz w:val="14"/>
          <w:szCs w:val="14"/>
        </w:rPr>
      </w:pPr>
    </w:p>
    <w:p>
      <w:pPr>
        <w:pStyle w:val="BodyText"/>
        <w:spacing w:line="408" w:lineRule="auto"/>
        <w:ind w:right="5360"/>
        <w:jc w:val="left"/>
      </w:pPr>
      <w:r>
        <w:rPr/>
        <w:t>□ 适用 √</w:t>
      </w:r>
      <w:r>
        <w:rPr>
          <w:spacing w:val="-2"/>
        </w:rPr>
        <w:t> </w:t>
      </w:r>
      <w:r>
        <w:rPr/>
        <w:t>不适用</w:t>
      </w:r>
      <w:r>
        <w:rPr/>
        <w:t> 组合中，采用其他方法计提坏账准备的应收账款</w:t>
      </w:r>
    </w:p>
    <w:p>
      <w:pPr>
        <w:pStyle w:val="BodyText"/>
        <w:spacing w:line="408" w:lineRule="auto" w:before="46"/>
        <w:ind w:right="4730"/>
        <w:jc w:val="left"/>
      </w:pPr>
      <w:r>
        <w:rPr/>
        <w:t>□ 适用 √</w:t>
      </w:r>
      <w:r>
        <w:rPr>
          <w:spacing w:val="-2"/>
        </w:rPr>
        <w:t> </w:t>
      </w:r>
      <w:r>
        <w:rPr/>
        <w:t>不适用</w:t>
      </w:r>
      <w:r>
        <w:rPr/>
        <w:t> 期末单项金额虽不重大但单项计提坏账准备的应收账款</w:t>
      </w:r>
    </w:p>
    <w:p>
      <w:pPr>
        <w:pStyle w:val="BodyText"/>
        <w:spacing w:line="240" w:lineRule="auto" w:before="46"/>
        <w:ind w:right="132"/>
        <w:jc w:val="left"/>
      </w:pPr>
      <w:r>
        <w:rPr/>
        <w:t>□ 适用 √</w:t>
      </w:r>
      <w:r>
        <w:rPr>
          <w:spacing w:val="-2"/>
        </w:rPr>
        <w:t> </w:t>
      </w:r>
      <w:r>
        <w:rPr/>
        <w:t>不适用</w:t>
      </w:r>
    </w:p>
    <w:p>
      <w:pPr>
        <w:spacing w:line="240" w:lineRule="auto" w:before="0"/>
        <w:rPr>
          <w:rFonts w:ascii="宋体" w:hAnsi="宋体" w:cs="宋体" w:eastAsia="宋体" w:hint="default"/>
          <w:sz w:val="20"/>
          <w:szCs w:val="20"/>
        </w:rPr>
      </w:pPr>
    </w:p>
    <w:p>
      <w:pPr>
        <w:pStyle w:val="Heading4"/>
        <w:spacing w:line="240" w:lineRule="auto" w:before="154"/>
        <w:ind w:right="132"/>
        <w:jc w:val="left"/>
        <w:rPr>
          <w:b w:val="0"/>
          <w:bCs w:val="0"/>
        </w:rPr>
      </w:pPr>
      <w:r>
        <w:rPr/>
        <w:t>（2）本报告期转回或收回的应收账款情况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3"/>
        <w:ind w:right="132"/>
        <w:jc w:val="left"/>
      </w:pPr>
      <w:r>
        <w:rPr/>
        <w:t>□ 适用 √</w:t>
      </w:r>
      <w:r>
        <w:rPr>
          <w:spacing w:val="-2"/>
        </w:rPr>
        <w:t> </w:t>
      </w:r>
      <w:r>
        <w:rPr/>
        <w:t>不适用</w:t>
      </w:r>
    </w:p>
    <w:p>
      <w:pPr>
        <w:spacing w:line="240" w:lineRule="auto" w:before="0"/>
        <w:rPr>
          <w:rFonts w:ascii="宋体" w:hAnsi="宋体" w:cs="宋体" w:eastAsia="宋体" w:hint="default"/>
          <w:sz w:val="20"/>
          <w:szCs w:val="20"/>
        </w:rPr>
      </w:pPr>
    </w:p>
    <w:p>
      <w:pPr>
        <w:pStyle w:val="Heading4"/>
        <w:spacing w:line="240" w:lineRule="auto" w:before="154"/>
        <w:ind w:right="132"/>
        <w:jc w:val="left"/>
        <w:rPr>
          <w:b w:val="0"/>
          <w:bCs w:val="0"/>
        </w:rPr>
      </w:pPr>
      <w:r>
        <w:rPr/>
        <w:t>（3）本报告期实际核销的应收账款情况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3"/>
        <w:ind w:right="132"/>
        <w:jc w:val="left"/>
      </w:pPr>
      <w:r>
        <w:rPr/>
        <w:t>□ 适用 √</w:t>
      </w:r>
      <w:r>
        <w:rPr>
          <w:spacing w:val="-2"/>
        </w:rPr>
        <w:t> </w:t>
      </w:r>
      <w:r>
        <w:rPr/>
        <w:t>不适用</w:t>
      </w:r>
    </w:p>
    <w:p>
      <w:pPr>
        <w:spacing w:line="240" w:lineRule="auto" w:before="0"/>
        <w:rPr>
          <w:rFonts w:ascii="宋体" w:hAnsi="宋体" w:cs="宋体" w:eastAsia="宋体" w:hint="default"/>
          <w:sz w:val="20"/>
          <w:szCs w:val="20"/>
        </w:rPr>
      </w:pPr>
    </w:p>
    <w:p>
      <w:pPr>
        <w:pStyle w:val="Heading4"/>
        <w:spacing w:line="240" w:lineRule="auto" w:before="154"/>
        <w:ind w:right="132"/>
        <w:jc w:val="left"/>
        <w:rPr>
          <w:b w:val="0"/>
          <w:bCs w:val="0"/>
        </w:rPr>
      </w:pPr>
      <w:r>
        <w:rPr/>
        <w:t>（4）本报告期应收账款中持有公司</w:t>
      </w:r>
      <w:r>
        <w:rPr>
          <w:spacing w:val="-58"/>
        </w:rPr>
        <w:t> </w:t>
      </w:r>
      <w:r>
        <w:rPr/>
        <w:t>5％（含</w:t>
      </w:r>
      <w:r>
        <w:rPr>
          <w:spacing w:val="-58"/>
        </w:rPr>
        <w:t> </w:t>
      </w:r>
      <w:r>
        <w:rPr/>
        <w:t>5％）以上表决权股份的股东单位情况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4"/>
        <w:ind w:right="132"/>
        <w:jc w:val="left"/>
      </w:pPr>
      <w:r>
        <w:rPr/>
        <w:t>□ 适用 √</w:t>
      </w:r>
      <w:r>
        <w:rPr>
          <w:spacing w:val="-2"/>
        </w:rPr>
        <w:t> </w:t>
      </w:r>
      <w:r>
        <w:rPr/>
        <w:t>不适用</w:t>
      </w:r>
    </w:p>
    <w:p>
      <w:pPr>
        <w:spacing w:line="240" w:lineRule="auto" w:before="0"/>
        <w:rPr>
          <w:rFonts w:ascii="宋体" w:hAnsi="宋体" w:cs="宋体" w:eastAsia="宋体" w:hint="default"/>
          <w:sz w:val="20"/>
          <w:szCs w:val="20"/>
        </w:rPr>
      </w:pPr>
    </w:p>
    <w:p>
      <w:pPr>
        <w:pStyle w:val="Heading4"/>
        <w:spacing w:line="240" w:lineRule="auto" w:before="154"/>
        <w:ind w:right="132"/>
        <w:jc w:val="left"/>
        <w:rPr>
          <w:b w:val="0"/>
          <w:bCs w:val="0"/>
        </w:rPr>
      </w:pPr>
      <w:r>
        <w:rPr/>
        <w:t>（5）金额较大的其他的应收账款的性质或内容</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32"/>
        <w:jc w:val="left"/>
        <w:rPr>
          <w:b w:val="0"/>
          <w:bCs w:val="0"/>
        </w:rPr>
      </w:pPr>
      <w:r>
        <w:rPr/>
        <w:t>（6）应收账款中金额前五名单位情况</w:t>
      </w:r>
      <w:r>
        <w:rPr>
          <w:b w:val="0"/>
          <w:bCs w:val="0"/>
        </w:rPr>
      </w:r>
    </w:p>
    <w:p>
      <w:pPr>
        <w:spacing w:line="240" w:lineRule="auto" w:before="7"/>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978"/>
        <w:gridCol w:w="1418"/>
        <w:gridCol w:w="1346"/>
        <w:gridCol w:w="1914"/>
        <w:gridCol w:w="1913"/>
      </w:tblGrid>
      <w:tr>
        <w:trPr>
          <w:trHeight w:val="415" w:hRule="exact"/>
        </w:trPr>
        <w:tc>
          <w:tcPr>
            <w:tcW w:w="2978"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346"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3"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占应收账款总额的比例</w:t>
            </w:r>
          </w:p>
        </w:tc>
      </w:tr>
      <w:tr>
        <w:trPr>
          <w:trHeight w:val="407" w:hRule="exact"/>
        </w:trPr>
        <w:tc>
          <w:tcPr>
            <w:tcW w:w="29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江苏省电力公司物资采购与配送中心</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31,043,944.52</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25.19%</w:t>
            </w:r>
          </w:p>
        </w:tc>
      </w:tr>
      <w:tr>
        <w:trPr>
          <w:trHeight w:val="407" w:hRule="exact"/>
        </w:trPr>
        <w:tc>
          <w:tcPr>
            <w:tcW w:w="29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浙江浙电物资经贸有限公司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16,172,023.00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13.12%</w:t>
            </w:r>
          </w:p>
        </w:tc>
      </w:tr>
      <w:tr>
        <w:trPr>
          <w:trHeight w:val="407" w:hRule="exact"/>
        </w:trPr>
        <w:tc>
          <w:tcPr>
            <w:tcW w:w="29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山东电力集团公司物资供应公司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14,378,373.52</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11.67%</w:t>
            </w:r>
          </w:p>
        </w:tc>
      </w:tr>
      <w:tr>
        <w:trPr>
          <w:trHeight w:val="415" w:hRule="exact"/>
        </w:trPr>
        <w:tc>
          <w:tcPr>
            <w:tcW w:w="297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浙江省电力物资供应公司</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3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7,802,435.40</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6.33%</w:t>
            </w:r>
          </w:p>
        </w:tc>
      </w:tr>
    </w:tbl>
    <w:p>
      <w:pPr>
        <w:spacing w:after="0" w:line="240" w:lineRule="auto"/>
        <w:jc w:val="right"/>
        <w:rPr>
          <w:rFonts w:ascii="宋体" w:hAnsi="宋体" w:cs="宋体" w:eastAsia="宋体" w:hint="default"/>
          <w:sz w:val="18"/>
          <w:szCs w:val="18"/>
        </w:rPr>
        <w:sectPr>
          <w:pgSz w:w="11910" w:h="16840"/>
          <w:pgMar w:header="0" w:footer="1003" w:top="1100" w:bottom="1200" w:left="980" w:right="98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2978"/>
        <w:gridCol w:w="1418"/>
        <w:gridCol w:w="1346"/>
        <w:gridCol w:w="1914"/>
        <w:gridCol w:w="1913"/>
      </w:tblGrid>
      <w:tr>
        <w:trPr>
          <w:trHeight w:val="415" w:hRule="exact"/>
        </w:trPr>
        <w:tc>
          <w:tcPr>
            <w:tcW w:w="297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浙江华立科技有限公司</w:t>
            </w: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3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7,328,438.00</w:t>
            </w:r>
          </w:p>
        </w:tc>
        <w:tc>
          <w:tcPr>
            <w:tcW w:w="19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1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5.95%</w:t>
            </w:r>
          </w:p>
        </w:tc>
      </w:tr>
      <w:tr>
        <w:trPr>
          <w:trHeight w:val="415" w:hRule="exact"/>
        </w:trPr>
        <w:tc>
          <w:tcPr>
            <w:tcW w:w="2978"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3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76,725,214.44</w:t>
            </w:r>
          </w:p>
        </w:tc>
        <w:tc>
          <w:tcPr>
            <w:tcW w:w="1914"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62.26%</w:t>
            </w:r>
          </w:p>
        </w:tc>
      </w:tr>
    </w:tbl>
    <w:p>
      <w:pPr>
        <w:spacing w:line="240" w:lineRule="auto" w:before="2"/>
        <w:rPr>
          <w:rFonts w:ascii="宋体" w:hAnsi="宋体" w:cs="宋体" w:eastAsia="宋体" w:hint="default"/>
          <w:sz w:val="19"/>
          <w:szCs w:val="19"/>
        </w:rPr>
      </w:pPr>
    </w:p>
    <w:p>
      <w:pPr>
        <w:pStyle w:val="Heading4"/>
        <w:spacing w:line="240" w:lineRule="auto" w:before="35"/>
        <w:ind w:right="132"/>
        <w:jc w:val="left"/>
        <w:rPr>
          <w:b w:val="0"/>
          <w:bCs w:val="0"/>
        </w:rPr>
      </w:pPr>
      <w:r>
        <w:rPr/>
        <w:t>（7）应收关联方账款情况</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32"/>
        <w:jc w:val="left"/>
        <w:rPr>
          <w:b w:val="0"/>
          <w:bCs w:val="0"/>
        </w:rPr>
      </w:pPr>
      <w:r>
        <w:rPr/>
        <w:t>（8）不符合终止确认条件的应收账款的转移金额为</w:t>
      </w:r>
      <w:r>
        <w:rPr>
          <w:spacing w:val="-58"/>
        </w:rPr>
        <w:t> </w:t>
      </w:r>
      <w:r>
        <w:rPr/>
        <w:t>0.00</w:t>
      </w:r>
      <w:r>
        <w:rPr>
          <w:spacing w:val="-56"/>
        </w:rPr>
        <w:t> </w:t>
      </w:r>
      <w:r>
        <w:rPr/>
        <w:t>元。</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32"/>
        <w:jc w:val="left"/>
        <w:rPr>
          <w:b w:val="0"/>
          <w:bCs w:val="0"/>
        </w:rPr>
      </w:pPr>
      <w:r>
        <w:rPr/>
        <w:t>（9）以应收款项为标的资产进行资产证券化的，需简要说明相关交易安排</w:t>
      </w:r>
      <w:r>
        <w:rPr>
          <w:b w:val="0"/>
          <w:bCs w:val="0"/>
        </w:rPr>
      </w:r>
    </w:p>
    <w:p>
      <w:pPr>
        <w:spacing w:line="240" w:lineRule="auto" w:before="11"/>
        <w:rPr>
          <w:rFonts w:ascii="宋体" w:hAnsi="宋体" w:cs="宋体" w:eastAsia="宋体" w:hint="default"/>
          <w:b/>
          <w:bCs/>
          <w:sz w:val="25"/>
          <w:szCs w:val="25"/>
        </w:rPr>
      </w:pPr>
    </w:p>
    <w:p>
      <w:pPr>
        <w:spacing w:line="532" w:lineRule="auto" w:before="0"/>
        <w:ind w:left="154" w:right="79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2、其他应收款</w:t>
      </w:r>
      <w:r>
        <w:rPr>
          <w:rFonts w:ascii="宋体" w:hAnsi="宋体" w:cs="宋体" w:eastAsia="宋体" w:hint="default"/>
          <w:sz w:val="21"/>
          <w:szCs w:val="21"/>
        </w:rPr>
      </w:r>
    </w:p>
    <w:p>
      <w:pPr>
        <w:pStyle w:val="Heading4"/>
        <w:spacing w:line="240" w:lineRule="auto" w:before="83"/>
        <w:ind w:right="132"/>
        <w:jc w:val="left"/>
        <w:rPr>
          <w:b w:val="0"/>
          <w:bCs w:val="0"/>
        </w:rPr>
      </w:pPr>
      <w:r>
        <w:rPr/>
        <w:t>（1）其他应收款</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170"/>
        <w:gridCol w:w="1454"/>
        <w:gridCol w:w="528"/>
        <w:gridCol w:w="1321"/>
        <w:gridCol w:w="528"/>
        <w:gridCol w:w="1322"/>
        <w:gridCol w:w="528"/>
        <w:gridCol w:w="1188"/>
        <w:gridCol w:w="527"/>
      </w:tblGrid>
      <w:tr>
        <w:trPr>
          <w:trHeight w:val="414" w:hRule="exact"/>
        </w:trPr>
        <w:tc>
          <w:tcPr>
            <w:tcW w:w="2170" w:type="dxa"/>
            <w:vMerge w:val="restart"/>
            <w:tcBorders>
              <w:top w:val="single" w:sz="12" w:space="0" w:color="000000"/>
              <w:left w:val="single" w:sz="12"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5"/>
              <w:jc w:val="center"/>
              <w:rPr>
                <w:rFonts w:ascii="宋体" w:hAnsi="宋体" w:cs="宋体" w:eastAsia="宋体" w:hint="default"/>
                <w:sz w:val="18"/>
                <w:szCs w:val="18"/>
              </w:rPr>
            </w:pPr>
            <w:r>
              <w:rPr>
                <w:rFonts w:ascii="宋体" w:hAnsi="宋体" w:cs="宋体" w:eastAsia="宋体" w:hint="default"/>
                <w:sz w:val="18"/>
                <w:szCs w:val="18"/>
              </w:rPr>
              <w:t>种类</w:t>
            </w:r>
          </w:p>
        </w:tc>
        <w:tc>
          <w:tcPr>
            <w:tcW w:w="3832" w:type="dxa"/>
            <w:gridSpan w:val="4"/>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6" w:type="dxa"/>
            <w:gridSpan w:val="4"/>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7" w:hRule="exact"/>
        </w:trPr>
        <w:tc>
          <w:tcPr>
            <w:tcW w:w="2170" w:type="dxa"/>
            <w:vMerge/>
            <w:tcBorders>
              <w:left w:val="single" w:sz="12" w:space="0" w:color="000000"/>
              <w:right w:val="single" w:sz="6" w:space="0" w:color="000000"/>
            </w:tcBorders>
            <w:shd w:val="clear" w:color="auto" w:fill="D3D3D3"/>
          </w:tcPr>
          <w:p>
            <w:pPr/>
          </w:p>
        </w:tc>
        <w:tc>
          <w:tcPr>
            <w:tcW w:w="1982" w:type="dxa"/>
            <w:gridSpan w:val="2"/>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6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9" w:type="dxa"/>
            <w:gridSpan w:val="2"/>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0" w:type="dxa"/>
            <w:gridSpan w:val="2"/>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5" w:type="dxa"/>
            <w:gridSpan w:val="2"/>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2"/>
              <w:ind w:left="48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9" w:hRule="exact"/>
        </w:trPr>
        <w:tc>
          <w:tcPr>
            <w:tcW w:w="2170" w:type="dxa"/>
            <w:vMerge/>
            <w:tcBorders>
              <w:left w:val="single" w:sz="12" w:space="0" w:color="000000"/>
              <w:bottom w:val="single" w:sz="6" w:space="0" w:color="000000"/>
              <w:right w:val="single" w:sz="6" w:space="0" w:color="000000"/>
            </w:tcBorders>
            <w:shd w:val="clear" w:color="auto" w:fill="D3D3D3"/>
          </w:tcPr>
          <w:p>
            <w:pPr/>
          </w:p>
        </w:tc>
        <w:tc>
          <w:tcPr>
            <w:tcW w:w="145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52"/>
              <w:ind w:left="121" w:right="77"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321"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52"/>
              <w:ind w:left="121" w:right="77"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32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52"/>
              <w:ind w:left="121" w:right="77"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18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7"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316" w:lineRule="auto" w:before="52"/>
              <w:ind w:left="122" w:right="66" w:hanging="46"/>
              <w:jc w:val="left"/>
              <w:rPr>
                <w:rFonts w:ascii="宋体" w:hAnsi="宋体" w:cs="宋体" w:eastAsia="宋体" w:hint="default"/>
                <w:sz w:val="18"/>
                <w:szCs w:val="18"/>
              </w:rPr>
            </w:pPr>
            <w:r>
              <w:rPr>
                <w:rFonts w:ascii="宋体" w:hAnsi="宋体" w:cs="宋体" w:eastAsia="宋体" w:hint="default"/>
                <w:sz w:val="18"/>
                <w:szCs w:val="18"/>
              </w:rPr>
              <w:t>比例 (%)</w:t>
            </w:r>
          </w:p>
        </w:tc>
      </w:tr>
      <w:tr>
        <w:trPr>
          <w:trHeight w:val="407" w:hRule="exact"/>
        </w:trPr>
        <w:tc>
          <w:tcPr>
            <w:tcW w:w="9568" w:type="dxa"/>
            <w:gridSpan w:val="9"/>
            <w:tcBorders>
              <w:top w:val="single" w:sz="6" w:space="0" w:color="000000"/>
              <w:left w:val="single" w:sz="12" w:space="0" w:color="000000"/>
              <w:bottom w:val="single" w:sz="6" w:space="0" w:color="000000"/>
              <w:right w:val="single" w:sz="12"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9" w:hRule="exact"/>
        </w:trPr>
        <w:tc>
          <w:tcPr>
            <w:tcW w:w="2170"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152"/>
              <w:jc w:val="left"/>
              <w:rPr>
                <w:rFonts w:ascii="宋体" w:hAnsi="宋体" w:cs="宋体" w:eastAsia="宋体" w:hint="default"/>
                <w:sz w:val="18"/>
                <w:szCs w:val="18"/>
              </w:rPr>
            </w:pPr>
            <w:r>
              <w:rPr>
                <w:rFonts w:ascii="宋体" w:hAnsi="宋体" w:cs="宋体" w:eastAsia="宋体" w:hint="default"/>
                <w:sz w:val="18"/>
                <w:szCs w:val="18"/>
              </w:rPr>
              <w:t>以账龄为信用风险特征划 分组合的应收账款</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33,833,287.78</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100%</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674,541.09</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 w:right="0"/>
              <w:jc w:val="left"/>
              <w:rPr>
                <w:rFonts w:ascii="宋体" w:hAnsi="宋体" w:cs="宋体" w:eastAsia="宋体" w:hint="default"/>
                <w:sz w:val="18"/>
                <w:szCs w:val="18"/>
              </w:rPr>
            </w:pPr>
            <w:r>
              <w:rPr>
                <w:rFonts w:ascii="宋体"/>
                <w:sz w:val="18"/>
              </w:rPr>
              <w:t>1.99%</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27,236,976.26</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621,023.56</w:t>
            </w:r>
          </w:p>
        </w:tc>
        <w:tc>
          <w:tcPr>
            <w:tcW w:w="5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sz w:val="18"/>
              </w:rPr>
              <w:t>2.28%</w:t>
            </w:r>
          </w:p>
        </w:tc>
      </w:tr>
      <w:tr>
        <w:trPr>
          <w:trHeight w:val="407" w:hRule="exact"/>
        </w:trPr>
        <w:tc>
          <w:tcPr>
            <w:tcW w:w="2170"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33,833,287.78</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100%</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674,541.09</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1" w:right="0"/>
              <w:jc w:val="left"/>
              <w:rPr>
                <w:rFonts w:ascii="宋体" w:hAnsi="宋体" w:cs="宋体" w:eastAsia="宋体" w:hint="default"/>
                <w:sz w:val="18"/>
                <w:szCs w:val="18"/>
              </w:rPr>
            </w:pPr>
            <w:r>
              <w:rPr>
                <w:rFonts w:ascii="宋体"/>
                <w:sz w:val="18"/>
              </w:rPr>
              <w:t>1.99%</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27,236,976.26</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621,023.56</w:t>
            </w:r>
          </w:p>
        </w:tc>
        <w:tc>
          <w:tcPr>
            <w:tcW w:w="5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sz w:val="18"/>
              </w:rPr>
              <w:t>2.28%</w:t>
            </w:r>
          </w:p>
        </w:tc>
      </w:tr>
      <w:tr>
        <w:trPr>
          <w:trHeight w:val="415" w:hRule="exact"/>
        </w:trPr>
        <w:tc>
          <w:tcPr>
            <w:tcW w:w="2170"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33,833,287.78</w:t>
            </w:r>
          </w:p>
        </w:tc>
        <w:tc>
          <w:tcPr>
            <w:tcW w:w="528"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2"/>
              <w:ind w:left="20" w:right="0"/>
              <w:jc w:val="left"/>
              <w:rPr>
                <w:rFonts w:ascii="宋体" w:hAnsi="宋体" w:cs="宋体" w:eastAsia="宋体" w:hint="default"/>
                <w:sz w:val="18"/>
                <w:szCs w:val="18"/>
              </w:rPr>
            </w:pPr>
            <w:r>
              <w:rPr>
                <w:rFonts w:ascii="宋体"/>
                <w:sz w:val="18"/>
              </w:rPr>
              <w:t>--</w:t>
            </w:r>
          </w:p>
        </w:tc>
        <w:tc>
          <w:tcPr>
            <w:tcW w:w="13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674,541.09</w:t>
            </w:r>
          </w:p>
        </w:tc>
        <w:tc>
          <w:tcPr>
            <w:tcW w:w="528"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2"/>
              <w:ind w:left="20" w:right="0"/>
              <w:jc w:val="left"/>
              <w:rPr>
                <w:rFonts w:ascii="宋体" w:hAnsi="宋体" w:cs="宋体" w:eastAsia="宋体" w:hint="default"/>
                <w:sz w:val="18"/>
                <w:szCs w:val="18"/>
              </w:rPr>
            </w:pPr>
            <w:r>
              <w:rPr>
                <w:rFonts w:ascii="宋体"/>
                <w:sz w:val="18"/>
              </w:rPr>
              <w:t>--</w:t>
            </w:r>
          </w:p>
        </w:tc>
        <w:tc>
          <w:tcPr>
            <w:tcW w:w="13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27,236,976.26</w:t>
            </w:r>
          </w:p>
        </w:tc>
        <w:tc>
          <w:tcPr>
            <w:tcW w:w="528"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2"/>
              <w:ind w:left="20" w:right="0"/>
              <w:jc w:val="left"/>
              <w:rPr>
                <w:rFonts w:ascii="宋体" w:hAnsi="宋体" w:cs="宋体" w:eastAsia="宋体" w:hint="default"/>
                <w:sz w:val="18"/>
                <w:szCs w:val="18"/>
              </w:rPr>
            </w:pPr>
            <w:r>
              <w:rPr>
                <w:rFonts w:ascii="宋体"/>
                <w:sz w:val="18"/>
              </w:rPr>
              <w:t>--</w:t>
            </w:r>
          </w:p>
        </w:tc>
        <w:tc>
          <w:tcPr>
            <w:tcW w:w="11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621,023.56</w:t>
            </w:r>
          </w:p>
        </w:tc>
        <w:tc>
          <w:tcPr>
            <w:tcW w:w="527" w:type="dxa"/>
            <w:tcBorders>
              <w:top w:val="single" w:sz="6" w:space="0" w:color="000000"/>
              <w:left w:val="single" w:sz="6" w:space="0" w:color="000000"/>
              <w:bottom w:val="single" w:sz="12" w:space="0" w:color="000000"/>
              <w:right w:val="single" w:sz="12" w:space="0" w:color="000000"/>
            </w:tcBorders>
            <w:shd w:val="clear" w:color="auto" w:fill="D3D3D3"/>
          </w:tcPr>
          <w:p>
            <w:pPr>
              <w:pStyle w:val="TableParagraph"/>
              <w:spacing w:line="240" w:lineRule="auto" w:before="52"/>
              <w:ind w:left="21" w:right="0"/>
              <w:jc w:val="left"/>
              <w:rPr>
                <w:rFonts w:ascii="宋体" w:hAnsi="宋体" w:cs="宋体" w:eastAsia="宋体" w:hint="default"/>
                <w:sz w:val="18"/>
                <w:szCs w:val="18"/>
              </w:rPr>
            </w:pPr>
            <w:r>
              <w:rPr>
                <w:rFonts w:ascii="宋体"/>
                <w:sz w:val="18"/>
              </w:rPr>
              <w:t>--</w:t>
            </w:r>
          </w:p>
        </w:tc>
      </w:tr>
    </w:tbl>
    <w:p>
      <w:pPr>
        <w:pStyle w:val="BodyText"/>
        <w:spacing w:line="240" w:lineRule="auto" w:before="63"/>
        <w:ind w:right="132"/>
        <w:jc w:val="left"/>
      </w:pPr>
      <w:r>
        <w:rPr/>
        <w:t>期末单项金额重大并单项计提坏账准备的其他应收款</w:t>
      </w:r>
    </w:p>
    <w:p>
      <w:pPr>
        <w:spacing w:line="240" w:lineRule="auto" w:before="10"/>
        <w:rPr>
          <w:rFonts w:ascii="宋体" w:hAnsi="宋体" w:cs="宋体" w:eastAsia="宋体" w:hint="default"/>
          <w:sz w:val="14"/>
          <w:szCs w:val="14"/>
        </w:rPr>
      </w:pPr>
    </w:p>
    <w:p>
      <w:pPr>
        <w:pStyle w:val="BodyText"/>
        <w:spacing w:line="408" w:lineRule="auto"/>
        <w:ind w:right="4940"/>
        <w:jc w:val="left"/>
      </w:pPr>
      <w:r>
        <w:rPr/>
        <w:t>□ 适用 √</w:t>
      </w:r>
      <w:r>
        <w:rPr>
          <w:spacing w:val="-2"/>
        </w:rPr>
        <w:t> </w:t>
      </w:r>
      <w:r>
        <w:rPr/>
        <w:t>不适用</w:t>
      </w:r>
      <w:r>
        <w:rPr/>
        <w:t> 组合中，采用账龄分析法计提坏账准备的其他应收款</w:t>
      </w:r>
    </w:p>
    <w:p>
      <w:pPr>
        <w:pStyle w:val="BodyText"/>
        <w:spacing w:line="240" w:lineRule="auto" w:before="46"/>
        <w:ind w:right="132"/>
        <w:jc w:val="left"/>
      </w:pPr>
      <w:r>
        <w:rPr/>
        <w:t>√ 适用 □</w:t>
      </w:r>
      <w:r>
        <w:rPr>
          <w:spacing w:val="-2"/>
        </w:rPr>
        <w:t> </w:t>
      </w:r>
      <w:r>
        <w:rPr/>
        <w:t>不适用</w:t>
      </w:r>
    </w:p>
    <w:p>
      <w:pPr>
        <w:spacing w:line="240" w:lineRule="auto" w:before="6"/>
        <w:rPr>
          <w:rFonts w:ascii="宋体" w:hAnsi="宋体" w:cs="宋体" w:eastAsia="宋体" w:hint="default"/>
          <w:sz w:val="10"/>
          <w:szCs w:val="10"/>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267"/>
        <w:gridCol w:w="1793"/>
        <w:gridCol w:w="665"/>
        <w:gridCol w:w="1594"/>
        <w:gridCol w:w="1861"/>
        <w:gridCol w:w="665"/>
        <w:gridCol w:w="1725"/>
      </w:tblGrid>
      <w:tr>
        <w:trPr>
          <w:trHeight w:val="415" w:hRule="exact"/>
        </w:trPr>
        <w:tc>
          <w:tcPr>
            <w:tcW w:w="1267" w:type="dxa"/>
            <w:vMerge w:val="restart"/>
            <w:tcBorders>
              <w:top w:val="single" w:sz="12" w:space="0" w:color="000000"/>
              <w:left w:val="single" w:sz="12"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6"/>
              <w:jc w:val="center"/>
              <w:rPr>
                <w:rFonts w:ascii="宋体" w:hAnsi="宋体" w:cs="宋体" w:eastAsia="宋体" w:hint="default"/>
                <w:sz w:val="18"/>
                <w:szCs w:val="18"/>
              </w:rPr>
            </w:pPr>
            <w:r>
              <w:rPr>
                <w:rFonts w:ascii="宋体" w:hAnsi="宋体" w:cs="宋体" w:eastAsia="宋体" w:hint="default"/>
                <w:sz w:val="18"/>
                <w:szCs w:val="18"/>
              </w:rPr>
              <w:t>账龄</w:t>
            </w:r>
          </w:p>
        </w:tc>
        <w:tc>
          <w:tcPr>
            <w:tcW w:w="4051" w:type="dxa"/>
            <w:gridSpan w:val="3"/>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1" w:type="dxa"/>
            <w:gridSpan w:val="3"/>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7" w:hRule="exact"/>
        </w:trPr>
        <w:tc>
          <w:tcPr>
            <w:tcW w:w="1267" w:type="dxa"/>
            <w:vMerge/>
            <w:tcBorders>
              <w:left w:val="single" w:sz="12" w:space="0" w:color="000000"/>
              <w:right w:val="single" w:sz="6" w:space="0" w:color="000000"/>
            </w:tcBorders>
            <w:shd w:val="clear" w:color="auto" w:fill="D3D3D3"/>
          </w:tcPr>
          <w:p>
            <w:pPr/>
          </w:p>
        </w:tc>
        <w:tc>
          <w:tcPr>
            <w:tcW w:w="2458" w:type="dxa"/>
            <w:gridSpan w:val="2"/>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6" w:space="0" w:color="000000"/>
              <w:left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6" w:type="dxa"/>
            <w:gridSpan w:val="2"/>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5" w:type="dxa"/>
            <w:vMerge w:val="restart"/>
            <w:tcBorders>
              <w:top w:val="single" w:sz="6" w:space="0" w:color="000000"/>
              <w:left w:val="single" w:sz="6" w:space="0" w:color="000000"/>
              <w:right w:val="single" w:sz="12"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9" w:hRule="exact"/>
        </w:trPr>
        <w:tc>
          <w:tcPr>
            <w:tcW w:w="1267" w:type="dxa"/>
            <w:vMerge/>
            <w:tcBorders>
              <w:left w:val="single" w:sz="12" w:space="0" w:color="000000"/>
              <w:bottom w:val="single" w:sz="6" w:space="0" w:color="000000"/>
              <w:right w:val="single" w:sz="6" w:space="0" w:color="000000"/>
            </w:tcBorders>
            <w:shd w:val="clear" w:color="auto" w:fill="D3D3D3"/>
          </w:tcPr>
          <w:p>
            <w:pPr/>
          </w:p>
        </w:tc>
        <w:tc>
          <w:tcPr>
            <w:tcW w:w="1793"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51"/>
              <w:ind w:left="190" w:right="143"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594" w:type="dxa"/>
            <w:vMerge/>
            <w:tcBorders>
              <w:left w:val="single" w:sz="6" w:space="0" w:color="000000"/>
              <w:bottom w:val="single" w:sz="6" w:space="0" w:color="000000"/>
              <w:right w:val="single" w:sz="6" w:space="0" w:color="000000"/>
            </w:tcBorders>
            <w:shd w:val="clear" w:color="auto" w:fill="D3D3D3"/>
          </w:tcPr>
          <w:p>
            <w:pPr/>
          </w:p>
        </w:tc>
        <w:tc>
          <w:tcPr>
            <w:tcW w:w="1861"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51"/>
              <w:ind w:left="189" w:right="144"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725" w:type="dxa"/>
            <w:vMerge/>
            <w:tcBorders>
              <w:left w:val="single" w:sz="6" w:space="0" w:color="000000"/>
              <w:bottom w:val="single" w:sz="6" w:space="0" w:color="000000"/>
              <w:right w:val="single" w:sz="12" w:space="0" w:color="000000"/>
            </w:tcBorders>
            <w:shd w:val="clear" w:color="auto" w:fill="D3D3D3"/>
          </w:tcPr>
          <w:p>
            <w:pPr/>
          </w:p>
        </w:tc>
      </w:tr>
      <w:tr>
        <w:trPr>
          <w:trHeight w:val="415" w:hRule="exact"/>
        </w:trPr>
        <w:tc>
          <w:tcPr>
            <w:tcW w:w="9569" w:type="dxa"/>
            <w:gridSpan w:val="7"/>
            <w:tcBorders>
              <w:top w:val="single" w:sz="6" w:space="0" w:color="000000"/>
              <w:left w:val="single" w:sz="12" w:space="0" w:color="000000"/>
              <w:bottom w:val="single" w:sz="12" w:space="0" w:color="000000"/>
              <w:right w:val="single" w:sz="12"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r>
    </w:tbl>
    <w:p>
      <w:pPr>
        <w:spacing w:after="0" w:line="240" w:lineRule="auto"/>
        <w:jc w:val="left"/>
        <w:rPr>
          <w:rFonts w:ascii="宋体" w:hAnsi="宋体" w:cs="宋体" w:eastAsia="宋体" w:hint="default"/>
          <w:sz w:val="18"/>
          <w:szCs w:val="18"/>
        </w:rPr>
        <w:sectPr>
          <w:pgSz w:w="11910" w:h="16840"/>
          <w:pgMar w:header="0" w:footer="1003" w:top="1100" w:bottom="1200" w:left="980" w:right="98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1267"/>
        <w:gridCol w:w="1793"/>
        <w:gridCol w:w="665"/>
        <w:gridCol w:w="1594"/>
        <w:gridCol w:w="1861"/>
        <w:gridCol w:w="665"/>
        <w:gridCol w:w="1725"/>
      </w:tblGrid>
      <w:tr>
        <w:trPr>
          <w:trHeight w:val="415" w:hRule="exact"/>
        </w:trPr>
        <w:tc>
          <w:tcPr>
            <w:tcW w:w="1267"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20" w:right="0"/>
              <w:jc w:val="left"/>
              <w:rPr>
                <w:rFonts w:ascii="宋体" w:hAnsi="宋体" w:cs="宋体" w:eastAsia="宋体" w:hint="default"/>
                <w:sz w:val="18"/>
                <w:szCs w:val="18"/>
              </w:rPr>
            </w:pPr>
            <w:r>
              <w:rPr>
                <w:rFonts w:ascii="宋体"/>
                <w:sz w:val="18"/>
              </w:rPr>
              <w:t>--</w:t>
            </w:r>
          </w:p>
        </w:tc>
        <w:tc>
          <w:tcPr>
            <w:tcW w:w="665"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21" w:right="0"/>
              <w:jc w:val="left"/>
              <w:rPr>
                <w:rFonts w:ascii="宋体" w:hAnsi="宋体" w:cs="宋体" w:eastAsia="宋体" w:hint="default"/>
                <w:sz w:val="18"/>
                <w:szCs w:val="18"/>
              </w:rPr>
            </w:pPr>
            <w:r>
              <w:rPr>
                <w:rFonts w:ascii="宋体"/>
                <w:sz w:val="18"/>
              </w:rPr>
              <w:t>--</w:t>
            </w:r>
          </w:p>
        </w:tc>
        <w:tc>
          <w:tcPr>
            <w:tcW w:w="159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20" w:right="0"/>
              <w:jc w:val="left"/>
              <w:rPr>
                <w:rFonts w:ascii="宋体" w:hAnsi="宋体" w:cs="宋体" w:eastAsia="宋体" w:hint="default"/>
                <w:sz w:val="18"/>
                <w:szCs w:val="18"/>
              </w:rPr>
            </w:pPr>
            <w:r>
              <w:rPr>
                <w:rFonts w:ascii="宋体"/>
                <w:sz w:val="18"/>
              </w:rPr>
              <w:t>--</w:t>
            </w:r>
          </w:p>
        </w:tc>
        <w:tc>
          <w:tcPr>
            <w:tcW w:w="1861"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20" w:right="0"/>
              <w:jc w:val="left"/>
              <w:rPr>
                <w:rFonts w:ascii="宋体" w:hAnsi="宋体" w:cs="宋体" w:eastAsia="宋体" w:hint="default"/>
                <w:sz w:val="18"/>
                <w:szCs w:val="18"/>
              </w:rPr>
            </w:pPr>
            <w:r>
              <w:rPr>
                <w:rFonts w:ascii="宋体"/>
                <w:sz w:val="18"/>
              </w:rPr>
              <w:t>--</w:t>
            </w:r>
          </w:p>
        </w:tc>
        <w:tc>
          <w:tcPr>
            <w:tcW w:w="665"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20" w:right="0"/>
              <w:jc w:val="left"/>
              <w:rPr>
                <w:rFonts w:ascii="宋体" w:hAnsi="宋体" w:cs="宋体" w:eastAsia="宋体" w:hint="default"/>
                <w:sz w:val="18"/>
                <w:szCs w:val="18"/>
              </w:rPr>
            </w:pPr>
            <w:r>
              <w:rPr>
                <w:rFonts w:ascii="宋体"/>
                <w:sz w:val="18"/>
              </w:rPr>
              <w:t>--</w:t>
            </w:r>
          </w:p>
        </w:tc>
        <w:tc>
          <w:tcPr>
            <w:tcW w:w="1725"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20" w:right="0"/>
              <w:jc w:val="left"/>
              <w:rPr>
                <w:rFonts w:ascii="宋体" w:hAnsi="宋体" w:cs="宋体" w:eastAsia="宋体" w:hint="default"/>
                <w:sz w:val="18"/>
                <w:szCs w:val="18"/>
              </w:rPr>
            </w:pPr>
            <w:r>
              <w:rPr>
                <w:rFonts w:ascii="宋体"/>
                <w:sz w:val="18"/>
              </w:rPr>
              <w:t>--</w:t>
            </w:r>
          </w:p>
        </w:tc>
      </w:tr>
      <w:tr>
        <w:trPr>
          <w:trHeight w:val="407" w:hRule="exact"/>
        </w:trPr>
        <w:tc>
          <w:tcPr>
            <w:tcW w:w="1267" w:type="dxa"/>
            <w:tcBorders>
              <w:top w:val="single" w:sz="6" w:space="0" w:color="000000"/>
              <w:left w:val="single" w:sz="12"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32,799,786.88</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96.95%</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102,026.97</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26,265,875.36</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96.44%</w:t>
            </w:r>
          </w:p>
        </w:tc>
        <w:tc>
          <w:tcPr>
            <w:tcW w:w="17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207,809.62</w:t>
            </w:r>
          </w:p>
        </w:tc>
      </w:tr>
      <w:tr>
        <w:trPr>
          <w:trHeight w:val="407" w:hRule="exact"/>
        </w:trPr>
        <w:tc>
          <w:tcPr>
            <w:tcW w:w="1267"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32,799,786.88</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96.95%</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102,026.97</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26,265,875.36</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96.44%</w:t>
            </w:r>
          </w:p>
        </w:tc>
        <w:tc>
          <w:tcPr>
            <w:tcW w:w="17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207,809.62</w:t>
            </w:r>
          </w:p>
        </w:tc>
      </w:tr>
      <w:tr>
        <w:trPr>
          <w:trHeight w:val="407" w:hRule="exact"/>
        </w:trPr>
        <w:tc>
          <w:tcPr>
            <w:tcW w:w="1267"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pacing w:val="33"/>
                <w:sz w:val="18"/>
                <w:szCs w:val="18"/>
              </w:rPr>
              <w:t>1至2年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162,400.00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0.48%</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16,240.00</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224,154.76</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0.82%</w:t>
            </w:r>
          </w:p>
        </w:tc>
        <w:tc>
          <w:tcPr>
            <w:tcW w:w="17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22,415.48</w:t>
            </w:r>
          </w:p>
        </w:tc>
      </w:tr>
      <w:tr>
        <w:trPr>
          <w:trHeight w:val="407" w:hRule="exact"/>
        </w:trPr>
        <w:tc>
          <w:tcPr>
            <w:tcW w:w="1267"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pacing w:val="33"/>
                <w:sz w:val="18"/>
                <w:szCs w:val="18"/>
              </w:rPr>
              <w:t>2至3年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224,154.76</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0.66%</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67,246.43</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101,773.04</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0.37%</w:t>
            </w:r>
          </w:p>
        </w:tc>
        <w:tc>
          <w:tcPr>
            <w:tcW w:w="17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30,531.91</w:t>
            </w:r>
          </w:p>
        </w:tc>
      </w:tr>
      <w:tr>
        <w:trPr>
          <w:trHeight w:val="407" w:hRule="exact"/>
        </w:trPr>
        <w:tc>
          <w:tcPr>
            <w:tcW w:w="1267"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646,946.14</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1.91%</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489,027.69</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645,173.10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2.37%</w:t>
            </w:r>
          </w:p>
        </w:tc>
        <w:tc>
          <w:tcPr>
            <w:tcW w:w="17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360,266.55</w:t>
            </w:r>
          </w:p>
        </w:tc>
      </w:tr>
      <w:tr>
        <w:trPr>
          <w:trHeight w:val="408" w:hRule="exact"/>
        </w:trPr>
        <w:tc>
          <w:tcPr>
            <w:tcW w:w="1267"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pacing w:val="33"/>
                <w:sz w:val="18"/>
                <w:szCs w:val="18"/>
              </w:rPr>
              <w:t>3至4年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101,773.04</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0.3%</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50,886.52</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456,773.10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1.68%</w:t>
            </w:r>
          </w:p>
        </w:tc>
        <w:tc>
          <w:tcPr>
            <w:tcW w:w="17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228,386.55</w:t>
            </w:r>
          </w:p>
        </w:tc>
      </w:tr>
      <w:tr>
        <w:trPr>
          <w:trHeight w:val="407" w:hRule="exact"/>
        </w:trPr>
        <w:tc>
          <w:tcPr>
            <w:tcW w:w="1267"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pacing w:val="33"/>
                <w:sz w:val="18"/>
                <w:szCs w:val="18"/>
              </w:rPr>
              <w:t>4至5年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356,773.10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1.05%</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249,741.17</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188,400.00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0.69%</w:t>
            </w:r>
          </w:p>
        </w:tc>
        <w:tc>
          <w:tcPr>
            <w:tcW w:w="17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131,880.00</w:t>
            </w:r>
          </w:p>
        </w:tc>
      </w:tr>
      <w:tr>
        <w:trPr>
          <w:trHeight w:val="407" w:hRule="exact"/>
        </w:trPr>
        <w:tc>
          <w:tcPr>
            <w:tcW w:w="1267"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188,400.00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0.56%</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188,400.00</w:t>
            </w:r>
          </w:p>
        </w:tc>
        <w:tc>
          <w:tcPr>
            <w:tcW w:w="1861"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267"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33,833,287.78</w:t>
            </w:r>
          </w:p>
        </w:tc>
        <w:tc>
          <w:tcPr>
            <w:tcW w:w="665"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674,541.09</w:t>
            </w:r>
          </w:p>
        </w:tc>
        <w:tc>
          <w:tcPr>
            <w:tcW w:w="18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27,236,976.26</w:t>
            </w:r>
          </w:p>
        </w:tc>
        <w:tc>
          <w:tcPr>
            <w:tcW w:w="665"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72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621,023.56</w:t>
            </w:r>
          </w:p>
        </w:tc>
      </w:tr>
    </w:tbl>
    <w:p>
      <w:pPr>
        <w:pStyle w:val="BodyText"/>
        <w:spacing w:line="240" w:lineRule="auto" w:before="63"/>
        <w:ind w:right="132"/>
        <w:jc w:val="left"/>
      </w:pPr>
      <w:r>
        <w:rPr/>
        <w:t>组合中，采用余额百分比法计提坏账准备的其他应收款</w:t>
      </w:r>
    </w:p>
    <w:p>
      <w:pPr>
        <w:spacing w:line="240" w:lineRule="auto" w:before="10"/>
        <w:rPr>
          <w:rFonts w:ascii="宋体" w:hAnsi="宋体" w:cs="宋体" w:eastAsia="宋体" w:hint="default"/>
          <w:sz w:val="14"/>
          <w:szCs w:val="14"/>
        </w:rPr>
      </w:pPr>
    </w:p>
    <w:p>
      <w:pPr>
        <w:pStyle w:val="BodyText"/>
        <w:spacing w:line="408" w:lineRule="auto"/>
        <w:ind w:right="5150"/>
        <w:jc w:val="left"/>
      </w:pPr>
      <w:r>
        <w:rPr/>
        <w:t>□ 适用 √</w:t>
      </w:r>
      <w:r>
        <w:rPr>
          <w:spacing w:val="-2"/>
        </w:rPr>
        <w:t> </w:t>
      </w:r>
      <w:r>
        <w:rPr/>
        <w:t>不适用</w:t>
      </w:r>
      <w:r>
        <w:rPr/>
        <w:t> 组合中，采用其他方法计提坏账准备的其他应收款</w:t>
      </w:r>
    </w:p>
    <w:p>
      <w:pPr>
        <w:pStyle w:val="BodyText"/>
        <w:spacing w:line="408" w:lineRule="auto" w:before="46"/>
        <w:ind w:right="4520"/>
        <w:jc w:val="left"/>
      </w:pPr>
      <w:r>
        <w:rPr/>
        <w:t>□ 适用 √</w:t>
      </w:r>
      <w:r>
        <w:rPr>
          <w:spacing w:val="-2"/>
        </w:rPr>
        <w:t> </w:t>
      </w:r>
      <w:r>
        <w:rPr/>
        <w:t>不适用</w:t>
      </w:r>
      <w:r>
        <w:rPr/>
        <w:t> 期末单项金额虽不重大但单项计提坏账准备的其他应收款</w:t>
      </w:r>
    </w:p>
    <w:p>
      <w:pPr>
        <w:pStyle w:val="BodyText"/>
        <w:spacing w:line="240" w:lineRule="auto" w:before="46"/>
        <w:ind w:right="132"/>
        <w:jc w:val="left"/>
      </w:pPr>
      <w:r>
        <w:rPr/>
        <w:t>□ 适用 √</w:t>
      </w:r>
      <w:r>
        <w:rPr>
          <w:spacing w:val="-2"/>
        </w:rPr>
        <w:t> </w:t>
      </w:r>
      <w:r>
        <w:rPr/>
        <w:t>不适用</w:t>
      </w:r>
    </w:p>
    <w:p>
      <w:pPr>
        <w:spacing w:line="240" w:lineRule="auto" w:before="0"/>
        <w:rPr>
          <w:rFonts w:ascii="宋体" w:hAnsi="宋体" w:cs="宋体" w:eastAsia="宋体" w:hint="default"/>
          <w:sz w:val="20"/>
          <w:szCs w:val="20"/>
        </w:rPr>
      </w:pPr>
    </w:p>
    <w:p>
      <w:pPr>
        <w:pStyle w:val="Heading4"/>
        <w:spacing w:line="240" w:lineRule="auto" w:before="154"/>
        <w:ind w:right="132"/>
        <w:jc w:val="left"/>
        <w:rPr>
          <w:b w:val="0"/>
          <w:bCs w:val="0"/>
        </w:rPr>
      </w:pPr>
      <w:r>
        <w:rPr/>
        <w:t>（2）本报告期转回或收回的其他应收款情况</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32"/>
        <w:jc w:val="left"/>
        <w:rPr>
          <w:b w:val="0"/>
          <w:bCs w:val="0"/>
        </w:rPr>
      </w:pPr>
      <w:r>
        <w:rPr/>
        <w:t>（3）本报告期实际核销的其他应收款情况</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32"/>
        <w:jc w:val="left"/>
        <w:rPr>
          <w:b w:val="0"/>
          <w:bCs w:val="0"/>
        </w:rPr>
      </w:pPr>
      <w:r>
        <w:rPr/>
        <w:t>（4）本报告期其他应收款中持有公司</w:t>
      </w:r>
      <w:r>
        <w:rPr>
          <w:spacing w:val="-57"/>
        </w:rPr>
        <w:t> </w:t>
      </w:r>
      <w:r>
        <w:rPr/>
        <w:t>5％（含</w:t>
      </w:r>
      <w:r>
        <w:rPr>
          <w:spacing w:val="-59"/>
        </w:rPr>
        <w:t> </w:t>
      </w:r>
      <w:r>
        <w:rPr/>
        <w:t>5％）以上表决权股份的股东单位情况</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32"/>
        <w:jc w:val="left"/>
        <w:rPr>
          <w:b w:val="0"/>
          <w:bCs w:val="0"/>
        </w:rPr>
      </w:pPr>
      <w:r>
        <w:rPr/>
        <w:t>（5）金额较大的其他应收款的性质或内容</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32"/>
        <w:jc w:val="left"/>
        <w:rPr>
          <w:b w:val="0"/>
          <w:bCs w:val="0"/>
        </w:rPr>
      </w:pPr>
      <w:r>
        <w:rPr/>
        <w:t>（6）其他应收款金额前五名单位情况</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915"/>
        <w:gridCol w:w="1914"/>
        <w:gridCol w:w="1914"/>
        <w:gridCol w:w="1488"/>
        <w:gridCol w:w="2339"/>
      </w:tblGrid>
      <w:tr>
        <w:trPr>
          <w:trHeight w:val="413" w:hRule="exact"/>
        </w:trPr>
        <w:tc>
          <w:tcPr>
            <w:tcW w:w="1915"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88"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339"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占其他应收款总额的比例(%)</w:t>
            </w:r>
          </w:p>
        </w:tc>
      </w:tr>
      <w:tr>
        <w:trPr>
          <w:trHeight w:val="416" w:hRule="exact"/>
        </w:trPr>
        <w:tc>
          <w:tcPr>
            <w:tcW w:w="191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3"/>
              <w:ind w:right="65"/>
              <w:jc w:val="center"/>
              <w:rPr>
                <w:rFonts w:ascii="宋体" w:hAnsi="宋体" w:cs="宋体" w:eastAsia="宋体" w:hint="default"/>
                <w:sz w:val="18"/>
                <w:szCs w:val="18"/>
              </w:rPr>
            </w:pPr>
            <w:r>
              <w:rPr>
                <w:rFonts w:ascii="宋体" w:hAnsi="宋体" w:cs="宋体" w:eastAsia="宋体" w:hint="default"/>
                <w:sz w:val="18"/>
                <w:szCs w:val="18"/>
              </w:rPr>
              <w:t>江苏苏源光一科技有限</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707" w:right="0"/>
              <w:jc w:val="left"/>
              <w:rPr>
                <w:rFonts w:ascii="宋体" w:hAnsi="宋体" w:cs="宋体" w:eastAsia="宋体" w:hint="default"/>
                <w:sz w:val="18"/>
                <w:szCs w:val="18"/>
              </w:rPr>
            </w:pPr>
            <w:r>
              <w:rPr>
                <w:rFonts w:ascii="宋体"/>
                <w:sz w:val="18"/>
              </w:rPr>
              <w:t>29,398,888.00</w:t>
            </w:r>
          </w:p>
        </w:tc>
        <w:tc>
          <w:tcPr>
            <w:tcW w:w="14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33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86.89%</w:t>
            </w:r>
          </w:p>
        </w:tc>
      </w:tr>
    </w:tbl>
    <w:p>
      <w:pPr>
        <w:spacing w:after="0" w:line="240" w:lineRule="auto"/>
        <w:jc w:val="right"/>
        <w:rPr>
          <w:rFonts w:ascii="宋体" w:hAnsi="宋体" w:cs="宋体" w:eastAsia="宋体" w:hint="default"/>
          <w:sz w:val="18"/>
          <w:szCs w:val="18"/>
        </w:rPr>
        <w:sectPr>
          <w:pgSz w:w="11910" w:h="16840"/>
          <w:pgMar w:header="0" w:footer="1003" w:top="1100" w:bottom="1200" w:left="980" w:right="980"/>
        </w:sectPr>
      </w:pPr>
    </w:p>
    <w:p>
      <w:pPr>
        <w:spacing w:line="240" w:lineRule="auto" w:before="6"/>
        <w:rPr>
          <w:rFonts w:ascii="宋体" w:hAnsi="宋体" w:cs="宋体" w:eastAsia="宋体" w:hint="default"/>
          <w:sz w:val="24"/>
          <w:szCs w:val="24"/>
        </w:rPr>
      </w:pPr>
    </w:p>
    <w:tbl>
      <w:tblPr>
        <w:tblW w:w="0" w:type="auto"/>
        <w:jc w:val="left"/>
        <w:tblInd w:w="538" w:type="dxa"/>
        <w:tblLayout w:type="fixed"/>
        <w:tblCellMar>
          <w:top w:w="0" w:type="dxa"/>
          <w:left w:w="0" w:type="dxa"/>
          <w:bottom w:w="0" w:type="dxa"/>
          <w:right w:w="0" w:type="dxa"/>
        </w:tblCellMar>
        <w:tblLook w:val="01E0"/>
      </w:tblPr>
      <w:tblGrid>
        <w:gridCol w:w="1915"/>
        <w:gridCol w:w="1914"/>
        <w:gridCol w:w="1914"/>
        <w:gridCol w:w="1488"/>
        <w:gridCol w:w="2339"/>
      </w:tblGrid>
      <w:tr>
        <w:trPr>
          <w:trHeight w:val="374" w:hRule="exact"/>
        </w:trPr>
        <w:tc>
          <w:tcPr>
            <w:tcW w:w="191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14" w:type="dxa"/>
            <w:tcBorders>
              <w:top w:val="single" w:sz="12" w:space="0" w:color="000000"/>
              <w:left w:val="single" w:sz="6" w:space="0" w:color="000000"/>
              <w:bottom w:val="single" w:sz="6" w:space="0" w:color="000000"/>
              <w:right w:val="single" w:sz="6" w:space="0" w:color="000000"/>
            </w:tcBorders>
          </w:tcPr>
          <w:p>
            <w:pPr/>
          </w:p>
        </w:tc>
        <w:tc>
          <w:tcPr>
            <w:tcW w:w="1914" w:type="dxa"/>
            <w:tcBorders>
              <w:top w:val="single" w:sz="12" w:space="0" w:color="000000"/>
              <w:left w:val="single" w:sz="6" w:space="0" w:color="000000"/>
              <w:bottom w:val="single" w:sz="6" w:space="0" w:color="000000"/>
              <w:right w:val="single" w:sz="6" w:space="0" w:color="000000"/>
            </w:tcBorders>
          </w:tcPr>
          <w:p>
            <w:pPr/>
          </w:p>
        </w:tc>
        <w:tc>
          <w:tcPr>
            <w:tcW w:w="1488" w:type="dxa"/>
            <w:tcBorders>
              <w:top w:val="single" w:sz="12" w:space="0" w:color="000000"/>
              <w:left w:val="single" w:sz="6" w:space="0" w:color="000000"/>
              <w:bottom w:val="single" w:sz="6" w:space="0" w:color="000000"/>
              <w:right w:val="single" w:sz="6" w:space="0" w:color="000000"/>
            </w:tcBorders>
          </w:tcPr>
          <w:p>
            <w:pPr/>
          </w:p>
        </w:tc>
        <w:tc>
          <w:tcPr>
            <w:tcW w:w="2339" w:type="dxa"/>
            <w:tcBorders>
              <w:top w:val="single" w:sz="12" w:space="0" w:color="000000"/>
              <w:left w:val="single" w:sz="6" w:space="0" w:color="000000"/>
              <w:bottom w:val="single" w:sz="6" w:space="0" w:color="000000"/>
              <w:right w:val="single" w:sz="12" w:space="0" w:color="000000"/>
            </w:tcBorders>
          </w:tcPr>
          <w:p>
            <w:pPr/>
          </w:p>
        </w:tc>
      </w:tr>
      <w:tr>
        <w:trPr>
          <w:trHeight w:val="719" w:hRule="exact"/>
        </w:trPr>
        <w:tc>
          <w:tcPr>
            <w:tcW w:w="1915"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77"/>
              <w:jc w:val="left"/>
              <w:rPr>
                <w:rFonts w:ascii="宋体" w:hAnsi="宋体" w:cs="宋体" w:eastAsia="宋体" w:hint="default"/>
                <w:sz w:val="18"/>
                <w:szCs w:val="18"/>
              </w:rPr>
            </w:pPr>
            <w:r>
              <w:rPr>
                <w:rFonts w:ascii="宋体" w:hAnsi="宋体" w:cs="宋体" w:eastAsia="宋体" w:hint="default"/>
                <w:sz w:val="18"/>
                <w:szCs w:val="18"/>
              </w:rPr>
              <w:t>浙江浙电工程招标咨询 有限公司</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810,000.00</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2.39%</w:t>
            </w:r>
          </w:p>
        </w:tc>
      </w:tr>
      <w:tr>
        <w:trPr>
          <w:trHeight w:val="408" w:hRule="exact"/>
        </w:trPr>
        <w:tc>
          <w:tcPr>
            <w:tcW w:w="19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国网物资有限公司</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459,299.00</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1.36%</w:t>
            </w:r>
          </w:p>
        </w:tc>
      </w:tr>
      <w:tr>
        <w:trPr>
          <w:trHeight w:val="407" w:hRule="exact"/>
        </w:trPr>
        <w:tc>
          <w:tcPr>
            <w:tcW w:w="19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吴宝光</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公司员工</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432,820.61</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1.28%</w:t>
            </w:r>
          </w:p>
        </w:tc>
      </w:tr>
      <w:tr>
        <w:trPr>
          <w:trHeight w:val="407" w:hRule="exact"/>
        </w:trPr>
        <w:tc>
          <w:tcPr>
            <w:tcW w:w="19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江苏天源招标有限公司</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400,000.00</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1.18%</w:t>
            </w:r>
          </w:p>
        </w:tc>
      </w:tr>
      <w:tr>
        <w:trPr>
          <w:trHeight w:val="415" w:hRule="exact"/>
        </w:trPr>
        <w:tc>
          <w:tcPr>
            <w:tcW w:w="1915"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31,501,007.61</w:t>
            </w:r>
          </w:p>
        </w:tc>
        <w:tc>
          <w:tcPr>
            <w:tcW w:w="1488"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233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93.1%</w:t>
            </w:r>
          </w:p>
        </w:tc>
      </w:tr>
    </w:tbl>
    <w:p>
      <w:pPr>
        <w:spacing w:line="240" w:lineRule="auto" w:before="2"/>
        <w:rPr>
          <w:rFonts w:ascii="宋体" w:hAnsi="宋体" w:cs="宋体" w:eastAsia="宋体" w:hint="default"/>
          <w:sz w:val="19"/>
          <w:szCs w:val="19"/>
        </w:rPr>
      </w:pPr>
    </w:p>
    <w:p>
      <w:pPr>
        <w:pStyle w:val="Heading4"/>
        <w:spacing w:line="240" w:lineRule="auto" w:before="35"/>
        <w:ind w:left="554" w:right="0"/>
        <w:jc w:val="left"/>
        <w:rPr>
          <w:b w:val="0"/>
          <w:bCs w:val="0"/>
        </w:rPr>
      </w:pPr>
      <w:r>
        <w:rPr/>
        <w:t>（7）其他应收关联方账款情况</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left="554" w:right="0"/>
        <w:jc w:val="left"/>
      </w:pPr>
      <w:r>
        <w:rPr/>
        <w:t>□ 适用 √</w:t>
      </w:r>
      <w:r>
        <w:rPr>
          <w:spacing w:val="-2"/>
        </w:rPr>
        <w:t> </w:t>
      </w:r>
      <w:r>
        <w:rPr/>
        <w:t>不适用</w:t>
      </w:r>
    </w:p>
    <w:p>
      <w:pPr>
        <w:spacing w:line="240" w:lineRule="auto" w:before="10"/>
        <w:rPr>
          <w:rFonts w:ascii="宋体" w:hAnsi="宋体" w:cs="宋体" w:eastAsia="宋体" w:hint="default"/>
          <w:sz w:val="25"/>
          <w:szCs w:val="25"/>
        </w:rPr>
      </w:pPr>
    </w:p>
    <w:p>
      <w:pPr>
        <w:pStyle w:val="Heading4"/>
        <w:tabs>
          <w:tab w:pos="1292" w:val="left" w:leader="none"/>
        </w:tabs>
        <w:spacing w:line="240" w:lineRule="auto"/>
        <w:ind w:left="554" w:right="0"/>
        <w:jc w:val="left"/>
        <w:rPr>
          <w:b w:val="0"/>
          <w:bCs w:val="0"/>
        </w:rPr>
      </w:pPr>
      <w:r>
        <w:rPr>
          <w:w w:val="95"/>
        </w:rPr>
        <w:t>（8）</w:t>
        <w:tab/>
      </w:r>
      <w:r>
        <w:rPr/>
        <w:t>不符合终止确认条件的其他应收款项的转移金额为</w:t>
      </w:r>
      <w:r>
        <w:rPr>
          <w:spacing w:val="-65"/>
        </w:rPr>
        <w:t> </w:t>
      </w:r>
      <w:r>
        <w:rPr/>
        <w:t>0.00</w:t>
      </w:r>
      <w:r>
        <w:rPr>
          <w:spacing w:val="-64"/>
        </w:rPr>
        <w:t> </w:t>
      </w:r>
      <w:r>
        <w:rPr/>
        <w:t>元。</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left="553" w:right="0"/>
        <w:jc w:val="left"/>
        <w:rPr>
          <w:b w:val="0"/>
          <w:bCs w:val="0"/>
        </w:rPr>
      </w:pPr>
      <w:r>
        <w:rPr/>
        <w:t>（9）以其他应收款项为标的资产进行资产证券化的，需简要说明相关交易安排</w:t>
      </w:r>
      <w:r>
        <w:rPr>
          <w:b w:val="0"/>
          <w:bCs w:val="0"/>
        </w:rPr>
      </w:r>
    </w:p>
    <w:p>
      <w:pPr>
        <w:spacing w:line="240" w:lineRule="auto" w:before="11"/>
        <w:rPr>
          <w:rFonts w:ascii="宋体" w:hAnsi="宋体" w:cs="宋体" w:eastAsia="宋体" w:hint="default"/>
          <w:b/>
          <w:bCs/>
          <w:sz w:val="25"/>
          <w:szCs w:val="25"/>
        </w:rPr>
      </w:pPr>
    </w:p>
    <w:p>
      <w:pPr>
        <w:spacing w:line="535" w:lineRule="auto" w:before="0"/>
        <w:ind w:left="554" w:right="840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3、长期股权投资</w:t>
      </w:r>
      <w:r>
        <w:rPr>
          <w:rFonts w:ascii="宋体" w:hAnsi="宋体" w:cs="宋体" w:eastAsia="宋体" w:hint="default"/>
          <w:sz w:val="21"/>
          <w:szCs w:val="21"/>
        </w:rPr>
      </w:r>
    </w:p>
    <w:p>
      <w:pPr>
        <w:spacing w:before="105"/>
        <w:ind w:left="0" w:right="66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1078"/>
        <w:gridCol w:w="798"/>
        <w:gridCol w:w="1243"/>
        <w:gridCol w:w="1418"/>
        <w:gridCol w:w="1276"/>
        <w:gridCol w:w="1417"/>
        <w:gridCol w:w="568"/>
        <w:gridCol w:w="566"/>
        <w:gridCol w:w="851"/>
        <w:gridCol w:w="425"/>
        <w:gridCol w:w="426"/>
        <w:gridCol w:w="424"/>
      </w:tblGrid>
      <w:tr>
        <w:trPr>
          <w:trHeight w:val="1973" w:hRule="exact"/>
        </w:trPr>
        <w:tc>
          <w:tcPr>
            <w:tcW w:w="1078"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7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798"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2"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1243"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投资成本</w:t>
            </w:r>
          </w:p>
        </w:tc>
        <w:tc>
          <w:tcPr>
            <w:tcW w:w="1418"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4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6"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增减变动</w:t>
            </w:r>
          </w:p>
        </w:tc>
        <w:tc>
          <w:tcPr>
            <w:tcW w:w="1417"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4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68"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51"/>
              <w:ind w:left="95" w:right="95"/>
              <w:jc w:val="both"/>
              <w:rPr>
                <w:rFonts w:ascii="宋体" w:hAnsi="宋体" w:cs="宋体" w:eastAsia="宋体" w:hint="default"/>
                <w:sz w:val="18"/>
                <w:szCs w:val="18"/>
              </w:rPr>
            </w:pPr>
            <w:r>
              <w:rPr>
                <w:rFonts w:ascii="宋体" w:hAnsi="宋体" w:cs="宋体" w:eastAsia="宋体" w:hint="default"/>
                <w:sz w:val="18"/>
                <w:szCs w:val="18"/>
              </w:rPr>
              <w:t>在被 投资 单位 持股 比例 (%)</w:t>
            </w:r>
          </w:p>
        </w:tc>
        <w:tc>
          <w:tcPr>
            <w:tcW w:w="566"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51"/>
              <w:ind w:left="50" w:right="49" w:firstLine="45"/>
              <w:jc w:val="both"/>
              <w:rPr>
                <w:rFonts w:ascii="宋体" w:hAnsi="宋体" w:cs="宋体" w:eastAsia="宋体" w:hint="default"/>
                <w:sz w:val="18"/>
                <w:szCs w:val="18"/>
              </w:rPr>
            </w:pPr>
            <w:r>
              <w:rPr>
                <w:rFonts w:ascii="宋体" w:hAnsi="宋体" w:cs="宋体" w:eastAsia="宋体" w:hint="default"/>
                <w:sz w:val="18"/>
                <w:szCs w:val="18"/>
              </w:rPr>
              <w:t>在被 投资 单位 表决 权比 例(%)</w:t>
            </w:r>
          </w:p>
        </w:tc>
        <w:tc>
          <w:tcPr>
            <w:tcW w:w="851"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51"/>
              <w:ind w:left="57" w:right="56"/>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425"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426"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4"/>
              <w:jc w:val="both"/>
              <w:rPr>
                <w:rFonts w:ascii="宋体" w:hAnsi="宋体" w:cs="宋体" w:eastAsia="宋体" w:hint="default"/>
                <w:sz w:val="18"/>
                <w:szCs w:val="18"/>
              </w:rPr>
            </w:pPr>
            <w:r>
              <w:rPr>
                <w:rFonts w:ascii="宋体" w:hAnsi="宋体" w:cs="宋体" w:eastAsia="宋体" w:hint="default"/>
                <w:sz w:val="18"/>
                <w:szCs w:val="18"/>
              </w:rPr>
              <w:t>本期 计提 减值 准备</w:t>
            </w:r>
          </w:p>
        </w:tc>
        <w:tc>
          <w:tcPr>
            <w:tcW w:w="424"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7"/>
              <w:jc w:val="both"/>
              <w:rPr>
                <w:rFonts w:ascii="宋体" w:hAnsi="宋体" w:cs="宋体" w:eastAsia="宋体" w:hint="default"/>
                <w:sz w:val="18"/>
                <w:szCs w:val="18"/>
              </w:rPr>
            </w:pPr>
            <w:r>
              <w:rPr>
                <w:rFonts w:ascii="宋体" w:hAnsi="宋体" w:cs="宋体" w:eastAsia="宋体" w:hint="default"/>
                <w:sz w:val="18"/>
                <w:szCs w:val="18"/>
              </w:rPr>
              <w:t>本期 现金 红利</w:t>
            </w:r>
          </w:p>
        </w:tc>
      </w:tr>
      <w:tr>
        <w:trPr>
          <w:trHeight w:val="1032" w:hRule="exact"/>
        </w:trPr>
        <w:tc>
          <w:tcPr>
            <w:tcW w:w="107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140"/>
              <w:jc w:val="both"/>
              <w:rPr>
                <w:rFonts w:ascii="宋体" w:hAnsi="宋体" w:cs="宋体" w:eastAsia="宋体" w:hint="default"/>
                <w:sz w:val="18"/>
                <w:szCs w:val="18"/>
              </w:rPr>
            </w:pPr>
            <w:r>
              <w:rPr>
                <w:rFonts w:ascii="宋体" w:hAnsi="宋体" w:cs="宋体" w:eastAsia="宋体" w:hint="default"/>
                <w:sz w:val="18"/>
                <w:szCs w:val="18"/>
              </w:rPr>
              <w:t>江苏苏源光 一科技有限 公司</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1"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8" w:right="0"/>
              <w:jc w:val="center"/>
              <w:rPr>
                <w:rFonts w:ascii="宋体" w:hAnsi="宋体" w:cs="宋体" w:eastAsia="宋体" w:hint="default"/>
                <w:sz w:val="18"/>
                <w:szCs w:val="18"/>
              </w:rPr>
            </w:pPr>
            <w:r>
              <w:rPr>
                <w:rFonts w:ascii="宋体"/>
                <w:sz w:val="18"/>
              </w:rPr>
              <w:t>29,638,200.00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29,638,200.00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29,638,200.00</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宋体" w:hAnsi="宋体" w:cs="宋体" w:eastAsia="宋体" w:hint="default"/>
                <w:sz w:val="18"/>
                <w:szCs w:val="18"/>
              </w:rPr>
            </w:pPr>
            <w:r>
              <w:rPr>
                <w:rFonts w:ascii="宋体"/>
                <w:sz w:val="18"/>
              </w:rPr>
              <w:t>100%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100%</w:t>
            </w:r>
          </w:p>
        </w:tc>
        <w:tc>
          <w:tcPr>
            <w:tcW w:w="851"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4"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07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13" w:right="140"/>
              <w:jc w:val="left"/>
              <w:rPr>
                <w:rFonts w:ascii="宋体" w:hAnsi="宋体" w:cs="宋体" w:eastAsia="宋体" w:hint="default"/>
                <w:sz w:val="18"/>
                <w:szCs w:val="18"/>
              </w:rPr>
            </w:pPr>
            <w:r>
              <w:rPr>
                <w:rFonts w:ascii="宋体" w:hAnsi="宋体" w:cs="宋体" w:eastAsia="宋体" w:hint="default"/>
                <w:sz w:val="18"/>
                <w:szCs w:val="18"/>
              </w:rPr>
              <w:t>江苏大烨电 气有限公司</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8" w:right="0"/>
              <w:jc w:val="center"/>
              <w:rPr>
                <w:rFonts w:ascii="宋体" w:hAnsi="宋体" w:cs="宋体" w:eastAsia="宋体" w:hint="default"/>
                <w:sz w:val="18"/>
                <w:szCs w:val="18"/>
              </w:rPr>
            </w:pPr>
            <w:r>
              <w:rPr>
                <w:rFonts w:ascii="宋体"/>
                <w:sz w:val="18"/>
              </w:rPr>
              <w:t>6,720,000.00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1,995,488.40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0" w:right="0"/>
              <w:jc w:val="center"/>
              <w:rPr>
                <w:rFonts w:ascii="宋体" w:hAnsi="宋体" w:cs="宋体" w:eastAsia="宋体" w:hint="default"/>
                <w:sz w:val="18"/>
                <w:szCs w:val="18"/>
              </w:rPr>
            </w:pPr>
            <w:r>
              <w:rPr>
                <w:rFonts w:ascii="宋体"/>
                <w:sz w:val="18"/>
              </w:rPr>
              <w:t>4,747,162.53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6,742,650.93</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16.8%</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16.8%</w:t>
            </w:r>
          </w:p>
        </w:tc>
        <w:tc>
          <w:tcPr>
            <w:tcW w:w="851"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4"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078"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2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sz w:val="18"/>
              </w:rPr>
              <w:t>36,358,200.00</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31,633,688.40</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140" w:right="0"/>
              <w:jc w:val="center"/>
              <w:rPr>
                <w:rFonts w:ascii="宋体" w:hAnsi="宋体" w:cs="宋体" w:eastAsia="宋体" w:hint="default"/>
                <w:sz w:val="18"/>
                <w:szCs w:val="18"/>
              </w:rPr>
            </w:pPr>
            <w:r>
              <w:rPr>
                <w:rFonts w:ascii="宋体"/>
                <w:sz w:val="18"/>
              </w:rPr>
              <w:t>4,747,162.53</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36,380,850.93</w:t>
            </w:r>
          </w:p>
        </w:tc>
        <w:tc>
          <w:tcPr>
            <w:tcW w:w="568"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566"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51"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425" w:type="dxa"/>
            <w:tcBorders>
              <w:top w:val="single" w:sz="6" w:space="0" w:color="000000"/>
              <w:left w:val="single" w:sz="6" w:space="0" w:color="000000"/>
              <w:bottom w:val="single" w:sz="12" w:space="0" w:color="000000"/>
              <w:right w:val="single" w:sz="6" w:space="0" w:color="000000"/>
            </w:tcBorders>
          </w:tcPr>
          <w:p>
            <w:pPr/>
          </w:p>
        </w:tc>
        <w:tc>
          <w:tcPr>
            <w:tcW w:w="426" w:type="dxa"/>
            <w:tcBorders>
              <w:top w:val="single" w:sz="6" w:space="0" w:color="000000"/>
              <w:left w:val="single" w:sz="6" w:space="0" w:color="000000"/>
              <w:bottom w:val="single" w:sz="12" w:space="0" w:color="000000"/>
              <w:right w:val="single" w:sz="6" w:space="0" w:color="000000"/>
            </w:tcBorders>
          </w:tcPr>
          <w:p>
            <w:pPr/>
          </w:p>
        </w:tc>
        <w:tc>
          <w:tcPr>
            <w:tcW w:w="424"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307" w:lineRule="auto" w:before="26"/>
        <w:ind w:left="554" w:right="5570"/>
        <w:jc w:val="left"/>
      </w:pPr>
      <w:r>
        <w:rPr/>
        <w:t>长期股权投资的说明 无向投资企业转移资金的能力受到限制的有关情况</w:t>
      </w:r>
    </w:p>
    <w:p>
      <w:pPr>
        <w:spacing w:line="240" w:lineRule="auto" w:before="5"/>
        <w:rPr>
          <w:rFonts w:ascii="宋体" w:hAnsi="宋体" w:cs="宋体" w:eastAsia="宋体" w:hint="default"/>
          <w:sz w:val="21"/>
          <w:szCs w:val="21"/>
        </w:rPr>
      </w:pPr>
    </w:p>
    <w:p>
      <w:pPr>
        <w:pStyle w:val="Heading4"/>
        <w:spacing w:line="240" w:lineRule="auto"/>
        <w:ind w:left="554" w:right="0"/>
        <w:jc w:val="left"/>
        <w:rPr>
          <w:b w:val="0"/>
          <w:bCs w:val="0"/>
        </w:rPr>
      </w:pPr>
      <w:r>
        <w:rPr/>
        <w:t>4、营业收入和营业成本</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left="554" w:right="0"/>
        <w:jc w:val="left"/>
        <w:rPr>
          <w:b w:val="0"/>
          <w:bCs w:val="0"/>
        </w:rPr>
      </w:pPr>
      <w:r>
        <w:rPr/>
        <w:t>（1）营业收入</w:t>
      </w:r>
      <w:r>
        <w:rPr>
          <w:b w:val="0"/>
          <w:bCs w:val="0"/>
        </w:rPr>
      </w:r>
    </w:p>
    <w:p>
      <w:pPr>
        <w:spacing w:line="240" w:lineRule="auto" w:before="5"/>
        <w:rPr>
          <w:rFonts w:ascii="宋体" w:hAnsi="宋体" w:cs="宋体" w:eastAsia="宋体" w:hint="default"/>
          <w:b/>
          <w:bCs/>
          <w:sz w:val="24"/>
          <w:szCs w:val="24"/>
        </w:rPr>
      </w:pPr>
    </w:p>
    <w:p>
      <w:pPr>
        <w:spacing w:before="44"/>
        <w:ind w:left="0" w:right="66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0" w:footer="1003" w:top="1100" w:bottom="1200" w:left="580" w:right="56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2525"/>
        <w:gridCol w:w="3455"/>
        <w:gridCol w:w="3587"/>
      </w:tblGrid>
      <w:tr>
        <w:trPr>
          <w:trHeight w:val="415" w:hRule="exact"/>
        </w:trPr>
        <w:tc>
          <w:tcPr>
            <w:tcW w:w="2525"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455"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2525"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419,477,419.22</w:t>
            </w:r>
          </w:p>
        </w:tc>
        <w:tc>
          <w:tcPr>
            <w:tcW w:w="35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308,590,185.64</w:t>
            </w:r>
          </w:p>
        </w:tc>
      </w:tr>
      <w:tr>
        <w:trPr>
          <w:trHeight w:val="407" w:hRule="exact"/>
        </w:trPr>
        <w:tc>
          <w:tcPr>
            <w:tcW w:w="2525"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150,701.00</w:t>
            </w:r>
          </w:p>
        </w:tc>
        <w:tc>
          <w:tcPr>
            <w:tcW w:w="35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2,410,904.00</w:t>
            </w:r>
          </w:p>
        </w:tc>
      </w:tr>
      <w:tr>
        <w:trPr>
          <w:trHeight w:val="407" w:hRule="exact"/>
        </w:trPr>
        <w:tc>
          <w:tcPr>
            <w:tcW w:w="2525"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419,628,120.22</w:t>
            </w:r>
          </w:p>
        </w:tc>
        <w:tc>
          <w:tcPr>
            <w:tcW w:w="35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311,001,089.64</w:t>
            </w:r>
          </w:p>
        </w:tc>
      </w:tr>
      <w:tr>
        <w:trPr>
          <w:trHeight w:val="415" w:hRule="exact"/>
        </w:trPr>
        <w:tc>
          <w:tcPr>
            <w:tcW w:w="2525"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314,738,563.91</w:t>
            </w:r>
          </w:p>
        </w:tc>
        <w:tc>
          <w:tcPr>
            <w:tcW w:w="358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200,436,312.47</w:t>
            </w:r>
          </w:p>
        </w:tc>
      </w:tr>
    </w:tbl>
    <w:p>
      <w:pPr>
        <w:spacing w:line="240" w:lineRule="auto" w:before="2"/>
        <w:rPr>
          <w:rFonts w:ascii="宋体" w:hAnsi="宋体" w:cs="宋体" w:eastAsia="宋体" w:hint="default"/>
          <w:sz w:val="19"/>
          <w:szCs w:val="19"/>
        </w:rPr>
      </w:pPr>
    </w:p>
    <w:p>
      <w:pPr>
        <w:pStyle w:val="Heading4"/>
        <w:spacing w:line="240" w:lineRule="auto" w:before="35"/>
        <w:ind w:right="132"/>
        <w:jc w:val="left"/>
        <w:rPr>
          <w:b w:val="0"/>
          <w:bCs w:val="0"/>
        </w:rPr>
      </w:pPr>
      <w:r>
        <w:rPr/>
        <w:t>（2）主营业务（分行业）</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261"/>
        <w:gridCol w:w="1861"/>
        <w:gridCol w:w="1860"/>
        <w:gridCol w:w="1861"/>
        <w:gridCol w:w="1725"/>
      </w:tblGrid>
      <w:tr>
        <w:trPr>
          <w:trHeight w:val="414" w:hRule="exact"/>
        </w:trPr>
        <w:tc>
          <w:tcPr>
            <w:tcW w:w="2261" w:type="dxa"/>
            <w:vMerge w:val="restart"/>
            <w:tcBorders>
              <w:top w:val="single" w:sz="12" w:space="0" w:color="000000"/>
              <w:left w:val="single" w:sz="12" w:space="0" w:color="000000"/>
              <w:right w:val="single" w:sz="6" w:space="0" w:color="000000"/>
            </w:tcBorders>
            <w:shd w:val="clear" w:color="auto" w:fill="D3D3D3"/>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1" w:type="dxa"/>
            <w:gridSpan w:val="2"/>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2261" w:type="dxa"/>
            <w:vMerge/>
            <w:tcBorders>
              <w:left w:val="single" w:sz="12" w:space="0" w:color="000000"/>
              <w:bottom w:val="single" w:sz="6" w:space="0" w:color="000000"/>
              <w:right w:val="single" w:sz="6" w:space="0" w:color="000000"/>
            </w:tcBorders>
            <w:shd w:val="clear" w:color="auto" w:fill="D3D3D3"/>
          </w:tcPr>
          <w:p>
            <w:pPr/>
          </w:p>
        </w:tc>
        <w:tc>
          <w:tcPr>
            <w:tcW w:w="1861"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56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5"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2"/>
              <w:ind w:left="495"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7" w:hRule="exact"/>
        </w:trPr>
        <w:tc>
          <w:tcPr>
            <w:tcW w:w="22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电子行业</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sz w:val="18"/>
              </w:rPr>
              <w:t>419,477,419.22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sz w:val="18"/>
              </w:rPr>
              <w:t>314,738,563.91</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65" w:right="0"/>
              <w:jc w:val="left"/>
              <w:rPr>
                <w:rFonts w:ascii="宋体" w:hAnsi="宋体" w:cs="宋体" w:eastAsia="宋体" w:hint="default"/>
                <w:sz w:val="18"/>
                <w:szCs w:val="18"/>
              </w:rPr>
            </w:pPr>
            <w:r>
              <w:rPr>
                <w:rFonts w:ascii="宋体"/>
                <w:sz w:val="18"/>
              </w:rPr>
              <w:t>308,590,185.64</w:t>
            </w:r>
          </w:p>
        </w:tc>
        <w:tc>
          <w:tcPr>
            <w:tcW w:w="17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200,391,774.93</w:t>
            </w:r>
          </w:p>
        </w:tc>
      </w:tr>
      <w:tr>
        <w:trPr>
          <w:trHeight w:val="415" w:hRule="exact"/>
        </w:trPr>
        <w:tc>
          <w:tcPr>
            <w:tcW w:w="2261"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sz w:val="18"/>
              </w:rPr>
              <w:t>419,477,419.22</w:t>
            </w:r>
          </w:p>
        </w:tc>
        <w:tc>
          <w:tcPr>
            <w:tcW w:w="18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sz w:val="18"/>
              </w:rPr>
              <w:t>314,738,563.91</w:t>
            </w:r>
          </w:p>
        </w:tc>
        <w:tc>
          <w:tcPr>
            <w:tcW w:w="18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565" w:right="0"/>
              <w:jc w:val="left"/>
              <w:rPr>
                <w:rFonts w:ascii="宋体" w:hAnsi="宋体" w:cs="宋体" w:eastAsia="宋体" w:hint="default"/>
                <w:sz w:val="18"/>
                <w:szCs w:val="18"/>
              </w:rPr>
            </w:pPr>
            <w:r>
              <w:rPr>
                <w:rFonts w:ascii="宋体"/>
                <w:sz w:val="18"/>
              </w:rPr>
              <w:t>308,590,185.64</w:t>
            </w:r>
          </w:p>
        </w:tc>
        <w:tc>
          <w:tcPr>
            <w:tcW w:w="172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200,391,774.93</w:t>
            </w:r>
          </w:p>
        </w:tc>
      </w:tr>
    </w:tbl>
    <w:p>
      <w:pPr>
        <w:spacing w:line="240" w:lineRule="auto" w:before="2"/>
        <w:rPr>
          <w:rFonts w:ascii="宋体" w:hAnsi="宋体" w:cs="宋体" w:eastAsia="宋体" w:hint="default"/>
          <w:sz w:val="19"/>
          <w:szCs w:val="19"/>
        </w:rPr>
      </w:pPr>
    </w:p>
    <w:p>
      <w:pPr>
        <w:pStyle w:val="Heading4"/>
        <w:spacing w:line="240" w:lineRule="auto" w:before="35"/>
        <w:ind w:right="132"/>
        <w:jc w:val="left"/>
        <w:rPr>
          <w:b w:val="0"/>
          <w:bCs w:val="0"/>
        </w:rPr>
      </w:pPr>
      <w:r>
        <w:rPr/>
        <w:t>（3）主营业务（分产品）</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261"/>
        <w:gridCol w:w="1861"/>
        <w:gridCol w:w="1860"/>
        <w:gridCol w:w="1861"/>
        <w:gridCol w:w="1725"/>
      </w:tblGrid>
      <w:tr>
        <w:trPr>
          <w:trHeight w:val="415" w:hRule="exact"/>
        </w:trPr>
        <w:tc>
          <w:tcPr>
            <w:tcW w:w="2261" w:type="dxa"/>
            <w:vMerge w:val="restart"/>
            <w:tcBorders>
              <w:top w:val="single" w:sz="12" w:space="0" w:color="000000"/>
              <w:left w:val="single" w:sz="12" w:space="0" w:color="000000"/>
              <w:right w:val="single" w:sz="6"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1" w:type="dxa"/>
            <w:gridSpan w:val="2"/>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2261" w:type="dxa"/>
            <w:vMerge/>
            <w:tcBorders>
              <w:left w:val="single" w:sz="12" w:space="0" w:color="000000"/>
              <w:bottom w:val="single" w:sz="6" w:space="0" w:color="000000"/>
              <w:right w:val="single" w:sz="6" w:space="0" w:color="000000"/>
            </w:tcBorders>
            <w:shd w:val="clear" w:color="auto" w:fill="D3D3D3"/>
          </w:tcPr>
          <w:p>
            <w:pPr/>
          </w:p>
        </w:tc>
        <w:tc>
          <w:tcPr>
            <w:tcW w:w="1861"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5"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495"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7" w:hRule="exact"/>
        </w:trPr>
        <w:tc>
          <w:tcPr>
            <w:tcW w:w="22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低压集抄系统</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318,689,851.61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242,308,889.96</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261,634,718.03</w:t>
            </w:r>
          </w:p>
        </w:tc>
        <w:tc>
          <w:tcPr>
            <w:tcW w:w="17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172,482,516.00</w:t>
            </w:r>
          </w:p>
        </w:tc>
      </w:tr>
      <w:tr>
        <w:trPr>
          <w:trHeight w:val="407" w:hRule="exact"/>
        </w:trPr>
        <w:tc>
          <w:tcPr>
            <w:tcW w:w="22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手持抄表终端</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1,184,589.77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576,760.93</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3,512,944.50</w:t>
            </w:r>
          </w:p>
        </w:tc>
        <w:tc>
          <w:tcPr>
            <w:tcW w:w="17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1,057,135.85</w:t>
            </w:r>
          </w:p>
        </w:tc>
      </w:tr>
      <w:tr>
        <w:trPr>
          <w:trHeight w:val="408" w:hRule="exact"/>
        </w:trPr>
        <w:tc>
          <w:tcPr>
            <w:tcW w:w="22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专变采集终端</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75,242,719.31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54,194,037.05</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23,301,168.36</w:t>
            </w:r>
          </w:p>
        </w:tc>
        <w:tc>
          <w:tcPr>
            <w:tcW w:w="17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15,252,911.26</w:t>
            </w:r>
          </w:p>
        </w:tc>
      </w:tr>
      <w:tr>
        <w:trPr>
          <w:trHeight w:val="407" w:hRule="exact"/>
        </w:trPr>
        <w:tc>
          <w:tcPr>
            <w:tcW w:w="22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24,360,258.53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17,658,875.97</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20,141,354.75</w:t>
            </w:r>
          </w:p>
        </w:tc>
        <w:tc>
          <w:tcPr>
            <w:tcW w:w="17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11,599,211.82</w:t>
            </w:r>
          </w:p>
        </w:tc>
      </w:tr>
      <w:tr>
        <w:trPr>
          <w:trHeight w:val="415" w:hRule="exact"/>
        </w:trPr>
        <w:tc>
          <w:tcPr>
            <w:tcW w:w="2261"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419,477,419.22</w:t>
            </w:r>
          </w:p>
        </w:tc>
        <w:tc>
          <w:tcPr>
            <w:tcW w:w="18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314,738,563.91</w:t>
            </w:r>
          </w:p>
        </w:tc>
        <w:tc>
          <w:tcPr>
            <w:tcW w:w="18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308,590,185.64</w:t>
            </w:r>
          </w:p>
        </w:tc>
        <w:tc>
          <w:tcPr>
            <w:tcW w:w="172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200,391,774.93</w:t>
            </w:r>
          </w:p>
        </w:tc>
      </w:tr>
    </w:tbl>
    <w:p>
      <w:pPr>
        <w:spacing w:line="240" w:lineRule="auto" w:before="2"/>
        <w:rPr>
          <w:rFonts w:ascii="宋体" w:hAnsi="宋体" w:cs="宋体" w:eastAsia="宋体" w:hint="default"/>
          <w:sz w:val="19"/>
          <w:szCs w:val="19"/>
        </w:rPr>
      </w:pPr>
    </w:p>
    <w:p>
      <w:pPr>
        <w:pStyle w:val="Heading4"/>
        <w:spacing w:line="240" w:lineRule="auto" w:before="35"/>
        <w:ind w:right="132"/>
        <w:jc w:val="left"/>
        <w:rPr>
          <w:b w:val="0"/>
          <w:bCs w:val="0"/>
        </w:rPr>
      </w:pPr>
      <w:r>
        <w:rPr/>
        <w:t>（4）主营业务（分地区）</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261"/>
        <w:gridCol w:w="1861"/>
        <w:gridCol w:w="1860"/>
        <w:gridCol w:w="1861"/>
        <w:gridCol w:w="1725"/>
      </w:tblGrid>
      <w:tr>
        <w:trPr>
          <w:trHeight w:val="415" w:hRule="exact"/>
        </w:trPr>
        <w:tc>
          <w:tcPr>
            <w:tcW w:w="2261" w:type="dxa"/>
            <w:vMerge w:val="restart"/>
            <w:tcBorders>
              <w:top w:val="single" w:sz="12" w:space="0" w:color="000000"/>
              <w:left w:val="single" w:sz="12" w:space="0" w:color="000000"/>
              <w:right w:val="single" w:sz="6"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1" w:type="dxa"/>
            <w:gridSpan w:val="2"/>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2261" w:type="dxa"/>
            <w:vMerge/>
            <w:tcBorders>
              <w:left w:val="single" w:sz="12" w:space="0" w:color="000000"/>
              <w:bottom w:val="single" w:sz="6" w:space="0" w:color="000000"/>
              <w:right w:val="single" w:sz="6" w:space="0" w:color="000000"/>
            </w:tcBorders>
            <w:shd w:val="clear" w:color="auto" w:fill="D3D3D3"/>
          </w:tcPr>
          <w:p>
            <w:pPr/>
          </w:p>
        </w:tc>
        <w:tc>
          <w:tcPr>
            <w:tcW w:w="1861"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56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5"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2"/>
              <w:ind w:left="495"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7" w:hRule="exact"/>
        </w:trPr>
        <w:tc>
          <w:tcPr>
            <w:tcW w:w="22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396,304,195.57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297,635,360.05</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306,748,194.19</w:t>
            </w:r>
          </w:p>
        </w:tc>
        <w:tc>
          <w:tcPr>
            <w:tcW w:w="17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199,265,424.78</w:t>
            </w:r>
          </w:p>
        </w:tc>
      </w:tr>
      <w:tr>
        <w:trPr>
          <w:trHeight w:val="408" w:hRule="exact"/>
        </w:trPr>
        <w:tc>
          <w:tcPr>
            <w:tcW w:w="22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331,623.93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173,577.72</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52,948.72</w:t>
            </w:r>
          </w:p>
        </w:tc>
        <w:tc>
          <w:tcPr>
            <w:tcW w:w="17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31,546.36</w:t>
            </w:r>
          </w:p>
        </w:tc>
      </w:tr>
      <w:tr>
        <w:trPr>
          <w:trHeight w:val="407" w:hRule="exact"/>
        </w:trPr>
        <w:tc>
          <w:tcPr>
            <w:tcW w:w="22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3,299,745.21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1,889,361.05</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372,034.18</w:t>
            </w:r>
          </w:p>
        </w:tc>
        <w:tc>
          <w:tcPr>
            <w:tcW w:w="17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297,619.03</w:t>
            </w:r>
          </w:p>
        </w:tc>
      </w:tr>
      <w:tr>
        <w:trPr>
          <w:trHeight w:val="407" w:hRule="exact"/>
        </w:trPr>
        <w:tc>
          <w:tcPr>
            <w:tcW w:w="22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13,120,993.17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11,061,766.13</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6,538.47</w:t>
            </w:r>
          </w:p>
        </w:tc>
        <w:tc>
          <w:tcPr>
            <w:tcW w:w="17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3,881.50</w:t>
            </w:r>
          </w:p>
        </w:tc>
      </w:tr>
      <w:tr>
        <w:trPr>
          <w:trHeight w:val="407" w:hRule="exact"/>
        </w:trPr>
        <w:tc>
          <w:tcPr>
            <w:tcW w:w="22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4,305,478.84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2,546,263.01</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1,410,470.08</w:t>
            </w:r>
          </w:p>
        </w:tc>
        <w:tc>
          <w:tcPr>
            <w:tcW w:w="17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793,303.26</w:t>
            </w:r>
          </w:p>
        </w:tc>
      </w:tr>
      <w:tr>
        <w:trPr>
          <w:trHeight w:val="415" w:hRule="exact"/>
        </w:trPr>
        <w:tc>
          <w:tcPr>
            <w:tcW w:w="226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8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2,115,382.50</w:t>
            </w:r>
          </w:p>
        </w:tc>
        <w:tc>
          <w:tcPr>
            <w:tcW w:w="18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1,432,235.95</w:t>
            </w:r>
          </w:p>
        </w:tc>
        <w:tc>
          <w:tcPr>
            <w:tcW w:w="1861" w:type="dxa"/>
            <w:tcBorders>
              <w:top w:val="single" w:sz="6" w:space="0" w:color="000000"/>
              <w:left w:val="single" w:sz="6" w:space="0" w:color="000000"/>
              <w:bottom w:val="single" w:sz="12" w:space="0" w:color="000000"/>
              <w:right w:val="single" w:sz="6" w:space="0" w:color="000000"/>
            </w:tcBorders>
          </w:tcPr>
          <w:p>
            <w:pPr/>
          </w:p>
        </w:tc>
        <w:tc>
          <w:tcPr>
            <w:tcW w:w="1725"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0" w:footer="1003" w:top="1100" w:bottom="1200" w:left="980" w:right="98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2261"/>
        <w:gridCol w:w="1861"/>
        <w:gridCol w:w="1860"/>
        <w:gridCol w:w="1861"/>
        <w:gridCol w:w="1725"/>
      </w:tblGrid>
      <w:tr>
        <w:trPr>
          <w:trHeight w:val="422" w:hRule="exact"/>
        </w:trPr>
        <w:tc>
          <w:tcPr>
            <w:tcW w:w="2261" w:type="dxa"/>
            <w:tcBorders>
              <w:top w:val="single" w:sz="12"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sz w:val="18"/>
              </w:rPr>
              <w:t>419,477,419.22</w:t>
            </w:r>
          </w:p>
        </w:tc>
        <w:tc>
          <w:tcPr>
            <w:tcW w:w="18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sz w:val="18"/>
              </w:rPr>
              <w:t>314,738,563.91</w:t>
            </w:r>
          </w:p>
        </w:tc>
        <w:tc>
          <w:tcPr>
            <w:tcW w:w="18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565" w:right="0"/>
              <w:jc w:val="left"/>
              <w:rPr>
                <w:rFonts w:ascii="宋体" w:hAnsi="宋体" w:cs="宋体" w:eastAsia="宋体" w:hint="default"/>
                <w:sz w:val="18"/>
                <w:szCs w:val="18"/>
              </w:rPr>
            </w:pPr>
            <w:r>
              <w:rPr>
                <w:rFonts w:ascii="宋体"/>
                <w:sz w:val="18"/>
              </w:rPr>
              <w:t>308,590,185.64</w:t>
            </w:r>
          </w:p>
        </w:tc>
        <w:tc>
          <w:tcPr>
            <w:tcW w:w="1725"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left="430" w:right="0"/>
              <w:jc w:val="left"/>
              <w:rPr>
                <w:rFonts w:ascii="宋体" w:hAnsi="宋体" w:cs="宋体" w:eastAsia="宋体" w:hint="default"/>
                <w:sz w:val="18"/>
                <w:szCs w:val="18"/>
              </w:rPr>
            </w:pPr>
            <w:r>
              <w:rPr>
                <w:rFonts w:ascii="宋体"/>
                <w:sz w:val="18"/>
              </w:rPr>
              <w:t>200,391,774.93</w:t>
            </w:r>
          </w:p>
        </w:tc>
      </w:tr>
    </w:tbl>
    <w:p>
      <w:pPr>
        <w:spacing w:line="240" w:lineRule="auto" w:before="2"/>
        <w:rPr>
          <w:rFonts w:ascii="宋体" w:hAnsi="宋体" w:cs="宋体" w:eastAsia="宋体" w:hint="default"/>
          <w:sz w:val="19"/>
          <w:szCs w:val="19"/>
        </w:rPr>
      </w:pPr>
    </w:p>
    <w:p>
      <w:pPr>
        <w:pStyle w:val="Heading4"/>
        <w:spacing w:line="240" w:lineRule="auto" w:before="35"/>
        <w:ind w:right="132"/>
        <w:jc w:val="left"/>
        <w:rPr>
          <w:b w:val="0"/>
          <w:bCs w:val="0"/>
        </w:rPr>
      </w:pPr>
      <w:r>
        <w:rPr/>
        <w:t>（5）公司前五名客户的营业收入情况</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4785"/>
        <w:gridCol w:w="2921"/>
        <w:gridCol w:w="1862"/>
      </w:tblGrid>
      <w:tr>
        <w:trPr>
          <w:trHeight w:val="727" w:hRule="exact"/>
        </w:trPr>
        <w:tc>
          <w:tcPr>
            <w:tcW w:w="4785"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2"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316" w:lineRule="auto" w:before="51"/>
              <w:ind w:left="608" w:right="13" w:hanging="585"/>
              <w:jc w:val="left"/>
              <w:rPr>
                <w:rFonts w:ascii="宋体" w:hAnsi="宋体" w:cs="宋体" w:eastAsia="宋体" w:hint="default"/>
                <w:sz w:val="18"/>
                <w:szCs w:val="18"/>
              </w:rPr>
            </w:pPr>
            <w:r>
              <w:rPr>
                <w:rFonts w:ascii="宋体" w:hAnsi="宋体" w:cs="宋体" w:eastAsia="宋体" w:hint="default"/>
                <w:sz w:val="18"/>
                <w:szCs w:val="18"/>
              </w:rPr>
              <w:t>占公司全部营业收入的 比例(%)</w:t>
            </w:r>
          </w:p>
        </w:tc>
      </w:tr>
      <w:tr>
        <w:trPr>
          <w:trHeight w:val="407" w:hRule="exact"/>
        </w:trPr>
        <w:tc>
          <w:tcPr>
            <w:tcW w:w="47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江苏省电力公司物资采购与配送中心</w:t>
            </w:r>
          </w:p>
        </w:tc>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167,953,907.86</w:t>
            </w:r>
          </w:p>
        </w:tc>
        <w:tc>
          <w:tcPr>
            <w:tcW w:w="18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40.02%</w:t>
            </w:r>
          </w:p>
        </w:tc>
      </w:tr>
      <w:tr>
        <w:trPr>
          <w:trHeight w:val="407" w:hRule="exact"/>
        </w:trPr>
        <w:tc>
          <w:tcPr>
            <w:tcW w:w="47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浙江浙电物资经贸有限公司</w:t>
            </w:r>
          </w:p>
        </w:tc>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71,671,357.40</w:t>
            </w:r>
          </w:p>
        </w:tc>
        <w:tc>
          <w:tcPr>
            <w:tcW w:w="18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17.08%</w:t>
            </w:r>
          </w:p>
        </w:tc>
      </w:tr>
      <w:tr>
        <w:trPr>
          <w:trHeight w:val="407" w:hRule="exact"/>
        </w:trPr>
        <w:tc>
          <w:tcPr>
            <w:tcW w:w="47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江苏苏源光一科技有限公司</w:t>
            </w:r>
          </w:p>
        </w:tc>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39,626,700.81</w:t>
            </w:r>
          </w:p>
        </w:tc>
        <w:tc>
          <w:tcPr>
            <w:tcW w:w="18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9.44%</w:t>
            </w:r>
          </w:p>
        </w:tc>
      </w:tr>
      <w:tr>
        <w:trPr>
          <w:trHeight w:val="407" w:hRule="exact"/>
        </w:trPr>
        <w:tc>
          <w:tcPr>
            <w:tcW w:w="47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山东电力集团公司物资供应公司</w:t>
            </w:r>
          </w:p>
        </w:tc>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26,415,584.80</w:t>
            </w:r>
          </w:p>
        </w:tc>
        <w:tc>
          <w:tcPr>
            <w:tcW w:w="18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6.29%</w:t>
            </w:r>
          </w:p>
        </w:tc>
      </w:tr>
      <w:tr>
        <w:trPr>
          <w:trHeight w:val="408" w:hRule="exact"/>
        </w:trPr>
        <w:tc>
          <w:tcPr>
            <w:tcW w:w="47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浙江省电力物资供应公司</w:t>
            </w:r>
          </w:p>
        </w:tc>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24,440,170.97</w:t>
            </w:r>
          </w:p>
        </w:tc>
        <w:tc>
          <w:tcPr>
            <w:tcW w:w="18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5.82%</w:t>
            </w:r>
          </w:p>
        </w:tc>
      </w:tr>
      <w:tr>
        <w:trPr>
          <w:trHeight w:val="415" w:hRule="exact"/>
        </w:trPr>
        <w:tc>
          <w:tcPr>
            <w:tcW w:w="4785"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330,107,721.84</w:t>
            </w:r>
          </w:p>
        </w:tc>
        <w:tc>
          <w:tcPr>
            <w:tcW w:w="186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78.65%</w:t>
            </w:r>
          </w:p>
        </w:tc>
      </w:tr>
    </w:tbl>
    <w:p>
      <w:pPr>
        <w:spacing w:line="240" w:lineRule="auto" w:before="2"/>
        <w:rPr>
          <w:rFonts w:ascii="宋体" w:hAnsi="宋体" w:cs="宋体" w:eastAsia="宋体" w:hint="default"/>
          <w:sz w:val="19"/>
          <w:szCs w:val="19"/>
        </w:rPr>
      </w:pPr>
    </w:p>
    <w:p>
      <w:pPr>
        <w:pStyle w:val="Heading4"/>
        <w:spacing w:line="240" w:lineRule="auto" w:before="35"/>
        <w:ind w:right="132"/>
        <w:jc w:val="left"/>
        <w:rPr>
          <w:b w:val="0"/>
          <w:bCs w:val="0"/>
        </w:rPr>
      </w:pPr>
      <w:r>
        <w:rPr/>
        <w:t>5、投资收益</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132"/>
        <w:jc w:val="left"/>
        <w:rPr>
          <w:b w:val="0"/>
          <w:bCs w:val="0"/>
        </w:rPr>
      </w:pPr>
      <w:r>
        <w:rPr/>
        <w:t>（1）投资收益明细</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4522"/>
        <w:gridCol w:w="2524"/>
        <w:gridCol w:w="2522"/>
      </w:tblGrid>
      <w:tr>
        <w:trPr>
          <w:trHeight w:val="415" w:hRule="exact"/>
        </w:trPr>
        <w:tc>
          <w:tcPr>
            <w:tcW w:w="4522"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80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2"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80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4522"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27,162.53</w:t>
            </w:r>
          </w:p>
        </w:tc>
        <w:tc>
          <w:tcPr>
            <w:tcW w:w="25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-4,511.60</w:t>
            </w:r>
          </w:p>
        </w:tc>
      </w:tr>
      <w:tr>
        <w:trPr>
          <w:trHeight w:val="414" w:hRule="exact"/>
        </w:trPr>
        <w:tc>
          <w:tcPr>
            <w:tcW w:w="4522"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27,162.53</w:t>
            </w:r>
          </w:p>
        </w:tc>
        <w:tc>
          <w:tcPr>
            <w:tcW w:w="252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-4,511.60</w:t>
            </w:r>
          </w:p>
        </w:tc>
      </w:tr>
    </w:tbl>
    <w:p>
      <w:pPr>
        <w:spacing w:line="240" w:lineRule="auto" w:before="2"/>
        <w:rPr>
          <w:rFonts w:ascii="宋体" w:hAnsi="宋体" w:cs="宋体" w:eastAsia="宋体" w:hint="default"/>
          <w:sz w:val="19"/>
          <w:szCs w:val="19"/>
        </w:rPr>
      </w:pPr>
    </w:p>
    <w:p>
      <w:pPr>
        <w:pStyle w:val="Heading4"/>
        <w:spacing w:line="240" w:lineRule="auto" w:before="35"/>
        <w:ind w:right="132"/>
        <w:jc w:val="left"/>
        <w:rPr>
          <w:b w:val="0"/>
          <w:bCs w:val="0"/>
        </w:rPr>
      </w:pPr>
      <w:r>
        <w:rPr/>
        <w:t>（2）按成本法核算的长期股权投资收益</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32"/>
        <w:jc w:val="left"/>
        <w:rPr>
          <w:b w:val="0"/>
          <w:bCs w:val="0"/>
        </w:rPr>
      </w:pPr>
      <w:r>
        <w:rPr/>
        <w:t>（3）按权益法核算的长期股权投资收益</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326"/>
        <w:gridCol w:w="1727"/>
        <w:gridCol w:w="1594"/>
        <w:gridCol w:w="2921"/>
      </w:tblGrid>
      <w:tr>
        <w:trPr>
          <w:trHeight w:val="413" w:hRule="exact"/>
        </w:trPr>
        <w:tc>
          <w:tcPr>
            <w:tcW w:w="3326"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40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right="362"/>
              <w:jc w:val="righ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16" w:hRule="exact"/>
        </w:trPr>
        <w:tc>
          <w:tcPr>
            <w:tcW w:w="332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江苏大烨电气有限公司</w:t>
            </w:r>
          </w:p>
        </w:tc>
        <w:tc>
          <w:tcPr>
            <w:tcW w:w="17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882" w:right="0"/>
              <w:jc w:val="left"/>
              <w:rPr>
                <w:rFonts w:ascii="宋体" w:hAnsi="宋体" w:cs="宋体" w:eastAsia="宋体" w:hint="default"/>
                <w:sz w:val="18"/>
                <w:szCs w:val="18"/>
              </w:rPr>
            </w:pPr>
            <w:r>
              <w:rPr>
                <w:rFonts w:ascii="宋体"/>
                <w:sz w:val="18"/>
              </w:rPr>
              <w:t>27,162.53</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748" w:right="0"/>
              <w:jc w:val="left"/>
              <w:rPr>
                <w:rFonts w:ascii="宋体" w:hAnsi="宋体" w:cs="宋体" w:eastAsia="宋体" w:hint="default"/>
                <w:sz w:val="18"/>
                <w:szCs w:val="18"/>
              </w:rPr>
            </w:pPr>
            <w:r>
              <w:rPr>
                <w:rFonts w:ascii="宋体"/>
                <w:sz w:val="18"/>
              </w:rPr>
              <w:t>-4,511.60</w:t>
            </w:r>
          </w:p>
        </w:tc>
        <w:tc>
          <w:tcPr>
            <w:tcW w:w="292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355"/>
              <w:jc w:val="right"/>
              <w:rPr>
                <w:rFonts w:ascii="宋体" w:hAnsi="宋体" w:cs="宋体" w:eastAsia="宋体" w:hint="default"/>
                <w:sz w:val="18"/>
                <w:szCs w:val="18"/>
              </w:rPr>
            </w:pPr>
            <w:r>
              <w:rPr>
                <w:rFonts w:ascii="宋体" w:hAnsi="宋体" w:cs="宋体" w:eastAsia="宋体" w:hint="default"/>
                <w:sz w:val="18"/>
                <w:szCs w:val="18"/>
              </w:rPr>
              <w:t>江苏大烨电气有限公司开始盈利</w:t>
            </w:r>
          </w:p>
        </w:tc>
      </w:tr>
    </w:tbl>
    <w:p>
      <w:pPr>
        <w:spacing w:line="240" w:lineRule="auto" w:before="2"/>
        <w:rPr>
          <w:rFonts w:ascii="宋体" w:hAnsi="宋体" w:cs="宋体" w:eastAsia="宋体" w:hint="default"/>
          <w:sz w:val="19"/>
          <w:szCs w:val="19"/>
        </w:rPr>
      </w:pPr>
    </w:p>
    <w:p>
      <w:pPr>
        <w:pStyle w:val="Heading4"/>
        <w:spacing w:line="240" w:lineRule="auto" w:before="35"/>
        <w:ind w:right="132"/>
        <w:jc w:val="left"/>
        <w:rPr>
          <w:b w:val="0"/>
          <w:bCs w:val="0"/>
        </w:rPr>
      </w:pPr>
      <w:r>
        <w:rPr/>
        <w:t>6、现金流量表补充资料</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5053"/>
        <w:gridCol w:w="2258"/>
        <w:gridCol w:w="2257"/>
      </w:tblGrid>
      <w:tr>
        <w:trPr>
          <w:trHeight w:val="415" w:hRule="exact"/>
        </w:trPr>
        <w:tc>
          <w:tcPr>
            <w:tcW w:w="5053"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58"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7"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7" w:hRule="exact"/>
        </w:trPr>
        <w:tc>
          <w:tcPr>
            <w:tcW w:w="50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1．将净利润调节为经营活动现金流量：</w:t>
            </w:r>
          </w:p>
        </w:tc>
        <w:tc>
          <w:tcPr>
            <w:tcW w:w="225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2257"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1"/>
              <w:ind w:left="7" w:right="0"/>
              <w:jc w:val="center"/>
              <w:rPr>
                <w:rFonts w:ascii="宋体" w:hAnsi="宋体" w:cs="宋体" w:eastAsia="宋体" w:hint="default"/>
                <w:sz w:val="18"/>
                <w:szCs w:val="18"/>
              </w:rPr>
            </w:pPr>
            <w:r>
              <w:rPr>
                <w:rFonts w:ascii="宋体"/>
                <w:sz w:val="18"/>
              </w:rPr>
              <w:t>--</w:t>
            </w:r>
          </w:p>
        </w:tc>
      </w:tr>
      <w:tr>
        <w:trPr>
          <w:trHeight w:val="415" w:hRule="exact"/>
        </w:trPr>
        <w:tc>
          <w:tcPr>
            <w:tcW w:w="5053"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1052" w:right="0"/>
              <w:jc w:val="left"/>
              <w:rPr>
                <w:rFonts w:ascii="宋体" w:hAnsi="宋体" w:cs="宋体" w:eastAsia="宋体" w:hint="default"/>
                <w:sz w:val="18"/>
                <w:szCs w:val="18"/>
              </w:rPr>
            </w:pPr>
            <w:r>
              <w:rPr>
                <w:rFonts w:ascii="宋体"/>
                <w:sz w:val="18"/>
              </w:rPr>
              <w:t>38,011,417.97</w:t>
            </w:r>
          </w:p>
        </w:tc>
        <w:tc>
          <w:tcPr>
            <w:tcW w:w="225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1052" w:right="0"/>
              <w:jc w:val="left"/>
              <w:rPr>
                <w:rFonts w:ascii="宋体" w:hAnsi="宋体" w:cs="宋体" w:eastAsia="宋体" w:hint="default"/>
                <w:sz w:val="18"/>
                <w:szCs w:val="18"/>
              </w:rPr>
            </w:pPr>
            <w:r>
              <w:rPr>
                <w:rFonts w:ascii="宋体"/>
                <w:sz w:val="18"/>
              </w:rPr>
              <w:t>62,298,534.77</w:t>
            </w:r>
          </w:p>
        </w:tc>
      </w:tr>
    </w:tbl>
    <w:p>
      <w:pPr>
        <w:spacing w:after="0" w:line="240" w:lineRule="auto"/>
        <w:jc w:val="left"/>
        <w:rPr>
          <w:rFonts w:ascii="宋体" w:hAnsi="宋体" w:cs="宋体" w:eastAsia="宋体" w:hint="default"/>
          <w:sz w:val="18"/>
          <w:szCs w:val="18"/>
        </w:rPr>
        <w:sectPr>
          <w:pgSz w:w="11910" w:h="16840"/>
          <w:pgMar w:header="0" w:footer="1003" w:top="1100" w:bottom="1200" w:left="980" w:right="98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5053"/>
        <w:gridCol w:w="2258"/>
        <w:gridCol w:w="2257"/>
      </w:tblGrid>
      <w:tr>
        <w:trPr>
          <w:trHeight w:val="415" w:hRule="exact"/>
        </w:trPr>
        <w:tc>
          <w:tcPr>
            <w:tcW w:w="5053"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1,639,151.27</w:t>
            </w:r>
          </w:p>
        </w:tc>
        <w:tc>
          <w:tcPr>
            <w:tcW w:w="225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3,775,648.92</w:t>
            </w:r>
          </w:p>
        </w:tc>
      </w:tr>
      <w:tr>
        <w:trPr>
          <w:trHeight w:val="407" w:hRule="exact"/>
        </w:trPr>
        <w:tc>
          <w:tcPr>
            <w:tcW w:w="50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2,715,644.00</w:t>
            </w:r>
          </w:p>
        </w:tc>
        <w:tc>
          <w:tcPr>
            <w:tcW w:w="22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1,911,635.85</w:t>
            </w:r>
          </w:p>
        </w:tc>
      </w:tr>
      <w:tr>
        <w:trPr>
          <w:trHeight w:val="407" w:hRule="exact"/>
        </w:trPr>
        <w:tc>
          <w:tcPr>
            <w:tcW w:w="50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278,115.99</w:t>
            </w:r>
          </w:p>
        </w:tc>
        <w:tc>
          <w:tcPr>
            <w:tcW w:w="22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45,542.23</w:t>
            </w:r>
          </w:p>
        </w:tc>
      </w:tr>
      <w:tr>
        <w:trPr>
          <w:trHeight w:val="719" w:hRule="exact"/>
        </w:trPr>
        <w:tc>
          <w:tcPr>
            <w:tcW w:w="50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319" w:lineRule="auto" w:before="51"/>
              <w:ind w:left="13" w:right="18"/>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处置固定资产、无形资产和其他长期资产的损失（收益以“－”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号填列）</w:t>
            </w:r>
          </w:p>
        </w:tc>
        <w:tc>
          <w:tcPr>
            <w:tcW w:w="2258" w:type="dxa"/>
            <w:tcBorders>
              <w:top w:val="single" w:sz="6" w:space="0" w:color="000000"/>
              <w:left w:val="single" w:sz="14" w:space="0" w:color="D3D3D3"/>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28,176.20</w:t>
            </w:r>
          </w:p>
        </w:tc>
        <w:tc>
          <w:tcPr>
            <w:tcW w:w="22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-3,746.32</w:t>
            </w:r>
          </w:p>
        </w:tc>
      </w:tr>
      <w:tr>
        <w:trPr>
          <w:trHeight w:val="407" w:hRule="exact"/>
        </w:trPr>
        <w:tc>
          <w:tcPr>
            <w:tcW w:w="50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1,846,562.10</w:t>
            </w:r>
          </w:p>
        </w:tc>
        <w:tc>
          <w:tcPr>
            <w:tcW w:w="22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892,529.81</w:t>
            </w:r>
          </w:p>
        </w:tc>
      </w:tr>
      <w:tr>
        <w:trPr>
          <w:trHeight w:val="407" w:hRule="exact"/>
        </w:trPr>
        <w:tc>
          <w:tcPr>
            <w:tcW w:w="50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-27,162.53</w:t>
            </w:r>
          </w:p>
        </w:tc>
        <w:tc>
          <w:tcPr>
            <w:tcW w:w="22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4,511.60</w:t>
            </w:r>
          </w:p>
        </w:tc>
      </w:tr>
      <w:tr>
        <w:trPr>
          <w:trHeight w:val="407" w:hRule="exact"/>
        </w:trPr>
        <w:tc>
          <w:tcPr>
            <w:tcW w:w="50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-213,810.43</w:t>
            </w:r>
          </w:p>
        </w:tc>
        <w:tc>
          <w:tcPr>
            <w:tcW w:w="22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-257,996.10</w:t>
            </w:r>
          </w:p>
        </w:tc>
      </w:tr>
      <w:tr>
        <w:trPr>
          <w:trHeight w:val="407" w:hRule="exact"/>
        </w:trPr>
        <w:tc>
          <w:tcPr>
            <w:tcW w:w="50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652,856.78</w:t>
            </w:r>
          </w:p>
        </w:tc>
        <w:tc>
          <w:tcPr>
            <w:tcW w:w="22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-28,038,542.96</w:t>
            </w:r>
          </w:p>
        </w:tc>
      </w:tr>
      <w:tr>
        <w:trPr>
          <w:trHeight w:val="407" w:hRule="exact"/>
        </w:trPr>
        <w:tc>
          <w:tcPr>
            <w:tcW w:w="50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-7,925,605.08</w:t>
            </w:r>
          </w:p>
        </w:tc>
        <w:tc>
          <w:tcPr>
            <w:tcW w:w="22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-88,465,944.93</w:t>
            </w:r>
          </w:p>
        </w:tc>
      </w:tr>
      <w:tr>
        <w:trPr>
          <w:trHeight w:val="407" w:hRule="exact"/>
        </w:trPr>
        <w:tc>
          <w:tcPr>
            <w:tcW w:w="50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7,211,394.13</w:t>
            </w:r>
          </w:p>
        </w:tc>
        <w:tc>
          <w:tcPr>
            <w:tcW w:w="22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55,099,757.64</w:t>
            </w:r>
          </w:p>
        </w:tc>
      </w:tr>
      <w:tr>
        <w:trPr>
          <w:trHeight w:val="415" w:hRule="exact"/>
        </w:trPr>
        <w:tc>
          <w:tcPr>
            <w:tcW w:w="50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44,216,740.40</w:t>
            </w:r>
          </w:p>
        </w:tc>
        <w:tc>
          <w:tcPr>
            <w:tcW w:w="22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7,261,930.51</w:t>
            </w:r>
          </w:p>
        </w:tc>
      </w:tr>
      <w:tr>
        <w:trPr>
          <w:trHeight w:val="399" w:hRule="exact"/>
        </w:trPr>
        <w:tc>
          <w:tcPr>
            <w:tcW w:w="50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44"/>
              <w:ind w:left="13" w:right="0"/>
              <w:jc w:val="left"/>
              <w:rPr>
                <w:rFonts w:ascii="宋体" w:hAnsi="宋体" w:cs="宋体" w:eastAsia="宋体" w:hint="default"/>
                <w:sz w:val="18"/>
                <w:szCs w:val="18"/>
              </w:rPr>
            </w:pPr>
            <w:r>
              <w:rPr>
                <w:rFonts w:ascii="宋体" w:hAnsi="宋体" w:cs="宋体" w:eastAsia="宋体" w:hint="default"/>
                <w:sz w:val="18"/>
                <w:szCs w:val="18"/>
              </w:rPr>
              <w:t>2．不涉及现金收支的重大投资和筹资活动：</w:t>
            </w:r>
          </w:p>
        </w:tc>
        <w:tc>
          <w:tcPr>
            <w:tcW w:w="225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44"/>
              <w:ind w:right="0"/>
              <w:jc w:val="center"/>
              <w:rPr>
                <w:rFonts w:ascii="宋体" w:hAnsi="宋体" w:cs="宋体" w:eastAsia="宋体" w:hint="default"/>
                <w:sz w:val="18"/>
                <w:szCs w:val="18"/>
              </w:rPr>
            </w:pPr>
            <w:r>
              <w:rPr>
                <w:rFonts w:ascii="宋体"/>
                <w:sz w:val="18"/>
              </w:rPr>
              <w:t>--</w:t>
            </w:r>
          </w:p>
        </w:tc>
        <w:tc>
          <w:tcPr>
            <w:tcW w:w="2257"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44"/>
              <w:ind w:left="7" w:right="0"/>
              <w:jc w:val="center"/>
              <w:rPr>
                <w:rFonts w:ascii="宋体" w:hAnsi="宋体" w:cs="宋体" w:eastAsia="宋体" w:hint="default"/>
                <w:sz w:val="18"/>
                <w:szCs w:val="18"/>
              </w:rPr>
            </w:pPr>
            <w:r>
              <w:rPr>
                <w:rFonts w:ascii="宋体"/>
                <w:sz w:val="18"/>
              </w:rPr>
              <w:t>--</w:t>
            </w:r>
          </w:p>
        </w:tc>
      </w:tr>
      <w:tr>
        <w:trPr>
          <w:trHeight w:val="407" w:hRule="exact"/>
        </w:trPr>
        <w:tc>
          <w:tcPr>
            <w:tcW w:w="50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3．现金及现金等价物净变动情况：</w:t>
            </w:r>
          </w:p>
        </w:tc>
        <w:tc>
          <w:tcPr>
            <w:tcW w:w="225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2257" w:type="dxa"/>
            <w:tcBorders>
              <w:top w:val="single" w:sz="6"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52"/>
              <w:ind w:left="7" w:right="0"/>
              <w:jc w:val="center"/>
              <w:rPr>
                <w:rFonts w:ascii="宋体" w:hAnsi="宋体" w:cs="宋体" w:eastAsia="宋体" w:hint="default"/>
                <w:sz w:val="18"/>
                <w:szCs w:val="18"/>
              </w:rPr>
            </w:pPr>
            <w:r>
              <w:rPr>
                <w:rFonts w:ascii="宋体"/>
                <w:sz w:val="18"/>
              </w:rPr>
              <w:t>--</w:t>
            </w:r>
          </w:p>
        </w:tc>
      </w:tr>
      <w:tr>
        <w:trPr>
          <w:trHeight w:val="407" w:hRule="exact"/>
        </w:trPr>
        <w:tc>
          <w:tcPr>
            <w:tcW w:w="50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441,471,913.09</w:t>
            </w:r>
          </w:p>
        </w:tc>
        <w:tc>
          <w:tcPr>
            <w:tcW w:w="22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81,139,325.93</w:t>
            </w:r>
          </w:p>
        </w:tc>
      </w:tr>
      <w:tr>
        <w:trPr>
          <w:trHeight w:val="407" w:hRule="exact"/>
        </w:trPr>
        <w:tc>
          <w:tcPr>
            <w:tcW w:w="5053"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81,139,325.93</w:t>
            </w:r>
          </w:p>
        </w:tc>
        <w:tc>
          <w:tcPr>
            <w:tcW w:w="22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108,359,247.31</w:t>
            </w:r>
          </w:p>
        </w:tc>
      </w:tr>
      <w:tr>
        <w:trPr>
          <w:trHeight w:val="415" w:hRule="exact"/>
        </w:trPr>
        <w:tc>
          <w:tcPr>
            <w:tcW w:w="5053"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360,332,587.16</w:t>
            </w:r>
          </w:p>
        </w:tc>
        <w:tc>
          <w:tcPr>
            <w:tcW w:w="225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-27,219,921.38</w:t>
            </w:r>
          </w:p>
        </w:tc>
      </w:tr>
    </w:tbl>
    <w:p>
      <w:pPr>
        <w:spacing w:line="240" w:lineRule="auto" w:before="2"/>
        <w:rPr>
          <w:rFonts w:ascii="宋体" w:hAnsi="宋体" w:cs="宋体" w:eastAsia="宋体" w:hint="default"/>
          <w:sz w:val="18"/>
          <w:szCs w:val="18"/>
        </w:rPr>
      </w:pPr>
    </w:p>
    <w:p>
      <w:pPr>
        <w:pStyle w:val="Heading2"/>
        <w:spacing w:line="240" w:lineRule="auto"/>
        <w:ind w:right="132"/>
        <w:jc w:val="left"/>
        <w:rPr>
          <w:b w:val="0"/>
          <w:bCs w:val="0"/>
        </w:rPr>
      </w:pPr>
      <w:r>
        <w:rPr/>
        <w:t>十五、补充资料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2"/>
        <w:jc w:val="left"/>
        <w:rPr>
          <w:b w:val="0"/>
          <w:bCs w:val="0"/>
        </w:rPr>
      </w:pPr>
      <w:r>
        <w:rPr/>
        <w:t>1、净资产收益率及每股收益</w:t>
      </w:r>
      <w:r>
        <w:rPr>
          <w:b w:val="0"/>
          <w:bCs w:val="0"/>
        </w:rPr>
      </w:r>
    </w:p>
    <w:p>
      <w:pPr>
        <w:spacing w:line="240" w:lineRule="auto" w:before="5"/>
        <w:rPr>
          <w:rFonts w:ascii="宋体" w:hAnsi="宋体" w:cs="宋体" w:eastAsia="宋体" w:hint="default"/>
          <w:b/>
          <w:bCs/>
          <w:sz w:val="24"/>
          <w:szCs w:val="24"/>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539"/>
        <w:gridCol w:w="2178"/>
        <w:gridCol w:w="1914"/>
        <w:gridCol w:w="1937"/>
      </w:tblGrid>
      <w:tr>
        <w:trPr>
          <w:trHeight w:val="218" w:hRule="exact"/>
        </w:trPr>
        <w:tc>
          <w:tcPr>
            <w:tcW w:w="3539" w:type="dxa"/>
            <w:tcBorders>
              <w:top w:val="single" w:sz="12" w:space="0" w:color="000000"/>
              <w:left w:val="single" w:sz="12" w:space="0" w:color="000000"/>
              <w:bottom w:val="nil" w:sz="6" w:space="0" w:color="auto"/>
              <w:right w:val="single" w:sz="6" w:space="0" w:color="000000"/>
            </w:tcBorders>
            <w:shd w:val="clear" w:color="auto" w:fill="D3D3D3"/>
          </w:tcPr>
          <w:p>
            <w:pPr/>
          </w:p>
        </w:tc>
        <w:tc>
          <w:tcPr>
            <w:tcW w:w="2178" w:type="dxa"/>
            <w:tcBorders>
              <w:top w:val="single" w:sz="12" w:space="0" w:color="000000"/>
              <w:left w:val="single" w:sz="6" w:space="0" w:color="000000"/>
              <w:bottom w:val="nil" w:sz="6" w:space="0" w:color="auto"/>
              <w:right w:val="single" w:sz="6" w:space="0" w:color="000000"/>
            </w:tcBorders>
            <w:shd w:val="clear" w:color="auto" w:fill="D3D3D3"/>
          </w:tcPr>
          <w:p>
            <w:pPr/>
          </w:p>
        </w:tc>
        <w:tc>
          <w:tcPr>
            <w:tcW w:w="3851" w:type="dxa"/>
            <w:gridSpan w:val="2"/>
            <w:vMerge w:val="restart"/>
            <w:tcBorders>
              <w:top w:val="single" w:sz="12" w:space="0" w:color="000000"/>
              <w:left w:val="single" w:sz="6" w:space="0" w:color="000000"/>
              <w:right w:val="single" w:sz="12"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3539" w:type="dxa"/>
            <w:vMerge w:val="restart"/>
            <w:tcBorders>
              <w:top w:val="nil" w:sz="6" w:space="0" w:color="auto"/>
              <w:left w:val="single" w:sz="12" w:space="0" w:color="000000"/>
              <w:right w:val="single" w:sz="6"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8" w:type="dxa"/>
            <w:vMerge w:val="restart"/>
            <w:tcBorders>
              <w:top w:val="nil" w:sz="6" w:space="0" w:color="auto"/>
              <w:left w:val="single" w:sz="6" w:space="0" w:color="000000"/>
              <w:right w:val="single" w:sz="6" w:space="0" w:color="000000"/>
            </w:tcBorders>
            <w:shd w:val="clear" w:color="auto" w:fill="D3D3D3"/>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51" w:type="dxa"/>
            <w:gridSpan w:val="2"/>
            <w:vMerge/>
            <w:tcBorders>
              <w:left w:val="single" w:sz="6" w:space="0" w:color="000000"/>
              <w:bottom w:val="single" w:sz="6" w:space="0" w:color="000000"/>
              <w:right w:val="single" w:sz="12" w:space="0" w:color="000000"/>
            </w:tcBorders>
            <w:shd w:val="clear" w:color="auto" w:fill="D3D3D3"/>
          </w:tcPr>
          <w:p>
            <w:pPr/>
          </w:p>
        </w:tc>
      </w:tr>
      <w:tr>
        <w:trPr>
          <w:trHeight w:val="196" w:hRule="exact"/>
        </w:trPr>
        <w:tc>
          <w:tcPr>
            <w:tcW w:w="3539" w:type="dxa"/>
            <w:vMerge/>
            <w:tcBorders>
              <w:left w:val="single" w:sz="12" w:space="0" w:color="000000"/>
              <w:bottom w:val="nil" w:sz="6" w:space="0" w:color="auto"/>
              <w:right w:val="single" w:sz="6" w:space="0" w:color="000000"/>
            </w:tcBorders>
            <w:shd w:val="clear" w:color="auto" w:fill="D3D3D3"/>
          </w:tcPr>
          <w:p>
            <w:pPr/>
          </w:p>
        </w:tc>
        <w:tc>
          <w:tcPr>
            <w:tcW w:w="2178" w:type="dxa"/>
            <w:vMerge/>
            <w:tcBorders>
              <w:left w:val="single" w:sz="6" w:space="0" w:color="000000"/>
              <w:bottom w:val="nil" w:sz="6" w:space="0" w:color="auto"/>
              <w:right w:val="single" w:sz="6" w:space="0" w:color="000000"/>
            </w:tcBorders>
            <w:shd w:val="clear" w:color="auto" w:fill="D3D3D3"/>
          </w:tcPr>
          <w:p>
            <w:pPr/>
          </w:p>
        </w:tc>
        <w:tc>
          <w:tcPr>
            <w:tcW w:w="1914" w:type="dxa"/>
            <w:vMerge w:val="restart"/>
            <w:tcBorders>
              <w:top w:val="single" w:sz="6" w:space="0" w:color="000000"/>
              <w:left w:val="single" w:sz="6" w:space="0" w:color="000000"/>
              <w:right w:val="single" w:sz="6" w:space="0" w:color="000000"/>
            </w:tcBorders>
            <w:shd w:val="clear" w:color="auto" w:fill="D3D3D3"/>
          </w:tcPr>
          <w:p>
            <w:pPr>
              <w:pStyle w:val="TableParagraph"/>
              <w:spacing w:line="240" w:lineRule="auto" w:before="52"/>
              <w:ind w:left="410"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6" w:space="0" w:color="000000"/>
              <w:left w:val="single" w:sz="6" w:space="0" w:color="000000"/>
              <w:right w:val="single" w:sz="12" w:space="0" w:color="000000"/>
            </w:tcBorders>
            <w:shd w:val="clear" w:color="auto" w:fill="D3D3D3"/>
          </w:tcPr>
          <w:p>
            <w:pPr>
              <w:pStyle w:val="TableParagraph"/>
              <w:spacing w:line="240" w:lineRule="auto" w:before="52"/>
              <w:ind w:left="422"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211" w:hRule="exact"/>
        </w:trPr>
        <w:tc>
          <w:tcPr>
            <w:tcW w:w="3539" w:type="dxa"/>
            <w:tcBorders>
              <w:top w:val="nil" w:sz="6" w:space="0" w:color="auto"/>
              <w:left w:val="single" w:sz="12" w:space="0" w:color="000000"/>
              <w:bottom w:val="single" w:sz="6" w:space="0" w:color="000000"/>
              <w:right w:val="single" w:sz="6" w:space="0" w:color="000000"/>
            </w:tcBorders>
            <w:shd w:val="clear" w:color="auto" w:fill="D3D3D3"/>
          </w:tcPr>
          <w:p>
            <w:pPr/>
          </w:p>
        </w:tc>
        <w:tc>
          <w:tcPr>
            <w:tcW w:w="2178" w:type="dxa"/>
            <w:tcBorders>
              <w:top w:val="nil" w:sz="6" w:space="0" w:color="auto"/>
              <w:left w:val="single" w:sz="6" w:space="0" w:color="000000"/>
              <w:bottom w:val="single" w:sz="6" w:space="0" w:color="000000"/>
              <w:right w:val="single" w:sz="6" w:space="0" w:color="000000"/>
            </w:tcBorders>
            <w:shd w:val="clear" w:color="auto" w:fill="D3D3D3"/>
          </w:tcPr>
          <w:p>
            <w:pPr/>
          </w:p>
        </w:tc>
        <w:tc>
          <w:tcPr>
            <w:tcW w:w="1914" w:type="dxa"/>
            <w:vMerge/>
            <w:tcBorders>
              <w:left w:val="single" w:sz="6" w:space="0" w:color="000000"/>
              <w:bottom w:val="single" w:sz="6" w:space="0" w:color="000000"/>
              <w:right w:val="single" w:sz="6" w:space="0" w:color="000000"/>
            </w:tcBorders>
            <w:shd w:val="clear" w:color="auto" w:fill="D3D3D3"/>
          </w:tcPr>
          <w:p>
            <w:pPr/>
          </w:p>
        </w:tc>
        <w:tc>
          <w:tcPr>
            <w:tcW w:w="1937" w:type="dxa"/>
            <w:vMerge/>
            <w:tcBorders>
              <w:left w:val="single" w:sz="6" w:space="0" w:color="000000"/>
              <w:bottom w:val="single" w:sz="6" w:space="0" w:color="000000"/>
              <w:right w:val="single" w:sz="12" w:space="0" w:color="000000"/>
            </w:tcBorders>
            <w:shd w:val="clear" w:color="auto" w:fill="D3D3D3"/>
          </w:tcPr>
          <w:p>
            <w:pPr/>
          </w:p>
        </w:tc>
      </w:tr>
      <w:tr>
        <w:trPr>
          <w:trHeight w:val="407" w:hRule="exact"/>
        </w:trPr>
        <w:tc>
          <w:tcPr>
            <w:tcW w:w="3539" w:type="dxa"/>
            <w:tcBorders>
              <w:top w:val="single" w:sz="6"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20.43%</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1.03</w:t>
            </w:r>
          </w:p>
        </w:tc>
        <w:tc>
          <w:tcPr>
            <w:tcW w:w="1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1.03</w:t>
            </w:r>
          </w:p>
        </w:tc>
      </w:tr>
      <w:tr>
        <w:trPr>
          <w:trHeight w:val="727" w:hRule="exact"/>
        </w:trPr>
        <w:tc>
          <w:tcPr>
            <w:tcW w:w="3539" w:type="dxa"/>
            <w:tcBorders>
              <w:top w:val="single" w:sz="6" w:space="0" w:color="000000"/>
              <w:left w:val="single" w:sz="12" w:space="0" w:color="000000"/>
              <w:bottom w:val="single" w:sz="12" w:space="0" w:color="000000"/>
              <w:right w:val="single" w:sz="6" w:space="0" w:color="000000"/>
            </w:tcBorders>
            <w:shd w:val="clear" w:color="auto" w:fill="D3D3D3"/>
          </w:tcPr>
          <w:p>
            <w:pPr>
              <w:pStyle w:val="TableParagraph"/>
              <w:spacing w:line="316" w:lineRule="auto" w:before="51"/>
              <w:ind w:left="13" w:right="83"/>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8" w:type="dxa"/>
            <w:tcBorders>
              <w:top w:val="single" w:sz="6" w:space="0" w:color="000000"/>
              <w:left w:val="single" w:sz="8" w:space="0" w:color="D3D3D3"/>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20.76%</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1.05</w:t>
            </w:r>
          </w:p>
        </w:tc>
        <w:tc>
          <w:tcPr>
            <w:tcW w:w="193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
              <w:jc w:val="right"/>
              <w:rPr>
                <w:rFonts w:ascii="宋体" w:hAnsi="宋体" w:cs="宋体" w:eastAsia="宋体" w:hint="default"/>
                <w:sz w:val="18"/>
                <w:szCs w:val="18"/>
              </w:rPr>
            </w:pPr>
            <w:r>
              <w:rPr>
                <w:rFonts w:ascii="宋体"/>
                <w:sz w:val="18"/>
              </w:rPr>
              <w:t>1.05</w:t>
            </w:r>
          </w:p>
        </w:tc>
      </w:tr>
    </w:tbl>
    <w:p>
      <w:pPr>
        <w:spacing w:line="240" w:lineRule="auto" w:before="2"/>
        <w:rPr>
          <w:rFonts w:ascii="宋体" w:hAnsi="宋体" w:cs="宋体" w:eastAsia="宋体" w:hint="default"/>
          <w:sz w:val="19"/>
          <w:szCs w:val="19"/>
        </w:rPr>
      </w:pPr>
    </w:p>
    <w:p>
      <w:pPr>
        <w:pStyle w:val="Heading4"/>
        <w:spacing w:line="240" w:lineRule="auto" w:before="35"/>
        <w:ind w:right="132"/>
        <w:jc w:val="left"/>
        <w:rPr>
          <w:b w:val="0"/>
          <w:bCs w:val="0"/>
        </w:rPr>
      </w:pPr>
      <w:r>
        <w:rPr/>
        <w:t>2、公司主要会计报表项目的异常情况及原因的说明</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right="132"/>
        <w:jc w:val="left"/>
      </w:pPr>
      <w:r>
        <w:rPr/>
        <w:t>□ 适用 √</w:t>
      </w:r>
      <w:r>
        <w:rPr>
          <w:spacing w:val="-2"/>
        </w:rPr>
        <w:t> </w:t>
      </w:r>
      <w:r>
        <w:rPr/>
        <w:t>不适用</w:t>
      </w:r>
    </w:p>
    <w:p>
      <w:pPr>
        <w:spacing w:after="0" w:line="240" w:lineRule="auto"/>
        <w:jc w:val="left"/>
        <w:sectPr>
          <w:pgSz w:w="11910" w:h="16840"/>
          <w:pgMar w:header="0" w:footer="1003" w:top="1100" w:bottom="12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141" w:right="3233"/>
        <w:jc w:val="center"/>
        <w:rPr>
          <w:b w:val="0"/>
          <w:bCs w:val="0"/>
        </w:rPr>
      </w:pPr>
      <w:bookmarkStart w:name="_TOC_250000" w:id="10"/>
      <w:r>
        <w:rPr/>
        <w:t>第十节</w:t>
      </w:r>
      <w:r>
        <w:rPr>
          <w:spacing w:val="-1"/>
        </w:rPr>
        <w:t> </w:t>
      </w:r>
      <w:r>
        <w:rPr/>
        <w:t>备查文件目录</w:t>
      </w:r>
      <w:bookmarkEnd w:id="10"/>
      <w:r>
        <w:rPr>
          <w:b w:val="0"/>
          <w:bCs w:val="0"/>
        </w:rPr>
      </w:r>
    </w:p>
    <w:p>
      <w:pPr>
        <w:spacing w:line="240" w:lineRule="auto" w:before="7"/>
        <w:rPr>
          <w:rFonts w:ascii="宋体" w:hAnsi="宋体" w:cs="宋体" w:eastAsia="宋体" w:hint="default"/>
          <w:b/>
          <w:bCs/>
          <w:sz w:val="46"/>
          <w:szCs w:val="46"/>
        </w:rPr>
      </w:pPr>
    </w:p>
    <w:p>
      <w:pPr>
        <w:pStyle w:val="BodyText"/>
        <w:spacing w:line="408" w:lineRule="auto"/>
        <w:ind w:left="578" w:right="946"/>
        <w:jc w:val="left"/>
      </w:pPr>
      <w:r>
        <w:rPr/>
        <w:t>一、载有法定代表人、财务负责人、财务报表编制人签名并盖章的会计报表。 二、载有会计师事务所盖章、注册会计师签名并盖章的审计报告原件。 三、报告期内在中国证监会指定信息披露网站上披露的所有公司文件的正本及公告的原稿。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08" w:lineRule="auto"/>
        <w:ind w:left="7926" w:right="324" w:hanging="426"/>
        <w:jc w:val="left"/>
      </w:pPr>
      <w:r>
        <w:rPr/>
        <w:t>光一科技股份有限公司 董事长：龙昌明 2013年3月19日</w:t>
      </w:r>
    </w:p>
    <w:sectPr>
      <w:pgSz w:w="11910" w:h="16840"/>
      <w:pgMar w:header="0" w:footer="1003" w:top="1100" w:bottom="120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4.485352pt;width:6.5pt;height:11pt;mso-position-horizontal-relative:page;mso-position-vertical-relative:page;z-index:-6567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w w:val="99"/>
                    <w:sz w:val="18"/>
                  </w:rPr>
                  <w:t>1</w:t>
                </w:r>
                <w:r>
                  <w:rPr>
                    <w:rFonts w:ascii="宋体"/>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0.865295pt;width:13pt;height:11pt;mso-position-horizontal-relative:page;mso-position-vertical-relative:page;z-index:-65672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4.265503pt;width:13pt;height:11pt;mso-position-horizontal-relative:page;mso-position-vertical-relative:page;z-index:-65665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45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0.865295pt;width:13pt;height:11pt;mso-position-horizontal-relative:page;mso-position-vertical-relative:page;z-index:-65658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47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879547pt;margin-top:752.635498pt;width:458.75pt;height:12.5pt;mso-position-horizontal-relative:page;mso-position-vertical-relative:page;z-index:-656560" type="#_x0000_t202" filled="false" stroked="false">
          <v:textbox inset="0,0,0,0">
            <w:txbxContent>
              <w:p>
                <w:pPr>
                  <w:pStyle w:val="BodyText"/>
                  <w:spacing w:line="230" w:lineRule="exact"/>
                  <w:ind w:left="20" w:right="0"/>
                  <w:jc w:val="left"/>
                </w:pPr>
                <w:r>
                  <w:rPr/>
                  <w:t>(4)有足够的技术、财务资源和其他资源支持，以完成该无形资产的开发，并有能力使用或出售该无</w:t>
                </w:r>
              </w:p>
            </w:txbxContent>
          </v:textbox>
          <w10:wrap type="none"/>
        </v:shape>
      </w:pict>
    </w:r>
    <w:r>
      <w:rPr/>
      <w:pict>
        <v:shape style="position:absolute;margin-left:527.619873pt;margin-top:780.865295pt;width:13pt;height:11pt;mso-position-horizontal-relative:page;mso-position-vertical-relative:page;z-index:-65653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84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0.865295pt;width:13pt;height:11pt;mso-position-horizontal-relative:page;mso-position-vertical-relative:page;z-index:-65651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85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0.865295pt;width:17.5pt;height:11pt;mso-position-horizontal-relative:page;mso-position-vertical-relative:page;z-index:-65648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71.119995pt;margin-top:36.325325pt;width:168.55pt;height:11pt;mso-position-horizontal-relative:page;mso-position-vertical-relative:page;z-index:-6567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光一科技股份有限公司</w:t>
                </w:r>
                <w:r>
                  <w:rPr>
                    <w:rFonts w:ascii="宋体" w:hAnsi="宋体" w:cs="宋体" w:eastAsia="宋体" w:hint="default"/>
                    <w:spacing w:val="-47"/>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5.619999pt;width:700.95pt;height:.1pt;mso-position-horizontal-relative:page;mso-position-vertical-relative:page;z-index:-656704" coordorigin="1410,1112" coordsize="14019,2">
          <v:shape style="position:absolute;left:1410;top:1112;width:14019;height:2" coordorigin="1410,1112" coordsize="14019,0" path="m1410,1112l15428,1112e" filled="false" stroked="true" strokeweight=".72pt" strokecolor="#000000">
            <v:path arrowok="t"/>
          </v:shape>
          <w10:wrap type="none"/>
        </v:group>
      </w:pict>
    </w:r>
    <w:r>
      <w:rPr/>
      <w:pict>
        <v:shape style="position:absolute;margin-left:602.410522pt;margin-top:42.865623pt;width:168.5pt;height:11pt;mso-position-horizontal-relative:page;mso-position-vertical-relative:page;z-index:-6566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光一科技股份有限公司</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656632"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71.119995pt;margin-top:42.865326pt;width:168.5pt;height:11pt;mso-position-horizontal-relative:page;mso-position-vertical-relative:page;z-index:-6566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光一科技股份有限公司</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93"/>
      <w:ind w:left="154"/>
    </w:pPr>
    <w:rPr>
      <w:rFonts w:ascii="宋体" w:hAnsi="宋体" w:eastAsia="宋体"/>
      <w:sz w:val="24"/>
      <w:szCs w:val="24"/>
    </w:rPr>
  </w:style>
  <w:style w:styleId="BodyText" w:type="paragraph">
    <w:name w:val="Body Text"/>
    <w:basedOn w:val="Normal"/>
    <w:uiPriority w:val="1"/>
    <w:qFormat/>
    <w:pPr>
      <w:ind w:left="154"/>
    </w:pPr>
    <w:rPr>
      <w:rFonts w:ascii="宋体" w:hAnsi="宋体" w:eastAsia="宋体"/>
      <w:sz w:val="21"/>
      <w:szCs w:val="21"/>
    </w:rPr>
  </w:style>
  <w:style w:styleId="Heading1" w:type="paragraph">
    <w:name w:val="Heading 1"/>
    <w:basedOn w:val="Normal"/>
    <w:uiPriority w:val="1"/>
    <w:qFormat/>
    <w:pPr>
      <w:spacing w:before="1"/>
      <w:ind w:left="3234"/>
      <w:outlineLvl w:val="1"/>
    </w:pPr>
    <w:rPr>
      <w:rFonts w:ascii="宋体" w:hAnsi="宋体" w:eastAsia="宋体"/>
      <w:b/>
      <w:bCs/>
      <w:sz w:val="32"/>
      <w:szCs w:val="32"/>
    </w:rPr>
  </w:style>
  <w:style w:styleId="Heading2" w:type="paragraph">
    <w:name w:val="Heading 2"/>
    <w:basedOn w:val="Normal"/>
    <w:uiPriority w:val="1"/>
    <w:qFormat/>
    <w:pPr>
      <w:spacing w:before="26"/>
      <w:ind w:left="154"/>
      <w:outlineLvl w:val="2"/>
    </w:pPr>
    <w:rPr>
      <w:rFonts w:ascii="宋体" w:hAnsi="宋体" w:eastAsia="宋体"/>
      <w:b/>
      <w:bCs/>
      <w:sz w:val="24"/>
      <w:szCs w:val="24"/>
    </w:rPr>
  </w:style>
  <w:style w:styleId="Heading3" w:type="paragraph">
    <w:name w:val="Heading 3"/>
    <w:basedOn w:val="Normal"/>
    <w:uiPriority w:val="1"/>
    <w:qFormat/>
    <w:pPr>
      <w:spacing w:before="36"/>
      <w:ind w:left="153"/>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2.xml"/><Relationship Id="rId10" Type="http://schemas.openxmlformats.org/officeDocument/2006/relationships/hyperlink" Target="http://www.elefirst.com/" TargetMode="External"/><Relationship Id="rId11" Type="http://schemas.openxmlformats.org/officeDocument/2006/relationships/hyperlink" Target="mailto:elefirst@elefirst.com" TargetMode="External"/><Relationship Id="rId12" Type="http://schemas.openxmlformats.org/officeDocument/2006/relationships/hyperlink" Target="http://www.cninfo.com.cn/" TargetMode="External"/><Relationship Id="rId13" Type="http://schemas.openxmlformats.org/officeDocument/2006/relationships/image" Target="media/image3.png"/><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header" Target="header4.xml"/><Relationship Id="rId21" Type="http://schemas.openxmlformats.org/officeDocument/2006/relationships/footer" Target="footer7.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&lt;4D6963726F736F667420576F7264202D20B9E2D2BBBFC6BCBCA3BA32303132C4EAB6C8B1A8B8E6C8ABCEC4&gt;</dc:title>
  <dcterms:created xsi:type="dcterms:W3CDTF">2020-05-04T02:18:15Z</dcterms:created>
  <dcterms:modified xsi:type="dcterms:W3CDTF">2020-05-04T02:18:15Z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2013-03-19T00:00:00Z</vt:filetime>
  </property>
  <property fmtid="{D5CDD505-2E9C-101B-9397-08002B2CF9AE}" pid="3" name="Creator">
    <vt:lpwstr>PScript5.dll Version 5.2.2</vt:lpwstr>
  </property>
  <property fmtid="{D5CDD505-2E9C-101B-9397-08002B2CF9AE}" pid="4" name="LastSaved">
    <vt:filetime>2020-05-03T00:00:00Z</vt:filetime>
  </property>
</Properties>
</file>